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方正小标宋_GBK" w:cs="Times New Roman"/>
          <w:bCs/>
          <w:color w:val="auto"/>
          <w:sz w:val="72"/>
          <w:szCs w:val="72"/>
          <w:highlight w:val="none"/>
        </w:rPr>
      </w:pPr>
      <w:bookmarkStart w:id="0" w:name="_Toc23051"/>
      <w:r>
        <w:rPr>
          <w:rFonts w:hint="default" w:ascii="Times New Roman" w:hAnsi="Times New Roman" w:eastAsia="方正小标宋_GBK" w:cs="Times New Roman"/>
          <w:bCs/>
          <w:color w:val="auto"/>
          <w:sz w:val="72"/>
          <w:szCs w:val="72"/>
          <w:highlight w:val="none"/>
        </w:rPr>
        <w:t>建设项目环境影响报告表</w:t>
      </w:r>
      <w:bookmarkEnd w:id="0"/>
    </w:p>
    <w:p>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pPr>
        <w:rPr>
          <w:rFonts w:hint="default" w:ascii="Times New Roman" w:hAnsi="Times New Roman" w:cs="Times New Roman"/>
          <w:color w:val="auto"/>
          <w:highlight w:val="none"/>
        </w:rPr>
      </w:pPr>
    </w:p>
    <w:p>
      <w:pPr>
        <w:adjustRightInd w:val="0"/>
        <w:snapToGrid w:val="0"/>
        <w:spacing w:before="192" w:beforeLines="80"/>
        <w:jc w:val="center"/>
        <w:rPr>
          <w:rFonts w:hint="default" w:ascii="Times New Roman" w:hAnsi="Times New Roman" w:eastAsia="仿宋" w:cs="Times New Roman"/>
          <w:color w:val="auto"/>
          <w:sz w:val="52"/>
          <w:szCs w:val="52"/>
          <w:highlight w:val="none"/>
        </w:rPr>
      </w:pPr>
      <w:r>
        <w:rPr>
          <w:rFonts w:hint="default" w:ascii="Times New Roman" w:hAnsi="Times New Roman" w:eastAsia="楷体_GB2312" w:cs="Times New Roman"/>
          <w:bCs/>
          <w:color w:val="auto"/>
          <w:sz w:val="48"/>
          <w:szCs w:val="48"/>
          <w:highlight w:val="none"/>
        </w:rPr>
        <w:t>（</w:t>
      </w:r>
      <w:r>
        <w:rPr>
          <w:rFonts w:hint="eastAsia" w:eastAsia="楷体_GB2312" w:cs="Times New Roman"/>
          <w:bCs/>
          <w:color w:val="auto"/>
          <w:sz w:val="48"/>
          <w:szCs w:val="48"/>
          <w:highlight w:val="none"/>
          <w:lang w:val="en-US" w:eastAsia="zh-CN"/>
        </w:rPr>
        <w:t>报批稿</w:t>
      </w:r>
      <w:r>
        <w:rPr>
          <w:rFonts w:hint="default" w:ascii="Times New Roman" w:hAnsi="Times New Roman" w:eastAsia="楷体_GB2312" w:cs="Times New Roman"/>
          <w:bCs/>
          <w:color w:val="auto"/>
          <w:sz w:val="48"/>
          <w:szCs w:val="48"/>
          <w:highlight w:val="none"/>
        </w:rPr>
        <w:t>）</w:t>
      </w: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cs="Times New Roman"/>
          <w:color w:val="auto"/>
          <w:highlight w:val="none"/>
        </w:rPr>
      </w:pPr>
    </w:p>
    <w:p>
      <w:pPr>
        <w:pStyle w:val="6"/>
        <w:rPr>
          <w:rFonts w:hint="default" w:ascii="Times New Roman" w:hAnsi="Times New Roman" w:cs="Times New Roman"/>
          <w:color w:val="auto"/>
          <w:highlight w:val="none"/>
        </w:rPr>
      </w:pPr>
    </w:p>
    <w:p>
      <w:pPr>
        <w:ind w:firstLine="1040"/>
        <w:rPr>
          <w:rFonts w:hint="default" w:ascii="Times New Roman" w:hAnsi="Times New Roman" w:eastAsia="仿宋" w:cs="Times New Roman"/>
          <w:color w:val="auto"/>
          <w:sz w:val="44"/>
          <w:szCs w:val="44"/>
          <w:highlight w:val="none"/>
        </w:rPr>
      </w:pPr>
    </w:p>
    <w:p>
      <w:pPr>
        <w:adjustRightInd w:val="0"/>
        <w:snapToGrid w:val="0"/>
        <w:spacing w:line="360" w:lineRule="auto"/>
        <w:rPr>
          <w:rFonts w:hint="default" w:ascii="Times New Roman" w:hAnsi="Times New Roman" w:eastAsia="仿宋_GB2312" w:cs="Times New Roman"/>
          <w:color w:val="auto"/>
          <w:sz w:val="36"/>
          <w:szCs w:val="36"/>
          <w:highlight w:val="none"/>
          <w:u w:val="single"/>
          <w:lang w:val="en-US"/>
        </w:rPr>
      </w:pPr>
      <w:r>
        <w:rPr>
          <w:rFonts w:hint="default" w:ascii="Times New Roman" w:hAnsi="Times New Roman" w:eastAsia="仿宋_GB2312" w:cs="Times New Roman"/>
          <w:color w:val="auto"/>
          <w:sz w:val="36"/>
          <w:szCs w:val="36"/>
          <w:highlight w:val="none"/>
        </w:rPr>
        <w:t>项目名称：</w:t>
      </w:r>
      <w:r>
        <w:rPr>
          <w:rFonts w:hint="eastAsia" w:eastAsia="仿宋_GB2312" w:cs="Times New Roman"/>
          <w:color w:val="auto"/>
          <w:sz w:val="36"/>
          <w:szCs w:val="36"/>
          <w:highlight w:val="none"/>
          <w:u w:val="single"/>
          <w:lang w:val="en-US" w:eastAsia="zh-CN"/>
        </w:rPr>
        <w:t xml:space="preserve">宜良工业园区生物质绿色可再生能源分布式集中供热项目（重新报批） </w:t>
      </w:r>
    </w:p>
    <w:p>
      <w:pPr>
        <w:adjustRightInd w:val="0"/>
        <w:snapToGrid w:val="0"/>
        <w:spacing w:line="360" w:lineRule="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建设单位（盖章）：</w:t>
      </w:r>
      <w:r>
        <w:rPr>
          <w:rFonts w:hint="eastAsia" w:eastAsia="仿宋_GB2312" w:cs="Times New Roman"/>
          <w:color w:val="auto"/>
          <w:sz w:val="36"/>
          <w:szCs w:val="36"/>
          <w:highlight w:val="none"/>
          <w:u w:val="single"/>
          <w:lang w:val="en-US" w:eastAsia="zh-CN"/>
        </w:rPr>
        <w:t xml:space="preserve">  昆明甲乙木能源技术有限公司 </w:t>
      </w:r>
    </w:p>
    <w:p>
      <w:pPr>
        <w:adjustRightInd w:val="0"/>
        <w:snapToGrid w:val="0"/>
        <w:spacing w:line="360" w:lineRule="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编制日期：</w:t>
      </w:r>
      <w:r>
        <w:rPr>
          <w:rFonts w:hint="eastAsia" w:eastAsia="仿宋_GB2312" w:cs="Times New Roman"/>
          <w:color w:val="auto"/>
          <w:sz w:val="36"/>
          <w:szCs w:val="36"/>
          <w:highlight w:val="none"/>
          <w:u w:val="single"/>
          <w:lang w:val="en-US" w:eastAsia="zh-CN"/>
        </w:rPr>
        <w:t xml:space="preserve">               2</w:t>
      </w:r>
      <w:r>
        <w:rPr>
          <w:rFonts w:hint="default" w:ascii="Times New Roman" w:hAnsi="Times New Roman" w:eastAsia="仿宋_GB2312" w:cs="Times New Roman"/>
          <w:color w:val="auto"/>
          <w:sz w:val="36"/>
          <w:szCs w:val="36"/>
          <w:highlight w:val="none"/>
          <w:u w:val="single"/>
          <w:lang w:val="en-US" w:eastAsia="zh-CN"/>
        </w:rPr>
        <w:t>0</w:t>
      </w:r>
      <w:r>
        <w:rPr>
          <w:rFonts w:hint="eastAsia" w:eastAsia="仿宋_GB2312" w:cs="Times New Roman"/>
          <w:color w:val="auto"/>
          <w:sz w:val="36"/>
          <w:szCs w:val="36"/>
          <w:highlight w:val="none"/>
          <w:u w:val="single"/>
          <w:lang w:val="en-US" w:eastAsia="zh-CN"/>
        </w:rPr>
        <w:t>24</w:t>
      </w:r>
      <w:r>
        <w:rPr>
          <w:rFonts w:hint="default" w:ascii="Times New Roman" w:hAnsi="Times New Roman" w:eastAsia="仿宋_GB2312" w:cs="Times New Roman"/>
          <w:color w:val="auto"/>
          <w:sz w:val="36"/>
          <w:szCs w:val="36"/>
          <w:highlight w:val="none"/>
          <w:u w:val="single"/>
          <w:lang w:val="en-US" w:eastAsia="zh-CN"/>
        </w:rPr>
        <w:t>年</w:t>
      </w:r>
      <w:r>
        <w:rPr>
          <w:rFonts w:hint="eastAsia" w:eastAsia="仿宋_GB2312" w:cs="Times New Roman"/>
          <w:color w:val="auto"/>
          <w:sz w:val="36"/>
          <w:szCs w:val="36"/>
          <w:highlight w:val="none"/>
          <w:u w:val="single"/>
          <w:lang w:val="en-US" w:eastAsia="zh-CN"/>
        </w:rPr>
        <w:t>2</w:t>
      </w:r>
      <w:r>
        <w:rPr>
          <w:rFonts w:hint="default" w:ascii="Times New Roman" w:hAnsi="Times New Roman" w:eastAsia="仿宋_GB2312" w:cs="Times New Roman"/>
          <w:color w:val="auto"/>
          <w:sz w:val="36"/>
          <w:szCs w:val="36"/>
          <w:highlight w:val="none"/>
          <w:u w:val="single"/>
          <w:lang w:val="en-US" w:eastAsia="zh-CN"/>
        </w:rPr>
        <w:t>月</w:t>
      </w:r>
      <w:r>
        <w:rPr>
          <w:rFonts w:hint="eastAsia" w:eastAsia="仿宋_GB2312" w:cs="Times New Roman"/>
          <w:color w:val="auto"/>
          <w:sz w:val="36"/>
          <w:szCs w:val="36"/>
          <w:highlight w:val="none"/>
          <w:u w:val="single"/>
          <w:lang w:val="en-US" w:eastAsia="zh-CN"/>
        </w:rPr>
        <w:t xml:space="preserve">             </w:t>
      </w:r>
    </w:p>
    <w:p>
      <w:pPr>
        <w:adjustRightInd w:val="0"/>
        <w:snapToGrid w:val="0"/>
        <w:spacing w:line="288" w:lineRule="auto"/>
        <w:rPr>
          <w:rFonts w:hint="default" w:ascii="Times New Roman" w:hAnsi="Times New Roman" w:eastAsia="仿宋_GB2312" w:cs="Times New Roman"/>
          <w:color w:val="auto"/>
          <w:sz w:val="36"/>
          <w:szCs w:val="36"/>
          <w:highlight w:val="none"/>
        </w:rPr>
      </w:pPr>
      <w:bookmarkStart w:id="1" w:name="_Hlk57884087"/>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ind w:firstLine="1040"/>
        <w:rPr>
          <w:rFonts w:hint="default" w:ascii="Times New Roman" w:hAnsi="Times New Roman" w:eastAsia="仿宋_GB2312" w:cs="Times New Roman"/>
          <w:color w:val="auto"/>
          <w:sz w:val="36"/>
          <w:szCs w:val="36"/>
          <w:highlight w:val="none"/>
        </w:rPr>
      </w:pPr>
    </w:p>
    <w:p>
      <w:pPr>
        <w:ind w:firstLine="1040"/>
        <w:rPr>
          <w:rFonts w:hint="default" w:ascii="Times New Roman" w:hAnsi="Times New Roman" w:cs="Times New Roman"/>
          <w:color w:val="auto"/>
          <w:highlight w:val="none"/>
        </w:rPr>
      </w:pPr>
    </w:p>
    <w:p>
      <w:pPr>
        <w:pStyle w:val="6"/>
        <w:rPr>
          <w:rFonts w:hint="default" w:ascii="Times New Roman" w:hAnsi="Times New Roman" w:cs="Times New Roman"/>
          <w:color w:val="auto"/>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1"/>
    <w:p>
      <w:pPr>
        <w:adjustRightInd w:val="0"/>
        <w:snapToGrid w:val="0"/>
        <w:spacing w:line="288" w:lineRule="auto"/>
        <w:jc w:val="center"/>
        <w:rPr>
          <w:rFonts w:hint="default" w:ascii="Times New Roman" w:hAnsi="Times New Roman" w:eastAsia="仿宋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ascii="Times New Roman" w:hAnsi="Times New Roman" w:eastAsia="楷体_GB2312" w:cs="Times New Roman"/>
          <w:color w:val="auto"/>
          <w:sz w:val="36"/>
          <w:szCs w:val="36"/>
          <w:highlight w:val="none"/>
        </w:rPr>
        <w:t>中华人民共和国生态环境部制</w:t>
      </w:r>
    </w:p>
    <w:p>
      <w:pPr>
        <w:adjustRightInd w:val="0"/>
        <w:snapToGrid w:val="0"/>
        <w:spacing w:line="288" w:lineRule="auto"/>
        <w:jc w:val="center"/>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海大供热点</w:t>
      </w:r>
      <w:r>
        <w:rPr>
          <w:rFonts w:hint="eastAsia" w:ascii="宋体" w:hAnsi="宋体" w:eastAsia="宋体" w:cs="宋体"/>
          <w:b/>
          <w:bCs/>
          <w:color w:val="auto"/>
          <w:sz w:val="28"/>
          <w:szCs w:val="28"/>
          <w:highlight w:val="none"/>
          <w:lang w:val="en-US" w:eastAsia="zh-CN"/>
        </w:rPr>
        <w:t>现场图片</w:t>
      </w:r>
    </w:p>
    <w:tbl>
      <w:tblPr>
        <w:tblStyle w:val="29"/>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3"/>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912110" cy="2181860"/>
                  <wp:effectExtent l="0" t="0" r="2540" b="8890"/>
                  <wp:docPr id="8" name="图片 8" descr="b135e2dd324e9e060e111aefb6c2321f_"/>
                  <wp:cNvGraphicFramePr/>
                  <a:graphic xmlns:a="http://schemas.openxmlformats.org/drawingml/2006/main">
                    <a:graphicData uri="http://schemas.openxmlformats.org/drawingml/2006/picture">
                      <pic:pic xmlns:pic="http://schemas.openxmlformats.org/drawingml/2006/picture">
                        <pic:nvPicPr>
                          <pic:cNvPr id="8" name="图片 8" descr="b135e2dd324e9e060e111aefb6c2321f_"/>
                          <pic:cNvPicPr/>
                        </pic:nvPicPr>
                        <pic:blipFill>
                          <a:blip r:embed="rId11"/>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678430" cy="2181860"/>
                  <wp:effectExtent l="0" t="0" r="7620" b="8890"/>
                  <wp:docPr id="14" name="图片 14" descr="563543b328770e607d1401c0f6a9bab0_"/>
                  <wp:cNvGraphicFramePr/>
                  <a:graphic xmlns:a="http://schemas.openxmlformats.org/drawingml/2006/main">
                    <a:graphicData uri="http://schemas.openxmlformats.org/drawingml/2006/picture">
                      <pic:pic xmlns:pic="http://schemas.openxmlformats.org/drawingml/2006/picture">
                        <pic:nvPicPr>
                          <pic:cNvPr id="14" name="图片 14" descr="563543b328770e607d1401c0f6a9bab0_"/>
                          <pic:cNvPicPr/>
                        </pic:nvPicPr>
                        <pic:blipFill>
                          <a:blip r:embed="rId12"/>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已建锅炉房</w:t>
            </w:r>
          </w:p>
        </w:tc>
        <w:tc>
          <w:tcPr>
            <w:tcW w:w="4390"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生物质锅炉（已建4t/h、6t/h锅炉各1台）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18" name="图片 18" descr="647a575b162d81449e33e121f3349991_"/>
                  <wp:cNvGraphicFramePr/>
                  <a:graphic xmlns:a="http://schemas.openxmlformats.org/drawingml/2006/main">
                    <a:graphicData uri="http://schemas.openxmlformats.org/drawingml/2006/picture">
                      <pic:pic xmlns:pic="http://schemas.openxmlformats.org/drawingml/2006/picture">
                        <pic:nvPicPr>
                          <pic:cNvPr id="18" name="图片 18" descr="647a575b162d81449e33e121f3349991_"/>
                          <pic:cNvPicPr/>
                        </pic:nvPicPr>
                        <pic:blipFill>
                          <a:blip r:embed="rId13"/>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center"/>
              <w:rPr>
                <w:rFonts w:hint="eastAsia" w:eastAsia="宋体"/>
                <w:color w:val="auto"/>
                <w:highlight w:val="none"/>
                <w:lang w:val="en-US" w:eastAsia="zh-CN"/>
              </w:rPr>
            </w:pPr>
            <w:r>
              <w:rPr>
                <w:color w:val="auto"/>
                <w:sz w:val="21"/>
                <w:highlight w:val="none"/>
              </w:rPr>
              <w:drawing>
                <wp:inline distT="0" distB="0" distL="114300" distR="114300">
                  <wp:extent cx="2678430" cy="2181860"/>
                  <wp:effectExtent l="0" t="0" r="7620" b="8890"/>
                  <wp:docPr id="15" name="图片 15" descr="fbe6f653c79955ee37241388762a8c86_"/>
                  <wp:cNvGraphicFramePr/>
                  <a:graphic xmlns:a="http://schemas.openxmlformats.org/drawingml/2006/main">
                    <a:graphicData uri="http://schemas.openxmlformats.org/drawingml/2006/picture">
                      <pic:pic xmlns:pic="http://schemas.openxmlformats.org/drawingml/2006/picture">
                        <pic:nvPicPr>
                          <pic:cNvPr id="15" name="图片 15" descr="fbe6f653c79955ee37241388762a8c86_"/>
                          <pic:cNvPicPr/>
                        </pic:nvPicPr>
                        <pic:blipFill>
                          <a:blip r:embed="rId14"/>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生物质燃料装袋存放</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灰渣装袋堆存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912110" cy="2181860"/>
                  <wp:effectExtent l="0" t="0" r="2540" b="8890"/>
                  <wp:docPr id="12" name="图片 12" descr="68a902a0a8df65e67c925bdf3e613fd"/>
                  <wp:cNvGraphicFramePr/>
                  <a:graphic xmlns:a="http://schemas.openxmlformats.org/drawingml/2006/main">
                    <a:graphicData uri="http://schemas.openxmlformats.org/drawingml/2006/picture">
                      <pic:pic xmlns:pic="http://schemas.openxmlformats.org/drawingml/2006/picture">
                        <pic:nvPicPr>
                          <pic:cNvPr id="12" name="图片 12" descr="68a902a0a8df65e67c925bdf3e613fd"/>
                          <pic:cNvPicPr/>
                        </pic:nvPicPr>
                        <pic:blipFill>
                          <a:blip r:embed="rId15"/>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678430" cy="2181860"/>
                  <wp:effectExtent l="0" t="0" r="7620" b="8890"/>
                  <wp:docPr id="19" name="图片 19" descr="0b422d58cf3e22f5705f2ef5a1f8c8b8_"/>
                  <wp:cNvGraphicFramePr/>
                  <a:graphic xmlns:a="http://schemas.openxmlformats.org/drawingml/2006/main">
                    <a:graphicData uri="http://schemas.openxmlformats.org/drawingml/2006/picture">
                      <pic:pic xmlns:pic="http://schemas.openxmlformats.org/drawingml/2006/picture">
                        <pic:nvPicPr>
                          <pic:cNvPr id="19" name="图片 19" descr="0b422d58cf3e22f5705f2ef5a1f8c8b8_"/>
                          <pic:cNvPicPr/>
                        </pic:nvPicPr>
                        <pic:blipFill>
                          <a:blip r:embed="rId16"/>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default"/>
                <w:color w:val="auto"/>
                <w:highlight w:val="none"/>
                <w:lang w:val="en-US" w:eastAsia="zh-CN"/>
              </w:rPr>
              <w:t>烟气蒸发系统-储水池</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烟气蒸发系统、45m烟囱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912110" cy="2181860"/>
                  <wp:effectExtent l="0" t="0" r="2540" b="8890"/>
                  <wp:docPr id="20" name="图片 20" descr="8769efaa9003ed72a3d8093fade281f1_"/>
                  <wp:cNvGraphicFramePr/>
                  <a:graphic xmlns:a="http://schemas.openxmlformats.org/drawingml/2006/main">
                    <a:graphicData uri="http://schemas.openxmlformats.org/drawingml/2006/picture">
                      <pic:pic xmlns:pic="http://schemas.openxmlformats.org/drawingml/2006/picture">
                        <pic:nvPicPr>
                          <pic:cNvPr id="20" name="图片 20" descr="8769efaa9003ed72a3d8093fade281f1_"/>
                          <pic:cNvPicPr/>
                        </pic:nvPicPr>
                        <pic:blipFill>
                          <a:blip r:embed="rId17"/>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both"/>
              <w:rPr>
                <w:rFonts w:hint="eastAsia"/>
                <w:color w:val="auto"/>
                <w:highlight w:val="none"/>
                <w:lang w:val="en-US" w:eastAsia="zh-CN"/>
              </w:rPr>
            </w:pPr>
            <w:r>
              <w:rPr>
                <w:rFonts w:hint="eastAsia"/>
                <w:color w:val="auto"/>
                <w:highlight w:val="none"/>
                <w:lang w:val="en-US" w:eastAsia="zh-CN"/>
              </w:rPr>
              <w:drawing>
                <wp:inline distT="0" distB="0" distL="114300" distR="114300">
                  <wp:extent cx="2678430" cy="2181860"/>
                  <wp:effectExtent l="0" t="0" r="7620" b="8890"/>
                  <wp:docPr id="21" name="图片 21" descr="334c017da7e356c20b71d386703adc36_"/>
                  <wp:cNvGraphicFramePr/>
                  <a:graphic xmlns:a="http://schemas.openxmlformats.org/drawingml/2006/main">
                    <a:graphicData uri="http://schemas.openxmlformats.org/drawingml/2006/picture">
                      <pic:pic xmlns:pic="http://schemas.openxmlformats.org/drawingml/2006/picture">
                        <pic:nvPicPr>
                          <pic:cNvPr id="21" name="图片 21" descr="334c017da7e356c20b71d386703adc36_"/>
                          <pic:cNvPicPr/>
                        </pic:nvPicPr>
                        <pic:blipFill>
                          <a:blip r:embed="rId18"/>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多管旋风除尘器</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布袋除尘器</w:t>
            </w:r>
          </w:p>
        </w:tc>
      </w:tr>
    </w:tbl>
    <w:p>
      <w:pPr>
        <w:pStyle w:val="16"/>
        <w:ind w:left="0" w:leftChars="0" w:firstLine="0" w:firstLineChars="0"/>
        <w:rPr>
          <w:rFonts w:hint="default"/>
          <w:color w:val="auto"/>
          <w:highlight w:val="none"/>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特驱供热点</w:t>
      </w:r>
      <w:r>
        <w:rPr>
          <w:rFonts w:hint="eastAsia" w:ascii="宋体" w:hAnsi="宋体" w:eastAsia="宋体" w:cs="宋体"/>
          <w:b/>
          <w:bCs/>
          <w:color w:val="auto"/>
          <w:sz w:val="28"/>
          <w:szCs w:val="28"/>
          <w:highlight w:val="none"/>
          <w:lang w:val="en-US" w:eastAsia="zh-CN"/>
        </w:rPr>
        <w:t>现场图片</w:t>
      </w:r>
    </w:p>
    <w:tbl>
      <w:tblPr>
        <w:tblStyle w:val="29"/>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3"/>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912110" cy="2181860"/>
                  <wp:effectExtent l="0" t="0" r="2540" b="8890"/>
                  <wp:docPr id="39" name="图片 39" descr="6a76db93b1301eb0e5640ba92a9cd2bf_"/>
                  <wp:cNvGraphicFramePr/>
                  <a:graphic xmlns:a="http://schemas.openxmlformats.org/drawingml/2006/main">
                    <a:graphicData uri="http://schemas.openxmlformats.org/drawingml/2006/picture">
                      <pic:pic xmlns:pic="http://schemas.openxmlformats.org/drawingml/2006/picture">
                        <pic:nvPicPr>
                          <pic:cNvPr id="39" name="图片 39" descr="6a76db93b1301eb0e5640ba92a9cd2bf_"/>
                          <pic:cNvPicPr/>
                        </pic:nvPicPr>
                        <pic:blipFill>
                          <a:blip r:embed="rId19"/>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2147570</wp:posOffset>
                      </wp:positionH>
                      <wp:positionV relativeFrom="paragraph">
                        <wp:posOffset>1936115</wp:posOffset>
                      </wp:positionV>
                      <wp:extent cx="837565" cy="230505"/>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837565"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9.1pt;margin-top:152.45pt;height:18.15pt;width:65.95pt;z-index:251664384;mso-width-relative:page;mso-height-relative:page;" filled="f" stroked="f" coordsize="21600,21600" o:gfxdata="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ZWpVodgAAAAL&#10;AQAADwAAAAAAAAABACAAAAA4AAAAZHJzL2Rvd25yZXYueG1sUEsBAhQAFAAAAAgAh07iQBS/5xWU&#10;AQAABwMAAA4AAAAAAAAAAQAgAAAAPQ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678430" cy="2181860"/>
                  <wp:effectExtent l="0" t="0" r="7620" b="8890"/>
                  <wp:docPr id="40" name="图片 40" descr="d8fa237b61cc8c7ad3c16ac0ab6670bf_"/>
                  <wp:cNvGraphicFramePr/>
                  <a:graphic xmlns:a="http://schemas.openxmlformats.org/drawingml/2006/main">
                    <a:graphicData uri="http://schemas.openxmlformats.org/drawingml/2006/picture">
                      <pic:pic xmlns:pic="http://schemas.openxmlformats.org/drawingml/2006/picture">
                        <pic:nvPicPr>
                          <pic:cNvPr id="40" name="图片 40" descr="d8fa237b61cc8c7ad3c16ac0ab6670bf_"/>
                          <pic:cNvPicPr/>
                        </pic:nvPicPr>
                        <pic:blipFill>
                          <a:blip r:embed="rId20"/>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1815465</wp:posOffset>
                      </wp:positionH>
                      <wp:positionV relativeFrom="paragraph">
                        <wp:posOffset>1857375</wp:posOffset>
                      </wp:positionV>
                      <wp:extent cx="811530" cy="230505"/>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81153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2.95pt;margin-top:146.25pt;height:18.15pt;width:63.9pt;z-index:251665408;mso-width-relative:page;mso-height-relative:page;" filled="f" stroked="f" coordsize="21600,21600" o:gfxdata="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DjyQvfZAAAA&#10;CwEAAA8AAAAAAAAAAQAgAAAAOAAAAGRycy9kb3ducmV2LnhtbFBLAQIUABQAAAAIAIdO4kD35NaH&#10;lAEAAAcDAAAOAAAAAAAAAAEAIAAAAD4BAABkcnMvZTJvRG9jLnhtbFBLBQYAAAAABgAGAFkBAABE&#10;BQ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已建锅炉房</w:t>
            </w:r>
          </w:p>
        </w:tc>
        <w:tc>
          <w:tcPr>
            <w:tcW w:w="4390"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生物质锅炉（已建6t/h锅炉1台）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41" name="图片 41" descr="8c8a6be498c9a5a5930f47750a14df2d_"/>
                  <wp:cNvGraphicFramePr/>
                  <a:graphic xmlns:a="http://schemas.openxmlformats.org/drawingml/2006/main">
                    <a:graphicData uri="http://schemas.openxmlformats.org/drawingml/2006/picture">
                      <pic:pic xmlns:pic="http://schemas.openxmlformats.org/drawingml/2006/picture">
                        <pic:nvPicPr>
                          <pic:cNvPr id="41" name="图片 41" descr="8c8a6be498c9a5a5930f47750a14df2d_"/>
                          <pic:cNvPicPr/>
                        </pic:nvPicPr>
                        <pic:blipFill>
                          <a:blip r:embed="rId21"/>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2109470</wp:posOffset>
                      </wp:positionH>
                      <wp:positionV relativeFrom="paragraph">
                        <wp:posOffset>1950085</wp:posOffset>
                      </wp:positionV>
                      <wp:extent cx="810260" cy="230505"/>
                      <wp:effectExtent l="0" t="0" r="0" b="0"/>
                      <wp:wrapNone/>
                      <wp:docPr id="30" name="文本框 30"/>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6.1pt;margin-top:153.55pt;height:18.15pt;width:63.8pt;z-index:251666432;mso-width-relative:page;mso-height-relative:page;" filled="f" stroked="f" coordsize="21600,21600" o:gfxdata="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DgNNHx2AAAAAsB&#10;AAAPAAAAAAAAAAEAIAAAADgAAABkcnMvZG93bnJldi54bWxQSwECFAAUAAAACACHTuJA6wp8EJMB&#10;AAAHAwAADgAAAAAAAAABACAAAAA9AQAAZHJzL2Uyb0RvYy54bWxQSwUGAAAAAAYABgBZAQAAQgUA&#10;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center"/>
              <w:rPr>
                <w:rFonts w:hint="eastAsia" w:eastAsia="宋体"/>
                <w:color w:val="auto"/>
                <w:highlight w:val="none"/>
                <w:lang w:val="en-US" w:eastAsia="zh-CN"/>
              </w:rPr>
            </w:pPr>
            <w:r>
              <w:rPr>
                <w:color w:val="auto"/>
                <w:sz w:val="21"/>
                <w:highlight w:val="none"/>
              </w:rPr>
              <w:drawing>
                <wp:inline distT="0" distB="0" distL="114300" distR="114300">
                  <wp:extent cx="2678430" cy="2181860"/>
                  <wp:effectExtent l="0" t="0" r="7620" b="8890"/>
                  <wp:docPr id="42" name="图片 42" descr="8df54b9c7d80c959717359d0be92b93e_"/>
                  <wp:cNvGraphicFramePr/>
                  <a:graphic xmlns:a="http://schemas.openxmlformats.org/drawingml/2006/main">
                    <a:graphicData uri="http://schemas.openxmlformats.org/drawingml/2006/picture">
                      <pic:pic xmlns:pic="http://schemas.openxmlformats.org/drawingml/2006/picture">
                        <pic:nvPicPr>
                          <pic:cNvPr id="42" name="图片 42" descr="8df54b9c7d80c959717359d0be92b93e_"/>
                          <pic:cNvPicPr/>
                        </pic:nvPicPr>
                        <pic:blipFill>
                          <a:blip r:embed="rId22"/>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1873885</wp:posOffset>
                      </wp:positionH>
                      <wp:positionV relativeFrom="paragraph">
                        <wp:posOffset>1956435</wp:posOffset>
                      </wp:positionV>
                      <wp:extent cx="810260" cy="230505"/>
                      <wp:effectExtent l="0" t="0" r="0" b="0"/>
                      <wp:wrapNone/>
                      <wp:docPr id="32" name="文本框 32"/>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7.55pt;margin-top:154.05pt;height:18.15pt;width:63.8pt;z-index:251667456;mso-width-relative:page;mso-height-relative:page;" filled="f" stroked="f" coordsize="21600,21600" o:gfxdata="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BBhX2B1wAAAAsB&#10;AAAPAAAAAAAAAAEAIAAAADgAAABkcnMvZG93bnJldi54bWxQSwECFAAUAAAACACHTuJAoo6CapQB&#10;AAAHAwAADgAAAAAAAAABACAAAAA8AQAAZHJzL2Uyb0RvYy54bWxQSwUGAAAAAAYABgBZAQAAQgUA&#10;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生物质燃料装袋存放</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灰渣装袋堆存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43" name="图片 43" descr="8a57f3494e80fe2a717f4bab040e4870_"/>
                  <wp:cNvGraphicFramePr/>
                  <a:graphic xmlns:a="http://schemas.openxmlformats.org/drawingml/2006/main">
                    <a:graphicData uri="http://schemas.openxmlformats.org/drawingml/2006/picture">
                      <pic:pic xmlns:pic="http://schemas.openxmlformats.org/drawingml/2006/picture">
                        <pic:nvPicPr>
                          <pic:cNvPr id="43" name="图片 43" descr="8a57f3494e80fe2a717f4bab040e4870_"/>
                          <pic:cNvPicPr/>
                        </pic:nvPicPr>
                        <pic:blipFill>
                          <a:blip r:embed="rId23"/>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2103120</wp:posOffset>
                      </wp:positionH>
                      <wp:positionV relativeFrom="paragraph">
                        <wp:posOffset>1934845</wp:posOffset>
                      </wp:positionV>
                      <wp:extent cx="810260" cy="230505"/>
                      <wp:effectExtent l="0" t="0" r="0" b="0"/>
                      <wp:wrapNone/>
                      <wp:docPr id="34" name="文本框 34"/>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5.6pt;margin-top:152.35pt;height:18.15pt;width:63.8pt;z-index:251668480;mso-width-relative:page;mso-height-relative:page;" filled="f" stroked="f" coordsize="21600,21600" o:gfxdata="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ovXR89gAAAAL&#10;AQAADwAAAAAAAAABACAAAAA4AAAAZHJzL2Rvd25yZXYueG1sUEsBAhQAFAAAAAgAh07iQHkCgeWU&#10;AQAABwMAAA4AAAAAAAAAAQAgAAAAPQ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678430" cy="2181860"/>
                  <wp:effectExtent l="0" t="0" r="7620" b="8890"/>
                  <wp:docPr id="44" name="图片 44" descr="2e2289ffc625b35f4fd3ace400462e0a_"/>
                  <wp:cNvGraphicFramePr/>
                  <a:graphic xmlns:a="http://schemas.openxmlformats.org/drawingml/2006/main">
                    <a:graphicData uri="http://schemas.openxmlformats.org/drawingml/2006/picture">
                      <pic:pic xmlns:pic="http://schemas.openxmlformats.org/drawingml/2006/picture">
                        <pic:nvPicPr>
                          <pic:cNvPr id="44" name="图片 44" descr="2e2289ffc625b35f4fd3ace400462e0a_"/>
                          <pic:cNvPicPr/>
                        </pic:nvPicPr>
                        <pic:blipFill>
                          <a:blip r:embed="rId24"/>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1876425</wp:posOffset>
                      </wp:positionH>
                      <wp:positionV relativeFrom="paragraph">
                        <wp:posOffset>1955800</wp:posOffset>
                      </wp:positionV>
                      <wp:extent cx="810260" cy="230505"/>
                      <wp:effectExtent l="0" t="0" r="0" b="0"/>
                      <wp:wrapNone/>
                      <wp:docPr id="36" name="文本框 36"/>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7.75pt;margin-top:154pt;height:18.15pt;width:63.8pt;z-index:251669504;mso-width-relative:page;mso-height-relative:page;" filled="f" stroked="f" coordsize="21600,21600" o:gfxdata="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cqZfCdgAAAAL&#10;AQAADwAAAAAAAAABACAAAAA4AAAAZHJzL2Rvd25yZXYueG1sUEsBAhQAFAAAAAgAh07iQDCGf5+U&#10;AQAABwMAAA4AAAAAAAAAAQAgAAAAPQ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烟气在线监测房</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除尘器、烟气蒸发系统、45m烟囱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mc:AlternateContent>
                <mc:Choice Requires="wps">
                  <w:drawing>
                    <wp:anchor distT="0" distB="0" distL="114300" distR="114300" simplePos="0" relativeHeight="251676672" behindDoc="0" locked="0" layoutInCell="1" allowOverlap="1">
                      <wp:simplePos x="0" y="0"/>
                      <wp:positionH relativeFrom="column">
                        <wp:posOffset>2065020</wp:posOffset>
                      </wp:positionH>
                      <wp:positionV relativeFrom="paragraph">
                        <wp:posOffset>1930400</wp:posOffset>
                      </wp:positionV>
                      <wp:extent cx="810260" cy="230505"/>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2.6pt;margin-top:152pt;height:18.15pt;width:63.8pt;z-index:251676672;mso-width-relative:page;mso-height-relative:page;" filled="f" stroked="f" coordsize="21600,21600" o:gfxdata="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FgAAAGRycy9QSwECFAAUAAAACACHTuJAcZElKtcAAAALAQAA&#10;DwAAAAAAAAABACAAAAA4AAAAZHJzL2Rvd25yZXYueG1sUEsBAhQAFAAAAAgAh07iQLHVps6SAQAA&#10;BQMAAA4AAAAAAAAAAQAgAAAAPAEAAGRycy9lMm9Eb2MueG1sUEsFBgAAAAAGAAYAWQEAAEAFAAAA&#10;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r>
              <w:rPr>
                <w:rFonts w:hint="eastAsia"/>
                <w:color w:val="auto"/>
                <w:highlight w:val="none"/>
                <w:lang w:val="en-US" w:eastAsia="zh-CN"/>
              </w:rPr>
              <w:drawing>
                <wp:inline distT="0" distB="0" distL="114300" distR="114300">
                  <wp:extent cx="2912110" cy="2181860"/>
                  <wp:effectExtent l="0" t="0" r="2540" b="8890"/>
                  <wp:docPr id="64" name="图片 64" descr="11297bdbeec98f5a82635717a4495d30_"/>
                  <wp:cNvGraphicFramePr/>
                  <a:graphic xmlns:a="http://schemas.openxmlformats.org/drawingml/2006/main">
                    <a:graphicData uri="http://schemas.openxmlformats.org/drawingml/2006/picture">
                      <pic:pic xmlns:pic="http://schemas.openxmlformats.org/drawingml/2006/picture">
                        <pic:nvPicPr>
                          <pic:cNvPr id="64" name="图片 64" descr="11297bdbeec98f5a82635717a4495d30_"/>
                          <pic:cNvPicPr/>
                        </pic:nvPicPr>
                        <pic:blipFill>
                          <a:blip r:embed="rId25"/>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center"/>
              <w:rPr>
                <w:rFonts w:hint="eastAsia"/>
                <w:color w:val="auto"/>
                <w:highlight w:val="none"/>
                <w:lang w:val="en-US" w:eastAsia="zh-CN"/>
              </w:rPr>
            </w:pPr>
            <w:r>
              <w:rPr>
                <w:color w:val="auto"/>
                <w:sz w:val="21"/>
                <w:highlight w:val="none"/>
              </w:rPr>
              <mc:AlternateContent>
                <mc:Choice Requires="wps">
                  <w:drawing>
                    <wp:anchor distT="0" distB="0" distL="114300" distR="114300" simplePos="0" relativeHeight="251677696" behindDoc="0" locked="0" layoutInCell="1" allowOverlap="1">
                      <wp:simplePos x="0" y="0"/>
                      <wp:positionH relativeFrom="column">
                        <wp:posOffset>1697990</wp:posOffset>
                      </wp:positionH>
                      <wp:positionV relativeFrom="paragraph">
                        <wp:posOffset>1920875</wp:posOffset>
                      </wp:positionV>
                      <wp:extent cx="810260" cy="230505"/>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33.7pt;margin-top:151.25pt;height:18.15pt;width:63.8pt;z-index:251677696;mso-width-relative:page;mso-height-relative:page;" filled="f" stroked="f" coordsize="21600,21600" o:gfxdata="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GCe/b9kAAAAL&#10;AQAADwAAAAAAAAABACAAAAA4AAAAZHJzL2Rvd25yZXYueG1sUEsBAhQAFAAAAAgAh07iQHt4Q2GT&#10;AQAABQMAAA4AAAAAAAAAAQAgAAAAPg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r>
              <w:rPr>
                <w:rFonts w:hint="eastAsia"/>
                <w:color w:val="auto"/>
                <w:highlight w:val="none"/>
                <w:lang w:val="en-US" w:eastAsia="zh-CN"/>
              </w:rPr>
              <w:drawing>
                <wp:inline distT="0" distB="0" distL="114300" distR="114300">
                  <wp:extent cx="2678430" cy="2181860"/>
                  <wp:effectExtent l="0" t="0" r="7620" b="8890"/>
                  <wp:docPr id="65" name="图片 65" descr="ae65213d49293ca7b3c2b763beefd42e_"/>
                  <wp:cNvGraphicFramePr/>
                  <a:graphic xmlns:a="http://schemas.openxmlformats.org/drawingml/2006/main">
                    <a:graphicData uri="http://schemas.openxmlformats.org/drawingml/2006/picture">
                      <pic:pic xmlns:pic="http://schemas.openxmlformats.org/drawingml/2006/picture">
                        <pic:nvPicPr>
                          <pic:cNvPr id="65" name="图片 65" descr="ae65213d49293ca7b3c2b763beefd42e_"/>
                          <pic:cNvPicPr/>
                        </pic:nvPicPr>
                        <pic:blipFill>
                          <a:blip r:embed="rId26"/>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rFonts w:hint="eastAsia"/>
                <w:color w:val="auto"/>
                <w:highlight w:val="none"/>
                <w:lang w:val="en-US" w:eastAsia="zh-CN"/>
              </w:rPr>
              <w:t>烟气蒸发系统-储水池</w:t>
            </w:r>
          </w:p>
        </w:tc>
        <w:tc>
          <w:tcPr>
            <w:tcW w:w="4390" w:type="dxa"/>
            <w:noWrap w:val="0"/>
            <w:vAlign w:val="top"/>
          </w:tcPr>
          <w:p>
            <w:pPr>
              <w:ind w:firstLine="0" w:firstLineChars="0"/>
              <w:jc w:val="center"/>
              <w:rPr>
                <w:rFonts w:hint="eastAsia"/>
                <w:color w:val="auto"/>
                <w:highlight w:val="none"/>
                <w:lang w:val="en-US" w:eastAsia="zh-CN"/>
              </w:rPr>
            </w:pPr>
            <w:r>
              <w:rPr>
                <w:rFonts w:hint="eastAsia"/>
                <w:color w:val="auto"/>
                <w:highlight w:val="none"/>
                <w:lang w:val="en-US" w:eastAsia="zh-CN"/>
              </w:rPr>
              <w:t>烟气蒸发系统-储水池</w:t>
            </w:r>
          </w:p>
        </w:tc>
      </w:tr>
    </w:tbl>
    <w:p>
      <w:pPr>
        <w:pStyle w:val="16"/>
        <w:ind w:left="0" w:leftChars="0" w:firstLine="0" w:firstLineChars="0"/>
        <w:rPr>
          <w:rFonts w:hint="default"/>
          <w:color w:val="auto"/>
          <w:highlight w:val="none"/>
        </w:rPr>
      </w:pPr>
    </w:p>
    <w:p>
      <w:pPr>
        <w:pStyle w:val="16"/>
        <w:ind w:left="0" w:leftChars="0" w:firstLine="0" w:firstLineChars="0"/>
        <w:rPr>
          <w:rFonts w:hint="default"/>
          <w:color w:val="auto"/>
          <w:highlight w:val="none"/>
        </w:rPr>
      </w:pPr>
    </w:p>
    <w:p>
      <w:pPr>
        <w:pStyle w:val="16"/>
        <w:ind w:left="0" w:leftChars="0" w:firstLine="0" w:firstLineChars="0"/>
        <w:rPr>
          <w:rFonts w:hint="default"/>
          <w:color w:val="auto"/>
          <w:highlight w:val="none"/>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漓源供热点</w:t>
      </w:r>
      <w:r>
        <w:rPr>
          <w:rFonts w:hint="eastAsia" w:ascii="宋体" w:hAnsi="宋体" w:eastAsia="宋体" w:cs="宋体"/>
          <w:b/>
          <w:bCs/>
          <w:color w:val="auto"/>
          <w:sz w:val="28"/>
          <w:szCs w:val="28"/>
          <w:highlight w:val="none"/>
          <w:lang w:val="en-US" w:eastAsia="zh-CN"/>
        </w:rPr>
        <w:t>现场图片</w:t>
      </w:r>
    </w:p>
    <w:tbl>
      <w:tblPr>
        <w:tblStyle w:val="29"/>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3"/>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912110" cy="2181860"/>
                  <wp:effectExtent l="0" t="0" r="2540" b="8890"/>
                  <wp:docPr id="57" name="图片 57" descr="6d76177eecc5e7afeca120f5586ea1f1_"/>
                  <wp:cNvGraphicFramePr/>
                  <a:graphic xmlns:a="http://schemas.openxmlformats.org/drawingml/2006/main">
                    <a:graphicData uri="http://schemas.openxmlformats.org/drawingml/2006/picture">
                      <pic:pic xmlns:pic="http://schemas.openxmlformats.org/drawingml/2006/picture">
                        <pic:nvPicPr>
                          <pic:cNvPr id="57" name="图片 57" descr="6d76177eecc5e7afeca120f5586ea1f1_"/>
                          <pic:cNvPicPr/>
                        </pic:nvPicPr>
                        <pic:blipFill>
                          <a:blip r:embed="rId27"/>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2147570</wp:posOffset>
                      </wp:positionH>
                      <wp:positionV relativeFrom="paragraph">
                        <wp:posOffset>1936115</wp:posOffset>
                      </wp:positionV>
                      <wp:extent cx="837565" cy="230505"/>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837565"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9.1pt;margin-top:152.45pt;height:18.15pt;width:65.95pt;z-index:251670528;mso-width-relative:page;mso-height-relative:page;" filled="f" stroked="f" coordsize="21600,21600" o:gfxdata="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GVqVaHYAAAA&#10;CwEAAA8AAAAAAAAAAQAgAAAAOAAAAGRycy9kb3ducmV2LnhtbFBLAQIUABQAAAAIAIdO4kBSflMh&#10;lQEAAAcDAAAOAAAAAAAAAAEAIAAAAD0BAABkcnMvZTJvRG9jLnhtbFBLBQYAAAAABgAGAFkBAABE&#10;BQ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678430" cy="2181860"/>
                  <wp:effectExtent l="0" t="0" r="7620" b="8890"/>
                  <wp:docPr id="60" name="图片 60" descr="7c85f84a47f20d278c4380c7e52d3dd0_"/>
                  <wp:cNvGraphicFramePr/>
                  <a:graphic xmlns:a="http://schemas.openxmlformats.org/drawingml/2006/main">
                    <a:graphicData uri="http://schemas.openxmlformats.org/drawingml/2006/picture">
                      <pic:pic xmlns:pic="http://schemas.openxmlformats.org/drawingml/2006/picture">
                        <pic:nvPicPr>
                          <pic:cNvPr id="60" name="图片 60" descr="7c85f84a47f20d278c4380c7e52d3dd0_"/>
                          <pic:cNvPicPr/>
                        </pic:nvPicPr>
                        <pic:blipFill>
                          <a:blip r:embed="rId28"/>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1815465</wp:posOffset>
                      </wp:positionH>
                      <wp:positionV relativeFrom="paragraph">
                        <wp:posOffset>1857375</wp:posOffset>
                      </wp:positionV>
                      <wp:extent cx="811530" cy="230505"/>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81153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2.95pt;margin-top:146.25pt;height:18.15pt;width:63.9pt;z-index:251671552;mso-width-relative:page;mso-height-relative:page;" filled="f" stroked="f" coordsize="21600,21600" o:gfxdata="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DjyQvfZAAAA&#10;CwEAAA8AAAAAAAAAAQAgAAAAOAAAAGRycy9kb3ducmV2LnhtbFBLAQIUABQAAAAIAIdO4kCdthf5&#10;lAEAAAcDAAAOAAAAAAAAAAEAIAAAAD4BAABkcnMvZTJvRG9jLnhtbFBLBQYAAAAABgAGAFkBAABE&#10;BQ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生物质锅炉（已建4t/h锅炉1台）</w:t>
            </w:r>
          </w:p>
        </w:tc>
        <w:tc>
          <w:tcPr>
            <w:tcW w:w="4390" w:type="dxa"/>
            <w:noWrap w:val="0"/>
            <w:vAlign w:val="top"/>
          </w:tcPr>
          <w:p>
            <w:pPr>
              <w:ind w:firstLine="0" w:firstLineChars="0"/>
              <w:jc w:val="center"/>
              <w:rPr>
                <w:rFonts w:hint="default" w:eastAsia="宋体"/>
                <w:color w:val="auto"/>
                <w:sz w:val="21"/>
                <w:highlight w:val="none"/>
                <w:lang w:val="en-US" w:eastAsia="zh-CN"/>
              </w:rPr>
            </w:pPr>
            <w:r>
              <w:rPr>
                <w:rFonts w:hint="eastAsia"/>
                <w:color w:val="auto"/>
                <w:highlight w:val="none"/>
                <w:lang w:val="en-US" w:eastAsia="zh-CN"/>
              </w:rPr>
              <w:t>灰渣装袋堆存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61" name="图片 61" descr="73bec565aa1368f652ab953b38a617be_"/>
                  <wp:cNvGraphicFramePr/>
                  <a:graphic xmlns:a="http://schemas.openxmlformats.org/drawingml/2006/main">
                    <a:graphicData uri="http://schemas.openxmlformats.org/drawingml/2006/picture">
                      <pic:pic xmlns:pic="http://schemas.openxmlformats.org/drawingml/2006/picture">
                        <pic:nvPicPr>
                          <pic:cNvPr id="61" name="图片 61" descr="73bec565aa1368f652ab953b38a617be_"/>
                          <pic:cNvPicPr/>
                        </pic:nvPicPr>
                        <pic:blipFill>
                          <a:blip r:embed="rId29"/>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2576" behindDoc="0" locked="0" layoutInCell="1" allowOverlap="1">
                      <wp:simplePos x="0" y="0"/>
                      <wp:positionH relativeFrom="column">
                        <wp:posOffset>2109470</wp:posOffset>
                      </wp:positionH>
                      <wp:positionV relativeFrom="paragraph">
                        <wp:posOffset>1950085</wp:posOffset>
                      </wp:positionV>
                      <wp:extent cx="810260" cy="230505"/>
                      <wp:effectExtent l="0" t="0" r="0" b="0"/>
                      <wp:wrapNone/>
                      <wp:docPr id="50" name="文本框 50"/>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6.1pt;margin-top:153.55pt;height:18.15pt;width:63.8pt;z-index:251672576;mso-width-relative:page;mso-height-relative:page;" filled="f" stroked="f" coordsize="21600,21600" o:gfxdata="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DgNNHx2AAAAAsB&#10;AAAPAAAAAAAAAAEAIAAAADgAAABkcnMvZG93bnJldi54bWxQSwECFAAUAAAACACHTuJAOwLyAZMB&#10;AAAHAwAADgAAAAAAAAABACAAAAA9AQAAZHJzL2Uyb0RvYy54bWxQSwUGAAAAAAYABgBZAQAAQgUA&#10;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center"/>
              <w:rPr>
                <w:rFonts w:hint="eastAsia" w:eastAsia="宋体"/>
                <w:color w:val="auto"/>
                <w:highlight w:val="none"/>
                <w:lang w:val="en-US" w:eastAsia="zh-CN"/>
              </w:rPr>
            </w:pPr>
            <w:r>
              <w:rPr>
                <w:color w:val="auto"/>
                <w:sz w:val="21"/>
                <w:highlight w:val="none"/>
              </w:rPr>
              <w:drawing>
                <wp:inline distT="0" distB="0" distL="114300" distR="114300">
                  <wp:extent cx="2912110" cy="2181860"/>
                  <wp:effectExtent l="0" t="0" r="2540" b="8890"/>
                  <wp:docPr id="59" name="图片 59" descr="c1c8b05efd12c232b20269ab4ec3a091_"/>
                  <wp:cNvGraphicFramePr/>
                  <a:graphic xmlns:a="http://schemas.openxmlformats.org/drawingml/2006/main">
                    <a:graphicData uri="http://schemas.openxmlformats.org/drawingml/2006/picture">
                      <pic:pic xmlns:pic="http://schemas.openxmlformats.org/drawingml/2006/picture">
                        <pic:nvPicPr>
                          <pic:cNvPr id="59" name="图片 59" descr="c1c8b05efd12c232b20269ab4ec3a091_"/>
                          <pic:cNvPicPr/>
                        </pic:nvPicPr>
                        <pic:blipFill>
                          <a:blip r:embed="rId30"/>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3600" behindDoc="0" locked="0" layoutInCell="1" allowOverlap="1">
                      <wp:simplePos x="0" y="0"/>
                      <wp:positionH relativeFrom="column">
                        <wp:posOffset>1873885</wp:posOffset>
                      </wp:positionH>
                      <wp:positionV relativeFrom="paragraph">
                        <wp:posOffset>1956435</wp:posOffset>
                      </wp:positionV>
                      <wp:extent cx="810260" cy="230505"/>
                      <wp:effectExtent l="0" t="0" r="0" b="0"/>
                      <wp:wrapNone/>
                      <wp:docPr id="52" name="文本框 52"/>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7.55pt;margin-top:154.05pt;height:18.15pt;width:63.8pt;z-index:251673600;mso-width-relative:page;mso-height-relative:page;" filled="f" stroked="f" coordsize="21600,21600" o:gfxdata="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BYAAABkcnMvUEsBAhQAFAAAAAgAh07iQEGFfYHXAAAACwEA&#10;AA8AAAAAAAAAAQAgAAAAOAAAAGRycy9kb3ducmV2LnhtbFBLAQIUABQAAAAIAIdO4kByhgx7kwEA&#10;AAcDAAAOAAAAAAAAAAEAIAAAADwBAABkcnMvZTJvRG9jLnhtbFBLBQYAAAAABgAGAFkBAABBBQAA&#10;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危险废物贮存库内部</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烟气在线监测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63" name="图片 63" descr="19cca9420b2fd6fa90b4824423ab3dd"/>
                  <wp:cNvGraphicFramePr/>
                  <a:graphic xmlns:a="http://schemas.openxmlformats.org/drawingml/2006/main">
                    <a:graphicData uri="http://schemas.openxmlformats.org/drawingml/2006/picture">
                      <pic:pic xmlns:pic="http://schemas.openxmlformats.org/drawingml/2006/picture">
                        <pic:nvPicPr>
                          <pic:cNvPr id="63" name="图片 63" descr="19cca9420b2fd6fa90b4824423ab3dd"/>
                          <pic:cNvPicPr/>
                        </pic:nvPicPr>
                        <pic:blipFill>
                          <a:blip r:embed="rId31"/>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4624" behindDoc="0" locked="0" layoutInCell="1" allowOverlap="1">
                      <wp:simplePos x="0" y="0"/>
                      <wp:positionH relativeFrom="column">
                        <wp:posOffset>2103120</wp:posOffset>
                      </wp:positionH>
                      <wp:positionV relativeFrom="paragraph">
                        <wp:posOffset>1934845</wp:posOffset>
                      </wp:positionV>
                      <wp:extent cx="810260" cy="230505"/>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5.6pt;margin-top:152.35pt;height:18.15pt;width:63.8pt;z-index:251674624;mso-width-relative:page;mso-height-relative:page;" filled="f" stroked="f" coordsize="21600,21600" o:gfxdata="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ovXR89gAAAAL&#10;AQAADwAAAAAAAAABACAAAAA4AAAAZHJzL2Rvd25yZXYueG1sUEsBAhQAFAAAAAgAh07iQKkKD/SU&#10;AQAABwMAAA4AAAAAAAAAAQAgAAAAPQ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678430" cy="2181860"/>
                  <wp:effectExtent l="0" t="0" r="7620" b="8890"/>
                  <wp:docPr id="58" name="图片 58" descr="6d30233f1c95885560cda028deb98d3d_"/>
                  <wp:cNvGraphicFramePr/>
                  <a:graphic xmlns:a="http://schemas.openxmlformats.org/drawingml/2006/main">
                    <a:graphicData uri="http://schemas.openxmlformats.org/drawingml/2006/picture">
                      <pic:pic xmlns:pic="http://schemas.openxmlformats.org/drawingml/2006/picture">
                        <pic:nvPicPr>
                          <pic:cNvPr id="58" name="图片 58" descr="6d30233f1c95885560cda028deb98d3d_"/>
                          <pic:cNvPicPr/>
                        </pic:nvPicPr>
                        <pic:blipFill>
                          <a:blip r:embed="rId32"/>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1876425</wp:posOffset>
                      </wp:positionH>
                      <wp:positionV relativeFrom="paragraph">
                        <wp:posOffset>1955800</wp:posOffset>
                      </wp:positionV>
                      <wp:extent cx="810260" cy="230505"/>
                      <wp:effectExtent l="0" t="0" r="0" b="0"/>
                      <wp:wrapNone/>
                      <wp:docPr id="56" name="文本框 56"/>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7.75pt;margin-top:154pt;height:18.15pt;width:63.8pt;z-index:251675648;mso-width-relative:page;mso-height-relative:page;" filled="f" stroked="f" coordsize="21600,21600" o:gfxdata="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Bypl8J2AAAAAsB&#10;AAAPAAAAAAAAAAEAIAAAADgAAABkcnMvZG93bnJldi54bWxQSwECFAAUAAAACACHTuJA4I7xjpMB&#10;AAAHAwAADgAAAAAAAAABACAAAAA9AQAAZHJzL2Uyb0RvYy54bWxQSwUGAAAAAAYABgBZAQAAQgUA&#10;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烟气蒸发系统-储水池</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除尘系统</w:t>
            </w:r>
          </w:p>
        </w:tc>
      </w:tr>
    </w:tbl>
    <w:p>
      <w:pPr>
        <w:pStyle w:val="16"/>
        <w:ind w:left="0" w:leftChars="0" w:firstLine="0" w:firstLineChars="0"/>
        <w:rPr>
          <w:rFonts w:hint="default"/>
          <w:color w:val="auto"/>
          <w:highlight w:val="none"/>
        </w:rPr>
      </w:pPr>
    </w:p>
    <w:p>
      <w:pPr>
        <w:pStyle w:val="16"/>
        <w:ind w:left="0" w:leftChars="0" w:firstLine="0" w:firstLineChars="0"/>
        <w:rPr>
          <w:rFonts w:hint="default"/>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adjustRightInd w:val="0"/>
        <w:snapToGrid w:val="0"/>
        <w:spacing w:line="288"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目</w:t>
      </w:r>
      <w:r>
        <w:rPr>
          <w:rFonts w:hint="eastAsia" w:ascii="宋体" w:hAnsi="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录</w:t>
      </w:r>
    </w:p>
    <w:p>
      <w:pPr>
        <w:pStyle w:val="20"/>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
          <w:bCs/>
          <w:color w:val="auto"/>
          <w:sz w:val="24"/>
          <w:szCs w:val="24"/>
          <w:highlight w:val="none"/>
          <w:lang w:val="en-US" w:eastAsia="zh-CN"/>
        </w:rPr>
        <w:fldChar w:fldCharType="begin"/>
      </w:r>
      <w:r>
        <w:rPr>
          <w:rFonts w:hint="default" w:ascii="Times New Roman" w:hAnsi="Times New Roman" w:eastAsia="宋体" w:cs="Times New Roman"/>
          <w:b/>
          <w:bCs/>
          <w:color w:val="auto"/>
          <w:sz w:val="24"/>
          <w:szCs w:val="24"/>
          <w:highlight w:val="none"/>
          <w:lang w:val="en-US" w:eastAsia="zh-CN"/>
        </w:rPr>
        <w:instrText xml:space="preserve">TOC \o "1-1" \h \u </w:instrText>
      </w:r>
      <w:r>
        <w:rPr>
          <w:rFonts w:hint="default" w:ascii="Times New Roman" w:hAnsi="Times New Roman" w:eastAsia="宋体" w:cs="Times New Roman"/>
          <w:b/>
          <w:bCs/>
          <w:color w:val="auto"/>
          <w:sz w:val="24"/>
          <w:szCs w:val="24"/>
          <w:highlight w:val="none"/>
          <w:lang w:val="en-US" w:eastAsia="zh-CN"/>
        </w:rPr>
        <w:fldChar w:fldCharType="separate"/>
      </w: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_Toc17321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olor w:val="auto"/>
          <w:sz w:val="28"/>
          <w:highlight w:val="none"/>
        </w:rPr>
        <w:t>一、建设项目基本情况</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_Toc17321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1</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0"/>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_Toc25608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color w:val="auto"/>
          <w:sz w:val="28"/>
          <w:highlight w:val="none"/>
        </w:rPr>
        <w:t>二、建设项目工程分析</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_Toc25608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16</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0"/>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_Toc24027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color w:val="auto"/>
          <w:sz w:val="28"/>
          <w:highlight w:val="none"/>
        </w:rPr>
        <w:t>三、区域环境质量现状、环境保护目标及评价标准</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_Toc24027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35</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0"/>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_Toc10754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bCs/>
          <w:color w:val="auto"/>
          <w:kern w:val="44"/>
          <w:sz w:val="28"/>
          <w:szCs w:val="30"/>
          <w:highlight w:val="none"/>
          <w:lang w:val="en-US" w:eastAsia="zh-CN" w:bidi="ar-SA"/>
        </w:rPr>
        <w:t>四、主要环境影响和保护措施</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_Toc10754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41</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0"/>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_Toc31068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bCs/>
          <w:color w:val="auto"/>
          <w:kern w:val="44"/>
          <w:sz w:val="28"/>
          <w:szCs w:val="30"/>
          <w:highlight w:val="none"/>
          <w:lang w:val="en-US" w:eastAsia="zh-CN" w:bidi="ar-SA"/>
        </w:rPr>
        <w:t>五、环境保护措施监督检查清单</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_Toc31068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64</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0"/>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_Toc3537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bCs/>
          <w:color w:val="auto"/>
          <w:kern w:val="44"/>
          <w:sz w:val="28"/>
          <w:szCs w:val="30"/>
          <w:highlight w:val="none"/>
          <w:lang w:val="en-US" w:eastAsia="zh-CN" w:bidi="ar-SA"/>
        </w:rPr>
        <w:t>六、结论</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_Toc3537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69</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0"/>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_Toc12055 </w:instrText>
      </w:r>
      <w:r>
        <w:rPr>
          <w:rFonts w:hint="default" w:ascii="Times New Roman" w:hAnsi="Times New Roman" w:eastAsia="宋体" w:cs="Times New Roman"/>
          <w:bCs/>
          <w:color w:val="auto"/>
          <w:sz w:val="28"/>
          <w:szCs w:val="24"/>
          <w:highlight w:val="none"/>
          <w:lang w:val="en-US" w:eastAsia="zh-CN"/>
        </w:rPr>
        <w:fldChar w:fldCharType="separate"/>
      </w:r>
      <w:r>
        <w:rPr>
          <w:rFonts w:hint="eastAsia" w:ascii="Times New Roman" w:hAnsi="Times New Roman" w:eastAsia="宋体"/>
          <w:snapToGrid w:val="0"/>
          <w:color w:val="auto"/>
          <w:sz w:val="28"/>
          <w:szCs w:val="32"/>
          <w:highlight w:val="none"/>
        </w:rPr>
        <w:t>附表</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_Toc12055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70</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0"/>
        <w:tabs>
          <w:tab w:val="right" w:leader="dot" w:pos="8844"/>
        </w:tabs>
        <w:rPr>
          <w:color w:val="auto"/>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_Toc15558 </w:instrText>
      </w:r>
      <w:r>
        <w:rPr>
          <w:rFonts w:hint="default" w:ascii="Times New Roman" w:hAnsi="Times New Roman" w:eastAsia="宋体" w:cs="Times New Roman"/>
          <w:bCs/>
          <w:color w:val="auto"/>
          <w:sz w:val="28"/>
          <w:szCs w:val="24"/>
          <w:highlight w:val="none"/>
          <w:lang w:val="en-US" w:eastAsia="zh-CN"/>
        </w:rPr>
        <w:fldChar w:fldCharType="separate"/>
      </w:r>
      <w:r>
        <w:rPr>
          <w:rFonts w:hint="eastAsia" w:ascii="Times New Roman" w:hAnsi="Times New Roman" w:eastAsia="宋体"/>
          <w:snapToGrid w:val="0"/>
          <w:color w:val="auto"/>
          <w:sz w:val="28"/>
          <w:szCs w:val="38"/>
          <w:highlight w:val="none"/>
        </w:rPr>
        <w:t>建设项目污染物排放量汇总表</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_Toc15558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70</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Cs w:val="24"/>
          <w:highlight w:val="none"/>
          <w:lang w:val="en-US"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12" w:charSpace="0"/>
        </w:sectPr>
      </w:pPr>
      <w:r>
        <w:rPr>
          <w:rFonts w:hint="default" w:ascii="Times New Roman" w:hAnsi="Times New Roman" w:eastAsia="宋体" w:cs="Times New Roman"/>
          <w:bCs/>
          <w:color w:val="auto"/>
          <w:szCs w:val="24"/>
          <w:highlight w:val="none"/>
          <w:lang w:val="en-US" w:eastAsia="zh-CN"/>
        </w:rPr>
        <w:fldChar w:fldCharType="end"/>
      </w:r>
    </w:p>
    <w:p>
      <w:pPr>
        <w:pStyle w:val="5"/>
        <w:rPr>
          <w:rFonts w:hint="default"/>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1" w:firstLineChars="200"/>
        <w:textAlignment w:val="auto"/>
        <w:rPr>
          <w:rFonts w:hint="eastAsia" w:ascii="Times New Roman" w:hAnsi="Times New Roman" w:eastAsia="宋体"/>
          <w:b w:val="0"/>
          <w:bCs w:val="0"/>
          <w:color w:val="auto"/>
          <w:sz w:val="24"/>
          <w:szCs w:val="24"/>
          <w:highlight w:val="none"/>
          <w:lang w:eastAsia="zh-CN"/>
        </w:rPr>
      </w:pPr>
      <w:r>
        <w:rPr>
          <w:rFonts w:hint="default" w:ascii="Times New Roman" w:hAnsi="Times New Roman" w:eastAsia="宋体"/>
          <w:b/>
          <w:bCs/>
          <w:color w:val="auto"/>
          <w:sz w:val="24"/>
          <w:szCs w:val="24"/>
          <w:highlight w:val="none"/>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附件1</w:t>
      </w:r>
      <w:r>
        <w:rPr>
          <w:rFonts w:hint="default" w:ascii="Times New Roman" w:hAnsi="Times New Roman" w:eastAsia="宋体"/>
          <w:b w:val="0"/>
          <w:bCs w:val="0"/>
          <w:color w:val="auto"/>
          <w:sz w:val="24"/>
          <w:szCs w:val="24"/>
          <w:highlight w:val="none"/>
          <w:lang w:val="en-US" w:eastAsia="zh-CN"/>
        </w:rPr>
        <w:t>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附件2投资项目备案证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附件</w:t>
      </w:r>
      <w:r>
        <w:rPr>
          <w:rFonts w:hint="eastAsia"/>
          <w:b w:val="0"/>
          <w:bCs w:val="0"/>
          <w:color w:val="auto"/>
          <w:sz w:val="24"/>
          <w:szCs w:val="24"/>
          <w:highlight w:val="none"/>
          <w:lang w:val="en-US" w:eastAsia="zh-CN"/>
        </w:rPr>
        <w:t>3营业执照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附件</w:t>
      </w:r>
      <w:r>
        <w:rPr>
          <w:rFonts w:hint="eastAsia"/>
          <w:b w:val="0"/>
          <w:bCs w:val="0"/>
          <w:color w:val="auto"/>
          <w:sz w:val="24"/>
          <w:szCs w:val="24"/>
          <w:highlight w:val="none"/>
          <w:lang w:val="en-US" w:eastAsia="zh-CN"/>
        </w:rPr>
        <w:t>4原环评批复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附件</w:t>
      </w:r>
      <w:r>
        <w:rPr>
          <w:rFonts w:hint="eastAsia"/>
          <w:b w:val="0"/>
          <w:bCs w:val="0"/>
          <w:color w:val="auto"/>
          <w:sz w:val="24"/>
          <w:szCs w:val="24"/>
          <w:highlight w:val="none"/>
          <w:lang w:val="en-US" w:eastAsia="zh-CN"/>
        </w:rPr>
        <w:t>5</w:t>
      </w:r>
      <w:r>
        <w:rPr>
          <w:rFonts w:hint="eastAsia" w:eastAsia="宋体"/>
          <w:b w:val="0"/>
          <w:bCs w:val="0"/>
          <w:color w:val="auto"/>
          <w:sz w:val="24"/>
          <w:szCs w:val="24"/>
          <w:highlight w:val="none"/>
          <w:lang w:val="en-US" w:eastAsia="zh-CN"/>
        </w:rPr>
        <w:t>宜良工业园区总体规划（2016-2030）环境影响报告书审查意见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附件</w:t>
      </w:r>
      <w:r>
        <w:rPr>
          <w:rFonts w:hint="eastAsia"/>
          <w:b w:val="0"/>
          <w:bCs w:val="0"/>
          <w:color w:val="auto"/>
          <w:sz w:val="24"/>
          <w:szCs w:val="24"/>
          <w:highlight w:val="none"/>
          <w:lang w:val="en-US" w:eastAsia="zh-CN"/>
        </w:rPr>
        <w:t>6项目与宜良工业园区管委会签订</w:t>
      </w:r>
      <w:r>
        <w:rPr>
          <w:rFonts w:hint="eastAsia" w:eastAsia="宋体"/>
          <w:b w:val="0"/>
          <w:bCs w:val="0"/>
          <w:color w:val="auto"/>
          <w:sz w:val="24"/>
          <w:szCs w:val="24"/>
          <w:highlight w:val="none"/>
          <w:lang w:val="en-US" w:eastAsia="zh-CN"/>
        </w:rPr>
        <w:t>合作框架协议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附件7项目建设运营授权书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附件</w:t>
      </w:r>
      <w:r>
        <w:rPr>
          <w:rFonts w:hint="eastAsia"/>
          <w:b w:val="0"/>
          <w:bCs w:val="0"/>
          <w:color w:val="auto"/>
          <w:sz w:val="24"/>
          <w:szCs w:val="24"/>
          <w:highlight w:val="none"/>
          <w:lang w:val="en-US" w:eastAsia="zh-CN"/>
        </w:rPr>
        <w:t>8场地</w:t>
      </w:r>
      <w:r>
        <w:rPr>
          <w:rFonts w:hint="eastAsia" w:ascii="Times New Roman" w:hAnsi="Times New Roman" w:eastAsia="宋体"/>
          <w:b w:val="0"/>
          <w:bCs w:val="0"/>
          <w:color w:val="auto"/>
          <w:sz w:val="24"/>
          <w:szCs w:val="24"/>
          <w:highlight w:val="none"/>
          <w:lang w:val="en-US" w:eastAsia="zh-CN"/>
        </w:rPr>
        <w:t>租赁</w:t>
      </w:r>
      <w:r>
        <w:rPr>
          <w:rFonts w:hint="eastAsia"/>
          <w:b w:val="0"/>
          <w:bCs w:val="0"/>
          <w:color w:val="auto"/>
          <w:sz w:val="24"/>
          <w:szCs w:val="24"/>
          <w:highlight w:val="none"/>
          <w:lang w:val="en-US" w:eastAsia="zh-CN"/>
        </w:rPr>
        <w:t>合同、厂房使用协议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sz w:val="24"/>
          <w:szCs w:val="24"/>
          <w:highlight w:val="none"/>
          <w:lang w:val="en-US" w:eastAsia="zh-CN"/>
        </w:rPr>
      </w:pPr>
      <w:r>
        <w:rPr>
          <w:rFonts w:hint="default" w:cs="Times New Roman"/>
          <w:b w:val="0"/>
          <w:bCs w:val="0"/>
          <w:color w:val="auto"/>
          <w:sz w:val="24"/>
          <w:szCs w:val="24"/>
          <w:highlight w:val="none"/>
          <w:lang w:val="en-US" w:eastAsia="zh-CN"/>
        </w:rPr>
        <w:t>附件</w:t>
      </w:r>
      <w:r>
        <w:rPr>
          <w:rFonts w:hint="eastAsia" w:cs="Times New Roman"/>
          <w:b w:val="0"/>
          <w:bCs w:val="0"/>
          <w:color w:val="auto"/>
          <w:sz w:val="24"/>
          <w:szCs w:val="24"/>
          <w:highlight w:val="none"/>
          <w:lang w:val="en-US" w:eastAsia="zh-CN"/>
        </w:rPr>
        <w:t>9</w:t>
      </w:r>
      <w:r>
        <w:rPr>
          <w:rFonts w:hint="default" w:cs="Times New Roman"/>
          <w:b w:val="0"/>
          <w:bCs w:val="0"/>
          <w:color w:val="auto"/>
          <w:sz w:val="24"/>
          <w:szCs w:val="24"/>
          <w:highlight w:val="none"/>
          <w:lang w:val="en-US" w:eastAsia="zh-CN"/>
        </w:rPr>
        <w:t>生物质</w:t>
      </w:r>
      <w:r>
        <w:rPr>
          <w:rFonts w:hint="eastAsia" w:cs="Times New Roman"/>
          <w:b w:val="0"/>
          <w:bCs w:val="0"/>
          <w:color w:val="auto"/>
          <w:sz w:val="24"/>
          <w:szCs w:val="24"/>
          <w:highlight w:val="none"/>
          <w:lang w:val="en-US" w:eastAsia="zh-CN"/>
        </w:rPr>
        <w:t>燃料</w:t>
      </w:r>
      <w:r>
        <w:rPr>
          <w:rFonts w:hint="default" w:cs="Times New Roman"/>
          <w:b w:val="0"/>
          <w:bCs w:val="0"/>
          <w:color w:val="auto"/>
          <w:sz w:val="24"/>
          <w:szCs w:val="24"/>
          <w:highlight w:val="none"/>
          <w:lang w:val="en-US" w:eastAsia="zh-CN"/>
        </w:rPr>
        <w:t>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附件10昆明漓源饲料有限公司微生态禽畜配合饲料生产线项目一期竣工环保验收批复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附件11昆明漓源饲料有限公司2021年自行检测报告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附件12昆明特驱饲料有限公司饲料加工一期项目竣工环境保护验收批复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附件13昆明特驱饲料有限公司2021年年检检测报告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附件14内审表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b/>
          <w:bCs/>
          <w:color w:val="auto"/>
          <w:sz w:val="24"/>
          <w:szCs w:val="24"/>
          <w:highlight w:val="none"/>
        </w:rPr>
      </w:pPr>
      <w:r>
        <w:rPr>
          <w:rFonts w:hint="default" w:ascii="Times New Roman" w:hAnsi="Times New Roman" w:eastAsia="宋体"/>
          <w:b/>
          <w:bCs/>
          <w:color w:val="auto"/>
          <w:sz w:val="24"/>
          <w:szCs w:val="24"/>
          <w:highlight w:val="none"/>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附图1</w:t>
      </w:r>
      <w:r>
        <w:rPr>
          <w:rFonts w:hint="default" w:ascii="Times New Roman" w:hAnsi="Times New Roman" w:eastAsia="宋体"/>
          <w:b w:val="0"/>
          <w:bCs w:val="0"/>
          <w:color w:val="auto"/>
          <w:sz w:val="24"/>
          <w:szCs w:val="24"/>
          <w:highlight w:val="none"/>
          <w:lang w:val="en-US" w:eastAsia="zh-CN"/>
        </w:rPr>
        <w:t>项目</w:t>
      </w:r>
      <w:r>
        <w:rPr>
          <w:rFonts w:hint="eastAsia" w:ascii="Times New Roman" w:hAnsi="Times New Roman" w:eastAsia="宋体"/>
          <w:b w:val="0"/>
          <w:bCs w:val="0"/>
          <w:color w:val="auto"/>
          <w:sz w:val="24"/>
          <w:szCs w:val="24"/>
          <w:highlight w:val="none"/>
          <w:lang w:val="en-US" w:eastAsia="zh-CN"/>
        </w:rPr>
        <w:t>地理位置图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附图2项目周边</w:t>
      </w:r>
      <w:r>
        <w:rPr>
          <w:rFonts w:hint="eastAsia"/>
          <w:b w:val="0"/>
          <w:bCs w:val="0"/>
          <w:color w:val="auto"/>
          <w:sz w:val="24"/>
          <w:szCs w:val="24"/>
          <w:highlight w:val="none"/>
          <w:lang w:val="en-US" w:eastAsia="zh-CN"/>
        </w:rPr>
        <w:t>环境</w:t>
      </w:r>
      <w:r>
        <w:rPr>
          <w:rFonts w:hint="eastAsia" w:eastAsia="宋体"/>
          <w:b w:val="0"/>
          <w:bCs w:val="0"/>
          <w:color w:val="auto"/>
          <w:sz w:val="24"/>
          <w:szCs w:val="24"/>
          <w:highlight w:val="none"/>
          <w:lang w:val="en-US" w:eastAsia="zh-CN"/>
        </w:rPr>
        <w:t>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3</w:t>
      </w:r>
      <w:r>
        <w:rPr>
          <w:rFonts w:hint="eastAsia" w:eastAsia="宋体"/>
          <w:b w:val="0"/>
          <w:bCs w:val="0"/>
          <w:color w:val="auto"/>
          <w:sz w:val="24"/>
          <w:szCs w:val="24"/>
          <w:highlight w:val="none"/>
          <w:lang w:val="en-US" w:eastAsia="zh-CN"/>
        </w:rPr>
        <w:t>海大供热点平面布置图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4</w:t>
      </w:r>
      <w:r>
        <w:rPr>
          <w:rFonts w:hint="eastAsia" w:eastAsia="宋体"/>
          <w:b w:val="0"/>
          <w:bCs w:val="0"/>
          <w:color w:val="auto"/>
          <w:sz w:val="24"/>
          <w:szCs w:val="24"/>
          <w:highlight w:val="none"/>
          <w:lang w:val="en-US" w:eastAsia="zh-CN"/>
        </w:rPr>
        <w:t>漓源供热点平面布置图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5</w:t>
      </w:r>
      <w:r>
        <w:rPr>
          <w:rFonts w:hint="eastAsia" w:eastAsia="宋体"/>
          <w:b w:val="0"/>
          <w:bCs w:val="0"/>
          <w:color w:val="auto"/>
          <w:sz w:val="24"/>
          <w:szCs w:val="24"/>
          <w:highlight w:val="none"/>
          <w:lang w:val="en-US" w:eastAsia="zh-CN"/>
        </w:rPr>
        <w:t>特驱供热点平面布置图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6</w:t>
      </w:r>
      <w:r>
        <w:rPr>
          <w:rFonts w:hint="default" w:ascii="Times New Roman" w:hAnsi="Times New Roman" w:eastAsia="宋体"/>
          <w:b w:val="0"/>
          <w:bCs w:val="0"/>
          <w:color w:val="auto"/>
          <w:sz w:val="24"/>
          <w:szCs w:val="24"/>
          <w:highlight w:val="none"/>
          <w:lang w:val="en-US" w:eastAsia="zh-CN"/>
        </w:rPr>
        <w:t>项目</w:t>
      </w:r>
      <w:r>
        <w:rPr>
          <w:rFonts w:hint="eastAsia" w:ascii="Times New Roman" w:hAnsi="Times New Roman" w:eastAsia="宋体"/>
          <w:b w:val="0"/>
          <w:bCs w:val="0"/>
          <w:color w:val="auto"/>
          <w:sz w:val="24"/>
          <w:szCs w:val="24"/>
          <w:highlight w:val="none"/>
          <w:lang w:val="en-US" w:eastAsia="zh-CN"/>
        </w:rPr>
        <w:t>区域水系</w:t>
      </w:r>
      <w:r>
        <w:rPr>
          <w:rFonts w:hint="default" w:ascii="Times New Roman" w:hAnsi="Times New Roman" w:eastAsia="宋体"/>
          <w:b w:val="0"/>
          <w:bCs w:val="0"/>
          <w:color w:val="auto"/>
          <w:sz w:val="24"/>
          <w:szCs w:val="24"/>
          <w:highlight w:val="none"/>
          <w:lang w:val="en-US" w:eastAsia="zh-CN"/>
        </w:rPr>
        <w:t>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w:t>
      </w:r>
      <w:r>
        <w:rPr>
          <w:rFonts w:hint="eastAsia"/>
          <w:b w:val="0"/>
          <w:bCs w:val="0"/>
          <w:color w:val="auto"/>
          <w:sz w:val="24"/>
          <w:szCs w:val="24"/>
          <w:highlight w:val="none"/>
          <w:lang w:val="en-US" w:eastAsia="zh-CN"/>
        </w:rPr>
        <w:t>图7</w:t>
      </w:r>
      <w:r>
        <w:rPr>
          <w:rFonts w:hint="default" w:ascii="Times New Roman" w:hAnsi="Times New Roman" w:eastAsia="宋体"/>
          <w:b w:val="0"/>
          <w:bCs w:val="0"/>
          <w:color w:val="auto"/>
          <w:sz w:val="24"/>
          <w:szCs w:val="24"/>
          <w:highlight w:val="none"/>
          <w:lang w:val="en-US" w:eastAsia="zh-CN"/>
        </w:rPr>
        <w:t>宜良工业园区总体规划功能分区图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8</w:t>
      </w:r>
      <w:r>
        <w:rPr>
          <w:rFonts w:hint="default" w:ascii="Times New Roman" w:hAnsi="Times New Roman" w:eastAsia="宋体"/>
          <w:b w:val="0"/>
          <w:bCs w:val="0"/>
          <w:color w:val="auto"/>
          <w:sz w:val="24"/>
          <w:szCs w:val="24"/>
          <w:highlight w:val="none"/>
          <w:lang w:val="en-US" w:eastAsia="zh-CN"/>
        </w:rPr>
        <w:t>宜良工业园区总体规划用地布局图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9</w:t>
      </w:r>
      <w:r>
        <w:rPr>
          <w:rFonts w:hint="default" w:ascii="Times New Roman" w:hAnsi="Times New Roman" w:eastAsia="宋体"/>
          <w:b w:val="0"/>
          <w:bCs w:val="0"/>
          <w:color w:val="auto"/>
          <w:sz w:val="24"/>
          <w:szCs w:val="24"/>
          <w:highlight w:val="none"/>
          <w:lang w:val="en-US" w:eastAsia="zh-CN"/>
        </w:rPr>
        <w:t>项目引用监测点位图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color w:val="auto"/>
          <w:sz w:val="24"/>
          <w:szCs w:val="24"/>
          <w:highlight w:val="none"/>
          <w:lang w:val="en-US" w:eastAsia="zh-CN"/>
        </w:rPr>
      </w:pPr>
    </w:p>
    <w:p>
      <w:pPr>
        <w:pStyle w:val="16"/>
        <w:ind w:left="0" w:leftChars="0" w:firstLine="0" w:firstLineChars="0"/>
        <w:rPr>
          <w:rFonts w:hint="default"/>
          <w:color w:val="auto"/>
          <w:highlight w:val="none"/>
          <w:lang w:val="en-US" w:eastAsia="zh-CN"/>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cols w:space="720" w:num="1"/>
          <w:docGrid w:linePitch="312" w:charSpace="0"/>
        </w:sectPr>
      </w:pPr>
    </w:p>
    <w:p>
      <w:pPr>
        <w:pStyle w:val="2"/>
        <w:keepNext/>
        <w:keepLines w:val="0"/>
        <w:pageBreakBefore w:val="0"/>
        <w:widowControl w:val="0"/>
        <w:kinsoku/>
        <w:wordWrap/>
        <w:overflowPunct w:val="0"/>
        <w:topLinePunct w:val="0"/>
        <w:autoSpaceDE/>
        <w:autoSpaceDN/>
        <w:bidi w:val="0"/>
        <w:adjustRightInd/>
        <w:snapToGrid w:val="0"/>
        <w:spacing w:line="260" w:lineRule="auto"/>
        <w:ind w:left="0" w:firstLine="0" w:firstLineChars="0"/>
        <w:jc w:val="center"/>
        <w:textAlignment w:val="auto"/>
        <w:rPr>
          <w:rFonts w:hint="default"/>
          <w:color w:val="auto"/>
          <w:highlight w:val="none"/>
        </w:rPr>
      </w:pPr>
      <w:bookmarkStart w:id="2" w:name="_Toc17321"/>
      <w:r>
        <w:rPr>
          <w:rFonts w:hint="default"/>
          <w:color w:val="auto"/>
          <w:highlight w:val="none"/>
        </w:rPr>
        <w:t>一、建设项目基本情况</w:t>
      </w:r>
      <w:bookmarkEnd w:id="2"/>
    </w:p>
    <w:tbl>
      <w:tblPr>
        <w:tblStyle w:val="29"/>
        <w:tblW w:w="93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95"/>
        <w:gridCol w:w="3017"/>
        <w:gridCol w:w="2276"/>
        <w:gridCol w:w="29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8263" w:type="dxa"/>
            <w:gridSpan w:val="3"/>
            <w:noWrap w:val="0"/>
            <w:vAlign w:val="center"/>
          </w:tcPr>
          <w:p>
            <w:pPr>
              <w:adjustRightInd w:val="0"/>
              <w:snapToGrid w:val="0"/>
              <w:jc w:val="center"/>
              <w:rPr>
                <w:rFonts w:hint="eastAsia" w:ascii="Times New Roman" w:hAnsi="Times New Roman" w:eastAsia="宋体" w:cs="Times New Roman"/>
                <w:b w:val="0"/>
                <w:bCs w:val="0"/>
                <w:color w:val="auto"/>
                <w:sz w:val="24"/>
                <w:szCs w:val="24"/>
                <w:highlight w:val="none"/>
                <w:u w:val="none"/>
                <w:lang w:eastAsia="zh-CN"/>
              </w:rPr>
            </w:pPr>
            <w:r>
              <w:rPr>
                <w:rFonts w:hint="eastAsia" w:cs="Times New Roman"/>
                <w:b w:val="0"/>
                <w:bCs w:val="0"/>
                <w:color w:val="auto"/>
                <w:sz w:val="24"/>
                <w:szCs w:val="24"/>
                <w:highlight w:val="none"/>
                <w:u w:val="none"/>
                <w:lang w:eastAsia="zh-CN"/>
              </w:rPr>
              <w:t>宜良工业园区生物质绿色可再生能源分布式集中供热项目（重新报批）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8263" w:type="dxa"/>
            <w:gridSpan w:val="3"/>
            <w:noWrap w:val="0"/>
            <w:vAlign w:val="center"/>
          </w:tcPr>
          <w:p>
            <w:pPr>
              <w:adjustRightInd w:val="0"/>
              <w:snapToGrid w:val="0"/>
              <w:jc w:val="center"/>
              <w:rPr>
                <w:rFonts w:hint="default" w:ascii="Times New Roman" w:hAnsi="Times New Roman" w:cs="Times New Roman"/>
                <w:b w:val="0"/>
                <w:bCs w:val="0"/>
                <w:color w:val="auto"/>
                <w:sz w:val="24"/>
                <w:szCs w:val="24"/>
                <w:highlight w:val="none"/>
                <w:u w:val="none"/>
                <w:lang w:val="en-US"/>
              </w:rPr>
            </w:pPr>
            <w:r>
              <w:rPr>
                <w:rFonts w:hint="default" w:ascii="Times New Roman" w:hAnsi="Times New Roman" w:cs="Times New Roman"/>
                <w:b w:val="0"/>
                <w:bCs w:val="0"/>
                <w:color w:val="auto"/>
                <w:sz w:val="24"/>
                <w:szCs w:val="24"/>
                <w:highlight w:val="none"/>
                <w:u w:val="none"/>
                <w:lang w:val="en-US"/>
              </w:rPr>
              <w:t>2204-530125-04-01-454254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3017" w:type="dxa"/>
            <w:noWrap w:val="0"/>
            <w:vAlign w:val="center"/>
          </w:tcPr>
          <w:p>
            <w:pPr>
              <w:adjustRightInd w:val="0"/>
              <w:snapToGrid w:val="0"/>
              <w:jc w:val="center"/>
              <w:rPr>
                <w:rFonts w:hint="eastAsia"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rPr>
              <w:t>程</w:t>
            </w:r>
            <w:r>
              <w:rPr>
                <w:rFonts w:hint="eastAsia" w:cs="Times New Roman"/>
                <w:b w:val="0"/>
                <w:bCs w:val="0"/>
                <w:color w:val="auto"/>
                <w:sz w:val="24"/>
                <w:szCs w:val="24"/>
                <w:highlight w:val="none"/>
                <w:u w:val="none"/>
                <w:lang w:val="en-US" w:eastAsia="zh-CN"/>
              </w:rPr>
              <w:t>*</w:t>
            </w:r>
          </w:p>
        </w:tc>
        <w:tc>
          <w:tcPr>
            <w:tcW w:w="2276" w:type="dxa"/>
            <w:noWrap w:val="0"/>
            <w:vAlign w:val="center"/>
          </w:tcPr>
          <w:p>
            <w:pPr>
              <w:adjustRightInd w:val="0"/>
              <w:snapToGrid w:val="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联系方式</w:t>
            </w:r>
          </w:p>
        </w:tc>
        <w:tc>
          <w:tcPr>
            <w:tcW w:w="2970"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eastAsia="zh-CN"/>
              </w:rPr>
              <w:t>137</w:t>
            </w:r>
            <w:r>
              <w:rPr>
                <w:rFonts w:hint="eastAsia" w:cs="Times New Roman"/>
                <w:b w:val="0"/>
                <w:bCs w:val="0"/>
                <w:color w:val="auto"/>
                <w:sz w:val="24"/>
                <w:szCs w:val="24"/>
                <w:highlight w:val="none"/>
                <w:u w:val="none"/>
                <w:lang w:val="en-US" w:eastAsia="zh-CN"/>
              </w:rPr>
              <w:t>********</w:t>
            </w:r>
            <w:bookmarkStart w:id="18" w:name="_GoBack"/>
            <w:bookmarkEnd w:id="1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8263" w:type="dxa"/>
            <w:gridSpan w:val="3"/>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云南省昆明市宜良县北古城宜良工业园区饲料片区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8263" w:type="dxa"/>
            <w:gridSpan w:val="3"/>
            <w:noWrap w:val="0"/>
            <w:vAlign w:val="center"/>
          </w:tcPr>
          <w:p>
            <w:pPr>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海大供热点</w:t>
            </w:r>
            <w:r>
              <w:rPr>
                <w:rFonts w:hint="eastAsia" w:cs="Times New Roman"/>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东经103°11′47.006″</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北纬24°59′56.994″</w:t>
            </w:r>
          </w:p>
          <w:p>
            <w:pPr>
              <w:jc w:val="center"/>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漓源供热点</w:t>
            </w:r>
            <w:r>
              <w:rPr>
                <w:rFonts w:hint="eastAsia" w:cs="Times New Roman"/>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东经103°11′35.332″，北纬25°0′11.561″</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特驱供热点</w:t>
            </w:r>
            <w:r>
              <w:rPr>
                <w:rFonts w:hint="default" w:ascii="Times New Roman" w:hAnsi="Times New Roman" w:cs="Times New Roman"/>
                <w:b w:val="0"/>
                <w:bCs w:val="0"/>
                <w:color w:val="auto"/>
                <w:sz w:val="24"/>
                <w:szCs w:val="24"/>
                <w:highlight w:val="none"/>
                <w:lang w:val="en-US" w:eastAsia="zh-CN"/>
              </w:rPr>
              <w:t>：东经103°11′50.053″，北纬25°0′7.071″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3017"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D4430热力生产和供应</w:t>
            </w:r>
          </w:p>
        </w:tc>
        <w:tc>
          <w:tcPr>
            <w:tcW w:w="2276" w:type="dxa"/>
            <w:noWrap w:val="0"/>
            <w:vAlign w:val="center"/>
          </w:tcPr>
          <w:p>
            <w:pPr>
              <w:adjustRightInd w:val="0"/>
              <w:snapToGrid w:val="0"/>
              <w:jc w:val="center"/>
              <w:rPr>
                <w:rFonts w:hint="default" w:ascii="Times New Roman" w:hAnsi="Times New Roman" w:cs="Times New Roman"/>
                <w:color w:val="auto"/>
                <w:sz w:val="24"/>
                <w:szCs w:val="24"/>
                <w:highlight w:val="none"/>
              </w:rPr>
            </w:pPr>
            <w:bookmarkStart w:id="3" w:name="_Hlk49843745"/>
            <w:r>
              <w:rPr>
                <w:rFonts w:hint="default" w:ascii="Times New Roman" w:hAnsi="Times New Roman" w:cs="Times New Roman"/>
                <w:color w:val="auto"/>
                <w:sz w:val="24"/>
                <w:szCs w:val="24"/>
                <w:highlight w:val="none"/>
              </w:rPr>
              <w:t>建设项目</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3"/>
          </w:p>
        </w:tc>
        <w:tc>
          <w:tcPr>
            <w:tcW w:w="2970" w:type="dxa"/>
            <w:noWrap w:val="0"/>
            <w:vAlign w:val="center"/>
          </w:tcPr>
          <w:p>
            <w:pPr>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四十一、电力、热力生产和供应业</w:t>
            </w:r>
            <w:r>
              <w:rPr>
                <w:rFonts w:hint="eastAsia" w:cs="Times New Roman"/>
                <w:color w:val="auto"/>
                <w:sz w:val="24"/>
                <w:szCs w:val="24"/>
                <w:highlight w:val="none"/>
                <w:lang w:val="en-US" w:eastAsia="zh-CN"/>
              </w:rPr>
              <w:t>91热力生产和供应工程（包括建设单位自建自用的供热工程）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3017" w:type="dxa"/>
            <w:noWrap w:val="0"/>
            <w:vAlign w:val="center"/>
          </w:tcPr>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新建（迁建）</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改建</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扩建</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技术改造</w:t>
            </w:r>
          </w:p>
        </w:tc>
        <w:tc>
          <w:tcPr>
            <w:tcW w:w="2276"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2970" w:type="dxa"/>
            <w:noWrap w:val="0"/>
            <w:vAlign w:val="center"/>
          </w:tcPr>
          <w:p>
            <w:pPr>
              <w:jc w:val="left"/>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首次申报项目</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不予批准后再次申报项目</w:t>
            </w:r>
          </w:p>
          <w:p>
            <w:pPr>
              <w:jc w:val="left"/>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超五年重新审核项目</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（核准/备案）部门</w:t>
            </w:r>
          </w:p>
        </w:tc>
        <w:tc>
          <w:tcPr>
            <w:tcW w:w="3017"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宜良</w:t>
            </w:r>
            <w:r>
              <w:rPr>
                <w:rFonts w:hint="default" w:ascii="Times New Roman" w:hAnsi="Times New Roman" w:cs="Times New Roman"/>
                <w:color w:val="auto"/>
                <w:sz w:val="24"/>
                <w:szCs w:val="24"/>
                <w:highlight w:val="none"/>
              </w:rPr>
              <w:t>县发展和改革局</w:t>
            </w:r>
          </w:p>
        </w:tc>
        <w:tc>
          <w:tcPr>
            <w:tcW w:w="2276"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（核准/备案）文号</w:t>
            </w:r>
          </w:p>
        </w:tc>
        <w:tc>
          <w:tcPr>
            <w:tcW w:w="297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2311-532325-04-01-522592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301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1560</w:t>
            </w:r>
          </w:p>
        </w:tc>
        <w:tc>
          <w:tcPr>
            <w:tcW w:w="227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970" w:type="dxa"/>
            <w:noWrap w:val="0"/>
            <w:vAlign w:val="center"/>
          </w:tcPr>
          <w:p>
            <w:pPr>
              <w:adjustRightInd w:val="0"/>
              <w:snapToGrid w:val="0"/>
              <w:jc w:val="center"/>
              <w:rPr>
                <w:rFonts w:hint="default" w:ascii="Times New Roman" w:hAnsi="Times New Roman" w:cs="Times New Roman"/>
                <w:color w:val="auto"/>
                <w:sz w:val="24"/>
                <w:szCs w:val="24"/>
                <w:highlight w:val="none"/>
                <w:lang w:val="en-US" w:eastAsia="zh-CN"/>
              </w:rPr>
            </w:pPr>
            <w:r>
              <w:rPr>
                <w:rFonts w:hint="eastAsia"/>
                <w:color w:val="auto"/>
                <w:sz w:val="24"/>
                <w:szCs w:val="24"/>
                <w:highlight w:val="none"/>
                <w:lang w:val="en-US" w:eastAsia="zh-CN"/>
              </w:rPr>
              <w:t>196.02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301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12.56</w:t>
            </w:r>
            <w:r>
              <w:rPr>
                <w:rFonts w:hint="default" w:ascii="Times New Roman" w:hAnsi="Times New Roman" w:cs="Times New Roman"/>
                <w:color w:val="auto"/>
                <w:sz w:val="24"/>
                <w:szCs w:val="24"/>
                <w:highlight w:val="none"/>
              </w:rPr>
              <w:t>%</w:t>
            </w:r>
          </w:p>
        </w:tc>
        <w:tc>
          <w:tcPr>
            <w:tcW w:w="227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2970"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3017" w:type="dxa"/>
            <w:noWrap w:val="0"/>
            <w:vAlign w:val="center"/>
          </w:tcPr>
          <w:p>
            <w:pPr>
              <w:adjustRightInd w:val="0"/>
              <w:snapToGrid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是：</w:t>
            </w:r>
            <w:r>
              <w:rPr>
                <w:rFonts w:hint="eastAsia" w:cs="Times New Roman"/>
                <w:color w:val="auto"/>
                <w:sz w:val="24"/>
                <w:szCs w:val="24"/>
                <w:highlight w:val="none"/>
                <w:u w:val="single"/>
                <w:lang w:val="en-US" w:eastAsia="zh-CN"/>
              </w:rPr>
              <w:t>重大变化重新报批项目</w:t>
            </w:r>
          </w:p>
        </w:tc>
        <w:tc>
          <w:tcPr>
            <w:tcW w:w="227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面积（</w:t>
            </w:r>
            <w:r>
              <w:rPr>
                <w:rFonts w:hint="default" w:ascii="Times New Roman" w:hAnsi="Times New Roman" w:cs="Times New Roman"/>
                <w:color w:val="auto"/>
                <w:spacing w:val="-6"/>
                <w:sz w:val="24"/>
                <w:szCs w:val="24"/>
                <w:highlight w:val="none"/>
                <w:lang w:val="en-US" w:eastAsia="zh-CN"/>
              </w:rPr>
              <w:t>m²</w:t>
            </w:r>
            <w:r>
              <w:rPr>
                <w:rFonts w:hint="default" w:ascii="Times New Roman" w:hAnsi="Times New Roman" w:cs="Times New Roman"/>
                <w:color w:val="auto"/>
                <w:spacing w:val="-6"/>
                <w:sz w:val="24"/>
                <w:szCs w:val="24"/>
                <w:highlight w:val="none"/>
              </w:rPr>
              <w:t>）</w:t>
            </w:r>
          </w:p>
        </w:tc>
        <w:tc>
          <w:tcPr>
            <w:tcW w:w="2970" w:type="dxa"/>
            <w:noWrap w:val="0"/>
            <w:vAlign w:val="center"/>
          </w:tcPr>
          <w:p>
            <w:pPr>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海大供热点</w:t>
            </w:r>
            <w:r>
              <w:rPr>
                <w:rFonts w:hint="eastAsia" w:cs="Times New Roman"/>
                <w:color w:val="auto"/>
                <w:sz w:val="24"/>
                <w:szCs w:val="24"/>
                <w:highlight w:val="none"/>
                <w:lang w:val="en-US" w:eastAsia="zh-CN"/>
              </w:rPr>
              <w:t>：</w:t>
            </w:r>
            <w:r>
              <w:rPr>
                <w:rFonts w:hint="eastAsia" w:cs="Times New Roman"/>
                <w:b w:val="0"/>
                <w:bCs w:val="0"/>
                <w:color w:val="auto"/>
                <w:sz w:val="24"/>
                <w:szCs w:val="24"/>
                <w:highlight w:val="none"/>
                <w:lang w:val="en-US" w:eastAsia="zh-CN"/>
              </w:rPr>
              <w:t>1600</w:t>
            </w:r>
          </w:p>
          <w:p>
            <w:pPr>
              <w:jc w:val="center"/>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漓源供热点</w:t>
            </w:r>
            <w:r>
              <w:rPr>
                <w:rFonts w:hint="eastAsia" w:cs="Times New Roman"/>
                <w:color w:val="auto"/>
                <w:sz w:val="24"/>
                <w:szCs w:val="24"/>
                <w:highlight w:val="none"/>
                <w:lang w:eastAsia="zh-CN"/>
              </w:rPr>
              <w:t>：</w:t>
            </w:r>
            <w:r>
              <w:rPr>
                <w:rFonts w:hint="eastAsia" w:cs="Times New Roman"/>
                <w:b w:val="0"/>
                <w:bCs w:val="0"/>
                <w:color w:val="auto"/>
                <w:sz w:val="24"/>
                <w:szCs w:val="24"/>
                <w:highlight w:val="none"/>
                <w:lang w:val="en-US" w:eastAsia="zh-CN"/>
              </w:rPr>
              <w:t>600</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特驱供热点</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rPr>
              <w:t>专项评价设置情况</w:t>
            </w:r>
          </w:p>
        </w:tc>
        <w:tc>
          <w:tcPr>
            <w:tcW w:w="8263"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根据下表对照分析，本项目无专项评价。</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表1-1</w:t>
            </w:r>
            <w:r>
              <w:rPr>
                <w:rFonts w:hint="default" w:ascii="Times New Roman" w:hAnsi="Times New Roman" w:eastAsia="宋体" w:cs="Times New Roman"/>
                <w:b/>
                <w:bCs/>
                <w:color w:val="auto"/>
                <w:sz w:val="21"/>
                <w:szCs w:val="21"/>
                <w:highlight w:val="none"/>
                <w:lang w:val="en-US" w:eastAsia="zh-CN"/>
              </w:rPr>
              <w:t>专项评价设置原则表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2430"/>
              <w:gridCol w:w="3245"/>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专项评价的类别</w:t>
                  </w:r>
                </w:p>
              </w:tc>
              <w:tc>
                <w:tcPr>
                  <w:tcW w:w="1511"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设置原则</w:t>
                  </w:r>
                </w:p>
              </w:tc>
              <w:tc>
                <w:tcPr>
                  <w:tcW w:w="2018"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本项目情况</w:t>
                  </w:r>
                </w:p>
              </w:tc>
              <w:tc>
                <w:tcPr>
                  <w:tcW w:w="613"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设置与否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大气</w:t>
                  </w:r>
                </w:p>
              </w:tc>
              <w:tc>
                <w:tcPr>
                  <w:tcW w:w="1511"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排放废气中含有有毒有害污染物、二噁英、苯并芘、氰化物、氯气且厂界外500m范围内有环境空气保护目标的建设项目</w:t>
                  </w:r>
                </w:p>
              </w:tc>
              <w:tc>
                <w:tcPr>
                  <w:tcW w:w="2018"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本项目大气污染物为颗粒物、SO</w:t>
                  </w:r>
                  <w:r>
                    <w:rPr>
                      <w:rFonts w:hint="eastAsia" w:ascii="Times New Roman" w:hAnsi="Times New Roman" w:eastAsia="宋体" w:cs="Times New Roman"/>
                      <w:b w:val="0"/>
                      <w:bCs w:val="0"/>
                      <w:color w:val="auto"/>
                      <w:sz w:val="21"/>
                      <w:szCs w:val="21"/>
                      <w:highlight w:val="none"/>
                      <w:vertAlign w:val="subscript"/>
                      <w:lang w:val="en-US" w:eastAsia="zh-CN"/>
                    </w:rPr>
                    <w:t>2</w:t>
                  </w:r>
                  <w:r>
                    <w:rPr>
                      <w:rFonts w:hint="eastAsia" w:ascii="Times New Roman" w:hAnsi="Times New Roman" w:eastAsia="宋体" w:cs="Times New Roman"/>
                      <w:b w:val="0"/>
                      <w:bCs w:val="0"/>
                      <w:color w:val="auto"/>
                      <w:sz w:val="21"/>
                      <w:szCs w:val="21"/>
                      <w:highlight w:val="none"/>
                      <w:lang w:val="en-US" w:eastAsia="zh-CN"/>
                    </w:rPr>
                    <w:t>、NO</w:t>
                  </w:r>
                  <w:r>
                    <w:rPr>
                      <w:rFonts w:hint="eastAsia" w:cs="Times New Roman"/>
                      <w:b w:val="0"/>
                      <w:bCs w:val="0"/>
                      <w:color w:val="auto"/>
                      <w:sz w:val="21"/>
                      <w:szCs w:val="21"/>
                      <w:highlight w:val="none"/>
                      <w:lang w:val="en-US" w:eastAsia="zh-CN"/>
                    </w:rPr>
                    <w:t>x、烟气黑度</w:t>
                  </w:r>
                  <w:r>
                    <w:rPr>
                      <w:rFonts w:hint="eastAsia" w:ascii="Times New Roman" w:hAnsi="Times New Roman" w:eastAsia="宋体" w:cs="Times New Roman"/>
                      <w:b w:val="0"/>
                      <w:bCs w:val="0"/>
                      <w:color w:val="auto"/>
                      <w:sz w:val="21"/>
                      <w:szCs w:val="21"/>
                      <w:highlight w:val="none"/>
                      <w:lang w:val="en-US" w:eastAsia="zh-CN"/>
                    </w:rPr>
                    <w:t>，不涉及《有毒有害大气污染物名录》中规定的有毒有害污染物及二噁英、苯并[a]芘、氰化物、氯气的排放。</w:t>
                  </w:r>
                </w:p>
              </w:tc>
              <w:tc>
                <w:tcPr>
                  <w:tcW w:w="613"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地表水</w:t>
                  </w:r>
                </w:p>
              </w:tc>
              <w:tc>
                <w:tcPr>
                  <w:tcW w:w="1511"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新增工业废水直排建设项目（槽罐车外运污水处理厂的除外）；新增废水直排的污水集中处理厂</w:t>
                  </w:r>
                </w:p>
              </w:tc>
              <w:tc>
                <w:tcPr>
                  <w:tcW w:w="2018"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本项目运营期产生的软水制备废水和生物质锅炉排污水经过管道接入烟气蒸器用于烟气降温，随烟气蒸发，不外排。</w:t>
                  </w:r>
                </w:p>
              </w:tc>
              <w:tc>
                <w:tcPr>
                  <w:tcW w:w="613"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环境风险</w:t>
                  </w:r>
                </w:p>
              </w:tc>
              <w:tc>
                <w:tcPr>
                  <w:tcW w:w="1511"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有毒有害和易燃易爆危险物质存储量超过临界量的建设项目</w:t>
                  </w:r>
                  <w:r>
                    <w:rPr>
                      <w:rFonts w:hint="eastAsia" w:ascii="Times New Roman" w:hAnsi="Times New Roman" w:eastAsia="宋体" w:cs="Times New Roman"/>
                      <w:b w:val="0"/>
                      <w:bCs w:val="0"/>
                      <w:color w:val="auto"/>
                      <w:sz w:val="21"/>
                      <w:szCs w:val="21"/>
                      <w:highlight w:val="none"/>
                      <w:lang w:val="en-US" w:eastAsia="zh-CN"/>
                    </w:rPr>
                    <w:cr/>
                  </w:r>
                </w:p>
              </w:tc>
              <w:tc>
                <w:tcPr>
                  <w:tcW w:w="2018"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项目不涉及有毒有害和易燃易爆危险物质存储量超过临界量。</w:t>
                  </w:r>
                </w:p>
              </w:tc>
              <w:tc>
                <w:tcPr>
                  <w:tcW w:w="613"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生态</w:t>
                  </w:r>
                </w:p>
              </w:tc>
              <w:tc>
                <w:tcPr>
                  <w:tcW w:w="1511"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取水口下游500m范围有重要水生生物的自然产卵场、索饵场、越冬场和</w:t>
                  </w:r>
                  <w:r>
                    <w:rPr>
                      <w:rFonts w:hint="eastAsia" w:cs="Times New Roman"/>
                      <w:b w:val="0"/>
                      <w:bCs w:val="0"/>
                      <w:color w:val="auto"/>
                      <w:sz w:val="21"/>
                      <w:szCs w:val="21"/>
                      <w:highlight w:val="none"/>
                      <w:lang w:val="en-US" w:eastAsia="zh-CN"/>
                    </w:rPr>
                    <w:t>洄游</w:t>
                  </w:r>
                  <w:r>
                    <w:rPr>
                      <w:rFonts w:hint="eastAsia" w:ascii="Times New Roman" w:hAnsi="Times New Roman" w:eastAsia="宋体" w:cs="Times New Roman"/>
                      <w:b w:val="0"/>
                      <w:bCs w:val="0"/>
                      <w:color w:val="auto"/>
                      <w:sz w:val="21"/>
                      <w:szCs w:val="21"/>
                      <w:highlight w:val="none"/>
                      <w:lang w:val="en-US" w:eastAsia="zh-CN"/>
                    </w:rPr>
                    <w:t>通道的新增河道取水的污染类建设项目</w:t>
                  </w:r>
                </w:p>
              </w:tc>
              <w:tc>
                <w:tcPr>
                  <w:tcW w:w="2018"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本项目不涉及从河道取水</w:t>
                  </w:r>
                </w:p>
              </w:tc>
              <w:tc>
                <w:tcPr>
                  <w:tcW w:w="613"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海洋</w:t>
                  </w:r>
                </w:p>
              </w:tc>
              <w:tc>
                <w:tcPr>
                  <w:tcW w:w="1511"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直接向海洋排放污染物的海洋工程建设项目</w:t>
                  </w:r>
                </w:p>
              </w:tc>
              <w:tc>
                <w:tcPr>
                  <w:tcW w:w="2018"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本项目不涉及海洋环境</w:t>
                  </w:r>
                </w:p>
              </w:tc>
              <w:tc>
                <w:tcPr>
                  <w:tcW w:w="613"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地下水</w:t>
                  </w:r>
                </w:p>
              </w:tc>
              <w:tc>
                <w:tcPr>
                  <w:tcW w:w="1511"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涉及集中式饮用水水源和热水、矿泉水、温泉等特殊地下水资源保护区</w:t>
                  </w:r>
                </w:p>
              </w:tc>
              <w:tc>
                <w:tcPr>
                  <w:tcW w:w="2018"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本项目不涉及集中式饮用水水源和热水、矿泉水、温泉等特殊地下水资源保护区</w:t>
                  </w:r>
                </w:p>
              </w:tc>
              <w:tc>
                <w:tcPr>
                  <w:tcW w:w="613"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bl>
          <w:p>
            <w:pPr>
              <w:pStyle w:val="28"/>
              <w:ind w:left="0" w:leftChars="0" w:firstLine="0" w:firstLineChars="0"/>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keepNext w:val="0"/>
              <w:keepLines w:val="0"/>
              <w:pageBreakBefore w:val="0"/>
              <w:widowControl w:val="0"/>
              <w:kinsoku/>
              <w:wordWrap/>
              <w:overflowPunct/>
              <w:topLinePunct w:val="0"/>
              <w:bidi w:val="0"/>
              <w:adjustRightInd w:val="0"/>
              <w:snapToGrid/>
              <w:jc w:val="center"/>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规划情况</w:t>
            </w:r>
          </w:p>
        </w:tc>
        <w:tc>
          <w:tcPr>
            <w:tcW w:w="8263" w:type="dxa"/>
            <w:gridSpan w:val="3"/>
            <w:noWrap w:val="0"/>
            <w:vAlign w:val="center"/>
          </w:tcPr>
          <w:p>
            <w:pPr>
              <w:keepNext w:val="0"/>
              <w:keepLines w:val="0"/>
              <w:pageBreakBefore w:val="0"/>
              <w:widowControl w:val="0"/>
              <w:kinsoku/>
              <w:wordWrap/>
              <w:overflowPunct/>
              <w:topLinePunct w:val="0"/>
              <w:bidi w:val="0"/>
              <w:adjustRightInd w:val="0"/>
              <w:snapToGrid/>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规划名称：《宜良工业园区总体规划（2016-2030）》</w:t>
            </w:r>
          </w:p>
          <w:p>
            <w:pPr>
              <w:keepNext w:val="0"/>
              <w:keepLines w:val="0"/>
              <w:pageBreakBefore w:val="0"/>
              <w:widowControl w:val="0"/>
              <w:kinsoku/>
              <w:wordWrap/>
              <w:overflowPunct/>
              <w:topLinePunct w:val="0"/>
              <w:bidi w:val="0"/>
              <w:adjustRightInd w:val="0"/>
              <w:snapToGrid/>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审批机关：云南省工业和信息化委会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keepNext w:val="0"/>
              <w:keepLines w:val="0"/>
              <w:pageBreakBefore w:val="0"/>
              <w:widowControl w:val="0"/>
              <w:kinsoku/>
              <w:wordWrap/>
              <w:overflowPunct/>
              <w:topLinePunct w:val="0"/>
              <w:bidi w:val="0"/>
              <w:adjustRightInd w:val="0"/>
              <w:snapToGrid/>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val="0"/>
                <w:bCs w:val="0"/>
                <w:color w:val="auto"/>
                <w:sz w:val="24"/>
                <w:szCs w:val="24"/>
                <w:highlight w:val="none"/>
              </w:rPr>
              <w:t>规划环境影响评价情况</w:t>
            </w:r>
          </w:p>
        </w:tc>
        <w:tc>
          <w:tcPr>
            <w:tcW w:w="8263"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规划环评名称：《宜良工业园区总体规划（2016-2030）环境影响报告书》</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审查机关：云南省生态环境厅</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审批文件名称及文号：云南省生态环境厅关于《宜良工业园区总体规划（2016-2030）环境影响报告书》审查意见的函（云环函〔2018〕791号）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val="0"/>
                <w:bCs w:val="0"/>
                <w:color w:val="auto"/>
                <w:kern w:val="0"/>
                <w:sz w:val="24"/>
                <w:szCs w:val="24"/>
                <w:highlight w:val="none"/>
              </w:rPr>
              <w:t>规划及规划环境影响评价符合性分析</w:t>
            </w:r>
          </w:p>
        </w:tc>
        <w:tc>
          <w:tcPr>
            <w:tcW w:w="826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1、与《宜良工业园区总体规划（2016-2030）》符合性分析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（1）园区产业结构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《宜良工业园区总体规划（2016-2030）》调整后，园区规划范围为：北起北古城集镇—南盘江一线，南达昆石高速公路，西起绕城高速外环线一线，东至宜良县域东部界线，总规划面积57.7平方公里。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宜良工业园区总体规划（2016-2030）》，综合考虑地形、风向、南盘江保护、九乡风景名胜区保护、产业发展时序、云南铜业选址、现状产业分布、交通运输条件等因素，规划引导园区产业形成“三带、七片”的产业空间布局，实现三次产业的有机融合，良性互动，促进四化同步、产城旅融合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三带：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①在园区西部形成公共服务发展带。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②在园区中东部形成工业产业发展带。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③沿南盘江结合基本农田的保护和南盘江休闲文化带建设，形成现代农业和休闲旅游发展带。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七片：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①北古城片区西北部地区以发展特色轻工业产业集群为主。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②北古城片区中东部地区以新型建材产业集群为主。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③木龙片区中东部地区以金属新材料产业集群为主。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④山后片区中东部地区以先进装备制造业产业集群为。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⑤北古城片区西部地区以生产性服务业发展为主。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⑥木龙片区西部地区以生活性服务业发展为主。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⑦山后片区西部地区以生产性服务业发展为主。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位于宜良工业园区北古城片区西北部地区及中东部地区，属于宜良工业园区规划“三带、七片”中“七片”的“古城片区西北部地区以发展特色轻工业产业集群为主”，农产品加工、饲料加工、箱板纸包装等产业；中东部地区发展“板材加工”、“五金加工”、“水泥生产”等产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本项目为分布式集中供热项目，为园区饲料企业提供蒸汽，本项目使用生物质作为燃料，与现行的园区产业结构不冲突。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（2）园区环保负面清单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宜良工业园区总体规划（2016-2030）》环境影响报告书，园区规划产业为污染强度较高的产业，根据污染物排放总量控制等环境保护的要求，园区应设置严格的环境准入条件，禁止、限制与园区功能定位不相符的其他污染型产业进入，避免产生污染叠加效应，加重园区环境压力。为此，设定园区环境保护负面清单如下：</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园区环保负面清单</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2473"/>
              <w:gridCol w:w="4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tblHeader/>
                <w:jc w:val="center"/>
              </w:trPr>
              <w:tc>
                <w:tcPr>
                  <w:tcW w:w="2104" w:type="pct"/>
                  <w:gridSpan w:val="2"/>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工业类别</w:t>
                  </w:r>
                </w:p>
              </w:tc>
              <w:tc>
                <w:tcPr>
                  <w:tcW w:w="2895"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主要工业项目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104" w:type="pct"/>
                  <w:gridSpan w:val="2"/>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农产品加工</w:t>
                  </w:r>
                </w:p>
              </w:tc>
              <w:tc>
                <w:tcPr>
                  <w:tcW w:w="2895"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104" w:type="pct"/>
                  <w:gridSpan w:val="2"/>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饲料加工</w:t>
                  </w:r>
                </w:p>
              </w:tc>
              <w:tc>
                <w:tcPr>
                  <w:tcW w:w="2895"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104" w:type="pct"/>
                  <w:gridSpan w:val="2"/>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箱板纸包装</w:t>
                  </w:r>
                </w:p>
              </w:tc>
              <w:tc>
                <w:tcPr>
                  <w:tcW w:w="2895"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104" w:type="pct"/>
                  <w:gridSpan w:val="2"/>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板材加工</w:t>
                  </w:r>
                </w:p>
              </w:tc>
              <w:tc>
                <w:tcPr>
                  <w:tcW w:w="2895"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2" w:hRule="atLeast"/>
                <w:jc w:val="center"/>
              </w:trPr>
              <w:tc>
                <w:tcPr>
                  <w:tcW w:w="2104" w:type="pct"/>
                  <w:gridSpan w:val="2"/>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五金加工</w:t>
                  </w:r>
                </w:p>
              </w:tc>
              <w:tc>
                <w:tcPr>
                  <w:tcW w:w="2895"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涉及含重金属生产废水排放的项目；</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涉及含电镀或喷漆工艺的项目；</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其他不符合产业政策和环保要求的项目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2104" w:type="pct"/>
                  <w:gridSpan w:val="2"/>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水泥</w:t>
                  </w:r>
                </w:p>
              </w:tc>
              <w:tc>
                <w:tcPr>
                  <w:tcW w:w="2895"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除增产减污外以任何形式新增水泥产能项目；</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其他不符合产业政策和环保要求的项目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2104" w:type="pct"/>
                  <w:gridSpan w:val="2"/>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钢铁冶金</w:t>
                  </w:r>
                </w:p>
              </w:tc>
              <w:tc>
                <w:tcPr>
                  <w:tcW w:w="2895"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除增产减污外以任何形式新增钢铁产能项目；</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其他不符合产业政策和环保要求的项目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566" w:type="pct"/>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铜冶金</w:t>
                  </w:r>
                </w:p>
              </w:tc>
              <w:tc>
                <w:tcPr>
                  <w:tcW w:w="1537"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铜金属冶炼压延加工</w:t>
                  </w:r>
                </w:p>
              </w:tc>
              <w:tc>
                <w:tcPr>
                  <w:tcW w:w="2895" w:type="pct"/>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除铜以外的其他有色金属冶炼（含再生有色金属冶炼）及有色金属合金制造项目；</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锰、铬冶炼项目；</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566" w:type="pct"/>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537"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铜精深加工</w:t>
                  </w:r>
                </w:p>
              </w:tc>
              <w:tc>
                <w:tcPr>
                  <w:tcW w:w="2895" w:type="pct"/>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566" w:type="pct"/>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装备制造</w:t>
                  </w:r>
                </w:p>
              </w:tc>
              <w:tc>
                <w:tcPr>
                  <w:tcW w:w="1537"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重化矿冶设备与工程机械装备</w:t>
                  </w:r>
                </w:p>
              </w:tc>
              <w:tc>
                <w:tcPr>
                  <w:tcW w:w="2895" w:type="pct"/>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566" w:type="pct"/>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537" w:type="pct"/>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以铜金属为主要原材料的装备制造、食品设备制造、农用机械制造</w:t>
                  </w:r>
                </w:p>
              </w:tc>
              <w:tc>
                <w:tcPr>
                  <w:tcW w:w="2895" w:type="pct"/>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根据表1-2园区环保负面清单分析，本项目不属于园区环保负面清单的工业项目。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综上所述，本项目与《宜良工业园区总体规划（2016-2030）》要求不冲突。</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2、与《宜良工业园区总体规划（2016-2030）环境影响报告书》及其审查意见的函（云环函[2018]791号）符合性分析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根据《宜良工业园区总体规划（2016-2030）环境影响报告书》，规划环评提出的工业项目入驻要求如下：</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项目入驻与规划环评相符性分析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4153"/>
              <w:gridCol w:w="2160"/>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项目入驻要求</w:t>
                  </w:r>
                </w:p>
              </w:tc>
              <w:tc>
                <w:tcPr>
                  <w:tcW w:w="4153" w:type="dxa"/>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eastAsia="zh-CN"/>
                    </w:rPr>
                    <w:t>《宜良工业园区总体规划（2016-2030）环境影响报告书》</w:t>
                  </w:r>
                  <w:r>
                    <w:rPr>
                      <w:b w:val="0"/>
                      <w:bCs/>
                      <w:color w:val="auto"/>
                      <w:kern w:val="0"/>
                      <w:szCs w:val="21"/>
                      <w:highlight w:val="none"/>
                    </w:rPr>
                    <w:t>项目入驻要求</w:t>
                  </w:r>
                </w:p>
              </w:tc>
              <w:tc>
                <w:tcPr>
                  <w:tcW w:w="2160" w:type="dxa"/>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本项目情况</w:t>
                  </w:r>
                </w:p>
              </w:tc>
              <w:tc>
                <w:tcPr>
                  <w:tcW w:w="899" w:type="dxa"/>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入驻原则</w:t>
                  </w:r>
                </w:p>
              </w:tc>
              <w:tc>
                <w:tcPr>
                  <w:tcW w:w="4153"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1）符合国家及云南省相关产业政策原则：规划区引进的项目，其工艺、规模、产品、选址应符合国家及云南省相关产业政策、园区产业结构和功能布局要求；</w:t>
                  </w:r>
                </w:p>
                <w:p>
                  <w:pPr>
                    <w:autoSpaceDE w:val="0"/>
                    <w:autoSpaceDN w:val="0"/>
                    <w:adjustRightInd w:val="0"/>
                    <w:snapToGrid w:val="0"/>
                    <w:spacing w:line="360" w:lineRule="auto"/>
                    <w:rPr>
                      <w:color w:val="auto"/>
                      <w:kern w:val="0"/>
                      <w:szCs w:val="21"/>
                      <w:highlight w:val="none"/>
                    </w:rPr>
                  </w:pPr>
                  <w:r>
                    <w:rPr>
                      <w:color w:val="auto"/>
                      <w:kern w:val="0"/>
                      <w:szCs w:val="21"/>
                      <w:highlight w:val="none"/>
                    </w:rPr>
                    <w:t>2）有利于实现宜良县产业结构的原则：引进的项目，应有利于推进宜良县工业园区产业结构结症，有利于规划目标的达成；</w:t>
                  </w:r>
                </w:p>
                <w:p>
                  <w:pPr>
                    <w:autoSpaceDE w:val="0"/>
                    <w:autoSpaceDN w:val="0"/>
                    <w:adjustRightInd w:val="0"/>
                    <w:snapToGrid w:val="0"/>
                    <w:spacing w:line="360" w:lineRule="auto"/>
                    <w:rPr>
                      <w:color w:val="auto"/>
                      <w:kern w:val="0"/>
                      <w:szCs w:val="21"/>
                      <w:highlight w:val="none"/>
                    </w:rPr>
                  </w:pPr>
                  <w:r>
                    <w:rPr>
                      <w:color w:val="auto"/>
                      <w:kern w:val="0"/>
                      <w:szCs w:val="21"/>
                      <w:highlight w:val="none"/>
                    </w:rPr>
                    <w:t>3）资源节约原则：引进的项目应能够满足资源节约的原则，冶金、建材清洁生产水平应达国际先进，其余产业清洁生产水平应达到国内先进水平以上；</w:t>
                  </w:r>
                </w:p>
                <w:p>
                  <w:pPr>
                    <w:autoSpaceDE w:val="0"/>
                    <w:autoSpaceDN w:val="0"/>
                    <w:adjustRightInd w:val="0"/>
                    <w:snapToGrid w:val="0"/>
                    <w:spacing w:line="360" w:lineRule="auto"/>
                    <w:rPr>
                      <w:color w:val="auto"/>
                      <w:kern w:val="0"/>
                      <w:szCs w:val="21"/>
                      <w:highlight w:val="none"/>
                    </w:rPr>
                  </w:pPr>
                  <w:r>
                    <w:rPr>
                      <w:color w:val="auto"/>
                      <w:kern w:val="0"/>
                      <w:szCs w:val="21"/>
                      <w:highlight w:val="none"/>
                    </w:rPr>
                    <w:t>4）环境友好原则：引进的项目应符合环境友好的原则，优先引进无污染或少污染、耗水少、工业用水重复利用率高的企业；</w:t>
                  </w:r>
                </w:p>
                <w:p>
                  <w:pPr>
                    <w:autoSpaceDE w:val="0"/>
                    <w:autoSpaceDN w:val="0"/>
                    <w:adjustRightInd w:val="0"/>
                    <w:snapToGrid w:val="0"/>
                    <w:spacing w:line="360" w:lineRule="auto"/>
                    <w:rPr>
                      <w:color w:val="auto"/>
                      <w:kern w:val="0"/>
                      <w:szCs w:val="21"/>
                      <w:highlight w:val="none"/>
                    </w:rPr>
                  </w:pPr>
                  <w:r>
                    <w:rPr>
                      <w:color w:val="auto"/>
                      <w:kern w:val="0"/>
                      <w:szCs w:val="21"/>
                      <w:highlight w:val="none"/>
                    </w:rPr>
                    <w:t>5）协调发展原则：引进的项目应有利于统筹城乡协调发展，有利于改善区域环境质量。</w:t>
                  </w:r>
                </w:p>
              </w:tc>
              <w:tc>
                <w:tcPr>
                  <w:tcW w:w="2160"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本项目为分布式集中供热项目，为园区企业进行供热，本项目使用生物质颗粒作为燃料，符合现行的园区产业结构不冲突和功能布局。本项目的建设有效解决原企业小锅炉粗狂管理的运营模式。</w:t>
                  </w:r>
                </w:p>
              </w:tc>
              <w:tc>
                <w:tcPr>
                  <w:tcW w:w="899"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入驻项目环保要求</w:t>
                  </w:r>
                </w:p>
              </w:tc>
              <w:tc>
                <w:tcPr>
                  <w:tcW w:w="4153" w:type="dxa"/>
                  <w:vAlign w:val="center"/>
                </w:tcPr>
                <w:p>
                  <w:pPr>
                    <w:spacing w:line="360" w:lineRule="auto"/>
                    <w:rPr>
                      <w:rFonts w:hint="eastAsia" w:eastAsia="宋体"/>
                      <w:color w:val="auto"/>
                      <w:szCs w:val="21"/>
                      <w:highlight w:val="none"/>
                      <w:lang w:eastAsia="zh-CN"/>
                    </w:rPr>
                  </w:pPr>
                  <w:r>
                    <w:rPr>
                      <w:color w:val="auto"/>
                      <w:szCs w:val="21"/>
                      <w:highlight w:val="none"/>
                    </w:rPr>
                    <w:t>1）入驻项目应按照国家相关法律法规，开展环境影响评价工作</w:t>
                  </w:r>
                  <w:r>
                    <w:rPr>
                      <w:rFonts w:hint="eastAsia"/>
                      <w:color w:val="auto"/>
                      <w:szCs w:val="21"/>
                      <w:highlight w:val="none"/>
                      <w:lang w:eastAsia="zh-CN"/>
                    </w:rPr>
                    <w:t>；</w:t>
                  </w:r>
                </w:p>
                <w:p>
                  <w:pPr>
                    <w:spacing w:line="360" w:lineRule="auto"/>
                    <w:rPr>
                      <w:color w:val="auto"/>
                      <w:szCs w:val="21"/>
                      <w:highlight w:val="none"/>
                    </w:rPr>
                  </w:pPr>
                  <w:r>
                    <w:rPr>
                      <w:color w:val="auto"/>
                      <w:szCs w:val="21"/>
                      <w:highlight w:val="none"/>
                    </w:rPr>
                    <w:t>2）入驻项目必须实现达标排放，同时满足规划区总量控制要求；</w:t>
                  </w:r>
                </w:p>
                <w:p>
                  <w:pPr>
                    <w:spacing w:line="360" w:lineRule="auto"/>
                    <w:rPr>
                      <w:color w:val="auto"/>
                      <w:szCs w:val="21"/>
                      <w:highlight w:val="none"/>
                    </w:rPr>
                  </w:pPr>
                  <w:r>
                    <w:rPr>
                      <w:color w:val="auto"/>
                      <w:szCs w:val="21"/>
                      <w:highlight w:val="none"/>
                    </w:rPr>
                    <w:t>3）入驻项目应采取满足达标排放要求、运行稳定、技术先进、经济效益好的污染治理设施、措施；</w:t>
                  </w:r>
                </w:p>
                <w:p>
                  <w:pPr>
                    <w:spacing w:line="360" w:lineRule="auto"/>
                    <w:rPr>
                      <w:color w:val="auto"/>
                      <w:szCs w:val="21"/>
                      <w:highlight w:val="none"/>
                    </w:rPr>
                  </w:pPr>
                  <w:r>
                    <w:rPr>
                      <w:color w:val="auto"/>
                      <w:szCs w:val="21"/>
                      <w:highlight w:val="none"/>
                    </w:rPr>
                    <w:t>4）对排放相同特征污染物的企业，应鼓励企业之间建设联合污染治理措施，以降低污染治理成本；</w:t>
                  </w:r>
                </w:p>
                <w:p>
                  <w:pPr>
                    <w:spacing w:line="360" w:lineRule="auto"/>
                    <w:rPr>
                      <w:color w:val="auto"/>
                      <w:szCs w:val="21"/>
                      <w:highlight w:val="none"/>
                    </w:rPr>
                  </w:pPr>
                  <w:r>
                    <w:rPr>
                      <w:color w:val="auto"/>
                      <w:szCs w:val="21"/>
                      <w:highlight w:val="none"/>
                    </w:rPr>
                    <w:t>5）入驻企业产生的各种工业固体废弃物，应满足</w:t>
                  </w:r>
                  <w:r>
                    <w:rPr>
                      <w:rFonts w:hint="eastAsia"/>
                      <w:color w:val="auto"/>
                      <w:szCs w:val="21"/>
                      <w:highlight w:val="none"/>
                      <w:lang w:eastAsia="zh-CN"/>
                    </w:rPr>
                    <w:t>“</w:t>
                  </w:r>
                  <w:r>
                    <w:rPr>
                      <w:color w:val="auto"/>
                      <w:szCs w:val="21"/>
                      <w:highlight w:val="none"/>
                    </w:rPr>
                    <w:t>减量化、资源化、无害化</w:t>
                  </w:r>
                  <w:r>
                    <w:rPr>
                      <w:rFonts w:hint="eastAsia"/>
                      <w:color w:val="auto"/>
                      <w:szCs w:val="21"/>
                      <w:highlight w:val="none"/>
                      <w:lang w:eastAsia="zh-CN"/>
                    </w:rPr>
                    <w:t>”</w:t>
                  </w:r>
                  <w:r>
                    <w:rPr>
                      <w:color w:val="auto"/>
                      <w:szCs w:val="21"/>
                      <w:highlight w:val="none"/>
                    </w:rPr>
                    <w:t>要求，实现废物的综合利用；</w:t>
                  </w:r>
                </w:p>
                <w:p>
                  <w:pPr>
                    <w:spacing w:line="360" w:lineRule="auto"/>
                    <w:rPr>
                      <w:rFonts w:hint="eastAsia" w:eastAsia="宋体"/>
                      <w:color w:val="auto"/>
                      <w:szCs w:val="21"/>
                      <w:highlight w:val="none"/>
                      <w:lang w:eastAsia="zh-CN"/>
                    </w:rPr>
                  </w:pPr>
                  <w:r>
                    <w:rPr>
                      <w:color w:val="auto"/>
                      <w:szCs w:val="21"/>
                      <w:highlight w:val="none"/>
                    </w:rPr>
                    <w:t>6）应鼓励各入驻企业积极参与和本企业有关的环保技术的研发，并尽快形成生产力</w:t>
                  </w:r>
                  <w:r>
                    <w:rPr>
                      <w:rFonts w:hint="eastAsia"/>
                      <w:color w:val="auto"/>
                      <w:szCs w:val="21"/>
                      <w:highlight w:val="none"/>
                      <w:lang w:eastAsia="zh-CN"/>
                    </w:rPr>
                    <w:t>；</w:t>
                  </w:r>
                </w:p>
                <w:p>
                  <w:pPr>
                    <w:spacing w:line="360" w:lineRule="auto"/>
                    <w:rPr>
                      <w:color w:val="auto"/>
                      <w:szCs w:val="21"/>
                      <w:highlight w:val="none"/>
                    </w:rPr>
                  </w:pPr>
                  <w:r>
                    <w:rPr>
                      <w:color w:val="auto"/>
                      <w:szCs w:val="21"/>
                      <w:highlight w:val="none"/>
                    </w:rPr>
                    <w:t>7）入驻企业清洁生产水平应达到国内先进水平以上。</w:t>
                  </w:r>
                </w:p>
              </w:tc>
              <w:tc>
                <w:tcPr>
                  <w:tcW w:w="2160"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项目按照国家相关法律法律，正在开展环境影响评价工作。项目运营期间产生的各类污染物在采取相应的污染治理措施后外排污染物均可实现达标。项目产生的</w:t>
                  </w:r>
                  <w:r>
                    <w:rPr>
                      <w:color w:val="auto"/>
                      <w:szCs w:val="21"/>
                      <w:highlight w:val="none"/>
                    </w:rPr>
                    <w:t>固体废弃物，能够满足</w:t>
                  </w:r>
                  <w:r>
                    <w:rPr>
                      <w:rFonts w:hint="eastAsia"/>
                      <w:color w:val="auto"/>
                      <w:szCs w:val="21"/>
                      <w:highlight w:val="none"/>
                      <w:lang w:eastAsia="zh-CN"/>
                    </w:rPr>
                    <w:t>“</w:t>
                  </w:r>
                  <w:r>
                    <w:rPr>
                      <w:color w:val="auto"/>
                      <w:szCs w:val="21"/>
                      <w:highlight w:val="none"/>
                    </w:rPr>
                    <w:t>减量化、资源化、无害化</w:t>
                  </w:r>
                  <w:r>
                    <w:rPr>
                      <w:rFonts w:hint="eastAsia"/>
                      <w:color w:val="auto"/>
                      <w:szCs w:val="21"/>
                      <w:highlight w:val="none"/>
                      <w:lang w:eastAsia="zh-CN"/>
                    </w:rPr>
                    <w:t>”</w:t>
                  </w:r>
                  <w:r>
                    <w:rPr>
                      <w:color w:val="auto"/>
                      <w:szCs w:val="21"/>
                      <w:highlight w:val="none"/>
                    </w:rPr>
                    <w:t>要求，实现废物的综合利用。</w:t>
                  </w:r>
                </w:p>
              </w:tc>
              <w:tc>
                <w:tcPr>
                  <w:tcW w:w="899"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5"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产业分类</w:t>
                  </w:r>
                </w:p>
              </w:tc>
              <w:tc>
                <w:tcPr>
                  <w:tcW w:w="4153" w:type="dxa"/>
                  <w:vAlign w:val="center"/>
                </w:tcPr>
                <w:p>
                  <w:pPr>
                    <w:spacing w:line="360" w:lineRule="auto"/>
                    <w:rPr>
                      <w:color w:val="auto"/>
                      <w:szCs w:val="21"/>
                      <w:highlight w:val="none"/>
                    </w:rPr>
                  </w:pPr>
                  <w:r>
                    <w:rPr>
                      <w:color w:val="auto"/>
                      <w:szCs w:val="21"/>
                      <w:highlight w:val="none"/>
                    </w:rPr>
                    <w:t>1）云南铜业整体搬迁；</w:t>
                  </w:r>
                </w:p>
                <w:p>
                  <w:pPr>
                    <w:spacing w:line="360" w:lineRule="auto"/>
                    <w:rPr>
                      <w:color w:val="auto"/>
                      <w:szCs w:val="21"/>
                      <w:highlight w:val="none"/>
                    </w:rPr>
                  </w:pPr>
                  <w:r>
                    <w:rPr>
                      <w:color w:val="auto"/>
                      <w:szCs w:val="21"/>
                      <w:highlight w:val="none"/>
                    </w:rPr>
                    <w:t>2）铜金属为主要原材料的装备制造等产业；</w:t>
                  </w:r>
                </w:p>
                <w:p>
                  <w:pPr>
                    <w:spacing w:line="360" w:lineRule="auto"/>
                    <w:rPr>
                      <w:rFonts w:hint="eastAsia" w:eastAsia="宋体"/>
                      <w:color w:val="auto"/>
                      <w:szCs w:val="21"/>
                      <w:highlight w:val="none"/>
                      <w:lang w:eastAsia="zh-CN"/>
                    </w:rPr>
                  </w:pPr>
                  <w:r>
                    <w:rPr>
                      <w:color w:val="auto"/>
                      <w:szCs w:val="21"/>
                      <w:highlight w:val="none"/>
                    </w:rPr>
                    <w:t>3）特色化、规模化的特色农产品加工产业</w:t>
                  </w:r>
                  <w:r>
                    <w:rPr>
                      <w:rFonts w:hint="eastAsia"/>
                      <w:color w:val="auto"/>
                      <w:szCs w:val="21"/>
                      <w:highlight w:val="none"/>
                      <w:lang w:eastAsia="zh-CN"/>
                    </w:rPr>
                    <w:t>；</w:t>
                  </w:r>
                </w:p>
                <w:p>
                  <w:pPr>
                    <w:spacing w:line="360" w:lineRule="auto"/>
                    <w:rPr>
                      <w:rFonts w:hint="eastAsia" w:eastAsia="宋体"/>
                      <w:color w:val="auto"/>
                      <w:szCs w:val="21"/>
                      <w:highlight w:val="none"/>
                      <w:lang w:eastAsia="zh-CN"/>
                    </w:rPr>
                  </w:pPr>
                  <w:r>
                    <w:rPr>
                      <w:color w:val="auto"/>
                      <w:szCs w:val="21"/>
                      <w:highlight w:val="none"/>
                    </w:rPr>
                    <w:t>4）满足10.1.1及10.1.2要求的其它产业</w:t>
                  </w:r>
                  <w:r>
                    <w:rPr>
                      <w:rFonts w:hint="eastAsia"/>
                      <w:color w:val="auto"/>
                      <w:szCs w:val="21"/>
                      <w:highlight w:val="none"/>
                      <w:lang w:eastAsia="zh-CN"/>
                    </w:rPr>
                    <w:t>。</w:t>
                  </w:r>
                </w:p>
                <w:p>
                  <w:pPr>
                    <w:spacing w:line="360" w:lineRule="auto"/>
                    <w:rPr>
                      <w:color w:val="auto"/>
                      <w:szCs w:val="21"/>
                      <w:highlight w:val="none"/>
                    </w:rPr>
                  </w:pPr>
                  <w:r>
                    <w:rPr>
                      <w:color w:val="auto"/>
                      <w:szCs w:val="21"/>
                      <w:highlight w:val="none"/>
                    </w:rPr>
                    <w:t>有序发展下列产业：</w:t>
                  </w:r>
                </w:p>
                <w:p>
                  <w:pPr>
                    <w:spacing w:line="360" w:lineRule="auto"/>
                    <w:rPr>
                      <w:color w:val="auto"/>
                      <w:szCs w:val="21"/>
                      <w:highlight w:val="none"/>
                    </w:rPr>
                  </w:pPr>
                  <w:r>
                    <w:rPr>
                      <w:color w:val="auto"/>
                      <w:szCs w:val="21"/>
                      <w:highlight w:val="none"/>
                    </w:rPr>
                    <w:t>1）饲料加工产业；</w:t>
                  </w:r>
                </w:p>
                <w:p>
                  <w:pPr>
                    <w:spacing w:line="360" w:lineRule="auto"/>
                    <w:rPr>
                      <w:rFonts w:hint="eastAsia" w:eastAsia="宋体"/>
                      <w:color w:val="auto"/>
                      <w:szCs w:val="21"/>
                      <w:highlight w:val="none"/>
                      <w:lang w:eastAsia="zh-CN"/>
                    </w:rPr>
                  </w:pPr>
                  <w:r>
                    <w:rPr>
                      <w:color w:val="auto"/>
                      <w:szCs w:val="21"/>
                      <w:highlight w:val="none"/>
                    </w:rPr>
                    <w:t>2）新型建材产业（现有水泥行业对其脱硝装置进行提升改造）</w:t>
                  </w:r>
                  <w:r>
                    <w:rPr>
                      <w:rFonts w:hint="eastAsia"/>
                      <w:color w:val="auto"/>
                      <w:szCs w:val="21"/>
                      <w:highlight w:val="none"/>
                      <w:lang w:eastAsia="zh-CN"/>
                    </w:rPr>
                    <w:t>。</w:t>
                  </w:r>
                </w:p>
                <w:p>
                  <w:pPr>
                    <w:spacing w:line="360" w:lineRule="auto"/>
                    <w:rPr>
                      <w:color w:val="auto"/>
                      <w:szCs w:val="21"/>
                      <w:highlight w:val="none"/>
                    </w:rPr>
                  </w:pPr>
                  <w:r>
                    <w:rPr>
                      <w:color w:val="auto"/>
                      <w:szCs w:val="21"/>
                      <w:highlight w:val="none"/>
                    </w:rPr>
                    <w:t>限制发展下列产业：</w:t>
                  </w:r>
                </w:p>
                <w:p>
                  <w:pPr>
                    <w:spacing w:line="360" w:lineRule="auto"/>
                    <w:rPr>
                      <w:color w:val="auto"/>
                      <w:szCs w:val="21"/>
                      <w:highlight w:val="none"/>
                    </w:rPr>
                  </w:pPr>
                  <w:r>
                    <w:rPr>
                      <w:color w:val="auto"/>
                      <w:szCs w:val="21"/>
                      <w:highlight w:val="none"/>
                    </w:rPr>
                    <w:t>1）不符合规划功能布局的相关产业；</w:t>
                  </w:r>
                </w:p>
                <w:p>
                  <w:pPr>
                    <w:spacing w:line="360" w:lineRule="auto"/>
                    <w:rPr>
                      <w:color w:val="auto"/>
                      <w:szCs w:val="21"/>
                      <w:highlight w:val="none"/>
                    </w:rPr>
                  </w:pPr>
                  <w:r>
                    <w:rPr>
                      <w:color w:val="auto"/>
                      <w:szCs w:val="21"/>
                      <w:highlight w:val="none"/>
                    </w:rPr>
                    <w:t>2）国家规定限制发展、符合规划要求的其它产业。</w:t>
                  </w:r>
                </w:p>
                <w:p>
                  <w:pPr>
                    <w:spacing w:line="360" w:lineRule="auto"/>
                    <w:rPr>
                      <w:color w:val="auto"/>
                      <w:szCs w:val="21"/>
                      <w:highlight w:val="none"/>
                    </w:rPr>
                  </w:pPr>
                  <w:r>
                    <w:rPr>
                      <w:color w:val="auto"/>
                      <w:szCs w:val="21"/>
                      <w:highlight w:val="none"/>
                    </w:rPr>
                    <w:t>禁止发展下列产业：</w:t>
                  </w:r>
                </w:p>
                <w:p>
                  <w:pPr>
                    <w:spacing w:line="360" w:lineRule="auto"/>
                    <w:rPr>
                      <w:color w:val="auto"/>
                      <w:kern w:val="0"/>
                      <w:szCs w:val="21"/>
                      <w:highlight w:val="none"/>
                    </w:rPr>
                  </w:pPr>
                  <w:r>
                    <w:rPr>
                      <w:color w:val="auto"/>
                      <w:szCs w:val="21"/>
                      <w:highlight w:val="none"/>
                    </w:rPr>
                    <w:t>1）国家规定禁止发展的其他产业。</w:t>
                  </w:r>
                </w:p>
              </w:tc>
              <w:tc>
                <w:tcPr>
                  <w:tcW w:w="2160"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本项目为分布式集中供热项目，为园区饲料加工产业提供能源，符合园区产业分类；本项目使用生物质颗粒作为燃料，不属于</w:t>
                  </w:r>
                  <w:r>
                    <w:rPr>
                      <w:rFonts w:hint="eastAsia"/>
                      <w:color w:val="auto"/>
                      <w:kern w:val="0"/>
                      <w:szCs w:val="21"/>
                      <w:highlight w:val="none"/>
                      <w:lang w:val="en-US" w:eastAsia="zh-CN"/>
                    </w:rPr>
                    <w:t>限制</w:t>
                  </w:r>
                  <w:r>
                    <w:rPr>
                      <w:color w:val="auto"/>
                      <w:kern w:val="0"/>
                      <w:szCs w:val="21"/>
                      <w:highlight w:val="none"/>
                    </w:rPr>
                    <w:t>发展和禁止发展的产业。</w:t>
                  </w:r>
                </w:p>
              </w:tc>
              <w:tc>
                <w:tcPr>
                  <w:tcW w:w="899"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通过表1-3对照分析，本项目为分布式集中供热项目，使用生物质颗粒作为燃料，为园区饲料加工产业提供能源，本项目符合园区产业分类，不属于限制发展和禁止发展的产业，与《宜良工业园区总体规划（2016-2030）环境影响报告书》中对于项目入驻的要求规定不冲突。</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项目与规划环评审查意见相符性分析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7"/>
              <w:gridCol w:w="2835"/>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eastAsia="zh-CN"/>
                    </w:rPr>
                    <w:t>《</w:t>
                  </w:r>
                  <w:r>
                    <w:rPr>
                      <w:b w:val="0"/>
                      <w:bCs/>
                      <w:color w:val="auto"/>
                      <w:kern w:val="0"/>
                      <w:szCs w:val="21"/>
                      <w:highlight w:val="none"/>
                    </w:rPr>
                    <w:t>宜良工业园区总体规划（2016-2030）环境影响报告书</w:t>
                  </w:r>
                  <w:r>
                    <w:rPr>
                      <w:rFonts w:hint="eastAsia"/>
                      <w:b w:val="0"/>
                      <w:bCs/>
                      <w:color w:val="auto"/>
                      <w:kern w:val="0"/>
                      <w:szCs w:val="21"/>
                      <w:highlight w:val="none"/>
                      <w:lang w:eastAsia="zh-CN"/>
                    </w:rPr>
                    <w:t>》</w:t>
                  </w:r>
                  <w:r>
                    <w:rPr>
                      <w:b w:val="0"/>
                      <w:bCs/>
                      <w:color w:val="auto"/>
                      <w:kern w:val="0"/>
                      <w:szCs w:val="21"/>
                      <w:highlight w:val="none"/>
                    </w:rPr>
                    <w:t>审查意见要求</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本项目情况</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（一）树立红线意识和底线思维，严格遵守法律法规底线和生态保护红线，统筹保护好生态空间，严禁不符合管控要求的开发和建设活动。</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项目位于宜良工业园区北古城片区西北部地区及中东部地区，本项目为分布式集中供热项目，为园区企业进行供热，本项目使用生物质颗粒作为燃料，与现行的园区产业结构不冲突，本项目不属于</w:t>
                  </w:r>
                  <w:r>
                    <w:rPr>
                      <w:rFonts w:hint="eastAsia"/>
                      <w:b w:val="0"/>
                      <w:bCs/>
                      <w:color w:val="auto"/>
                      <w:kern w:val="0"/>
                      <w:szCs w:val="21"/>
                      <w:highlight w:val="none"/>
                      <w:lang w:eastAsia="zh-CN"/>
                    </w:rPr>
                    <w:t>“</w:t>
                  </w:r>
                  <w:r>
                    <w:rPr>
                      <w:b w:val="0"/>
                      <w:bCs/>
                      <w:color w:val="auto"/>
                      <w:kern w:val="0"/>
                      <w:szCs w:val="21"/>
                      <w:highlight w:val="none"/>
                    </w:rPr>
                    <w:t>园区环保负面清单</w:t>
                  </w:r>
                  <w:r>
                    <w:rPr>
                      <w:rFonts w:hint="eastAsia"/>
                      <w:b w:val="0"/>
                      <w:bCs/>
                      <w:color w:val="auto"/>
                      <w:kern w:val="0"/>
                      <w:szCs w:val="21"/>
                      <w:highlight w:val="none"/>
                      <w:lang w:eastAsia="zh-CN"/>
                    </w:rPr>
                    <w:t>”</w:t>
                  </w:r>
                  <w:r>
                    <w:rPr>
                      <w:b w:val="0"/>
                      <w:bCs/>
                      <w:color w:val="auto"/>
                      <w:kern w:val="0"/>
                      <w:szCs w:val="21"/>
                      <w:highlight w:val="none"/>
                    </w:rPr>
                    <w:t>中涉及的项目。</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（二）加强规划衔接，优化产业布局和结构。根据省、市、县</w:t>
                  </w:r>
                  <w:r>
                    <w:rPr>
                      <w:rFonts w:hint="eastAsia"/>
                      <w:b w:val="0"/>
                      <w:bCs/>
                      <w:color w:val="auto"/>
                      <w:kern w:val="0"/>
                      <w:szCs w:val="21"/>
                      <w:highlight w:val="none"/>
                      <w:lang w:eastAsia="zh-CN"/>
                    </w:rPr>
                    <w:t>“</w:t>
                  </w:r>
                  <w:r>
                    <w:rPr>
                      <w:b w:val="0"/>
                      <w:bCs/>
                      <w:color w:val="auto"/>
                      <w:kern w:val="0"/>
                      <w:szCs w:val="21"/>
                      <w:highlight w:val="none"/>
                    </w:rPr>
                    <w:t>十三五</w:t>
                  </w:r>
                  <w:r>
                    <w:rPr>
                      <w:rFonts w:hint="eastAsia"/>
                      <w:b w:val="0"/>
                      <w:bCs/>
                      <w:color w:val="auto"/>
                      <w:kern w:val="0"/>
                      <w:szCs w:val="21"/>
                      <w:highlight w:val="none"/>
                      <w:lang w:eastAsia="zh-CN"/>
                    </w:rPr>
                    <w:t>”</w:t>
                  </w:r>
                  <w:r>
                    <w:rPr>
                      <w:b w:val="0"/>
                      <w:bCs/>
                      <w:color w:val="auto"/>
                      <w:kern w:val="0"/>
                      <w:szCs w:val="21"/>
                      <w:highlight w:val="none"/>
                    </w:rPr>
                    <w:t>工业产业布局规划，结合主体功能区划、宜良县城市总体规划、土地利用规划等进一步优化园区产业规划和布局，确保符合相关规划要求。</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本项目为分布式集中供热项目，为园区企业进行供热，本项目使用生物质颗粒作为燃料，与现行的园区产业结构不冲突，本项目不属于</w:t>
                  </w:r>
                  <w:r>
                    <w:rPr>
                      <w:rFonts w:hint="eastAsia"/>
                      <w:b w:val="0"/>
                      <w:bCs/>
                      <w:color w:val="auto"/>
                      <w:kern w:val="0"/>
                      <w:szCs w:val="21"/>
                      <w:highlight w:val="none"/>
                      <w:lang w:eastAsia="zh-CN"/>
                    </w:rPr>
                    <w:t>“</w:t>
                  </w:r>
                  <w:r>
                    <w:rPr>
                      <w:b w:val="0"/>
                      <w:bCs/>
                      <w:color w:val="auto"/>
                      <w:kern w:val="0"/>
                      <w:szCs w:val="21"/>
                      <w:highlight w:val="none"/>
                    </w:rPr>
                    <w:t>园区环保负面清单</w:t>
                  </w:r>
                  <w:r>
                    <w:rPr>
                      <w:rFonts w:hint="eastAsia"/>
                      <w:b w:val="0"/>
                      <w:bCs/>
                      <w:color w:val="auto"/>
                      <w:kern w:val="0"/>
                      <w:szCs w:val="21"/>
                      <w:highlight w:val="none"/>
                      <w:lang w:eastAsia="zh-CN"/>
                    </w:rPr>
                    <w:t>”</w:t>
                  </w:r>
                  <w:r>
                    <w:rPr>
                      <w:b w:val="0"/>
                      <w:bCs/>
                      <w:color w:val="auto"/>
                      <w:kern w:val="0"/>
                      <w:szCs w:val="21"/>
                      <w:highlight w:val="none"/>
                    </w:rPr>
                    <w:t>中涉及的项目。</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（三）综合考虑园区制约因素和环境问题，调整优化片区功能定位、产业布局、结构和规模。</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园区布局应考虑避让南盘江及其支流马蹄河并符合河道管理相关规定，园区与河道间应规划设置生态防护带，保护好河道生态空间。废水产生量大、对水体易造成污染、环境风险大的项目应远离南盘江，并采取严格的环境风险防范措施确保风险可控。</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园区北古城和木龙组团规划布局对环境质量要求高的居住区、医院、学校及果疏加工、野生菌加工、高原特色食品加工等特色轻工产业，与规划和已建设的钢铁、冶金、水泥等重污染产业相邻，易受到污染影响，存在较大的环境风险隐患，应进一步优化布局。同时根据产业相关防护距离要求逐步搬迁可能受影响的村庄，避免产生环境污染纠纷。</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产业布局应充分考虑区域的资源和环境承载力，严格环境准入。根据区域大气环境容量，合理确定北古城和木龙组团布局的钢铁、冶炼等重污染产业规模。区域内原有冶炼和传统建筑材料等重污染企业要开展技术升级改造和环保设施的提标改造，实现污染物减排和区域环境质量改善，为后续项目腾出环境容量。</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重视规划布局产业与周边居住区的关系，结合主导风向、环境防护距离等因素进行优化调整。加大组团内现有住户的搬迁安置，在没有搬迁计划的居民区附近不得布局排放异味等以大气污染物为主的企业。</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园区产业布局和项目建设应充分考虑对地下水的影响，做好地下水污染防治和监控，严格工程地质勘查，采取针对性防治措施，确保区域地下水安全。</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本项目为分布式集中供热项目，是为饲料产业提供热能，符合片区功能区划。</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四）加快环保基础设施建设，各组团应根据用地规模、开发程度、产业集聚程度及排水条件，完善组团雨污分流管网，规划建设污水集中处理设施及中水回用设施。受园区所在位置地表水环境敏感的制约，各组团排污口设置须符合相关要求，同时对涉重金属、持久性有机污染物等废水排放的产业进行严格限制。入园企业要做好固废的处置，重点做好危险废物的处理处置及管理工作。</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本项目产生的固体废物均得到合理处置，处置率为100%</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（五）加强环境风险防范和管理措施，对于进驻园区项目在选址布局时要充分考虑环境防护距离的要求，制定有效完善的事故应急预案并加强演练。</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项目已加强环境风险防范和管理措施，选址布局符合环境防护距离的要求，项目会按照相关要求进行突发环境事件应急工作。</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通过表1-4分析，本项目符合《宜良工业园区总体规划（2016-2030）环境影响报告书》审查意见的相关要求。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autoSpaceDE w:val="0"/>
              <w:autoSpaceDN w:val="0"/>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其他符合性分析</w:t>
            </w:r>
          </w:p>
        </w:tc>
        <w:tc>
          <w:tcPr>
            <w:tcW w:w="826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1、产业政策符合性分析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国民经济行业分类》（GBT4754-2017）（2019修改），本项目属于D4430热力生产及供应，根据《产业结构调整指导目录（2024年本）》，该项目不属于其中“鼓励类、限制类及淘汰类”，且符合国家有关法律、法规和政策规定的，属于允许类”，故本项目属于允许类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昆明甲乙木能源技术有限公司于2022年4月25日取得宜良县发展和改革局核发的投资项目备案证（项目代码2204-530125-04-01-454254）。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因此，本项目符合国家相关产业政策。</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三线一单</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b/>
                <w:bCs/>
                <w:color w:val="auto"/>
                <w:sz w:val="24"/>
                <w:szCs w:val="24"/>
                <w:highlight w:val="none"/>
                <w:lang w:val="en-US" w:eastAsia="zh-CN"/>
              </w:rPr>
            </w:pPr>
            <w:r>
              <w:rPr>
                <w:rFonts w:hint="default"/>
                <w:b/>
                <w:bCs/>
                <w:color w:val="auto"/>
                <w:sz w:val="24"/>
                <w:szCs w:val="24"/>
                <w:highlight w:val="none"/>
                <w:lang w:val="en-US" w:eastAsia="zh-CN"/>
              </w:rPr>
              <w:t>（1）生态保护红线符合性分析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color w:val="auto"/>
                <w:sz w:val="24"/>
                <w:szCs w:val="24"/>
                <w:highlight w:val="none"/>
                <w:lang w:val="en-US" w:eastAsia="zh-CN"/>
              </w:rPr>
              <w:t>根据昆明市人民政府文件《昆明市人民政府关于昆明市</w:t>
            </w:r>
            <w:r>
              <w:rPr>
                <w:rFonts w:hint="eastAsia"/>
                <w:color w:val="auto"/>
                <w:sz w:val="24"/>
                <w:szCs w:val="24"/>
                <w:highlight w:val="none"/>
                <w:lang w:val="en-US" w:eastAsia="zh-CN"/>
              </w:rPr>
              <w:t>“</w:t>
            </w:r>
            <w:r>
              <w:rPr>
                <w:rFonts w:hint="default"/>
                <w:color w:val="auto"/>
                <w:sz w:val="24"/>
                <w:szCs w:val="24"/>
                <w:highlight w:val="none"/>
                <w:lang w:val="en-US" w:eastAsia="zh-CN"/>
              </w:rPr>
              <w:t>三线一单</w:t>
            </w:r>
            <w:r>
              <w:rPr>
                <w:rFonts w:hint="eastAsia"/>
                <w:color w:val="auto"/>
                <w:sz w:val="24"/>
                <w:szCs w:val="24"/>
                <w:highlight w:val="none"/>
                <w:lang w:val="en-US" w:eastAsia="zh-CN"/>
              </w:rPr>
              <w:t>”</w:t>
            </w:r>
            <w:r>
              <w:rPr>
                <w:rFonts w:hint="default"/>
                <w:color w:val="auto"/>
                <w:sz w:val="24"/>
                <w:szCs w:val="24"/>
                <w:highlight w:val="none"/>
                <w:lang w:val="en-US" w:eastAsia="zh-CN"/>
              </w:rPr>
              <w:t>生态环境分区管控的实施意见》（昆政发〔2021〕21号），生态保护红线区严格执行云南省人民政府发布的《云南省生态保护红线》，全市生态保护红线总面积为466253</w:t>
            </w:r>
            <w:r>
              <w:rPr>
                <w:rFonts w:hint="default" w:ascii="Times New Roman" w:hAnsi="Times New Roman" w:cs="Times New Roman"/>
                <w:color w:val="auto"/>
                <w:sz w:val="24"/>
                <w:szCs w:val="24"/>
                <w:highlight w:val="none"/>
                <w:lang w:val="en-US" w:eastAsia="zh-CN"/>
              </w:rPr>
              <w:t>km²</w:t>
            </w:r>
            <w:r>
              <w:rPr>
                <w:rFonts w:hint="default"/>
                <w:color w:val="auto"/>
                <w:sz w:val="24"/>
                <w:szCs w:val="24"/>
                <w:highlight w:val="none"/>
                <w:lang w:val="en-US" w:eastAsia="zh-CN"/>
              </w:rPr>
              <w:t>，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w:t>
            </w:r>
            <w:r>
              <w:rPr>
                <w:rFonts w:hint="default" w:ascii="Times New Roman" w:hAnsi="Times New Roman" w:eastAsia="宋体" w:cs="Times New Roman"/>
                <w:color w:val="auto"/>
                <w:sz w:val="24"/>
                <w:szCs w:val="24"/>
                <w:highlight w:val="none"/>
                <w:lang w:val="en-US" w:eastAsia="zh-CN"/>
              </w:rPr>
              <w:t>、性质不改变。将未划入生态保护红线的自然保护地、饮用水水源保护区、重要湿地、基本草原、生态公益林、天然林等生态功能重要、生态环境敏感区域划为一般生态空间，全市一般生态空间面积为460643</w:t>
            </w:r>
            <w:r>
              <w:rPr>
                <w:rFonts w:hint="default" w:ascii="Times New Roman" w:hAnsi="Times New Roman" w:cs="Times New Roman"/>
                <w:color w:val="auto"/>
                <w:sz w:val="24"/>
                <w:szCs w:val="24"/>
                <w:highlight w:val="none"/>
                <w:lang w:val="en-US" w:eastAsia="zh-CN"/>
              </w:rPr>
              <w:t>km²</w:t>
            </w:r>
            <w:r>
              <w:rPr>
                <w:rFonts w:hint="default" w:ascii="Times New Roman" w:hAnsi="Times New Roman" w:eastAsia="宋体" w:cs="Times New Roman"/>
                <w:color w:val="auto"/>
                <w:sz w:val="24"/>
                <w:szCs w:val="24"/>
                <w:highlight w:val="none"/>
                <w:lang w:val="en-US" w:eastAsia="zh-CN"/>
              </w:rPr>
              <w:t>，占全市国土面积的21.92%。一般生态空间参照主体功能区中重点生态功能区的开发和管制原则进行管控，依法限制大规模高强度的工业化和城镇化开发建设活动，划入一般生态空间的各类自然保护地原则上按照原管控要求进行管理，其他一般生态空间根据用途分区，依法依规进行生态环境管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昆明市宜良县宜良工业园区北古城片区，本项目用地范围及评价范围内不涉及云南省生态保护红线范围内的生态保护红线区域，也不在未划入生态保护红线的自然保护地、饮用水水源保护区、重要湿地、基本草原、生态公益林、天然林等生态功能重要、生态环境敏感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故本项目与生态保护红线相符。</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根据昆明市人民政府文件《昆明市人民政府关于昆明市</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实施意见》（昆政发〔2021〕21号），环境质量底线目标：到2025年，全市生态环境质量持续改善，生态空间得到优化和有效保护，区域生态安全屏障更加牢固。全市环境空气质量总体保持优良，主城建成区空气质量优良天数占比达99%以上，二氧化硫（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）和氮氧化物（NOx）排放总量控制在省下达的目标以内，主城区空气中颗粒物（PM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域内环境空气质量满足《环境空气质量标准》（GB3095-2012）及修改单中二级标准；南盘江与2021年相比，狗街断面水质类别由Ⅴ类提升为Ⅳ类，水质现状不能满足《地表水环境质量标准》（GB3838-2002）III类标准要求；项目区域声环境达到《声环境质量标准》（GB12348-2008）中3类标准。项目产生的大气污染物经多管旋风除尘器+布袋除尘器除尘处理后达标排放；厂界噪声达标排放；软水制备废水和生物质锅炉排污水经过管道接入烟气蒸器用于烟气降温，随烟气蒸发，不外排；生物质颗粒燃烧灰渣及除尘器收集的粉尘装袋收集后，外售用作肥料，固体废物合格处置率100%。项目运营期经过采取相应的污染防治措施后，确保污染物能够做到达标排放，项目建设及营运不会改变区域环境功能质量底线。</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（3）资源利用上线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根据昆明市人民政府文件《昆明市人民政府关于昆明市</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生态环境分区管控的实施意见》（昆政发〔2021〕21号），昆明市资源利用上线要求为：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按照国家、省、市有关要求和规划，按时完成全市用水总量、用水效率、限制纳污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三条红线</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水资源上限控制指标；按时完成耕地保有量、基本农田保护面积、建设用地总规模等土地资源利用上限控制指标；按时完成单位GDP能耗下降率、能源消费总量等能源控制指标。</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属于高能耗、高污染、资源型项目，运营过程中使用自来水，由市政管网接入，项目建设不新增用地，不涉及耕地、基本农田保护范围，项目属于宜良工业园区北古城片区范围，项目资源利用相对区域资源利用量较少，不会突破区域资源利用上线要求。</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（4）环境准入负面清单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根据昆明市人民政府文件《昆明市人民政府关于昆明市</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实施意见》（昆政发〔2021〕21号），昆明市生态环境分区管控体系：根据划分的全市环境管控单元的特征，对每个管控单元分别提出了生态环境管控要求，形成昆明市环境管控单元生态环境准入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本项目位于云南宜良工业园区重点管控单元，相关环境准入及管控要求相符性分析见下表。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5项目与昆明市环境管控单元生态环境准入清单符合性分析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36"/>
              <w:gridCol w:w="3292"/>
              <w:gridCol w:w="236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Align w:val="center"/>
                </w:tcPr>
                <w:p>
                  <w:pPr>
                    <w:autoSpaceDE w:val="0"/>
                    <w:autoSpaceDN w:val="0"/>
                    <w:adjustRightInd w:val="0"/>
                    <w:snapToGrid w:val="0"/>
                    <w:spacing w:line="360" w:lineRule="auto"/>
                    <w:rPr>
                      <w:rFonts w:hint="eastAsia" w:eastAsia="宋体"/>
                      <w:b w:val="0"/>
                      <w:bCs/>
                      <w:color w:val="auto"/>
                      <w:kern w:val="0"/>
                      <w:szCs w:val="21"/>
                      <w:highlight w:val="none"/>
                      <w:lang w:val="en-US" w:eastAsia="zh-CN"/>
                    </w:rPr>
                  </w:pPr>
                  <w:r>
                    <w:rPr>
                      <w:rFonts w:hint="eastAsia"/>
                      <w:b w:val="0"/>
                      <w:bCs/>
                      <w:color w:val="auto"/>
                      <w:kern w:val="0"/>
                      <w:szCs w:val="21"/>
                      <w:highlight w:val="none"/>
                      <w:lang w:val="en-US" w:eastAsia="zh-CN"/>
                    </w:rPr>
                    <w:t>单元名称</w:t>
                  </w:r>
                </w:p>
              </w:tc>
              <w:tc>
                <w:tcPr>
                  <w:tcW w:w="2506" w:type="pct"/>
                  <w:gridSpan w:val="2"/>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环境准入及管控要求</w:t>
                  </w:r>
                </w:p>
              </w:tc>
              <w:tc>
                <w:tcPr>
                  <w:tcW w:w="1471" w:type="pct"/>
                  <w:vAlign w:val="center"/>
                </w:tcPr>
                <w:p>
                  <w:pPr>
                    <w:autoSpaceDE w:val="0"/>
                    <w:autoSpaceDN w:val="0"/>
                    <w:adjustRightInd w:val="0"/>
                    <w:snapToGrid w:val="0"/>
                    <w:spacing w:line="360" w:lineRule="auto"/>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项目情况</w:t>
                  </w:r>
                </w:p>
              </w:tc>
              <w:tc>
                <w:tcPr>
                  <w:tcW w:w="529" w:type="pct"/>
                  <w:vAlign w:val="center"/>
                </w:tcPr>
                <w:p>
                  <w:pPr>
                    <w:autoSpaceDE w:val="0"/>
                    <w:autoSpaceDN w:val="0"/>
                    <w:adjustRightInd w:val="0"/>
                    <w:snapToGrid w:val="0"/>
                    <w:spacing w:line="360" w:lineRule="auto"/>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restart"/>
                  <w:vAlign w:val="center"/>
                </w:tcPr>
                <w:p>
                  <w:pPr>
                    <w:autoSpaceDE w:val="0"/>
                    <w:autoSpaceDN w:val="0"/>
                    <w:adjustRightInd w:val="0"/>
                    <w:snapToGrid w:val="0"/>
                    <w:spacing w:line="360" w:lineRule="auto"/>
                    <w:rPr>
                      <w:rFonts w:hint="default"/>
                      <w:b w:val="0"/>
                      <w:bCs/>
                      <w:color w:val="auto"/>
                      <w:kern w:val="0"/>
                      <w:szCs w:val="21"/>
                      <w:highlight w:val="none"/>
                      <w:lang w:val="en-US"/>
                    </w:rPr>
                  </w:pPr>
                  <w:r>
                    <w:rPr>
                      <w:rFonts w:hint="eastAsia"/>
                      <w:b w:val="0"/>
                      <w:bCs/>
                      <w:color w:val="auto"/>
                      <w:kern w:val="0"/>
                      <w:szCs w:val="21"/>
                      <w:highlight w:val="none"/>
                      <w:lang w:val="en-US" w:eastAsia="zh-CN"/>
                    </w:rPr>
                    <w:t>云南宜良工业园区</w:t>
                  </w:r>
                </w:p>
              </w:tc>
              <w:tc>
                <w:tcPr>
                  <w:tcW w:w="458" w:type="pct"/>
                  <w:vMerge w:val="restart"/>
                  <w:vAlign w:val="center"/>
                </w:tcPr>
                <w:p>
                  <w:pPr>
                    <w:autoSpaceDE w:val="0"/>
                    <w:autoSpaceDN w:val="0"/>
                    <w:adjustRightInd w:val="0"/>
                    <w:snapToGrid w:val="0"/>
                    <w:spacing w:line="360" w:lineRule="auto"/>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空间布局约束</w:t>
                  </w:r>
                </w:p>
              </w:tc>
              <w:tc>
                <w:tcPr>
                  <w:tcW w:w="2048" w:type="pct"/>
                  <w:vAlign w:val="center"/>
                </w:tcPr>
                <w:p>
                  <w:pPr>
                    <w:autoSpaceDE w:val="0"/>
                    <w:autoSpaceDN w:val="0"/>
                    <w:adjustRightInd w:val="0"/>
                    <w:snapToGrid w:val="0"/>
                    <w:spacing w:line="360" w:lineRule="auto"/>
                    <w:rPr>
                      <w:b w:val="0"/>
                      <w:bCs/>
                      <w:color w:val="auto"/>
                      <w:kern w:val="0"/>
                      <w:szCs w:val="21"/>
                      <w:highlight w:val="none"/>
                    </w:rPr>
                  </w:pPr>
                  <w:r>
                    <w:rPr>
                      <w:rFonts w:hint="default"/>
                      <w:b w:val="0"/>
                      <w:bCs/>
                      <w:color w:val="auto"/>
                      <w:kern w:val="0"/>
                      <w:szCs w:val="21"/>
                      <w:highlight w:val="none"/>
                      <w:lang w:val="en-US" w:eastAsia="zh-CN"/>
                    </w:rPr>
                    <w:t>重点发展有色金属新材料、装备制造、新型建材、特色轻工业等产业</w:t>
                  </w:r>
                  <w:r>
                    <w:rPr>
                      <w:rFonts w:hint="eastAsia"/>
                      <w:b w:val="0"/>
                      <w:bCs/>
                      <w:color w:val="auto"/>
                      <w:kern w:val="0"/>
                      <w:szCs w:val="21"/>
                      <w:highlight w:val="none"/>
                      <w:lang w:val="en-US" w:eastAsia="zh-CN"/>
                    </w:rPr>
                    <w:t>。</w:t>
                  </w:r>
                </w:p>
              </w:tc>
              <w:tc>
                <w:tcPr>
                  <w:tcW w:w="1471" w:type="pct"/>
                  <w:vAlign w:val="center"/>
                </w:tcPr>
                <w:p>
                  <w:pPr>
                    <w:autoSpaceDE w:val="0"/>
                    <w:autoSpaceDN w:val="0"/>
                    <w:adjustRightInd w:val="0"/>
                    <w:snapToGrid w:val="0"/>
                    <w:spacing w:line="360" w:lineRule="auto"/>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本项目为分布式集中供热项目，主要是为园区企业进行供热，供热的企业主要是饲料加工企业，属于园区发展的特色轻工业。</w:t>
                  </w:r>
                </w:p>
              </w:tc>
              <w:tc>
                <w:tcPr>
                  <w:tcW w:w="529" w:type="pct"/>
                  <w:vAlign w:val="center"/>
                </w:tcPr>
                <w:p>
                  <w:pPr>
                    <w:autoSpaceDE w:val="0"/>
                    <w:autoSpaceDN w:val="0"/>
                    <w:adjustRightInd w:val="0"/>
                    <w:snapToGrid w:val="0"/>
                    <w:spacing w:line="360" w:lineRule="auto"/>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pPr>
                    <w:autoSpaceDE w:val="0"/>
                    <w:autoSpaceDN w:val="0"/>
                    <w:adjustRightInd w:val="0"/>
                    <w:snapToGrid w:val="0"/>
                    <w:spacing w:line="360" w:lineRule="auto"/>
                    <w:rPr>
                      <w:rFonts w:hint="eastAsia"/>
                      <w:b w:val="0"/>
                      <w:bCs/>
                      <w:color w:val="auto"/>
                      <w:kern w:val="0"/>
                      <w:szCs w:val="21"/>
                      <w:highlight w:val="none"/>
                      <w:lang w:val="en-US" w:eastAsia="zh-CN"/>
                    </w:rPr>
                  </w:pPr>
                </w:p>
              </w:tc>
              <w:tc>
                <w:tcPr>
                  <w:tcW w:w="458" w:type="pct"/>
                  <w:vMerge w:val="continue"/>
                  <w:vAlign w:val="center"/>
                </w:tcPr>
                <w:p>
                  <w:pPr>
                    <w:autoSpaceDE w:val="0"/>
                    <w:autoSpaceDN w:val="0"/>
                    <w:adjustRightInd w:val="0"/>
                    <w:snapToGrid w:val="0"/>
                    <w:spacing w:line="360" w:lineRule="auto"/>
                    <w:rPr>
                      <w:rFonts w:hint="eastAsia"/>
                      <w:b w:val="0"/>
                      <w:bCs/>
                      <w:color w:val="auto"/>
                      <w:kern w:val="0"/>
                      <w:szCs w:val="21"/>
                      <w:highlight w:val="none"/>
                      <w:lang w:val="en-US" w:eastAsia="zh-CN"/>
                    </w:rPr>
                  </w:pPr>
                </w:p>
              </w:tc>
              <w:tc>
                <w:tcPr>
                  <w:tcW w:w="2048" w:type="pct"/>
                  <w:vAlign w:val="center"/>
                </w:tcPr>
                <w:p>
                  <w:pPr>
                    <w:autoSpaceDE w:val="0"/>
                    <w:autoSpaceDN w:val="0"/>
                    <w:adjustRightInd w:val="0"/>
                    <w:snapToGrid w:val="0"/>
                    <w:spacing w:line="360" w:lineRule="auto"/>
                    <w:rPr>
                      <w:b w:val="0"/>
                      <w:bCs/>
                      <w:color w:val="auto"/>
                      <w:kern w:val="0"/>
                      <w:szCs w:val="21"/>
                      <w:highlight w:val="none"/>
                    </w:rPr>
                  </w:pPr>
                  <w:r>
                    <w:rPr>
                      <w:rFonts w:hint="default"/>
                      <w:b w:val="0"/>
                      <w:bCs/>
                      <w:color w:val="auto"/>
                      <w:kern w:val="0"/>
                      <w:szCs w:val="21"/>
                      <w:highlight w:val="none"/>
                      <w:lang w:val="en-US" w:eastAsia="zh-CN"/>
                    </w:rPr>
                    <w:t>北古城园区、东山园区禁止发展农林、房地产（规划居住区除外）、食品、医药等易受冶金、化工、建材行业污染影响的行业；农产品加工园区禁止发展易对食品加工生产造成污染影响的冶金、化工、建材等行业</w:t>
                  </w:r>
                  <w:r>
                    <w:rPr>
                      <w:rFonts w:hint="eastAsia"/>
                      <w:b w:val="0"/>
                      <w:bCs/>
                      <w:color w:val="auto"/>
                      <w:kern w:val="0"/>
                      <w:szCs w:val="21"/>
                      <w:highlight w:val="none"/>
                      <w:lang w:val="en-US" w:eastAsia="zh-CN"/>
                    </w:rPr>
                    <w:t>。</w:t>
                  </w:r>
                </w:p>
              </w:tc>
              <w:tc>
                <w:tcPr>
                  <w:tcW w:w="1471" w:type="pct"/>
                  <w:vAlign w:val="center"/>
                </w:tcPr>
                <w:p>
                  <w:pPr>
                    <w:autoSpaceDE w:val="0"/>
                    <w:autoSpaceDN w:val="0"/>
                    <w:adjustRightInd w:val="0"/>
                    <w:snapToGrid w:val="0"/>
                    <w:spacing w:line="360" w:lineRule="auto"/>
                    <w:rPr>
                      <w:b w:val="0"/>
                      <w:bCs/>
                      <w:color w:val="auto"/>
                      <w:kern w:val="0"/>
                      <w:szCs w:val="21"/>
                      <w:highlight w:val="none"/>
                    </w:rPr>
                  </w:pPr>
                  <w:r>
                    <w:rPr>
                      <w:rFonts w:hint="default"/>
                      <w:b w:val="0"/>
                      <w:bCs/>
                      <w:color w:val="auto"/>
                      <w:kern w:val="0"/>
                      <w:szCs w:val="21"/>
                      <w:highlight w:val="none"/>
                      <w:lang w:val="en-US" w:eastAsia="zh-CN"/>
                    </w:rPr>
                    <w:t>项目位于宜良工业园区北古城片区</w:t>
                  </w:r>
                  <w:r>
                    <w:rPr>
                      <w:rFonts w:hint="eastAsia"/>
                      <w:b w:val="0"/>
                      <w:bCs/>
                      <w:color w:val="auto"/>
                      <w:kern w:val="0"/>
                      <w:szCs w:val="21"/>
                      <w:highlight w:val="none"/>
                      <w:lang w:val="en-US" w:eastAsia="zh-CN"/>
                    </w:rPr>
                    <w:t>，不属于</w:t>
                  </w:r>
                  <w:r>
                    <w:rPr>
                      <w:rFonts w:hint="default"/>
                      <w:b w:val="0"/>
                      <w:bCs/>
                      <w:color w:val="auto"/>
                      <w:kern w:val="0"/>
                      <w:szCs w:val="21"/>
                      <w:highlight w:val="none"/>
                      <w:lang w:val="en-US" w:eastAsia="zh-CN"/>
                    </w:rPr>
                    <w:t>禁止发展</w:t>
                  </w:r>
                  <w:r>
                    <w:rPr>
                      <w:rFonts w:hint="eastAsia"/>
                      <w:b w:val="0"/>
                      <w:bCs/>
                      <w:color w:val="auto"/>
                      <w:kern w:val="0"/>
                      <w:szCs w:val="21"/>
                      <w:highlight w:val="none"/>
                      <w:lang w:val="en-US" w:eastAsia="zh-CN"/>
                    </w:rPr>
                    <w:t>的</w:t>
                  </w:r>
                  <w:r>
                    <w:rPr>
                      <w:rFonts w:hint="default"/>
                      <w:b w:val="0"/>
                      <w:bCs/>
                      <w:color w:val="auto"/>
                      <w:kern w:val="0"/>
                      <w:szCs w:val="21"/>
                      <w:highlight w:val="none"/>
                      <w:lang w:val="en-US" w:eastAsia="zh-CN"/>
                    </w:rPr>
                    <w:t>农林、房地产、食品、医药等易受冶金、化工、建材行业污染影响的行业</w:t>
                  </w:r>
                  <w:r>
                    <w:rPr>
                      <w:rFonts w:hint="eastAsia"/>
                      <w:b w:val="0"/>
                      <w:bCs/>
                      <w:color w:val="auto"/>
                      <w:kern w:val="0"/>
                      <w:szCs w:val="21"/>
                      <w:highlight w:val="none"/>
                      <w:lang w:val="en-US" w:eastAsia="zh-CN"/>
                    </w:rPr>
                    <w:t>。</w:t>
                  </w:r>
                </w:p>
              </w:tc>
              <w:tc>
                <w:tcPr>
                  <w:tcW w:w="529" w:type="pct"/>
                  <w:vAlign w:val="center"/>
                </w:tcPr>
                <w:p>
                  <w:pPr>
                    <w:autoSpaceDE w:val="0"/>
                    <w:autoSpaceDN w:val="0"/>
                    <w:adjustRightInd w:val="0"/>
                    <w:snapToGrid w:val="0"/>
                    <w:spacing w:line="360" w:lineRule="auto"/>
                    <w:rPr>
                      <w:rFonts w:hint="eastAsia" w:eastAsia="宋体"/>
                      <w:b w:val="0"/>
                      <w:bCs/>
                      <w:color w:val="auto"/>
                      <w:kern w:val="0"/>
                      <w:szCs w:val="21"/>
                      <w:highlight w:val="none"/>
                      <w:lang w:val="en-US" w:eastAsia="zh-CN"/>
                    </w:rPr>
                  </w:pPr>
                  <w:r>
                    <w:rPr>
                      <w:rFonts w:hint="eastAsia"/>
                      <w:b w:val="0"/>
                      <w:bCs/>
                      <w:color w:val="auto"/>
                      <w:kern w:val="0"/>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pPr>
                    <w:autoSpaceDE w:val="0"/>
                    <w:autoSpaceDN w:val="0"/>
                    <w:adjustRightInd w:val="0"/>
                    <w:snapToGrid w:val="0"/>
                    <w:spacing w:line="360" w:lineRule="auto"/>
                    <w:rPr>
                      <w:rFonts w:hint="eastAsia"/>
                      <w:b w:val="0"/>
                      <w:bCs/>
                      <w:color w:val="auto"/>
                      <w:kern w:val="0"/>
                      <w:szCs w:val="21"/>
                      <w:highlight w:val="none"/>
                      <w:lang w:val="en-US" w:eastAsia="zh-CN"/>
                    </w:rPr>
                  </w:pPr>
                </w:p>
              </w:tc>
              <w:tc>
                <w:tcPr>
                  <w:tcW w:w="458" w:type="pct"/>
                  <w:vMerge w:val="continue"/>
                  <w:vAlign w:val="center"/>
                </w:tcPr>
                <w:p>
                  <w:pPr>
                    <w:autoSpaceDE w:val="0"/>
                    <w:autoSpaceDN w:val="0"/>
                    <w:adjustRightInd w:val="0"/>
                    <w:snapToGrid w:val="0"/>
                    <w:spacing w:line="360" w:lineRule="auto"/>
                    <w:rPr>
                      <w:rFonts w:hint="eastAsia"/>
                      <w:b w:val="0"/>
                      <w:bCs/>
                      <w:color w:val="auto"/>
                      <w:kern w:val="0"/>
                      <w:szCs w:val="21"/>
                      <w:highlight w:val="none"/>
                      <w:lang w:val="en-US" w:eastAsia="zh-CN"/>
                    </w:rPr>
                  </w:pPr>
                </w:p>
              </w:tc>
              <w:tc>
                <w:tcPr>
                  <w:tcW w:w="2048" w:type="pct"/>
                  <w:vAlign w:val="center"/>
                </w:tcPr>
                <w:p>
                  <w:pPr>
                    <w:autoSpaceDE w:val="0"/>
                    <w:autoSpaceDN w:val="0"/>
                    <w:adjustRightInd w:val="0"/>
                    <w:snapToGrid w:val="0"/>
                    <w:spacing w:line="360" w:lineRule="auto"/>
                    <w:rPr>
                      <w:b w:val="0"/>
                      <w:bCs/>
                      <w:color w:val="auto"/>
                      <w:kern w:val="0"/>
                      <w:szCs w:val="21"/>
                      <w:highlight w:val="none"/>
                    </w:rPr>
                  </w:pPr>
                  <w:r>
                    <w:rPr>
                      <w:rFonts w:hint="default"/>
                      <w:b w:val="0"/>
                      <w:bCs/>
                      <w:color w:val="auto"/>
                      <w:kern w:val="0"/>
                      <w:szCs w:val="21"/>
                      <w:highlight w:val="none"/>
                      <w:lang w:val="en-US" w:eastAsia="zh-CN"/>
                    </w:rPr>
                    <w:t>限制机电产品制造等高耗水和水污染严重企业</w:t>
                  </w:r>
                  <w:r>
                    <w:rPr>
                      <w:rFonts w:hint="eastAsia"/>
                      <w:b w:val="0"/>
                      <w:bCs/>
                      <w:color w:val="auto"/>
                      <w:kern w:val="0"/>
                      <w:szCs w:val="21"/>
                      <w:highlight w:val="none"/>
                      <w:lang w:val="en-US" w:eastAsia="zh-CN"/>
                    </w:rPr>
                    <w:t>。</w:t>
                  </w:r>
                </w:p>
              </w:tc>
              <w:tc>
                <w:tcPr>
                  <w:tcW w:w="1471" w:type="pct"/>
                  <w:vAlign w:val="center"/>
                </w:tcPr>
                <w:p>
                  <w:pPr>
                    <w:autoSpaceDE w:val="0"/>
                    <w:autoSpaceDN w:val="0"/>
                    <w:adjustRightInd w:val="0"/>
                    <w:snapToGrid w:val="0"/>
                    <w:spacing w:line="360" w:lineRule="auto"/>
                    <w:rPr>
                      <w:rFonts w:hint="eastAsia" w:eastAsia="宋体"/>
                      <w:b w:val="0"/>
                      <w:bCs/>
                      <w:color w:val="auto"/>
                      <w:kern w:val="0"/>
                      <w:szCs w:val="21"/>
                      <w:highlight w:val="none"/>
                      <w:lang w:val="en-US" w:eastAsia="zh-CN"/>
                    </w:rPr>
                  </w:pPr>
                  <w:r>
                    <w:rPr>
                      <w:rFonts w:hint="eastAsia"/>
                      <w:b w:val="0"/>
                      <w:bCs/>
                      <w:color w:val="auto"/>
                      <w:kern w:val="0"/>
                      <w:szCs w:val="21"/>
                      <w:highlight w:val="none"/>
                      <w:lang w:val="en-US" w:eastAsia="zh-CN"/>
                    </w:rPr>
                    <w:t>本项目不属于机电产品制造等高耗水和水污染严重企业。</w:t>
                  </w:r>
                </w:p>
              </w:tc>
              <w:tc>
                <w:tcPr>
                  <w:tcW w:w="529" w:type="pct"/>
                  <w:vAlign w:val="center"/>
                </w:tcPr>
                <w:p>
                  <w:pPr>
                    <w:autoSpaceDE w:val="0"/>
                    <w:autoSpaceDN w:val="0"/>
                    <w:adjustRightInd w:val="0"/>
                    <w:snapToGrid w:val="0"/>
                    <w:spacing w:line="360" w:lineRule="auto"/>
                    <w:rPr>
                      <w:rFonts w:hint="eastAsia" w:eastAsia="宋体"/>
                      <w:b w:val="0"/>
                      <w:bCs/>
                      <w:color w:val="auto"/>
                      <w:kern w:val="0"/>
                      <w:szCs w:val="21"/>
                      <w:highlight w:val="none"/>
                      <w:lang w:val="en-US" w:eastAsia="zh-CN"/>
                    </w:rPr>
                  </w:pPr>
                  <w:r>
                    <w:rPr>
                      <w:rFonts w:hint="eastAsia"/>
                      <w:b w:val="0"/>
                      <w:bCs/>
                      <w:color w:val="auto"/>
                      <w:kern w:val="0"/>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pPr>
                    <w:autoSpaceDE w:val="0"/>
                    <w:autoSpaceDN w:val="0"/>
                    <w:adjustRightInd w:val="0"/>
                    <w:snapToGrid w:val="0"/>
                    <w:spacing w:line="360" w:lineRule="auto"/>
                    <w:rPr>
                      <w:b w:val="0"/>
                      <w:bCs/>
                      <w:color w:val="auto"/>
                      <w:kern w:val="0"/>
                      <w:szCs w:val="21"/>
                      <w:highlight w:val="none"/>
                    </w:rPr>
                  </w:pPr>
                </w:p>
              </w:tc>
              <w:tc>
                <w:tcPr>
                  <w:tcW w:w="458" w:type="pct"/>
                  <w:vMerge w:val="restart"/>
                  <w:vAlign w:val="center"/>
                </w:tcPr>
                <w:p>
                  <w:pPr>
                    <w:autoSpaceDE w:val="0"/>
                    <w:autoSpaceDN w:val="0"/>
                    <w:adjustRightInd w:val="0"/>
                    <w:snapToGrid w:val="0"/>
                    <w:spacing w:line="360" w:lineRule="auto"/>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污染物排放管控</w:t>
                  </w:r>
                </w:p>
              </w:tc>
              <w:tc>
                <w:tcPr>
                  <w:tcW w:w="2048"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实现达标排放，同时满足规划区总量控制要求。</w:t>
                  </w:r>
                </w:p>
              </w:tc>
              <w:tc>
                <w:tcPr>
                  <w:tcW w:w="1471"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项目运营期间产生的污染物经处理后均能达标排放，排放总量满足规划区总量控制要求。</w:t>
                  </w:r>
                </w:p>
              </w:tc>
              <w:tc>
                <w:tcPr>
                  <w:tcW w:w="529" w:type="pct"/>
                  <w:vAlign w:val="center"/>
                </w:tcPr>
                <w:p>
                  <w:pPr>
                    <w:autoSpaceDE w:val="0"/>
                    <w:autoSpaceDN w:val="0"/>
                    <w:adjustRightInd w:val="0"/>
                    <w:snapToGrid w:val="0"/>
                    <w:spacing w:line="360" w:lineRule="auto"/>
                    <w:rPr>
                      <w:rFonts w:hint="eastAsia" w:eastAsia="宋体"/>
                      <w:b w:val="0"/>
                      <w:bCs/>
                      <w:color w:val="auto"/>
                      <w:kern w:val="0"/>
                      <w:szCs w:val="21"/>
                      <w:highlight w:val="none"/>
                      <w:lang w:val="en-US" w:eastAsia="zh-CN"/>
                    </w:rPr>
                  </w:pPr>
                  <w:r>
                    <w:rPr>
                      <w:rFonts w:hint="eastAsia"/>
                      <w:b w:val="0"/>
                      <w:bCs/>
                      <w:color w:val="auto"/>
                      <w:kern w:val="0"/>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pPr>
                    <w:autoSpaceDE w:val="0"/>
                    <w:autoSpaceDN w:val="0"/>
                    <w:adjustRightInd w:val="0"/>
                    <w:snapToGrid w:val="0"/>
                    <w:spacing w:line="360" w:lineRule="auto"/>
                    <w:rPr>
                      <w:b w:val="0"/>
                      <w:bCs/>
                      <w:color w:val="auto"/>
                      <w:kern w:val="0"/>
                      <w:szCs w:val="21"/>
                      <w:highlight w:val="none"/>
                    </w:rPr>
                  </w:pPr>
                </w:p>
              </w:tc>
              <w:tc>
                <w:tcPr>
                  <w:tcW w:w="458" w:type="pct"/>
                  <w:vMerge w:val="continue"/>
                  <w:vAlign w:val="center"/>
                </w:tcPr>
                <w:p>
                  <w:pPr>
                    <w:autoSpaceDE w:val="0"/>
                    <w:autoSpaceDN w:val="0"/>
                    <w:adjustRightInd w:val="0"/>
                    <w:snapToGrid w:val="0"/>
                    <w:spacing w:line="360" w:lineRule="auto"/>
                    <w:rPr>
                      <w:rFonts w:hint="eastAsia"/>
                      <w:b w:val="0"/>
                      <w:bCs/>
                      <w:color w:val="auto"/>
                      <w:kern w:val="0"/>
                      <w:szCs w:val="21"/>
                      <w:highlight w:val="none"/>
                      <w:lang w:val="en-US" w:eastAsia="zh-CN"/>
                    </w:rPr>
                  </w:pPr>
                </w:p>
              </w:tc>
              <w:tc>
                <w:tcPr>
                  <w:tcW w:w="2048"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入驻企业产生的各种工业固体废弃物，应满足“减量化、资源化、无害化”要求，实现废物的综合利用。</w:t>
                  </w:r>
                </w:p>
              </w:tc>
              <w:tc>
                <w:tcPr>
                  <w:tcW w:w="1471"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项目产生的固体废物均能妥善处置，产生的危险废物经规范建设的危废贮存间暂存后，定期委托有资质的单位清运处置，满足“减量化、资源化、无害化”的要求，实现了废物的综合利用。</w:t>
                  </w:r>
                </w:p>
              </w:tc>
              <w:tc>
                <w:tcPr>
                  <w:tcW w:w="529" w:type="pct"/>
                  <w:vAlign w:val="center"/>
                </w:tcPr>
                <w:p>
                  <w:pPr>
                    <w:autoSpaceDE w:val="0"/>
                    <w:autoSpaceDN w:val="0"/>
                    <w:adjustRightInd w:val="0"/>
                    <w:snapToGrid w:val="0"/>
                    <w:spacing w:line="360" w:lineRule="auto"/>
                    <w:rPr>
                      <w:rFonts w:hint="eastAsia" w:eastAsia="宋体"/>
                      <w:b w:val="0"/>
                      <w:bCs/>
                      <w:color w:val="auto"/>
                      <w:kern w:val="0"/>
                      <w:szCs w:val="21"/>
                      <w:highlight w:val="none"/>
                      <w:lang w:val="en-US" w:eastAsia="zh-CN"/>
                    </w:rPr>
                  </w:pPr>
                  <w:r>
                    <w:rPr>
                      <w:rFonts w:hint="eastAsia"/>
                      <w:b w:val="0"/>
                      <w:bCs/>
                      <w:color w:val="auto"/>
                      <w:kern w:val="0"/>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pPr>
                    <w:autoSpaceDE w:val="0"/>
                    <w:autoSpaceDN w:val="0"/>
                    <w:adjustRightInd w:val="0"/>
                    <w:snapToGrid w:val="0"/>
                    <w:spacing w:line="360" w:lineRule="auto"/>
                    <w:rPr>
                      <w:b w:val="0"/>
                      <w:bCs/>
                      <w:color w:val="auto"/>
                      <w:kern w:val="0"/>
                      <w:szCs w:val="21"/>
                      <w:highlight w:val="none"/>
                    </w:rPr>
                  </w:pPr>
                </w:p>
              </w:tc>
              <w:tc>
                <w:tcPr>
                  <w:tcW w:w="458" w:type="pct"/>
                  <w:vMerge w:val="restart"/>
                  <w:vAlign w:val="center"/>
                </w:tcPr>
                <w:p>
                  <w:pPr>
                    <w:autoSpaceDE w:val="0"/>
                    <w:autoSpaceDN w:val="0"/>
                    <w:adjustRightInd w:val="0"/>
                    <w:snapToGrid w:val="0"/>
                    <w:spacing w:line="360" w:lineRule="auto"/>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环境风险防控</w:t>
                  </w:r>
                </w:p>
              </w:tc>
              <w:tc>
                <w:tcPr>
                  <w:tcW w:w="2048"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制定突发环境事件应急预案，完善风险管理机制，加强风险控制防范。建立区域环境监测制度，加强规划实施的跟踪监测与管理。对园区地表水、地下水、空气、土壤、噪声等进行系统监测，适时跟踪环境质量变化情况，根据监测情况及时采取相应环保措施。</w:t>
                  </w:r>
                </w:p>
              </w:tc>
              <w:tc>
                <w:tcPr>
                  <w:tcW w:w="1471"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建设单位在验收前应编制突发环境事件应急预案并备案，运营期间应按照要求定期开展突发环境事件应急演练、培训，并严格按照自行监测计划定期开展环境污染监测。</w:t>
                  </w:r>
                </w:p>
              </w:tc>
              <w:tc>
                <w:tcPr>
                  <w:tcW w:w="529" w:type="pct"/>
                  <w:vAlign w:val="center"/>
                </w:tcPr>
                <w:p>
                  <w:pPr>
                    <w:autoSpaceDE w:val="0"/>
                    <w:autoSpaceDN w:val="0"/>
                    <w:adjustRightInd w:val="0"/>
                    <w:snapToGrid w:val="0"/>
                    <w:spacing w:line="360" w:lineRule="auto"/>
                    <w:rPr>
                      <w:rFonts w:hint="eastAsia" w:eastAsia="宋体"/>
                      <w:b w:val="0"/>
                      <w:bCs/>
                      <w:color w:val="auto"/>
                      <w:kern w:val="0"/>
                      <w:szCs w:val="21"/>
                      <w:highlight w:val="none"/>
                      <w:lang w:val="en-US" w:eastAsia="zh-CN"/>
                    </w:rPr>
                  </w:pPr>
                  <w:r>
                    <w:rPr>
                      <w:rFonts w:hint="eastAsia"/>
                      <w:b w:val="0"/>
                      <w:bCs/>
                      <w:color w:val="auto"/>
                      <w:kern w:val="0"/>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pPr>
                    <w:autoSpaceDE w:val="0"/>
                    <w:autoSpaceDN w:val="0"/>
                    <w:adjustRightInd w:val="0"/>
                    <w:snapToGrid w:val="0"/>
                    <w:spacing w:line="360" w:lineRule="auto"/>
                    <w:rPr>
                      <w:b w:val="0"/>
                      <w:bCs/>
                      <w:color w:val="auto"/>
                      <w:kern w:val="0"/>
                      <w:szCs w:val="21"/>
                      <w:highlight w:val="none"/>
                    </w:rPr>
                  </w:pPr>
                </w:p>
              </w:tc>
              <w:tc>
                <w:tcPr>
                  <w:tcW w:w="458" w:type="pct"/>
                  <w:vMerge w:val="continue"/>
                  <w:vAlign w:val="center"/>
                </w:tcPr>
                <w:p>
                  <w:pPr>
                    <w:autoSpaceDE w:val="0"/>
                    <w:autoSpaceDN w:val="0"/>
                    <w:adjustRightInd w:val="0"/>
                    <w:snapToGrid w:val="0"/>
                    <w:spacing w:line="360" w:lineRule="auto"/>
                    <w:rPr>
                      <w:rFonts w:hint="eastAsia"/>
                      <w:b w:val="0"/>
                      <w:bCs/>
                      <w:color w:val="auto"/>
                      <w:kern w:val="0"/>
                      <w:szCs w:val="21"/>
                      <w:highlight w:val="none"/>
                      <w:lang w:val="en-US" w:eastAsia="zh-CN"/>
                    </w:rPr>
                  </w:pPr>
                </w:p>
              </w:tc>
              <w:tc>
                <w:tcPr>
                  <w:tcW w:w="2048"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工业企业应有完善的风险防范措施，其最大可信事故半致死浓度范围内不得有居民点存在。重污染企业周边合理设置环境防护距离，保障居民生活环境的安全。</w:t>
                  </w:r>
                </w:p>
              </w:tc>
              <w:tc>
                <w:tcPr>
                  <w:tcW w:w="1471" w:type="pct"/>
                  <w:vAlign w:val="center"/>
                </w:tcPr>
                <w:p>
                  <w:pPr>
                    <w:autoSpaceDE w:val="0"/>
                    <w:autoSpaceDN w:val="0"/>
                    <w:adjustRightInd w:val="0"/>
                    <w:snapToGrid w:val="0"/>
                    <w:spacing w:line="360" w:lineRule="auto"/>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本项目不涉及风险物质储存，发生风险的可能性较小，项目500m范围内无居民点存在。</w:t>
                  </w:r>
                </w:p>
              </w:tc>
              <w:tc>
                <w:tcPr>
                  <w:tcW w:w="529" w:type="pct"/>
                  <w:vAlign w:val="center"/>
                </w:tcPr>
                <w:p>
                  <w:pPr>
                    <w:autoSpaceDE w:val="0"/>
                    <w:autoSpaceDN w:val="0"/>
                    <w:adjustRightInd w:val="0"/>
                    <w:snapToGrid w:val="0"/>
                    <w:spacing w:line="360" w:lineRule="auto"/>
                    <w:rPr>
                      <w:rFonts w:hint="eastAsia" w:eastAsia="宋体"/>
                      <w:b w:val="0"/>
                      <w:bCs/>
                      <w:color w:val="auto"/>
                      <w:kern w:val="0"/>
                      <w:szCs w:val="21"/>
                      <w:highlight w:val="none"/>
                      <w:lang w:val="en-US" w:eastAsia="zh-CN"/>
                    </w:rPr>
                  </w:pPr>
                  <w:r>
                    <w:rPr>
                      <w:rFonts w:hint="eastAsia"/>
                      <w:b w:val="0"/>
                      <w:bCs/>
                      <w:color w:val="auto"/>
                      <w:kern w:val="0"/>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vMerge w:val="continue"/>
                  <w:vAlign w:val="center"/>
                </w:tcPr>
                <w:p>
                  <w:pPr>
                    <w:autoSpaceDE w:val="0"/>
                    <w:autoSpaceDN w:val="0"/>
                    <w:adjustRightInd w:val="0"/>
                    <w:snapToGrid w:val="0"/>
                    <w:spacing w:line="360" w:lineRule="auto"/>
                    <w:rPr>
                      <w:b w:val="0"/>
                      <w:bCs/>
                      <w:color w:val="auto"/>
                      <w:kern w:val="0"/>
                      <w:szCs w:val="21"/>
                      <w:highlight w:val="none"/>
                    </w:rPr>
                  </w:pPr>
                </w:p>
              </w:tc>
              <w:tc>
                <w:tcPr>
                  <w:tcW w:w="458" w:type="pct"/>
                  <w:vAlign w:val="center"/>
                </w:tcPr>
                <w:p>
                  <w:pPr>
                    <w:autoSpaceDE w:val="0"/>
                    <w:autoSpaceDN w:val="0"/>
                    <w:adjustRightInd w:val="0"/>
                    <w:snapToGrid w:val="0"/>
                    <w:spacing w:line="360" w:lineRule="auto"/>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资源开发效率要求</w:t>
                  </w:r>
                </w:p>
              </w:tc>
              <w:tc>
                <w:tcPr>
                  <w:tcW w:w="2048"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按照资源节约的原则，冶金、建材清洁生产水平应达国际先进，其余产业清洁生产水平应达到国内先进水平以上。</w:t>
                  </w:r>
                </w:p>
              </w:tc>
              <w:tc>
                <w:tcPr>
                  <w:tcW w:w="1471"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val="en-US" w:eastAsia="zh-CN"/>
                    </w:rPr>
                    <w:t>本项目在主要产尘点均设置了“多管旋风除尘器+布袋除尘器”除尘，收集的除尘灰主要成分是草木灰，外售可用于生产有机肥，可以提高资源的利用效率，减少对环境的污染，清洁生产水平可达国内先进水平。</w:t>
                  </w:r>
                </w:p>
              </w:tc>
              <w:tc>
                <w:tcPr>
                  <w:tcW w:w="529" w:type="pct"/>
                  <w:vAlign w:val="center"/>
                </w:tcPr>
                <w:p>
                  <w:pPr>
                    <w:autoSpaceDE w:val="0"/>
                    <w:autoSpaceDN w:val="0"/>
                    <w:adjustRightInd w:val="0"/>
                    <w:snapToGrid w:val="0"/>
                    <w:spacing w:line="360" w:lineRule="auto"/>
                    <w:rPr>
                      <w:rFonts w:hint="eastAsia" w:eastAsia="宋体"/>
                      <w:b w:val="0"/>
                      <w:bCs/>
                      <w:color w:val="auto"/>
                      <w:kern w:val="0"/>
                      <w:szCs w:val="21"/>
                      <w:highlight w:val="none"/>
                      <w:lang w:val="en-US" w:eastAsia="zh-CN"/>
                    </w:rPr>
                  </w:pPr>
                  <w:r>
                    <w:rPr>
                      <w:rFonts w:hint="eastAsia"/>
                      <w:b w:val="0"/>
                      <w:bCs/>
                      <w:color w:val="auto"/>
                      <w:kern w:val="0"/>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本项目不在</w:t>
            </w:r>
            <w:r>
              <w:rPr>
                <w:rFonts w:hint="eastAsia" w:cs="Times New Roman"/>
                <w:color w:val="auto"/>
                <w:sz w:val="24"/>
                <w:szCs w:val="24"/>
                <w:highlight w:val="none"/>
                <w:lang w:val="en-US" w:eastAsia="zh-CN"/>
              </w:rPr>
              <w:t>国家发展改革委、商务部于2022年3月12日联合发布的</w:t>
            </w:r>
            <w:r>
              <w:rPr>
                <w:rFonts w:hint="default" w:ascii="Times New Roman" w:hAnsi="Times New Roman" w:eastAsia="宋体" w:cs="Times New Roman"/>
                <w:color w:val="auto"/>
                <w:sz w:val="24"/>
                <w:szCs w:val="24"/>
                <w:highlight w:val="none"/>
                <w:lang w:val="en-US" w:eastAsia="zh-CN"/>
              </w:rPr>
              <w:t>发改体改规〔2022〕397号关于印发《市场准入负面清单（2022年版）》的通知</w:t>
            </w:r>
            <w:r>
              <w:rPr>
                <w:rFonts w:hint="eastAsia" w:cs="Times New Roman"/>
                <w:color w:val="auto"/>
                <w:sz w:val="24"/>
                <w:szCs w:val="24"/>
                <w:highlight w:val="none"/>
                <w:lang w:val="en-US" w:eastAsia="zh-CN"/>
              </w:rPr>
              <w:t>中《市场准入负面清单（2022年版）》</w:t>
            </w:r>
            <w:r>
              <w:rPr>
                <w:rFonts w:hint="default" w:ascii="Times New Roman" w:hAnsi="Times New Roman" w:eastAsia="宋体" w:cs="Times New Roman"/>
                <w:color w:val="auto"/>
                <w:sz w:val="24"/>
                <w:szCs w:val="24"/>
                <w:highlight w:val="none"/>
                <w:lang w:val="en-US" w:eastAsia="zh-CN"/>
              </w:rPr>
              <w:t>范围内。对照《产业结构调整指导目录（</w:t>
            </w:r>
            <w:r>
              <w:rPr>
                <w:rFonts w:hint="eastAsia"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lang w:val="en-US" w:eastAsia="zh-CN"/>
              </w:rPr>
              <w:t>年本）》，本项目不属于国家产业政策中限制、禁止类产业类别，本项目符合国家相关产业政策。因此，本项目与环境准入负面清单相符。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综上所述，项目的建设符合《昆明市人民政府关于昆明市</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生态环境分区管控的实施意见》（昆政发〔2021〕21号）的有关要求。</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3、与《云南省主体功能区规划》（云政发〔2014〕1号）及《云南省生态功能区划》符合性分析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本项目位于宜良工业园区北古城片区，项目与区域相关环境保护政策及规划符合性分析见下表。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本项目与区域相关环境保护政策及规划符合性分析一览表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3491"/>
              <w:gridCol w:w="1994"/>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文件名称</w:t>
                  </w:r>
                </w:p>
              </w:tc>
              <w:tc>
                <w:tcPr>
                  <w:tcW w:w="2171"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政策相关要求</w:t>
                  </w:r>
                </w:p>
              </w:tc>
              <w:tc>
                <w:tcPr>
                  <w:tcW w:w="1240"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本项目情况</w:t>
                  </w:r>
                </w:p>
              </w:tc>
              <w:tc>
                <w:tcPr>
                  <w:tcW w:w="558"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《云南省主体功能区规划》（云政发〔2014〕1号）</w:t>
                  </w:r>
                </w:p>
              </w:tc>
              <w:tc>
                <w:tcPr>
                  <w:tcW w:w="2171"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云南省主体功能区规划》将云南省国土空间按照开发方式分为重点开发区域、限制开发区域和禁止开发区域3类主体功能区域，限制开发区主要指关系全省农产品供给安全、生态安全，不应该或不适宜进行大规模、高强度工业化和城镇化开发的农产品主产区和重点生态功能区。禁止开发区域指依法设立的各级各类自然文化资源保护区域，以及其他禁止进行工业化和城镇化开发、需要特殊保护的重点生态功能区。规划中禁止开发区域包括自然保护区、世界遗产、风景名胜区、森林公园、城市饮用水源保护区、湿地公园等</w:t>
                  </w:r>
                </w:p>
              </w:tc>
              <w:tc>
                <w:tcPr>
                  <w:tcW w:w="1240"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本项目位于宜良工业园区北古城片区，根据园区规划环评分析，本项目不涉及限制开发和禁止开发的区域</w:t>
                  </w:r>
                </w:p>
              </w:tc>
              <w:tc>
                <w:tcPr>
                  <w:tcW w:w="558"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《云南省生态功能区划》</w:t>
                  </w:r>
                </w:p>
              </w:tc>
              <w:tc>
                <w:tcPr>
                  <w:tcW w:w="2171"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根据《云南省生态功能区划》本项目所在的宜良</w:t>
                  </w:r>
                  <w:r>
                    <w:rPr>
                      <w:rFonts w:hint="default" w:ascii="Times New Roman" w:hAnsi="Times New Roman" w:eastAsia="宋体" w:cs="Times New Roman"/>
                      <w:b w:val="0"/>
                      <w:bCs w:val="0"/>
                      <w:color w:val="auto"/>
                      <w:sz w:val="21"/>
                      <w:szCs w:val="21"/>
                      <w:highlight w:val="none"/>
                      <w:lang w:val="en-US" w:eastAsia="zh-CN"/>
                    </w:rPr>
                    <w:t>县位于Ⅲ1-6昆明</w:t>
                  </w:r>
                  <w:r>
                    <w:rPr>
                      <w:rFonts w:hint="eastAsia" w:ascii="Times New Roman" w:hAnsi="Times New Roman" w:eastAsia="宋体" w:cs="Times New Roman"/>
                      <w:b w:val="0"/>
                      <w:bCs w:val="0"/>
                      <w:color w:val="auto"/>
                      <w:sz w:val="21"/>
                      <w:szCs w:val="21"/>
                      <w:highlight w:val="none"/>
                      <w:lang w:val="en-US" w:eastAsia="zh-CN"/>
                    </w:rPr>
                    <w:t>、玉溪高原湖盆城镇建设生态功能区，该生态功能区主要生态环境问题为：农业面源污染，环境污染、水资源和土地资源短缺；保护措施与发展方向为：调整产业结构，发展循环经济，推行清洁生产，治理高原湖泊水体污染和流域区的面源污染。</w:t>
                  </w:r>
                </w:p>
              </w:tc>
              <w:tc>
                <w:tcPr>
                  <w:tcW w:w="1240"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本项目为分布式集中供热项目，为园区企业进行供热，本项目使用生物质颗粒作为燃料，与现行的园区产业结构不冲突，本项目与《云南省生态环境功能区划》不冲突。</w:t>
                  </w:r>
                </w:p>
              </w:tc>
              <w:tc>
                <w:tcPr>
                  <w:tcW w:w="558"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highlight w:val="none"/>
                <w:lang w:val="zh-CN" w:eastAsia="zh-CN"/>
              </w:rPr>
            </w:pPr>
            <w:r>
              <w:rPr>
                <w:rFonts w:hint="default" w:eastAsia="宋体"/>
                <w:color w:val="auto"/>
                <w:sz w:val="24"/>
                <w:szCs w:val="24"/>
                <w:highlight w:val="none"/>
                <w:lang w:val="zh-CN" w:eastAsia="zh-CN"/>
              </w:rPr>
              <w:t>综上所述，本项目与区域相关环境保护规划相符。</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eastAsia="宋体"/>
                <w:b/>
                <w:bCs/>
                <w:color w:val="auto"/>
                <w:sz w:val="24"/>
                <w:szCs w:val="24"/>
                <w:highlight w:val="none"/>
                <w:lang w:val="en-US" w:eastAsia="zh-CN"/>
              </w:rPr>
            </w:pPr>
            <w:r>
              <w:rPr>
                <w:rFonts w:hint="default" w:eastAsia="宋体"/>
                <w:b/>
                <w:bCs/>
                <w:color w:val="auto"/>
                <w:sz w:val="24"/>
                <w:szCs w:val="24"/>
                <w:highlight w:val="none"/>
                <w:lang w:val="en-US" w:eastAsia="zh-CN"/>
              </w:rPr>
              <w:t>4、与宜良县人民政府《关于宜良县高污染燃料禁燃区禁燃的通告》相符性分析</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与宜良县人民政府关于《宜良县高污染燃料禁燃区禁燃的通告》相符性分析一览表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3657"/>
              <w:gridCol w:w="1828"/>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文件名称</w:t>
                  </w:r>
                </w:p>
              </w:tc>
              <w:tc>
                <w:tcPr>
                  <w:tcW w:w="2274"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政策相关要求</w:t>
                  </w:r>
                </w:p>
              </w:tc>
              <w:tc>
                <w:tcPr>
                  <w:tcW w:w="1137"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本项目情况</w:t>
                  </w:r>
                </w:p>
              </w:tc>
              <w:tc>
                <w:tcPr>
                  <w:tcW w:w="558"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《宜良县人民政府关于宜良县高污染燃料禁燃区禁燃的通告》（宜政发〔2021〕110 号）</w:t>
                  </w:r>
                </w:p>
              </w:tc>
              <w:tc>
                <w:tcPr>
                  <w:tcW w:w="2274"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为做好大气污染防治工作，进一步提升城市形象和环境质量，根据《中华人民共和国环境保护法》、《中华人民共和国大气污染防治法》等有关法律法规，我县划定了高污染燃料禁燃区，制定了《宜良县高污染燃料禁燃区管理规定》。现将高污染燃料禁燃区禁燃事项进行通告：</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一、禁燃区范围</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县城规划建设区50平方公里范围内，即西至昆河线，东达小狗公路与石安公路交界段，北至宜九公路江头村与东南绕城交界段，南抵陈所渡、黑羊村一线的区域。</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二、禁燃物品种类</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（一）原（散）煤、洗选煤、蜂窝煤、焦炭、木炭、煤矸石、煤泥、煤焦油、重油、渣油、非生物质固体成型燃料（树木、秸秆、锯末、稻壳、蔗渣）等燃料；</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（二）污染物含量超过国家规定限值的轻柴油、煤油、人工煤气等燃料；</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（三）沥青、油毡、橡胶、塑料、皮革、垃圾以及其他产生有毒有害烟尘和恶臭气体的可燃物质（经依法批准的固体废弃物资源循环利用专业单位除外）；</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（四）国家规定的其他高污染燃料。</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三、禁燃要求</w:t>
                  </w:r>
                </w:p>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2021年8月1日（含）之后，禁止任何单位、个体经营户和个人在高污染燃料禁燃区内销售或使用高污染燃料。</w:t>
                  </w:r>
                </w:p>
              </w:tc>
              <w:tc>
                <w:tcPr>
                  <w:tcW w:w="1137"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本项目位于宜良工业园区北古城片区，不属于县城规划建设区，不在禁燃区范围；项目使用生物质颗粒作为燃料，不属于禁燃物品种类；项目不使用国家规定的其他高污染燃料。</w:t>
                  </w:r>
                </w:p>
              </w:tc>
              <w:tc>
                <w:tcPr>
                  <w:tcW w:w="558" w:type="pct"/>
                  <w:vAlign w:val="center"/>
                </w:tcPr>
                <w:p>
                  <w:pPr>
                    <w:pStyle w:val="8"/>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5、项目与《昆明市大气污染防治条例》符合性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项目与《昆明市大气污染防治条例》符合性分析内容见表1-8。</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本项目与《昆明市大气污染防治条例》相关要求符合性分析</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3046"/>
              <w:gridCol w:w="3110"/>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pct"/>
                  <w:tcBorders>
                    <w:tl2br w:val="nil"/>
                    <w:tr2bl w:val="nil"/>
                  </w:tcBorders>
                  <w:noWrap w:val="0"/>
                  <w:vAlign w:val="center"/>
                </w:tcPr>
                <w:p>
                  <w:pPr>
                    <w:pStyle w:val="107"/>
                    <w:bidi w:val="0"/>
                    <w:rPr>
                      <w:rFonts w:hint="default"/>
                      <w:b w:val="0"/>
                      <w:bCs w:val="0"/>
                      <w:color w:val="auto"/>
                      <w:highlight w:val="none"/>
                      <w:lang w:val="en-US" w:eastAsia="zh-CN" w:bidi="ar-SA"/>
                    </w:rPr>
                  </w:pPr>
                  <w:r>
                    <w:rPr>
                      <w:rFonts w:hint="eastAsia"/>
                      <w:b w:val="0"/>
                      <w:bCs w:val="0"/>
                      <w:color w:val="auto"/>
                      <w:highlight w:val="none"/>
                      <w:lang w:val="en-US" w:eastAsia="zh-CN" w:bidi="ar-SA"/>
                    </w:rPr>
                    <w:t>序号</w:t>
                  </w:r>
                </w:p>
              </w:tc>
              <w:tc>
                <w:tcPr>
                  <w:tcW w:w="1895" w:type="pct"/>
                  <w:tcBorders>
                    <w:tl2br w:val="nil"/>
                    <w:tr2bl w:val="nil"/>
                  </w:tcBorders>
                  <w:noWrap w:val="0"/>
                  <w:vAlign w:val="center"/>
                </w:tcPr>
                <w:p>
                  <w:pPr>
                    <w:pStyle w:val="107"/>
                    <w:bidi w:val="0"/>
                    <w:rPr>
                      <w:rFonts w:hint="default"/>
                      <w:b w:val="0"/>
                      <w:bCs w:val="0"/>
                      <w:color w:val="auto"/>
                      <w:highlight w:val="none"/>
                      <w:lang w:val="en-US" w:eastAsia="zh-CN" w:bidi="ar-SA"/>
                    </w:rPr>
                  </w:pPr>
                  <w:r>
                    <w:rPr>
                      <w:rFonts w:hint="default"/>
                      <w:b w:val="0"/>
                      <w:bCs w:val="0"/>
                      <w:color w:val="auto"/>
                      <w:highlight w:val="none"/>
                      <w:lang w:val="en-US" w:eastAsia="zh-CN" w:bidi="ar-SA"/>
                    </w:rPr>
                    <w:t>《昆明市大气污染防治条例》</w:t>
                  </w:r>
                  <w:r>
                    <w:rPr>
                      <w:rFonts w:hint="eastAsia"/>
                      <w:b w:val="0"/>
                      <w:bCs w:val="0"/>
                      <w:color w:val="auto"/>
                      <w:highlight w:val="none"/>
                      <w:lang w:val="en-US" w:eastAsia="zh-CN" w:bidi="ar-SA"/>
                    </w:rPr>
                    <w:t>内容</w:t>
                  </w:r>
                </w:p>
              </w:tc>
              <w:tc>
                <w:tcPr>
                  <w:tcW w:w="1935" w:type="pct"/>
                  <w:tcBorders>
                    <w:tl2br w:val="nil"/>
                    <w:tr2bl w:val="nil"/>
                  </w:tcBorders>
                  <w:noWrap w:val="0"/>
                  <w:vAlign w:val="center"/>
                </w:tcPr>
                <w:p>
                  <w:pPr>
                    <w:pStyle w:val="107"/>
                    <w:bidi w:val="0"/>
                    <w:rPr>
                      <w:rFonts w:hint="default"/>
                      <w:b w:val="0"/>
                      <w:bCs w:val="0"/>
                      <w:color w:val="auto"/>
                      <w:highlight w:val="none"/>
                      <w:lang w:val="en-US" w:eastAsia="zh-CN" w:bidi="ar-SA"/>
                    </w:rPr>
                  </w:pPr>
                  <w:r>
                    <w:rPr>
                      <w:rFonts w:hint="eastAsia"/>
                      <w:b w:val="0"/>
                      <w:bCs w:val="0"/>
                      <w:color w:val="auto"/>
                      <w:highlight w:val="none"/>
                      <w:lang w:val="en-US" w:eastAsia="zh-CN" w:bidi="ar-SA"/>
                    </w:rPr>
                    <w:t>项目情况</w:t>
                  </w:r>
                </w:p>
              </w:tc>
              <w:tc>
                <w:tcPr>
                  <w:tcW w:w="405" w:type="pct"/>
                  <w:tcBorders>
                    <w:tl2br w:val="nil"/>
                    <w:tr2bl w:val="nil"/>
                  </w:tcBorders>
                  <w:noWrap w:val="0"/>
                  <w:vAlign w:val="center"/>
                </w:tcPr>
                <w:p>
                  <w:pPr>
                    <w:pStyle w:val="107"/>
                    <w:bidi w:val="0"/>
                    <w:rPr>
                      <w:rFonts w:hint="default"/>
                      <w:b w:val="0"/>
                      <w:bCs w:val="0"/>
                      <w:color w:val="auto"/>
                      <w:highlight w:val="none"/>
                      <w:lang w:val="en-US" w:eastAsia="zh-CN" w:bidi="ar-SA"/>
                    </w:rPr>
                  </w:pPr>
                  <w:r>
                    <w:rPr>
                      <w:rFonts w:hint="eastAsia"/>
                      <w:b w:val="0"/>
                      <w:bCs w:val="0"/>
                      <w:color w:val="auto"/>
                      <w:highlight w:val="no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63"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十一条</w:t>
                  </w:r>
                </w:p>
              </w:tc>
              <w:tc>
                <w:tcPr>
                  <w:tcW w:w="189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按照国家有关规定依法实行排污许可管理的单位，应当依法取得排污许可证，并按照排污许可证的规定排放大气污染物，禁止无排污许可证或者不按照排污许可证的规定排放大气污染物</w:t>
                  </w:r>
                </w:p>
              </w:tc>
              <w:tc>
                <w:tcPr>
                  <w:tcW w:w="193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本项目属于重大变动后重新报批，现已经建成的一阶段工程已投运，项目建设单位昆明甲乙木能源技术有限公司已经于2022年11月15日取得排污许可证，证书编号：91530125MA6Q6XB8XL001V；待项目完全建设完工，将依法完成排污许可证变更手续，依规排放。</w:t>
                  </w:r>
                </w:p>
              </w:tc>
              <w:tc>
                <w:tcPr>
                  <w:tcW w:w="40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63"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十二条</w:t>
                  </w:r>
                </w:p>
              </w:tc>
              <w:tc>
                <w:tcPr>
                  <w:tcW w:w="189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禁止排放超过排放标准或者超过重点大气污染物排放总量控制指标的大气污染物</w:t>
                  </w:r>
                </w:p>
              </w:tc>
              <w:tc>
                <w:tcPr>
                  <w:tcW w:w="193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项目锅炉配套建设除尘系统“多管旋风除尘器+布袋除尘器”，经处理后的锅炉烟气可达标排放。</w:t>
                  </w:r>
                </w:p>
              </w:tc>
              <w:tc>
                <w:tcPr>
                  <w:tcW w:w="40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63" w:type="pct"/>
                  <w:tcBorders>
                    <w:tl2br w:val="nil"/>
                    <w:tr2bl w:val="nil"/>
                  </w:tcBorders>
                  <w:noWrap w:val="0"/>
                  <w:vAlign w:val="center"/>
                </w:tcPr>
                <w:p>
                  <w:pPr>
                    <w:pStyle w:val="107"/>
                    <w:bidi w:val="0"/>
                    <w:jc w:val="both"/>
                    <w:rPr>
                      <w:rFonts w:hint="eastAsia"/>
                      <w:b w:val="0"/>
                      <w:bCs w:val="0"/>
                      <w:color w:val="auto"/>
                      <w:highlight w:val="none"/>
                      <w:lang w:val="en-US" w:eastAsia="zh-CN" w:bidi="ar-SA"/>
                    </w:rPr>
                  </w:pPr>
                  <w:r>
                    <w:rPr>
                      <w:rFonts w:hint="eastAsia"/>
                      <w:b w:val="0"/>
                      <w:bCs w:val="0"/>
                      <w:color w:val="auto"/>
                      <w:highlight w:val="none"/>
                      <w:lang w:val="en-US" w:eastAsia="zh-CN" w:bidi="ar-SA"/>
                    </w:rPr>
                    <w:t>十五条</w:t>
                  </w:r>
                </w:p>
              </w:tc>
              <w:tc>
                <w:tcPr>
                  <w:tcW w:w="189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排放大气污染物的企业事业单位和其他生产经营者应当加强精细化管理，严格按照有关规定，配套建设、使用和维护大气污染防治装备。</w:t>
                  </w:r>
                </w:p>
              </w:tc>
              <w:tc>
                <w:tcPr>
                  <w:tcW w:w="193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锅炉配套建设除尘系统“多管旋风除尘器+布袋除尘器”。</w:t>
                  </w:r>
                </w:p>
              </w:tc>
              <w:tc>
                <w:tcPr>
                  <w:tcW w:w="405" w:type="pct"/>
                  <w:tcBorders>
                    <w:tl2br w:val="nil"/>
                    <w:tr2bl w:val="nil"/>
                  </w:tcBorders>
                  <w:noWrap w:val="0"/>
                  <w:vAlign w:val="center"/>
                </w:tcPr>
                <w:p>
                  <w:pPr>
                    <w:pStyle w:val="107"/>
                    <w:bidi w:val="0"/>
                    <w:jc w:val="both"/>
                    <w:rPr>
                      <w:rFonts w:hint="eastAsia"/>
                      <w:b w:val="0"/>
                      <w:bCs w:val="0"/>
                      <w:color w:val="auto"/>
                      <w:highlight w:val="none"/>
                      <w:lang w:val="en-US" w:eastAsia="zh-CN" w:bidi="ar-SA"/>
                    </w:rPr>
                  </w:pPr>
                  <w:r>
                    <w:rPr>
                      <w:rFonts w:hint="eastAsia"/>
                      <w:b w:val="0"/>
                      <w:bCs w:val="0"/>
                      <w:color w:val="auto"/>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63"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十六条</w:t>
                  </w:r>
                </w:p>
              </w:tc>
              <w:tc>
                <w:tcPr>
                  <w:tcW w:w="189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向大气排放污染物的企业事业单位和其他生产经营者，应当按照有关规定设置大气污染物排放口</w:t>
                  </w:r>
                </w:p>
              </w:tc>
              <w:tc>
                <w:tcPr>
                  <w:tcW w:w="193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本项目</w:t>
                  </w:r>
                  <w:r>
                    <w:rPr>
                      <w:rFonts w:hint="eastAsia"/>
                      <w:b w:val="0"/>
                      <w:bCs w:val="0"/>
                      <w:color w:val="auto"/>
                      <w:highlight w:val="none"/>
                      <w:lang w:val="en-US" w:eastAsia="zh-CN" w:bidi="ar-SA"/>
                    </w:rPr>
                    <w:t>现有工程</w:t>
                  </w:r>
                  <w:r>
                    <w:rPr>
                      <w:rFonts w:hint="default"/>
                      <w:b w:val="0"/>
                      <w:bCs w:val="0"/>
                      <w:color w:val="auto"/>
                      <w:highlight w:val="none"/>
                      <w:lang w:val="en-US" w:eastAsia="zh-CN" w:bidi="ar-SA"/>
                    </w:rPr>
                    <w:t>已规范废气排放口，并安排专人定期维护，保证设施正常运营</w:t>
                  </w:r>
                  <w:r>
                    <w:rPr>
                      <w:rFonts w:hint="eastAsia"/>
                      <w:b w:val="0"/>
                      <w:bCs w:val="0"/>
                      <w:color w:val="auto"/>
                      <w:highlight w:val="none"/>
                      <w:lang w:val="en-US" w:eastAsia="zh-CN" w:bidi="ar-SA"/>
                    </w:rPr>
                    <w:t>。</w:t>
                  </w:r>
                </w:p>
              </w:tc>
              <w:tc>
                <w:tcPr>
                  <w:tcW w:w="40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根据上表分析结果，本项目与《昆明市大气污染防治条例》中的相关要求相符。</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1" w:firstLineChars="200"/>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项目选址合理性分析</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位于云南省昆明市宜良县北古城工业园区，项目不涉及生态保护红线、自然保护区、风景名胜区、饮用水水源保护区等环境敏感区。项目严格按照本环评的要求建设，不会改变评价区域的环境功能，且经过本环评分析，本项目产生的污染物均得到合理处置，外排污染物可实现达标排放，对周边环境的影响是可以接受的</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周边企业主要为饲料产品加工企业，项目具有与周边企业环境相容的条件项目产生的各污染物经过环保措施处理后都能达标排放。因此项目与周边环境相容。</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因此，</w:t>
            </w:r>
            <w:r>
              <w:rPr>
                <w:rFonts w:hint="eastAsia" w:ascii="Times New Roman" w:hAnsi="Times New Roman" w:eastAsia="宋体" w:cs="Times New Roman"/>
                <w:color w:val="auto"/>
                <w:sz w:val="24"/>
                <w:highlight w:val="none"/>
                <w:lang w:val="en-US" w:eastAsia="zh-CN"/>
              </w:rPr>
              <w:t>本项目选址合理。</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cs="Times New Roman"/>
                <w:color w:val="auto"/>
                <w:kern w:val="0"/>
                <w:szCs w:val="21"/>
                <w:highlight w:val="none"/>
              </w:rPr>
            </w:pPr>
          </w:p>
        </w:tc>
      </w:tr>
    </w:tbl>
    <w:p>
      <w:pPr>
        <w:spacing w:line="360" w:lineRule="auto"/>
        <w:outlineLvl w:val="0"/>
        <w:rPr>
          <w:rFonts w:hint="default" w:ascii="Times New Roman" w:hAnsi="Times New Roman" w:eastAsia="黑体" w:cs="Times New Roman"/>
          <w:color w:val="auto"/>
          <w:sz w:val="30"/>
          <w:highlight w:val="none"/>
        </w:rPr>
        <w:sectPr>
          <w:footerReference r:id="rId7" w:type="default"/>
          <w:pgSz w:w="11906" w:h="16838"/>
          <w:pgMar w:top="1304" w:right="1020" w:bottom="1304"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
        <w:bidi w:val="0"/>
        <w:spacing w:line="260" w:lineRule="auto"/>
        <w:ind w:left="0" w:firstLine="0" w:firstLineChars="0"/>
        <w:jc w:val="center"/>
        <w:rPr>
          <w:rFonts w:hint="default" w:ascii="Times New Roman" w:hAnsi="Times New Roman" w:cs="Times New Roman"/>
          <w:color w:val="auto"/>
          <w:highlight w:val="none"/>
        </w:rPr>
      </w:pPr>
      <w:bookmarkStart w:id="4" w:name="_Toc25608"/>
      <w:r>
        <w:rPr>
          <w:rFonts w:hint="default" w:ascii="Times New Roman" w:hAnsi="Times New Roman" w:cs="Times New Roman"/>
          <w:color w:val="auto"/>
          <w:highlight w:val="none"/>
        </w:rPr>
        <w:t>二、建设项目工程分析</w:t>
      </w:r>
      <w:bookmarkEnd w:id="4"/>
    </w:p>
    <w:tbl>
      <w:tblPr>
        <w:tblStyle w:val="29"/>
        <w:tblW w:w="94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90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454" w:type="dxa"/>
            <w:noWrap w:val="0"/>
            <w:vAlign w:val="center"/>
          </w:tcPr>
          <w:p>
            <w:pPr>
              <w:pStyle w:val="25"/>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建设内容</w:t>
            </w:r>
          </w:p>
        </w:tc>
        <w:tc>
          <w:tcPr>
            <w:tcW w:w="9003" w:type="dxa"/>
            <w:noWrap w:val="0"/>
            <w:vAlign w:val="top"/>
          </w:tcPr>
          <w:p>
            <w:pPr>
              <w:keepNext w:val="0"/>
              <w:keepLines w:val="0"/>
              <w:pageBreakBefore w:val="0"/>
              <w:widowControl w:val="0"/>
              <w:kinsoku/>
              <w:wordWrap/>
              <w:overflowPunct/>
              <w:topLinePunct w:val="0"/>
              <w:bidi w:val="0"/>
              <w:adjustRightInd/>
              <w:snapToGrid/>
              <w:spacing w:line="360" w:lineRule="auto"/>
              <w:ind w:firstLine="457" w:firstLineChars="200"/>
              <w:textAlignment w:val="auto"/>
              <w:rPr>
                <w:rFonts w:hint="default"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一、项目背景</w:t>
            </w:r>
          </w:p>
          <w:p>
            <w:pPr>
              <w:keepNext w:val="0"/>
              <w:keepLines w:val="0"/>
              <w:pageBreakBefore w:val="0"/>
              <w:widowControl w:val="0"/>
              <w:kinsoku/>
              <w:wordWrap/>
              <w:overflowPunct/>
              <w:topLinePunct w:val="0"/>
              <w:bidi w:val="0"/>
              <w:adjustRightInd/>
              <w:snapToGrid/>
              <w:spacing w:line="360" w:lineRule="auto"/>
              <w:ind w:firstLine="457" w:firstLineChars="200"/>
              <w:textAlignment w:val="auto"/>
              <w:rPr>
                <w:rFonts w:hint="default"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（1）原环评批复情况</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昆明甲乙木能源技术有限公司于2022年9月委托昆明绿岛环境科技有限公司编制完成了《宜良工业园区生物质绿色可再生能源分布式集中供热项目环境影响报告表》（报批稿），并于2022年9月14日取得昆明市生态环境局宜良分局文件宜生环〔2022〕55号关于对《宜良工业园区生物质绿色可再生能源分布式集中供热项目环境影响报告表》的批复。昆明甲乙木能源技术有限公司于2022年11月15日取得排污许可证，证书编号：91530125MA6Q6XB8XL001V。已批复的内容为：项目建设6台生物质锅炉，其中海大供热点设置四台锅炉，分别为4t/h一台、6t/h二台、10t/h一台，特驱供热点设置6t/h锅炉一台，漓源供热点设置4t/h锅炉一台，项目建设的锅炉主要是产蒸汽供给服务企业使用。</w:t>
            </w:r>
          </w:p>
          <w:p>
            <w:pPr>
              <w:keepNext w:val="0"/>
              <w:keepLines w:val="0"/>
              <w:pageBreakBefore w:val="0"/>
              <w:widowControl w:val="0"/>
              <w:kinsoku/>
              <w:wordWrap/>
              <w:overflowPunct/>
              <w:topLinePunct w:val="0"/>
              <w:bidi w:val="0"/>
              <w:adjustRightInd/>
              <w:snapToGrid/>
              <w:spacing w:line="360" w:lineRule="auto"/>
              <w:ind w:firstLine="457" w:firstLineChars="200"/>
              <w:textAlignment w:val="auto"/>
              <w:rPr>
                <w:rFonts w:hint="default"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（2）锅炉建设情况</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该项目现已建设完成4台锅炉及配套设施，并投入运行，但未验收。分别在海大供热点建设一台4t/h锅炉和一台6t/h锅炉，特驱供热点建设一台6t/h锅炉，漓源供热点建设一台4t/h锅炉。由于服务范围内企业用蒸汽需求量增加，项目后续建设计划如下：①海大供热点锅炉设置由原环评的4t/h一台、6t/h二台、10t/h一台，变更为4t/h一台、6t/h一台、15t/h一台；②特驱供热点锅炉设置由原环评的6t/h锅炉一台，变更为6t/h一台、20t/h一台；③漓源供热点设置4t/h锅炉一台。</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项目锅炉装机总容量拟从原环评批复的36t/h变更为55t/h，由于供热点锅炉装机总容量增大，原辅材料用量发生了较大变化。对照《污染影响类建设项目重大变动清单（试行）》（环办环评函[2020]688号），项目建设发生重大变动，详见表2-1。</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表2-1项目是否属于重大变动辨识表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4219"/>
              <w:gridCol w:w="27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2" w:type="pct"/>
                  <w:gridSpan w:val="2"/>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《污染影响类建设项目重大变动清单（试行）》中重大变动情形</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项目变化情况</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性质</w:t>
                  </w: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1.建设项目开发、使用功能发生变化的。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无变化</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399"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规模</w:t>
                  </w:r>
                </w:p>
              </w:tc>
              <w:tc>
                <w:tcPr>
                  <w:tcW w:w="2402"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2.</w:t>
                  </w:r>
                  <w:r>
                    <w:rPr>
                      <w:rFonts w:hint="eastAsia" w:ascii="Times New Roman" w:hAnsi="Times New Roman" w:eastAsia="宋体" w:cs="Times New Roman"/>
                      <w:bCs/>
                      <w:color w:val="auto"/>
                      <w:kern w:val="0"/>
                      <w:sz w:val="21"/>
                      <w:szCs w:val="21"/>
                      <w:highlight w:val="none"/>
                      <w:lang w:val="en-US" w:eastAsia="zh-CN"/>
                    </w:rPr>
                    <w:t>生产、处置或储存能力增大30%及以上的。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①海大供热点锅炉设置由原环评的4t/h一台、6t/h二台、10t/h一台，变更为4t/h一台、6t/h一台、15t/h一台</w:t>
                  </w:r>
                  <w:r>
                    <w:rPr>
                      <w:rFonts w:hint="eastAsia" w:cs="Times New Roman"/>
                      <w:bCs/>
                      <w:color w:val="auto"/>
                      <w:kern w:val="0"/>
                      <w:sz w:val="21"/>
                      <w:szCs w:val="21"/>
                      <w:highlight w:val="none"/>
                      <w:lang w:val="en-US" w:eastAsia="zh-CN"/>
                    </w:rPr>
                    <w:t>。</w:t>
                  </w:r>
                </w:p>
              </w:tc>
              <w:tc>
                <w:tcPr>
                  <w:tcW w:w="623"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
                      <w:bCs w:val="0"/>
                      <w:color w:val="auto"/>
                      <w:kern w:val="0"/>
                      <w:sz w:val="21"/>
                      <w:szCs w:val="21"/>
                      <w:highlight w:val="none"/>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399" w:type="pct"/>
                  <w:vMerge w:val="continue"/>
                  <w:vAlign w:val="center"/>
                </w:tcPr>
                <w:p>
                  <w:pPr>
                    <w:widowControl/>
                    <w:adjustRightInd w:val="0"/>
                    <w:snapToGrid w:val="0"/>
                    <w:jc w:val="center"/>
                    <w:rPr>
                      <w:color w:val="auto"/>
                      <w:highlight w:val="none"/>
                    </w:rPr>
                  </w:pPr>
                </w:p>
              </w:tc>
              <w:tc>
                <w:tcPr>
                  <w:tcW w:w="2402" w:type="pct"/>
                  <w:vMerge w:val="continue"/>
                  <w:vAlign w:val="center"/>
                </w:tcPr>
                <w:p>
                  <w:pPr>
                    <w:widowControl/>
                    <w:adjustRightInd w:val="0"/>
                    <w:snapToGrid w:val="0"/>
                    <w:jc w:val="center"/>
                    <w:rPr>
                      <w:color w:val="auto"/>
                      <w:highlight w:val="none"/>
                    </w:rPr>
                  </w:pPr>
                </w:p>
              </w:tc>
              <w:tc>
                <w:tcPr>
                  <w:tcW w:w="1574"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②特驱供热点锅炉设置由原环评的6t/h锅炉一台，变更为6t/h一台、20t/h一台。</w:t>
                  </w:r>
                </w:p>
              </w:tc>
              <w:tc>
                <w:tcPr>
                  <w:tcW w:w="623"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399"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c>
                <w:tcPr>
                  <w:tcW w:w="2402"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c>
                <w:tcPr>
                  <w:tcW w:w="1574"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③</w:t>
                  </w:r>
                  <w:r>
                    <w:rPr>
                      <w:rFonts w:hint="eastAsia" w:ascii="Times New Roman" w:hAnsi="Times New Roman" w:eastAsia="宋体" w:cs="Times New Roman"/>
                      <w:bCs/>
                      <w:color w:val="auto"/>
                      <w:kern w:val="0"/>
                      <w:sz w:val="21"/>
                      <w:szCs w:val="21"/>
                      <w:highlight w:val="none"/>
                      <w:lang w:val="en-US" w:eastAsia="zh-CN"/>
                    </w:rPr>
                    <w:t>漓源供热点设置4t/h锅炉一台</w:t>
                  </w:r>
                  <w:r>
                    <w:rPr>
                      <w:rFonts w:hint="eastAsia" w:cs="Times New Roman"/>
                      <w:bCs/>
                      <w:color w:val="auto"/>
                      <w:kern w:val="0"/>
                      <w:sz w:val="21"/>
                      <w:szCs w:val="21"/>
                      <w:highlight w:val="none"/>
                      <w:lang w:val="en-US" w:eastAsia="zh-CN"/>
                    </w:rPr>
                    <w:t>，与原环评一致</w:t>
                  </w:r>
                  <w:r>
                    <w:rPr>
                      <w:rFonts w:hint="eastAsia" w:ascii="Times New Roman" w:hAnsi="Times New Roman" w:eastAsia="宋体" w:cs="Times New Roman"/>
                      <w:bCs/>
                      <w:color w:val="auto"/>
                      <w:kern w:val="0"/>
                      <w:sz w:val="21"/>
                      <w:szCs w:val="21"/>
                      <w:highlight w:val="none"/>
                      <w:lang w:val="en-US" w:eastAsia="zh-CN"/>
                    </w:rPr>
                    <w:t>。</w:t>
                  </w:r>
                </w:p>
              </w:tc>
              <w:tc>
                <w:tcPr>
                  <w:tcW w:w="623"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3.生产、处置或储存能力增大，导致废水第一类污染物排放量增加的。</w:t>
                  </w:r>
                </w:p>
              </w:tc>
              <w:tc>
                <w:tcPr>
                  <w:tcW w:w="1574"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项目不涉及废水第一类污染物排放。</w:t>
                  </w:r>
                </w:p>
              </w:tc>
              <w:tc>
                <w:tcPr>
                  <w:tcW w:w="623"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①</w:t>
                  </w:r>
                  <w:r>
                    <w:rPr>
                      <w:rFonts w:hint="eastAsia" w:ascii="Times New Roman" w:hAnsi="Times New Roman" w:eastAsia="宋体" w:cs="Times New Roman"/>
                      <w:bCs/>
                      <w:color w:val="auto"/>
                      <w:kern w:val="0"/>
                      <w:sz w:val="21"/>
                      <w:szCs w:val="21"/>
                      <w:highlight w:val="none"/>
                      <w:lang w:val="en-US" w:eastAsia="zh-CN"/>
                    </w:rPr>
                    <w:t>项目位于达标区。</w:t>
                  </w:r>
                </w:p>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②项目</w:t>
                  </w:r>
                  <w:r>
                    <w:rPr>
                      <w:rFonts w:hint="eastAsia" w:ascii="Times New Roman" w:hAnsi="Times New Roman" w:eastAsia="宋体" w:cs="Times New Roman"/>
                      <w:bCs/>
                      <w:color w:val="auto"/>
                      <w:kern w:val="0"/>
                      <w:sz w:val="21"/>
                      <w:szCs w:val="21"/>
                      <w:highlight w:val="none"/>
                      <w:lang w:val="en-US" w:eastAsia="zh-CN"/>
                    </w:rPr>
                    <w:t>污染物排放量增加10%及以上。</w:t>
                  </w:r>
                </w:p>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污染物排放量具体变化情况详见表2-2。</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
                      <w:bCs w:val="0"/>
                      <w:color w:val="auto"/>
                      <w:kern w:val="0"/>
                      <w:sz w:val="21"/>
                      <w:szCs w:val="21"/>
                      <w:highlight w:val="none"/>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地点</w:t>
                  </w: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5.重新选址；在原厂址附近调整（包括总平面布置变化）导致环境防护距离范围变化且新增敏感点的。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项目建设地点不变，未新增敏感点</w:t>
                  </w:r>
                  <w:r>
                    <w:rPr>
                      <w:rFonts w:hint="eastAsia" w:cs="Times New Roman"/>
                      <w:bCs/>
                      <w:color w:val="auto"/>
                      <w:kern w:val="0"/>
                      <w:sz w:val="21"/>
                      <w:szCs w:val="21"/>
                      <w:highlight w:val="none"/>
                      <w:lang w:val="en-US" w:eastAsia="zh-CN"/>
                    </w:rPr>
                    <w:t>。</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vAlign w:val="center"/>
                </w:tcPr>
                <w:p>
                  <w:pPr>
                    <w:widowControl/>
                    <w:adjustRightInd w:val="0"/>
                    <w:snapToGrid w:val="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生产工艺</w:t>
                  </w: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574"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项目</w:t>
                  </w:r>
                  <w:r>
                    <w:rPr>
                      <w:rFonts w:hint="eastAsia" w:cs="Times New Roman"/>
                      <w:bCs/>
                      <w:color w:val="auto"/>
                      <w:kern w:val="0"/>
                      <w:sz w:val="21"/>
                      <w:szCs w:val="21"/>
                      <w:highlight w:val="none"/>
                      <w:lang w:val="en-US" w:eastAsia="zh-CN"/>
                    </w:rPr>
                    <w:t>生物质燃料用量增加，利用生物质散烧供热。</w:t>
                  </w:r>
                </w:p>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①未新增排放污染物种类。</w:t>
                  </w:r>
                </w:p>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②项目位于达标区。</w:t>
                  </w:r>
                </w:p>
                <w:p>
                  <w:pPr>
                    <w:widowControl/>
                    <w:adjustRightInd w:val="0"/>
                    <w:snapToGrid w:val="0"/>
                    <w:jc w:val="center"/>
                    <w:rPr>
                      <w:rFonts w:hint="default" w:ascii="Times New Roman" w:hAnsi="Times New Roman" w:eastAsia="宋体" w:cs="Times New Roman"/>
                      <w:bCs/>
                      <w:color w:val="auto"/>
                      <w:kern w:val="0"/>
                      <w:sz w:val="21"/>
                      <w:szCs w:val="21"/>
                      <w:highlight w:val="none"/>
                      <w:lang w:val="en-US"/>
                    </w:rPr>
                  </w:pPr>
                  <w:r>
                    <w:rPr>
                      <w:rFonts w:hint="eastAsia" w:cs="Times New Roman"/>
                      <w:bCs/>
                      <w:color w:val="auto"/>
                      <w:kern w:val="0"/>
                      <w:sz w:val="21"/>
                      <w:szCs w:val="21"/>
                      <w:highlight w:val="none"/>
                      <w:lang w:val="en-US" w:eastAsia="zh-CN"/>
                    </w:rPr>
                    <w:t>③项目不涉及废水第一类污染物排放</w:t>
                  </w:r>
                  <w:r>
                    <w:rPr>
                      <w:rFonts w:hint="default" w:ascii="Times New Roman" w:hAnsi="Times New Roman" w:eastAsia="宋体" w:cs="Times New Roman"/>
                      <w:bCs/>
                      <w:color w:val="auto"/>
                      <w:kern w:val="0"/>
                      <w:sz w:val="21"/>
                      <w:szCs w:val="21"/>
                      <w:highlight w:val="none"/>
                      <w:lang w:val="en-US" w:eastAsia="zh-CN"/>
                    </w:rPr>
                    <w:t>。</w:t>
                  </w:r>
                </w:p>
                <w:p>
                  <w:pPr>
                    <w:widowControl/>
                    <w:adjustRightInd w:val="0"/>
                    <w:snapToGrid w:val="0"/>
                    <w:jc w:val="center"/>
                    <w:rPr>
                      <w:rFonts w:hint="default" w:ascii="Times New Roman" w:hAnsi="Times New Roman" w:eastAsia="宋体" w:cs="Times New Roman"/>
                      <w:bCs/>
                      <w:color w:val="auto"/>
                      <w:kern w:val="0"/>
                      <w:sz w:val="21"/>
                      <w:szCs w:val="21"/>
                      <w:highlight w:val="none"/>
                      <w:lang w:val="en-US"/>
                    </w:rPr>
                  </w:pPr>
                  <w:r>
                    <w:rPr>
                      <w:rFonts w:hint="eastAsia" w:cs="Times New Roman"/>
                      <w:bCs/>
                      <w:color w:val="auto"/>
                      <w:kern w:val="0"/>
                      <w:sz w:val="21"/>
                      <w:szCs w:val="21"/>
                      <w:highlight w:val="none"/>
                      <w:lang w:val="en-US" w:eastAsia="zh-CN"/>
                    </w:rPr>
                    <w:t>④</w:t>
                  </w:r>
                  <w:r>
                    <w:rPr>
                      <w:rFonts w:hint="default" w:ascii="Times New Roman" w:hAnsi="Times New Roman" w:eastAsia="宋体" w:cs="Times New Roman"/>
                      <w:bCs/>
                      <w:color w:val="auto"/>
                      <w:kern w:val="0"/>
                      <w:sz w:val="21"/>
                      <w:szCs w:val="21"/>
                      <w:highlight w:val="none"/>
                      <w:lang w:val="en-US" w:eastAsia="zh-CN"/>
                    </w:rPr>
                    <w:t>其他污染物排放量增加10%及以上。</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
                      <w:bCs w:val="0"/>
                      <w:color w:val="auto"/>
                      <w:kern w:val="0"/>
                      <w:sz w:val="21"/>
                      <w:szCs w:val="21"/>
                      <w:highlight w:val="none"/>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7.物料运输、装卸、贮存方式变化，导致大气污染物无组织排放量增加10%及以上的。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物料运输、装卸、贮存方式无变化。</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vAlign w:val="center"/>
                </w:tcPr>
                <w:p>
                  <w:pPr>
                    <w:widowControl/>
                    <w:adjustRightInd w:val="0"/>
                    <w:snapToGrid w:val="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环境保护措施</w:t>
                  </w: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8.废气、废水污染防治措施变化，导致第6条中所列情形之一（废气无组织排放改为有组织排放、污染防治措施强化或改进的除外）或大气污染物无组织排放量增加10%及以上的。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废气、废水污染防治措施</w:t>
                  </w:r>
                  <w:r>
                    <w:rPr>
                      <w:rFonts w:hint="eastAsia" w:cs="Times New Roman"/>
                      <w:bCs/>
                      <w:color w:val="auto"/>
                      <w:kern w:val="0"/>
                      <w:sz w:val="21"/>
                      <w:szCs w:val="21"/>
                      <w:highlight w:val="none"/>
                      <w:lang w:val="en-US" w:eastAsia="zh-CN"/>
                    </w:rPr>
                    <w:t>无</w:t>
                  </w:r>
                  <w:r>
                    <w:rPr>
                      <w:rFonts w:hint="eastAsia" w:ascii="Times New Roman" w:hAnsi="Times New Roman" w:eastAsia="宋体" w:cs="Times New Roman"/>
                      <w:bCs/>
                      <w:color w:val="auto"/>
                      <w:kern w:val="0"/>
                      <w:sz w:val="21"/>
                      <w:szCs w:val="21"/>
                      <w:highlight w:val="none"/>
                      <w:lang w:val="en-US" w:eastAsia="zh-CN"/>
                    </w:rPr>
                    <w:t>变化</w:t>
                  </w:r>
                  <w:r>
                    <w:rPr>
                      <w:rFonts w:hint="eastAsia" w:cs="Times New Roman"/>
                      <w:bCs/>
                      <w:color w:val="auto"/>
                      <w:kern w:val="0"/>
                      <w:sz w:val="21"/>
                      <w:szCs w:val="21"/>
                      <w:highlight w:val="none"/>
                      <w:lang w:val="en-US" w:eastAsia="zh-CN"/>
                    </w:rPr>
                    <w:t>。</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9.新增废水直接排放口；废水由间接排放改为直接排放；废水直接排放口位置变化，导致不利环境影响加重的。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未新增废水直接排放口，</w:t>
                  </w:r>
                  <w:r>
                    <w:rPr>
                      <w:rFonts w:hint="eastAsia" w:cs="Times New Roman"/>
                      <w:bCs/>
                      <w:color w:val="auto"/>
                      <w:kern w:val="0"/>
                      <w:sz w:val="21"/>
                      <w:szCs w:val="21"/>
                      <w:highlight w:val="none"/>
                      <w:lang w:val="en-US" w:eastAsia="zh-CN"/>
                    </w:rPr>
                    <w:t>废水排放方式无变化。</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10.新增废气主要排放口（废气无组织排放改为有组织排放的除外）；主要排放口排气筒高度降低10%及以上的。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未新增废气主要排放口；主要排放口排气筒高度未降低。</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11.噪声、土壤或地下水污染防治措施变化，导致不利环境影响加重的。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.噪声、土壤或地下水污染防治措施</w:t>
                  </w:r>
                  <w:r>
                    <w:rPr>
                      <w:rFonts w:hint="eastAsia" w:cs="Times New Roman"/>
                      <w:bCs/>
                      <w:color w:val="auto"/>
                      <w:kern w:val="0"/>
                      <w:sz w:val="21"/>
                      <w:szCs w:val="21"/>
                      <w:highlight w:val="none"/>
                      <w:lang w:val="en-US" w:eastAsia="zh-CN"/>
                    </w:rPr>
                    <w:t>无</w:t>
                  </w:r>
                  <w:r>
                    <w:rPr>
                      <w:rFonts w:hint="eastAsia" w:ascii="Times New Roman" w:hAnsi="Times New Roman" w:eastAsia="宋体" w:cs="Times New Roman"/>
                      <w:bCs/>
                      <w:color w:val="auto"/>
                      <w:kern w:val="0"/>
                      <w:sz w:val="21"/>
                      <w:szCs w:val="21"/>
                      <w:highlight w:val="none"/>
                      <w:lang w:val="en-US" w:eastAsia="zh-CN"/>
                    </w:rPr>
                    <w:t>变化</w:t>
                  </w:r>
                  <w:r>
                    <w:rPr>
                      <w:rFonts w:hint="eastAsia" w:cs="Times New Roman"/>
                      <w:bCs/>
                      <w:color w:val="auto"/>
                      <w:kern w:val="0"/>
                      <w:sz w:val="21"/>
                      <w:szCs w:val="21"/>
                      <w:highlight w:val="none"/>
                      <w:lang w:val="en-US" w:eastAsia="zh-CN"/>
                    </w:rPr>
                    <w:t>。</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1574"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固体废物利用处置方式不变。</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vAlign w:val="center"/>
                </w:tcPr>
                <w:p>
                  <w:pPr>
                    <w:widowControl/>
                    <w:adjustRightInd w:val="0"/>
                    <w:snapToGrid w:val="0"/>
                    <w:jc w:val="center"/>
                    <w:rPr>
                      <w:rFonts w:hint="eastAsia" w:cs="Times New Roman"/>
                      <w:bCs/>
                      <w:color w:val="auto"/>
                      <w:kern w:val="0"/>
                      <w:sz w:val="21"/>
                      <w:szCs w:val="21"/>
                      <w:highlight w:val="none"/>
                      <w:lang w:val="en-US" w:eastAsia="zh-CN"/>
                    </w:rPr>
                  </w:pPr>
                </w:p>
              </w:tc>
              <w:tc>
                <w:tcPr>
                  <w:tcW w:w="240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13.事故废水暂存能力或拦截设施变化，导致环境风险防范能力弱化或降低的。</w:t>
                  </w:r>
                </w:p>
              </w:tc>
              <w:tc>
                <w:tcPr>
                  <w:tcW w:w="1574"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项目不涉及事故废水暂存</w:t>
                  </w:r>
                </w:p>
              </w:tc>
              <w:tc>
                <w:tcPr>
                  <w:tcW w:w="62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不属于</w:t>
                  </w:r>
                </w:p>
              </w:tc>
            </w:tr>
          </w:tbl>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2变更前后污染物变化情况表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1497"/>
              <w:gridCol w:w="1909"/>
              <w:gridCol w:w="1786"/>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项目</w:t>
                  </w:r>
                </w:p>
              </w:tc>
              <w:tc>
                <w:tcPr>
                  <w:tcW w:w="853"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有组织颗粒物</w:t>
                  </w:r>
                </w:p>
              </w:tc>
              <w:tc>
                <w:tcPr>
                  <w:tcW w:w="108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有组织二氧化硫</w:t>
                  </w:r>
                </w:p>
              </w:tc>
              <w:tc>
                <w:tcPr>
                  <w:tcW w:w="101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有组织氮氧化物</w:t>
                  </w:r>
                </w:p>
              </w:tc>
              <w:tc>
                <w:tcPr>
                  <w:tcW w:w="751"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无组织粉尘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海大供热点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变更前排放量（t/a）</w:t>
                  </w:r>
                </w:p>
              </w:tc>
              <w:tc>
                <w:tcPr>
                  <w:tcW w:w="85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0.0063</w:t>
                  </w:r>
                </w:p>
              </w:tc>
              <w:tc>
                <w:tcPr>
                  <w:tcW w:w="108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4.76</w:t>
                  </w:r>
                </w:p>
              </w:tc>
              <w:tc>
                <w:tcPr>
                  <w:tcW w:w="101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9.996</w:t>
                  </w:r>
                </w:p>
              </w:tc>
              <w:tc>
                <w:tcPr>
                  <w:tcW w:w="751"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变更后排放量（t/a）</w:t>
                  </w:r>
                </w:p>
              </w:tc>
              <w:tc>
                <w:tcPr>
                  <w:tcW w:w="85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12.37</w:t>
                  </w:r>
                </w:p>
              </w:tc>
              <w:tc>
                <w:tcPr>
                  <w:tcW w:w="108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14.57</w:t>
                  </w:r>
                </w:p>
              </w:tc>
              <w:tc>
                <w:tcPr>
                  <w:tcW w:w="101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43.7</w:t>
                  </w:r>
                </w:p>
              </w:tc>
              <w:tc>
                <w:tcPr>
                  <w:tcW w:w="7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特驱供热点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变更前排放量（t/a）</w:t>
                  </w:r>
                </w:p>
              </w:tc>
              <w:tc>
                <w:tcPr>
                  <w:tcW w:w="853"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0.0009</w:t>
                  </w:r>
                </w:p>
              </w:tc>
              <w:tc>
                <w:tcPr>
                  <w:tcW w:w="108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0.68</w:t>
                  </w:r>
                </w:p>
              </w:tc>
              <w:tc>
                <w:tcPr>
                  <w:tcW w:w="101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1.428</w:t>
                  </w:r>
                </w:p>
              </w:tc>
              <w:tc>
                <w:tcPr>
                  <w:tcW w:w="751"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变更后排放量（t/a）</w:t>
                  </w:r>
                </w:p>
              </w:tc>
              <w:tc>
                <w:tcPr>
                  <w:tcW w:w="85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12.79</w:t>
                  </w:r>
                </w:p>
              </w:tc>
              <w:tc>
                <w:tcPr>
                  <w:tcW w:w="108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15.06</w:t>
                  </w:r>
                </w:p>
              </w:tc>
              <w:tc>
                <w:tcPr>
                  <w:tcW w:w="101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45.17</w:t>
                  </w:r>
                </w:p>
              </w:tc>
              <w:tc>
                <w:tcPr>
                  <w:tcW w:w="7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漓源供热点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变更前排放量（t/a）</w:t>
                  </w:r>
                </w:p>
              </w:tc>
              <w:tc>
                <w:tcPr>
                  <w:tcW w:w="85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0.0009</w:t>
                  </w:r>
                </w:p>
              </w:tc>
              <w:tc>
                <w:tcPr>
                  <w:tcW w:w="108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0.68</w:t>
                  </w:r>
                </w:p>
              </w:tc>
              <w:tc>
                <w:tcPr>
                  <w:tcW w:w="101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1.428</w:t>
                  </w:r>
                </w:p>
              </w:tc>
              <w:tc>
                <w:tcPr>
                  <w:tcW w:w="7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变更后排放量（t/a）</w:t>
                  </w:r>
                </w:p>
              </w:tc>
              <w:tc>
                <w:tcPr>
                  <w:tcW w:w="853"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1.95</w:t>
                  </w:r>
                </w:p>
              </w:tc>
              <w:tc>
                <w:tcPr>
                  <w:tcW w:w="108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2.3</w:t>
                  </w:r>
                </w:p>
              </w:tc>
              <w:tc>
                <w:tcPr>
                  <w:tcW w:w="101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6.9</w:t>
                  </w:r>
                </w:p>
              </w:tc>
              <w:tc>
                <w:tcPr>
                  <w:tcW w:w="7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0.2</w:t>
                  </w:r>
                </w:p>
              </w:tc>
            </w:tr>
          </w:tbl>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根据《中华人民共和国环境影响评价法》第二十四条“建设项目的环境影响评价文件经批准后，建设项目的性质、规模、地点、采用的生产工艺或者防治污染、防止生态破坏的措施发生重大变动的，建设单位应当重新报批建设项目的环境影响评价文件”。因此，项目生产规模发生重大变动，需重新报批环评文件。现申请办理项目环境影响评价审批手续。</w:t>
            </w:r>
            <w:r>
              <w:rPr>
                <w:rFonts w:hint="default" w:cs="Times New Roman"/>
                <w:bCs/>
                <w:color w:val="auto"/>
                <w:spacing w:val="-6"/>
                <w:sz w:val="24"/>
                <w:szCs w:val="24"/>
                <w:highlight w:val="none"/>
                <w:lang w:val="en-US" w:eastAsia="zh-CN"/>
              </w:rPr>
              <w:t>重新报批</w:t>
            </w:r>
            <w:r>
              <w:rPr>
                <w:rFonts w:hint="eastAsia" w:cs="Times New Roman"/>
                <w:bCs/>
                <w:color w:val="auto"/>
                <w:spacing w:val="-6"/>
                <w:sz w:val="24"/>
                <w:szCs w:val="24"/>
                <w:highlight w:val="none"/>
                <w:lang w:val="en-US" w:eastAsia="zh-CN"/>
              </w:rPr>
              <w:t>的项目内容：拟在海大供热点设置3台锅炉，分别为4t/h一台、6t/h一台、15t/h一台；特驱供热点设置2台锅炉，分别为6t/h一台、20t/h一台，漓源供热点设置4t/h锅炉一台。</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val="en-US" w:eastAsia="zh-CN"/>
              </w:rPr>
              <w:t>、建设规模</w:t>
            </w:r>
          </w:p>
          <w:p>
            <w:pPr>
              <w:autoSpaceDE w:val="0"/>
              <w:autoSpaceDN w:val="0"/>
              <w:adjustRightInd w:val="0"/>
              <w:spacing w:line="360" w:lineRule="auto"/>
              <w:ind w:firstLine="481"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1、项目概况</w:t>
            </w:r>
          </w:p>
          <w:p>
            <w:pPr>
              <w:autoSpaceDE w:val="0"/>
              <w:autoSpaceDN w:val="0"/>
              <w:adjustRightInd w:val="0"/>
              <w:spacing w:line="360" w:lineRule="auto"/>
              <w:ind w:firstLine="481" w:firstLineChars="200"/>
              <w:rPr>
                <w:rFonts w:hint="eastAsia" w:eastAsia="宋体"/>
                <w:color w:val="auto"/>
                <w:sz w:val="24"/>
                <w:szCs w:val="24"/>
                <w:highlight w:val="none"/>
                <w:lang w:val="en-US" w:eastAsia="zh-CN"/>
              </w:rPr>
            </w:pPr>
            <w:r>
              <w:rPr>
                <w:rFonts w:hint="eastAsia"/>
                <w:b/>
                <w:bCs/>
                <w:color w:val="auto"/>
                <w:sz w:val="24"/>
                <w:szCs w:val="24"/>
                <w:highlight w:val="none"/>
                <w:lang w:val="en-US" w:eastAsia="zh-CN"/>
              </w:rPr>
              <w:t>项目名称：</w:t>
            </w:r>
            <w:r>
              <w:rPr>
                <w:rFonts w:hint="eastAsia" w:cs="Times New Roman"/>
                <w:b w:val="0"/>
                <w:bCs w:val="0"/>
                <w:color w:val="auto"/>
                <w:sz w:val="24"/>
                <w:szCs w:val="24"/>
                <w:highlight w:val="none"/>
                <w:u w:val="none"/>
                <w:lang w:eastAsia="zh-CN"/>
              </w:rPr>
              <w:t>宜良工业园区生物质绿色可再生能源分布式集中供热项目</w:t>
            </w:r>
            <w:r>
              <w:rPr>
                <w:rFonts w:hint="eastAsia" w:cs="Times New Roman"/>
                <w:b w:val="0"/>
                <w:bCs w:val="0"/>
                <w:color w:val="auto"/>
                <w:sz w:val="24"/>
                <w:szCs w:val="24"/>
                <w:highlight w:val="none"/>
                <w:u w:val="none"/>
                <w:lang w:val="en-US" w:eastAsia="zh-CN"/>
              </w:rPr>
              <w:t>（重新报批）</w:t>
            </w:r>
          </w:p>
          <w:p>
            <w:pPr>
              <w:autoSpaceDE w:val="0"/>
              <w:autoSpaceDN w:val="0"/>
              <w:adjustRightInd w:val="0"/>
              <w:spacing w:line="360" w:lineRule="auto"/>
              <w:ind w:firstLine="481" w:firstLineChars="200"/>
              <w:rPr>
                <w:rFonts w:hint="eastAsia"/>
                <w:color w:val="auto"/>
                <w:sz w:val="24"/>
                <w:szCs w:val="24"/>
                <w:highlight w:val="none"/>
                <w:lang w:val="en-US" w:eastAsia="zh-CN"/>
              </w:rPr>
            </w:pPr>
            <w:r>
              <w:rPr>
                <w:rFonts w:hint="eastAsia"/>
                <w:b/>
                <w:bCs/>
                <w:color w:val="auto"/>
                <w:sz w:val="24"/>
                <w:szCs w:val="24"/>
                <w:highlight w:val="none"/>
                <w:lang w:val="en-US" w:eastAsia="zh-CN"/>
              </w:rPr>
              <w:t>建设单位：</w:t>
            </w:r>
            <w:r>
              <w:rPr>
                <w:rFonts w:hint="eastAsia" w:cs="Times New Roman"/>
                <w:bCs/>
                <w:color w:val="auto"/>
                <w:spacing w:val="-6"/>
                <w:sz w:val="24"/>
                <w:szCs w:val="24"/>
                <w:highlight w:val="none"/>
                <w:lang w:val="en-US" w:eastAsia="zh-CN"/>
              </w:rPr>
              <w:t>昆明甲乙木能源技术有限公司</w:t>
            </w:r>
          </w:p>
          <w:p>
            <w:pPr>
              <w:autoSpaceDE w:val="0"/>
              <w:autoSpaceDN w:val="0"/>
              <w:adjustRightInd w:val="0"/>
              <w:spacing w:line="360" w:lineRule="auto"/>
              <w:ind w:firstLine="481" w:firstLineChars="200"/>
              <w:rPr>
                <w:rFonts w:hint="eastAsia"/>
                <w:color w:val="auto"/>
                <w:sz w:val="24"/>
                <w:szCs w:val="24"/>
                <w:highlight w:val="none"/>
                <w:lang w:val="en-US" w:eastAsia="zh-CN"/>
              </w:rPr>
            </w:pPr>
            <w:r>
              <w:rPr>
                <w:rFonts w:hint="eastAsia"/>
                <w:b/>
                <w:bCs/>
                <w:color w:val="auto"/>
                <w:sz w:val="24"/>
                <w:szCs w:val="24"/>
                <w:highlight w:val="none"/>
                <w:lang w:val="en-US" w:eastAsia="zh-CN"/>
              </w:rPr>
              <w:t>建设性质：</w:t>
            </w:r>
            <w:r>
              <w:rPr>
                <w:rFonts w:hint="eastAsia"/>
                <w:b w:val="0"/>
                <w:bCs w:val="0"/>
                <w:color w:val="auto"/>
                <w:sz w:val="24"/>
                <w:szCs w:val="24"/>
                <w:highlight w:val="none"/>
                <w:lang w:val="en-US" w:eastAsia="zh-CN"/>
              </w:rPr>
              <w:t>新建（重新报批）</w:t>
            </w:r>
          </w:p>
          <w:p>
            <w:pPr>
              <w:autoSpaceDE w:val="0"/>
              <w:autoSpaceDN w:val="0"/>
              <w:adjustRightInd w:val="0"/>
              <w:spacing w:line="360" w:lineRule="auto"/>
              <w:ind w:firstLine="481" w:firstLineChars="200"/>
              <w:rPr>
                <w:rFonts w:hint="eastAsia" w:cs="Times New Roman"/>
                <w:b w:val="0"/>
                <w:bCs w:val="0"/>
                <w:color w:val="auto"/>
                <w:sz w:val="24"/>
                <w:szCs w:val="24"/>
                <w:highlight w:val="none"/>
                <w:lang w:val="en-US" w:eastAsia="zh-CN"/>
              </w:rPr>
            </w:pPr>
            <w:r>
              <w:rPr>
                <w:rFonts w:hint="eastAsia"/>
                <w:b/>
                <w:bCs/>
                <w:color w:val="auto"/>
                <w:sz w:val="24"/>
                <w:szCs w:val="24"/>
                <w:highlight w:val="none"/>
                <w:lang w:val="en-US" w:eastAsia="zh-CN"/>
              </w:rPr>
              <w:t>建设地点：</w:t>
            </w:r>
            <w:r>
              <w:rPr>
                <w:rFonts w:hint="eastAsia"/>
                <w:b w:val="0"/>
                <w:bCs w:val="0"/>
                <w:color w:val="auto"/>
                <w:sz w:val="24"/>
                <w:szCs w:val="24"/>
                <w:highlight w:val="none"/>
                <w:lang w:val="en-US" w:eastAsia="zh-CN"/>
              </w:rPr>
              <w:t>本项目位于宜良工业园北古城片区，建设三个供热点，为海大供热点、漓源供热点、特驱供热点。</w:t>
            </w:r>
            <w:r>
              <w:rPr>
                <w:rFonts w:hint="default" w:ascii="Times New Roman" w:hAnsi="Times New Roman" w:cs="Times New Roman"/>
                <w:b w:val="0"/>
                <w:bCs w:val="0"/>
                <w:color w:val="auto"/>
                <w:sz w:val="24"/>
                <w:szCs w:val="24"/>
                <w:highlight w:val="none"/>
                <w:lang w:val="en-US" w:eastAsia="zh-CN"/>
              </w:rPr>
              <w:t>海大供热点租用云南海大生物科技有限公司二期厂房规划建设用地建设</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漓源供热点利用</w:t>
            </w:r>
            <w:r>
              <w:rPr>
                <w:rFonts w:hint="default" w:ascii="Times New Roman" w:hAnsi="Times New Roman" w:cs="Times New Roman"/>
                <w:b w:val="0"/>
                <w:bCs w:val="0"/>
                <w:color w:val="auto"/>
                <w:sz w:val="24"/>
                <w:szCs w:val="24"/>
                <w:highlight w:val="none"/>
                <w:lang w:val="en-US" w:eastAsia="zh-CN"/>
              </w:rPr>
              <w:fldChar w:fldCharType="begin"/>
            </w:r>
            <w:r>
              <w:rPr>
                <w:rFonts w:hint="default" w:ascii="Times New Roman" w:hAnsi="Times New Roman" w:cs="Times New Roman"/>
                <w:b w:val="0"/>
                <w:bCs w:val="0"/>
                <w:color w:val="auto"/>
                <w:sz w:val="24"/>
                <w:szCs w:val="24"/>
                <w:highlight w:val="none"/>
                <w:lang w:val="en-US" w:eastAsia="zh-CN"/>
              </w:rPr>
              <w:instrText xml:space="preserve"> HYPERLINK "http://www.baidu.com/link?url=k38QrQiOpPhdnIoPfF-NRVdrrP4Rhg1-USYOQr1U9jApQjA8Vs5PJx58NJfeIweWVLfmUDdOT8BfCt1bzwbTe5t9EnIlnBBtpJciK0lHMvG" \t "_blank" </w:instrText>
            </w:r>
            <w:r>
              <w:rPr>
                <w:rFonts w:hint="default" w:ascii="Times New Roman" w:hAnsi="Times New Roman" w:cs="Times New Roman"/>
                <w:b w:val="0"/>
                <w:bCs w:val="0"/>
                <w:color w:val="auto"/>
                <w:sz w:val="24"/>
                <w:szCs w:val="24"/>
                <w:highlight w:val="none"/>
                <w:lang w:val="en-US" w:eastAsia="zh-CN"/>
              </w:rPr>
              <w:fldChar w:fldCharType="separate"/>
            </w:r>
            <w:r>
              <w:rPr>
                <w:rFonts w:hint="default" w:ascii="Times New Roman" w:hAnsi="Times New Roman" w:cs="Times New Roman"/>
                <w:b w:val="0"/>
                <w:bCs w:val="0"/>
                <w:color w:val="auto"/>
                <w:sz w:val="24"/>
                <w:szCs w:val="24"/>
                <w:highlight w:val="none"/>
                <w:lang w:val="en-US" w:eastAsia="zh-CN"/>
              </w:rPr>
              <w:t>昆明漓源饲料有限公司</w:t>
            </w:r>
            <w:r>
              <w:rPr>
                <w:rFonts w:hint="default" w:ascii="Times New Roman" w:hAnsi="Times New Roman" w:cs="Times New Roman"/>
                <w:b w:val="0"/>
                <w:bCs w:val="0"/>
                <w:color w:val="auto"/>
                <w:sz w:val="24"/>
                <w:szCs w:val="24"/>
                <w:highlight w:val="none"/>
                <w:lang w:val="en-US" w:eastAsia="zh-CN"/>
              </w:rPr>
              <w:fldChar w:fldCharType="end"/>
            </w:r>
            <w:r>
              <w:rPr>
                <w:rFonts w:hint="default" w:ascii="Times New Roman" w:hAnsi="Times New Roman" w:cs="Times New Roman"/>
                <w:b w:val="0"/>
                <w:bCs w:val="0"/>
                <w:color w:val="auto"/>
                <w:sz w:val="24"/>
                <w:szCs w:val="24"/>
                <w:highlight w:val="none"/>
                <w:lang w:val="en-US" w:eastAsia="zh-CN"/>
              </w:rPr>
              <w:t>原有锅炉房进行建设</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特驱供热点租用昆明特驱饲料有限公司锅炉房旁边空地建设</w:t>
            </w:r>
            <w:r>
              <w:rPr>
                <w:rFonts w:hint="eastAsia" w:cs="Times New Roman"/>
                <w:b w:val="0"/>
                <w:bCs w:val="0"/>
                <w:color w:val="auto"/>
                <w:sz w:val="24"/>
                <w:szCs w:val="24"/>
                <w:highlight w:val="none"/>
                <w:lang w:val="en-US" w:eastAsia="zh-CN"/>
              </w:rPr>
              <w:t>。</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项目建设后，产生的蒸汽供给生产企业，生产企业现有锅炉将根据供气满足情况决定停用或继续使用，生产企业原有锅炉设备的停用和拆除不由本项目负责。</w:t>
            </w:r>
          </w:p>
          <w:p>
            <w:pPr>
              <w:autoSpaceDE w:val="0"/>
              <w:autoSpaceDN w:val="0"/>
              <w:adjustRightInd w:val="0"/>
              <w:spacing w:line="360" w:lineRule="auto"/>
              <w:ind w:firstLine="481" w:firstLineChars="200"/>
              <w:rPr>
                <w:rFonts w:hint="default"/>
                <w:color w:val="auto"/>
                <w:sz w:val="24"/>
                <w:szCs w:val="24"/>
                <w:highlight w:val="none"/>
                <w:lang w:val="en-US" w:eastAsia="zh-CN"/>
              </w:rPr>
            </w:pPr>
            <w:r>
              <w:rPr>
                <w:rFonts w:hint="eastAsia"/>
                <w:b/>
                <w:bCs/>
                <w:color w:val="auto"/>
                <w:sz w:val="24"/>
                <w:szCs w:val="24"/>
                <w:highlight w:val="none"/>
                <w:lang w:val="en-US" w:eastAsia="zh-CN"/>
              </w:rPr>
              <w:t>项目投资：</w:t>
            </w:r>
            <w:r>
              <w:rPr>
                <w:rFonts w:hint="eastAsia"/>
                <w:color w:val="auto"/>
                <w:sz w:val="24"/>
                <w:szCs w:val="24"/>
                <w:highlight w:val="none"/>
                <w:lang w:val="en-US" w:eastAsia="zh-CN"/>
              </w:rPr>
              <w:t>本项目总投资为1560万元，环保投资196.02万元。</w:t>
            </w:r>
          </w:p>
          <w:p>
            <w:pPr>
              <w:autoSpaceDE w:val="0"/>
              <w:autoSpaceDN w:val="0"/>
              <w:adjustRightInd w:val="0"/>
              <w:spacing w:line="360" w:lineRule="auto"/>
              <w:ind w:firstLine="481" w:firstLineChars="200"/>
              <w:rPr>
                <w:rFonts w:hint="eastAsia"/>
                <w:b/>
                <w:bCs/>
                <w:color w:val="auto"/>
                <w:sz w:val="24"/>
                <w:szCs w:val="24"/>
                <w:highlight w:val="none"/>
                <w:lang w:val="en-US" w:eastAsia="zh-CN"/>
              </w:rPr>
            </w:pPr>
            <w:r>
              <w:rPr>
                <w:rFonts w:hint="eastAsia"/>
                <w:b/>
                <w:bCs/>
                <w:color w:val="auto"/>
                <w:sz w:val="24"/>
                <w:szCs w:val="24"/>
                <w:highlight w:val="none"/>
                <w:lang w:val="en-US" w:eastAsia="zh-CN"/>
              </w:rPr>
              <w:t>2、建设规模及建设内容变动情况</w:t>
            </w:r>
          </w:p>
          <w:p>
            <w:pPr>
              <w:autoSpaceDE w:val="0"/>
              <w:autoSpaceDN w:val="0"/>
              <w:adjustRightIn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项目建设海大供热点、特驱供热点、漓源供热点及调度系统。海大供热点设置3台锅炉，分别为</w:t>
            </w:r>
            <w:bookmarkStart w:id="5" w:name="OLE_LINK1"/>
            <w:bookmarkStart w:id="6" w:name="OLE_LINK2"/>
            <w:r>
              <w:rPr>
                <w:rFonts w:hint="eastAsia"/>
                <w:color w:val="auto"/>
                <w:sz w:val="24"/>
                <w:szCs w:val="24"/>
                <w:highlight w:val="none"/>
                <w:lang w:val="en-US" w:eastAsia="zh-CN"/>
              </w:rPr>
              <w:t>4t/h一台、6t/h一台、15t/h一台</w:t>
            </w:r>
            <w:bookmarkEnd w:id="5"/>
            <w:bookmarkEnd w:id="6"/>
            <w:r>
              <w:rPr>
                <w:rFonts w:hint="eastAsia"/>
                <w:color w:val="auto"/>
                <w:sz w:val="24"/>
                <w:szCs w:val="24"/>
                <w:highlight w:val="none"/>
                <w:lang w:val="en-US" w:eastAsia="zh-CN"/>
              </w:rPr>
              <w:t>，特驱供热点设置6t/h一台，20t/h一台，漓源供热点设置4t/h锅炉一台。项目区内不设置生活办公区，海大供热点及特驱供热点员工生活设施均依托于昆明特驱饲料有限公司已建成的生活设施，漓源供热点员工生活设施依托昆明漓源饲料有限公司已建成的生活设施。</w:t>
            </w:r>
          </w:p>
          <w:p>
            <w:pPr>
              <w:autoSpaceDE w:val="0"/>
              <w:autoSpaceDN w:val="0"/>
              <w:adjustRightIn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项目主要建设内容一览表见表2-3。</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3项目变动前后主要建设内容一览表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493"/>
              <w:gridCol w:w="2879"/>
              <w:gridCol w:w="3391"/>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53" w:type="pct"/>
                  <w:gridSpan w:val="2"/>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工程</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变更前</w:t>
                  </w:r>
                  <w:r>
                    <w:rPr>
                      <w:rFonts w:hint="eastAsia" w:ascii="Times New Roman" w:hAnsi="Times New Roman" w:eastAsia="宋体" w:cs="Times New Roman"/>
                      <w:bCs/>
                      <w:color w:val="auto"/>
                      <w:kern w:val="0"/>
                      <w:sz w:val="21"/>
                      <w:szCs w:val="21"/>
                      <w:highlight w:val="none"/>
                    </w:rPr>
                    <w:t>建设内容</w:t>
                  </w:r>
                </w:p>
              </w:tc>
              <w:tc>
                <w:tcPr>
                  <w:tcW w:w="1932"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变更后</w:t>
                  </w:r>
                  <w:r>
                    <w:rPr>
                      <w:rFonts w:hint="eastAsia" w:ascii="Times New Roman" w:hAnsi="Times New Roman" w:eastAsia="宋体" w:cs="Times New Roman"/>
                      <w:bCs/>
                      <w:color w:val="auto"/>
                      <w:kern w:val="0"/>
                      <w:sz w:val="21"/>
                      <w:szCs w:val="21"/>
                      <w:highlight w:val="none"/>
                    </w:rPr>
                    <w:t>建设内容</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目前建设进度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主体工程</w:t>
                  </w:r>
                </w:p>
              </w:tc>
              <w:tc>
                <w:tcPr>
                  <w:tcW w:w="281"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p>
              </w:tc>
              <w:tc>
                <w:tcPr>
                  <w:tcW w:w="1640" w:type="pct"/>
                  <w:vMerge w:val="restar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租用云南海大生物科技有限公司二期建设用地建设厂房，建设锅炉房一座锅炉房及软水制备系统，设置4台组合式然生物质锅炉，分别为</w:t>
                  </w:r>
                  <w:r>
                    <w:rPr>
                      <w:rFonts w:hint="eastAsia" w:ascii="Times New Roman" w:hAnsi="Times New Roman" w:eastAsia="宋体" w:cs="Times New Roman"/>
                      <w:bCs/>
                      <w:color w:val="auto"/>
                      <w:kern w:val="0"/>
                      <w:sz w:val="21"/>
                      <w:szCs w:val="21"/>
                      <w:highlight w:val="none"/>
                      <w:lang w:val="en-US" w:eastAsia="zh-CN"/>
                    </w:rPr>
                    <w:t>4t/h一台、6t/h</w:t>
                  </w:r>
                  <w:r>
                    <w:rPr>
                      <w:rFonts w:hint="eastAsia" w:cs="Times New Roman"/>
                      <w:bCs/>
                      <w:color w:val="auto"/>
                      <w:kern w:val="0"/>
                      <w:sz w:val="21"/>
                      <w:szCs w:val="21"/>
                      <w:highlight w:val="none"/>
                      <w:lang w:val="en-US" w:eastAsia="zh-CN"/>
                    </w:rPr>
                    <w:t>二</w:t>
                  </w:r>
                  <w:r>
                    <w:rPr>
                      <w:rFonts w:hint="eastAsia" w:ascii="Times New Roman" w:hAnsi="Times New Roman" w:eastAsia="宋体" w:cs="Times New Roman"/>
                      <w:bCs/>
                      <w:color w:val="auto"/>
                      <w:kern w:val="0"/>
                      <w:sz w:val="21"/>
                      <w:szCs w:val="21"/>
                      <w:highlight w:val="none"/>
                      <w:lang w:val="en-US" w:eastAsia="zh-CN"/>
                    </w:rPr>
                    <w:t>台、</w:t>
                  </w:r>
                  <w:r>
                    <w:rPr>
                      <w:rFonts w:hint="eastAsia" w:cs="Times New Roman"/>
                      <w:bCs/>
                      <w:color w:val="auto"/>
                      <w:kern w:val="0"/>
                      <w:sz w:val="21"/>
                      <w:szCs w:val="21"/>
                      <w:highlight w:val="none"/>
                      <w:lang w:val="en-US" w:eastAsia="zh-CN"/>
                    </w:rPr>
                    <w:t>10</w:t>
                  </w:r>
                  <w:r>
                    <w:rPr>
                      <w:rFonts w:hint="eastAsia" w:ascii="Times New Roman" w:hAnsi="Times New Roman" w:eastAsia="宋体" w:cs="Times New Roman"/>
                      <w:bCs/>
                      <w:color w:val="auto"/>
                      <w:kern w:val="0"/>
                      <w:sz w:val="21"/>
                      <w:szCs w:val="21"/>
                      <w:highlight w:val="none"/>
                      <w:lang w:val="en-US" w:eastAsia="zh-CN"/>
                    </w:rPr>
                    <w:t>t/h一台</w:t>
                  </w:r>
                  <w:r>
                    <w:rPr>
                      <w:rFonts w:hint="eastAsia" w:ascii="Times New Roman" w:hAnsi="Times New Roman" w:eastAsia="宋体" w:cs="Times New Roman"/>
                      <w:bCs/>
                      <w:color w:val="auto"/>
                      <w:kern w:val="0"/>
                      <w:sz w:val="21"/>
                      <w:szCs w:val="21"/>
                      <w:highlight w:val="none"/>
                    </w:rPr>
                    <w:t>。建筑面积为1432</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租用云南海大生物科技有限公司二期建设用地，建设锅炉房</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占地面积1600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rPr>
                    <w:t>建筑面积为1432</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Merge w:val="continue"/>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设置</w:t>
                  </w:r>
                  <w:r>
                    <w:rPr>
                      <w:rFonts w:hint="eastAsia" w:ascii="Times New Roman" w:hAnsi="Times New Roman" w:eastAsia="宋体" w:cs="Times New Roman"/>
                      <w:bCs/>
                      <w:color w:val="auto"/>
                      <w:kern w:val="0"/>
                      <w:sz w:val="21"/>
                      <w:szCs w:val="21"/>
                      <w:highlight w:val="none"/>
                      <w:lang w:val="en-US" w:eastAsia="zh-CN"/>
                    </w:rPr>
                    <w:t>4t/h</w:t>
                  </w:r>
                  <w:r>
                    <w:rPr>
                      <w:rFonts w:hint="eastAsia" w:cs="Times New Roman"/>
                      <w:bCs/>
                      <w:color w:val="auto"/>
                      <w:kern w:val="0"/>
                      <w:sz w:val="21"/>
                      <w:szCs w:val="21"/>
                      <w:highlight w:val="none"/>
                      <w:lang w:val="en-US" w:eastAsia="zh-CN"/>
                    </w:rPr>
                    <w:t>锅炉</w:t>
                  </w:r>
                  <w:r>
                    <w:rPr>
                      <w:rFonts w:hint="eastAsia" w:ascii="Times New Roman" w:hAnsi="Times New Roman" w:eastAsia="宋体" w:cs="Times New Roman"/>
                      <w:bCs/>
                      <w:color w:val="auto"/>
                      <w:kern w:val="0"/>
                      <w:sz w:val="21"/>
                      <w:szCs w:val="21"/>
                      <w:highlight w:val="none"/>
                      <w:lang w:val="en-US" w:eastAsia="zh-CN"/>
                    </w:rPr>
                    <w:t>一台、6t/h</w:t>
                  </w:r>
                  <w:r>
                    <w:rPr>
                      <w:rFonts w:hint="eastAsia" w:cs="Times New Roman"/>
                      <w:bCs/>
                      <w:color w:val="auto"/>
                      <w:kern w:val="0"/>
                      <w:sz w:val="21"/>
                      <w:szCs w:val="21"/>
                      <w:highlight w:val="none"/>
                      <w:lang w:val="en-US" w:eastAsia="zh-CN"/>
                    </w:rPr>
                    <w:t>锅炉</w:t>
                  </w:r>
                  <w:r>
                    <w:rPr>
                      <w:rFonts w:hint="eastAsia" w:ascii="Times New Roman" w:hAnsi="Times New Roman" w:eastAsia="宋体" w:cs="Times New Roman"/>
                      <w:bCs/>
                      <w:color w:val="auto"/>
                      <w:kern w:val="0"/>
                      <w:sz w:val="21"/>
                      <w:szCs w:val="21"/>
                      <w:highlight w:val="none"/>
                      <w:lang w:val="en-US" w:eastAsia="zh-CN"/>
                    </w:rPr>
                    <w:t>一台、15t/h</w:t>
                  </w:r>
                  <w:r>
                    <w:rPr>
                      <w:rFonts w:hint="eastAsia" w:cs="Times New Roman"/>
                      <w:bCs/>
                      <w:color w:val="auto"/>
                      <w:kern w:val="0"/>
                      <w:sz w:val="21"/>
                      <w:szCs w:val="21"/>
                      <w:highlight w:val="none"/>
                      <w:lang w:val="en-US" w:eastAsia="zh-CN"/>
                    </w:rPr>
                    <w:t>锅炉</w:t>
                  </w:r>
                  <w:r>
                    <w:rPr>
                      <w:rFonts w:hint="eastAsia" w:ascii="Times New Roman" w:hAnsi="Times New Roman" w:eastAsia="宋体" w:cs="Times New Roman"/>
                      <w:bCs/>
                      <w:color w:val="auto"/>
                      <w:kern w:val="0"/>
                      <w:sz w:val="21"/>
                      <w:szCs w:val="21"/>
                      <w:highlight w:val="none"/>
                      <w:lang w:val="en-US" w:eastAsia="zh-CN"/>
                    </w:rPr>
                    <w:t>一台</w:t>
                  </w:r>
                  <w:r>
                    <w:rPr>
                      <w:rFonts w:hint="eastAsia"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val="en-US" w:eastAsia="zh-CN"/>
                    </w:rPr>
                    <w:t>配套建设软水系统、除尘系统、烟气蒸发系统。</w:t>
                  </w:r>
                </w:p>
              </w:tc>
              <w:tc>
                <w:tcPr>
                  <w:tcW w:w="873" w:type="pct"/>
                  <w:vAlign w:val="center"/>
                </w:tcPr>
                <w:p>
                  <w:pPr>
                    <w:widowControl/>
                    <w:adjustRightInd w:val="0"/>
                    <w:snapToGrid w:val="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已建4t/h一台、6t/h一台，15t/h锅炉暂未建设。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特驱供热点</w:t>
                  </w:r>
                </w:p>
              </w:tc>
              <w:tc>
                <w:tcPr>
                  <w:tcW w:w="1640"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租用昆明特驱饲料有限公司锅炉房旁边空地建设，一层钢结构厂房，占地面积360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lang w:val="en-US" w:eastAsia="zh-CN" w:bidi="ar-SA"/>
                    </w:rPr>
                    <w:t>，建筑面积360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lang w:val="en-US" w:eastAsia="zh-CN" w:bidi="ar-SA"/>
                    </w:rPr>
                    <w:t>，建设6t/h锅炉一座及软水制备系统</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租用昆明特驱饲料有限公司锅炉房旁边空地建设，一层钢结构厂房，占地面积</w:t>
                  </w:r>
                  <w:r>
                    <w:rPr>
                      <w:rFonts w:hint="eastAsia" w:cs="Times New Roman"/>
                      <w:bCs/>
                      <w:color w:val="auto"/>
                      <w:kern w:val="0"/>
                      <w:sz w:val="21"/>
                      <w:szCs w:val="21"/>
                      <w:highlight w:val="none"/>
                      <w:lang w:val="en-US" w:eastAsia="zh-CN"/>
                    </w:rPr>
                    <w:t>600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，建筑面积</w:t>
                  </w:r>
                  <w:r>
                    <w:rPr>
                      <w:rFonts w:hint="eastAsia" w:cs="Times New Roman"/>
                      <w:bCs/>
                      <w:color w:val="auto"/>
                      <w:kern w:val="0"/>
                      <w:sz w:val="21"/>
                      <w:szCs w:val="21"/>
                      <w:highlight w:val="none"/>
                      <w:lang w:val="en-US" w:eastAsia="zh-CN"/>
                    </w:rPr>
                    <w:t>500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建设</w:t>
                  </w:r>
                  <w:r>
                    <w:rPr>
                      <w:rFonts w:hint="eastAsia" w:ascii="Times New Roman" w:hAnsi="Times New Roman" w:eastAsia="宋体" w:cs="Times New Roman"/>
                      <w:bCs/>
                      <w:color w:val="auto"/>
                      <w:kern w:val="0"/>
                      <w:sz w:val="21"/>
                      <w:szCs w:val="21"/>
                      <w:highlight w:val="none"/>
                    </w:rPr>
                    <w:t>6t/h锅炉</w:t>
                  </w:r>
                  <w:r>
                    <w:rPr>
                      <w:rFonts w:hint="eastAsia" w:cs="Times New Roman"/>
                      <w:bCs/>
                      <w:color w:val="auto"/>
                      <w:kern w:val="0"/>
                      <w:sz w:val="21"/>
                      <w:szCs w:val="21"/>
                      <w:highlight w:val="none"/>
                      <w:lang w:val="en-US" w:eastAsia="zh-CN"/>
                    </w:rPr>
                    <w:t>一台、20</w:t>
                  </w:r>
                  <w:r>
                    <w:rPr>
                      <w:rFonts w:hint="eastAsia" w:ascii="Times New Roman" w:hAnsi="Times New Roman" w:eastAsia="宋体" w:cs="Times New Roman"/>
                      <w:bCs/>
                      <w:color w:val="auto"/>
                      <w:kern w:val="0"/>
                      <w:sz w:val="21"/>
                      <w:szCs w:val="21"/>
                      <w:highlight w:val="none"/>
                    </w:rPr>
                    <w:t>t/h锅炉</w:t>
                  </w:r>
                  <w:r>
                    <w:rPr>
                      <w:rFonts w:hint="eastAsia" w:cs="Times New Roman"/>
                      <w:bCs/>
                      <w:color w:val="auto"/>
                      <w:kern w:val="0"/>
                      <w:sz w:val="21"/>
                      <w:szCs w:val="21"/>
                      <w:highlight w:val="none"/>
                      <w:lang w:val="en-US" w:eastAsia="zh-CN"/>
                    </w:rPr>
                    <w:t>一台，配套建设软水系统、除尘系统、烟气蒸发系统。</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r>
                    <w:rPr>
                      <w:rFonts w:hint="eastAsia" w:ascii="Times New Roman" w:hAnsi="Times New Roman" w:eastAsia="宋体" w:cs="Times New Roman"/>
                      <w:bCs/>
                      <w:color w:val="auto"/>
                      <w:kern w:val="0"/>
                      <w:sz w:val="21"/>
                      <w:szCs w:val="21"/>
                      <w:highlight w:val="none"/>
                    </w:rPr>
                    <w:t>6t/h锅炉</w:t>
                  </w:r>
                  <w:r>
                    <w:rPr>
                      <w:rFonts w:hint="eastAsia" w:cs="Times New Roman"/>
                      <w:bCs/>
                      <w:color w:val="auto"/>
                      <w:kern w:val="0"/>
                      <w:sz w:val="21"/>
                      <w:szCs w:val="21"/>
                      <w:highlight w:val="none"/>
                      <w:lang w:val="en-US" w:eastAsia="zh-CN"/>
                    </w:rPr>
                    <w:t>一台，20</w:t>
                  </w:r>
                  <w:r>
                    <w:rPr>
                      <w:rFonts w:hint="eastAsia" w:ascii="Times New Roman" w:hAnsi="Times New Roman" w:eastAsia="宋体" w:cs="Times New Roman"/>
                      <w:bCs/>
                      <w:color w:val="auto"/>
                      <w:kern w:val="0"/>
                      <w:sz w:val="21"/>
                      <w:szCs w:val="21"/>
                      <w:highlight w:val="none"/>
                    </w:rPr>
                    <w:t>t/h锅炉</w:t>
                  </w:r>
                  <w:r>
                    <w:rPr>
                      <w:rFonts w:hint="eastAsia" w:cs="Times New Roman"/>
                      <w:bCs/>
                      <w:color w:val="auto"/>
                      <w:kern w:val="0"/>
                      <w:sz w:val="21"/>
                      <w:szCs w:val="21"/>
                      <w:highlight w:val="none"/>
                      <w:lang w:val="en-US" w:eastAsia="zh-CN"/>
                    </w:rPr>
                    <w:t>暂未建设。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w:t>
                  </w:r>
                </w:p>
              </w:tc>
              <w:tc>
                <w:tcPr>
                  <w:tcW w:w="1640"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ascii="Times New Roman" w:hAnsi="Times New Roman" w:eastAsia="宋体" w:cs="Times New Roman"/>
                      <w:bCs/>
                      <w:color w:val="auto"/>
                      <w:kern w:val="0"/>
                      <w:sz w:val="21"/>
                      <w:szCs w:val="21"/>
                      <w:highlight w:val="none"/>
                    </w:rPr>
                    <w:t>使用昆明漓源饲料有限公司原锅炉房，建筑面积480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。新建一台4t/h的燃生物质锅炉</w:t>
                  </w:r>
                  <w:r>
                    <w:rPr>
                      <w:rFonts w:hint="eastAsia" w:cs="Times New Roman"/>
                      <w:bCs/>
                      <w:color w:val="auto"/>
                      <w:kern w:val="0"/>
                      <w:sz w:val="21"/>
                      <w:szCs w:val="21"/>
                      <w:highlight w:val="none"/>
                      <w:lang w:val="en-US" w:eastAsia="zh-CN"/>
                    </w:rPr>
                    <w:t>及软水系统</w:t>
                  </w:r>
                  <w:r>
                    <w:rPr>
                      <w:rFonts w:hint="eastAsia" w:cs="Times New Roman"/>
                      <w:bCs/>
                      <w:color w:val="auto"/>
                      <w:kern w:val="0"/>
                      <w:sz w:val="21"/>
                      <w:szCs w:val="21"/>
                      <w:highlight w:val="none"/>
                      <w:lang w:eastAsia="zh-CN"/>
                    </w:rPr>
                    <w:t>。</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使用昆明漓源饲料有限公司原锅炉房，建筑面积480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依托</w:t>
                  </w:r>
                  <w:r>
                    <w:rPr>
                      <w:rFonts w:hint="eastAsia" w:ascii="Times New Roman" w:hAnsi="Times New Roman" w:eastAsia="宋体" w:cs="Times New Roman"/>
                      <w:bCs/>
                      <w:color w:val="auto"/>
                      <w:kern w:val="0"/>
                      <w:sz w:val="21"/>
                      <w:szCs w:val="21"/>
                      <w:highlight w:val="none"/>
                    </w:rPr>
                    <w:t>昆明漓源饲料有限公司已建成锅炉房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新建一台4t/h的燃生物质锅炉</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配套建设软水系统、除尘系统、烟气蒸发系统</w:t>
                  </w:r>
                  <w:r>
                    <w:rPr>
                      <w:rFonts w:hint="eastAsia" w:cs="Times New Roman"/>
                      <w:bCs/>
                      <w:color w:val="auto"/>
                      <w:kern w:val="0"/>
                      <w:sz w:val="21"/>
                      <w:szCs w:val="21"/>
                      <w:highlight w:val="none"/>
                      <w:lang w:eastAsia="zh-CN"/>
                    </w:rPr>
                    <w:t>。</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供汽管网工程</w:t>
                  </w:r>
                </w:p>
              </w:tc>
              <w:tc>
                <w:tcPr>
                  <w:tcW w:w="281"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p>
              </w:tc>
              <w:tc>
                <w:tcPr>
                  <w:tcW w:w="1640"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采用低架空敷设方式，由锅炉房分汽缸沿围墙低架空约120米，接云南海大生物科技有限公司原主蒸汽管道供汽。</w:t>
                  </w:r>
                </w:p>
              </w:tc>
              <w:tc>
                <w:tcPr>
                  <w:tcW w:w="1932"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采用低架空敷设方式，由锅炉房分汽缸沿围墙低架空约120</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，接云南海大生物科技有限公司原主蒸汽管道供汽。</w:t>
                  </w:r>
                </w:p>
              </w:tc>
              <w:tc>
                <w:tcPr>
                  <w:tcW w:w="873"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供汽管道沿云南海大生物科技有限公司厂界架空400米至园区道路，套管地埋约30米穿过园区道路至云南加大饲料有限公司，在加大饲料厂区架空260米接入原蒸汽管道供汽。</w:t>
                  </w:r>
                </w:p>
              </w:tc>
              <w:tc>
                <w:tcPr>
                  <w:tcW w:w="1932"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供汽管道沿云南海大生物科技有限公司厂界架空340m至园区道路，套管地埋约30m穿过园区道路再通过500m蒸汽管网送至昆明滇大饲料有限公司</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云南加大饲料有限公司、昆明通威饲料有限公司、云南大北农饲料科技有限公司、云南新希望动物营养食品有限公司，在加大饲料厂区架空260m接入原蒸汽管道供汽。</w:t>
                  </w:r>
                </w:p>
              </w:tc>
              <w:tc>
                <w:tcPr>
                  <w:tcW w:w="873"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海大供热点剩余50%供汽余量，由于暂未确定供汽企业，供汽管线不含在本次环境影响评价内。</w:t>
                  </w:r>
                </w:p>
              </w:tc>
              <w:tc>
                <w:tcPr>
                  <w:tcW w:w="1932"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海大供热点</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15t/h锅炉暂未建设，</w:t>
                  </w:r>
                  <w:r>
                    <w:rPr>
                      <w:rFonts w:hint="eastAsia" w:ascii="Times New Roman" w:hAnsi="Times New Roman" w:eastAsia="宋体" w:cs="Times New Roman"/>
                      <w:bCs/>
                      <w:color w:val="auto"/>
                      <w:kern w:val="0"/>
                      <w:sz w:val="21"/>
                      <w:szCs w:val="21"/>
                      <w:highlight w:val="none"/>
                    </w:rPr>
                    <w:t>由于暂未确定供汽企业，供汽管线不含在本次环境影响评价内。</w:t>
                  </w:r>
                </w:p>
              </w:tc>
              <w:tc>
                <w:tcPr>
                  <w:tcW w:w="873"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特驱供热点</w:t>
                  </w:r>
                </w:p>
              </w:tc>
              <w:tc>
                <w:tcPr>
                  <w:tcW w:w="1640" w:type="pct"/>
                  <w:tcBorders>
                    <w:bottom w:val="single" w:color="auto" w:sz="4" w:space="0"/>
                  </w:tcBorders>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eastAsia="zh-CN"/>
                    </w:rPr>
                    <w:t>采用高架空敷设方式，30米左右与昆明特驱饲料有限公司原蒸汽管道相联供汽。</w:t>
                  </w:r>
                </w:p>
              </w:tc>
              <w:tc>
                <w:tcPr>
                  <w:tcW w:w="1932"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采用高架空敷设方式，30</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左右与昆明特驱饲料有限公司原蒸汽管道相联供汽。</w:t>
                  </w:r>
                </w:p>
              </w:tc>
              <w:tc>
                <w:tcPr>
                  <w:tcW w:w="873"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Merge w:val="restar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eastAsia="zh-CN"/>
                    </w:rPr>
                    <w:t>采用高架空敷设方式，20米左右与云南新东道农业产业有限公司原蒸汽管道相联供汽。</w:t>
                  </w:r>
                </w:p>
              </w:tc>
              <w:tc>
                <w:tcPr>
                  <w:tcW w:w="1932"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采用高架空敷设方式，20</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左右与云南新东道农业产业有限公司原蒸汽管道相联供汽。</w:t>
                  </w:r>
                </w:p>
              </w:tc>
              <w:tc>
                <w:tcPr>
                  <w:tcW w:w="873"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Merge w:val="continue"/>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p>
              </w:tc>
              <w:tc>
                <w:tcPr>
                  <w:tcW w:w="1932"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eastAsia="zh-CN"/>
                    </w:rPr>
                    <w:t>特驱供热点，</w:t>
                  </w:r>
                  <w:r>
                    <w:rPr>
                      <w:rFonts w:hint="eastAsia" w:cs="Times New Roman"/>
                      <w:bCs/>
                      <w:color w:val="auto"/>
                      <w:kern w:val="0"/>
                      <w:sz w:val="21"/>
                      <w:szCs w:val="21"/>
                      <w:highlight w:val="none"/>
                      <w:lang w:val="en-US" w:eastAsia="zh-CN"/>
                    </w:rPr>
                    <w:t>20t/h锅炉暂未建设，</w:t>
                  </w:r>
                  <w:r>
                    <w:rPr>
                      <w:rFonts w:hint="eastAsia" w:ascii="Times New Roman" w:hAnsi="Times New Roman" w:eastAsia="宋体" w:cs="Times New Roman"/>
                      <w:bCs/>
                      <w:color w:val="auto"/>
                      <w:kern w:val="0"/>
                      <w:sz w:val="21"/>
                      <w:szCs w:val="21"/>
                      <w:highlight w:val="none"/>
                    </w:rPr>
                    <w:t>由于暂未确定供汽企业，供汽管线不含在本次环境影响评价内。</w:t>
                  </w:r>
                </w:p>
              </w:tc>
              <w:tc>
                <w:tcPr>
                  <w:tcW w:w="873" w:type="pct"/>
                  <w:tcBorders>
                    <w:bottom w:val="single" w:color="auto" w:sz="4" w:space="0"/>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w:t>
                  </w:r>
                </w:p>
              </w:tc>
              <w:tc>
                <w:tcPr>
                  <w:tcW w:w="1640"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使用昆明漓源饲料有限公司原供汽管道。</w:t>
                  </w:r>
                </w:p>
              </w:tc>
              <w:tc>
                <w:tcPr>
                  <w:tcW w:w="1932"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使用昆明漓源饲料有限公司原供汽管道。</w:t>
                  </w:r>
                </w:p>
              </w:tc>
              <w:tc>
                <w:tcPr>
                  <w:tcW w:w="873" w:type="pct"/>
                  <w:tcBorders>
                    <w:bottom w:val="single" w:color="auto" w:sz="4" w:space="0"/>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rPr>
                  </w:pPr>
                  <w:r>
                    <w:rPr>
                      <w:rFonts w:hint="eastAsia" w:cs="Times New Roman"/>
                      <w:bCs/>
                      <w:color w:val="auto"/>
                      <w:kern w:val="0"/>
                      <w:sz w:val="21"/>
                      <w:szCs w:val="21"/>
                      <w:highlight w:val="none"/>
                      <w:lang w:val="en-US" w:eastAsia="zh-CN"/>
                    </w:rPr>
                    <w:t>依托昆明漓源饲料有限公司已建成管道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供汽管道通过架空320米引至云大饲料原蒸汽供汽管道供汽。</w:t>
                  </w:r>
                </w:p>
              </w:tc>
              <w:tc>
                <w:tcPr>
                  <w:tcW w:w="1932"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供汽管道通过架空320</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引至云大饲料原蒸汽供汽管道供汽。</w:t>
                  </w:r>
                </w:p>
              </w:tc>
              <w:tc>
                <w:tcPr>
                  <w:tcW w:w="873"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储运工程</w:t>
                  </w: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建设425</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生物质颗粒储料仓，生物质颗粒由昆明腾元禾农林科技有限公司运输至项目。</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建设</w:t>
                  </w:r>
                  <w:r>
                    <w:rPr>
                      <w:rFonts w:hint="eastAsia" w:cs="Times New Roman"/>
                      <w:bCs/>
                      <w:color w:val="auto"/>
                      <w:kern w:val="0"/>
                      <w:sz w:val="21"/>
                      <w:szCs w:val="21"/>
                      <w:highlight w:val="none"/>
                      <w:lang w:val="en-US" w:eastAsia="zh-CN"/>
                    </w:rPr>
                    <w:t>300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仓储房，</w:t>
                  </w:r>
                  <w:r>
                    <w:rPr>
                      <w:rFonts w:hint="eastAsia" w:ascii="Times New Roman" w:hAnsi="Times New Roman" w:eastAsia="宋体" w:cs="Times New Roman"/>
                      <w:bCs/>
                      <w:color w:val="auto"/>
                      <w:kern w:val="0"/>
                      <w:sz w:val="21"/>
                      <w:szCs w:val="21"/>
                      <w:highlight w:val="none"/>
                    </w:rPr>
                    <w:t>生物质颗粒</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灰渣均装袋后暂存于仓储房，</w:t>
                  </w:r>
                  <w:r>
                    <w:rPr>
                      <w:rFonts w:hint="eastAsia" w:ascii="Times New Roman" w:hAnsi="Times New Roman" w:eastAsia="宋体" w:cs="Times New Roman"/>
                      <w:bCs/>
                      <w:color w:val="auto"/>
                      <w:kern w:val="0"/>
                      <w:sz w:val="21"/>
                      <w:szCs w:val="21"/>
                      <w:highlight w:val="none"/>
                    </w:rPr>
                    <w:t>生物质颗粒由昆明腾元禾农林科技有限公司运输至项目。</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特驱供热点</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位于锅炉房内，面积约为78</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lang w:val="en-US" w:eastAsia="zh-CN" w:bidi="ar-SA"/>
                    </w:rPr>
                    <w:t>生物质颗粒储料仓，生物质颗粒由昆明腾元禾农林科技有限公司运输至项目。</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建设</w:t>
                  </w:r>
                  <w:r>
                    <w:rPr>
                      <w:rFonts w:hint="eastAsia" w:cs="Times New Roman"/>
                      <w:bCs/>
                      <w:color w:val="auto"/>
                      <w:kern w:val="0"/>
                      <w:sz w:val="21"/>
                      <w:szCs w:val="21"/>
                      <w:highlight w:val="none"/>
                      <w:lang w:val="en-US" w:eastAsia="zh-CN"/>
                    </w:rPr>
                    <w:t>200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仓储房，</w:t>
                  </w:r>
                  <w:r>
                    <w:rPr>
                      <w:rFonts w:hint="eastAsia" w:ascii="Times New Roman" w:hAnsi="Times New Roman" w:eastAsia="宋体" w:cs="Times New Roman"/>
                      <w:bCs/>
                      <w:color w:val="auto"/>
                      <w:kern w:val="0"/>
                      <w:sz w:val="21"/>
                      <w:szCs w:val="21"/>
                      <w:highlight w:val="none"/>
                    </w:rPr>
                    <w:t>生物质颗粒</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灰渣均装袋后暂存于仓储房，</w:t>
                  </w:r>
                  <w:r>
                    <w:rPr>
                      <w:rFonts w:hint="eastAsia" w:ascii="Times New Roman" w:hAnsi="Times New Roman" w:eastAsia="宋体" w:cs="Times New Roman"/>
                      <w:bCs/>
                      <w:color w:val="auto"/>
                      <w:kern w:val="0"/>
                      <w:sz w:val="21"/>
                      <w:szCs w:val="21"/>
                      <w:highlight w:val="none"/>
                    </w:rPr>
                    <w:t>生物质颗粒由昆明腾元禾农林科技有限公司运输至项目。</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建筑面积约为50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，生物质颗粒由昆明腾元禾农林科技有限公司运输至项目。</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利用漓源饲料公司现有空厂房，灰渣、生物质燃料均堆放在锅炉房内，不另设仓储房，</w:t>
                  </w:r>
                  <w:r>
                    <w:rPr>
                      <w:rFonts w:hint="eastAsia" w:ascii="Times New Roman" w:hAnsi="Times New Roman" w:eastAsia="宋体" w:cs="Times New Roman"/>
                      <w:bCs/>
                      <w:color w:val="auto"/>
                      <w:kern w:val="0"/>
                      <w:sz w:val="21"/>
                      <w:szCs w:val="21"/>
                      <w:highlight w:val="none"/>
                    </w:rPr>
                    <w:t>生物质颗粒由昆明腾元禾农林科技有限公司运输至项目。</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公用工程</w:t>
                  </w: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办公及生活设施</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管理及销售人员不在项目内办公及食宿，各供热点员工均不在项目内食宿，海大供热点及特驱供热点员工生活设施均依托于昆明特驱饲料有限公司已建成的生活设施，漓源供热点员工生活设施依托昆明漓源饲料有限公司已建成的生活设施。</w:t>
                  </w:r>
                </w:p>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项目区内不设生活设施，故不产生生活污水。</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项目</w:t>
                  </w:r>
                  <w:r>
                    <w:rPr>
                      <w:rFonts w:hint="eastAsia" w:cs="Times New Roman"/>
                      <w:bCs/>
                      <w:color w:val="auto"/>
                      <w:kern w:val="0"/>
                      <w:sz w:val="21"/>
                      <w:szCs w:val="21"/>
                      <w:highlight w:val="none"/>
                      <w:lang w:val="en-US" w:eastAsia="zh-CN"/>
                    </w:rPr>
                    <w:t>内</w:t>
                  </w:r>
                  <w:r>
                    <w:rPr>
                      <w:rFonts w:hint="eastAsia" w:ascii="Times New Roman" w:hAnsi="Times New Roman" w:eastAsia="宋体" w:cs="Times New Roman"/>
                      <w:bCs/>
                      <w:color w:val="auto"/>
                      <w:kern w:val="0"/>
                      <w:sz w:val="21"/>
                      <w:szCs w:val="21"/>
                      <w:highlight w:val="none"/>
                    </w:rPr>
                    <w:t>不设生活设施，</w:t>
                  </w:r>
                  <w:r>
                    <w:rPr>
                      <w:rFonts w:hint="eastAsia" w:ascii="Times New Roman" w:hAnsi="Times New Roman" w:eastAsia="宋体" w:cs="Times New Roman"/>
                      <w:bCs/>
                      <w:color w:val="auto"/>
                      <w:kern w:val="0"/>
                      <w:sz w:val="21"/>
                      <w:szCs w:val="21"/>
                      <w:highlight w:val="none"/>
                      <w:lang w:val="en-US" w:eastAsia="zh-CN"/>
                    </w:rPr>
                    <w:t>海大供热点及特驱供热点员工生活设施均依托于昆明特驱饲料有限公司已建成的生活设施，漓源供热点员工生活设施依托昆明漓源饲料有限公司已建成的生活设施。</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供水</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ascii="Times New Roman" w:hAnsi="Times New Roman" w:eastAsia="宋体" w:cs="Times New Roman"/>
                      <w:bCs/>
                      <w:color w:val="auto"/>
                      <w:kern w:val="0"/>
                      <w:sz w:val="21"/>
                      <w:szCs w:val="21"/>
                      <w:highlight w:val="none"/>
                    </w:rPr>
                    <w:t>项目用水由工业园区供水管网供给水需求</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项目用水由工业园区供水管网供给水需求</w:t>
                  </w:r>
                  <w:r>
                    <w:rPr>
                      <w:rFonts w:hint="eastAsia" w:cs="Times New Roman"/>
                      <w:bCs/>
                      <w:color w:val="auto"/>
                      <w:kern w:val="0"/>
                      <w:sz w:val="21"/>
                      <w:szCs w:val="21"/>
                      <w:highlight w:val="none"/>
                      <w:lang w:eastAsia="zh-CN"/>
                    </w:rPr>
                    <w:t>。</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依托园区已建成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供电</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ascii="Times New Roman" w:hAnsi="Times New Roman" w:eastAsia="宋体" w:cs="Times New Roman"/>
                      <w:bCs/>
                      <w:color w:val="auto"/>
                      <w:kern w:val="0"/>
                      <w:sz w:val="21"/>
                      <w:szCs w:val="21"/>
                      <w:highlight w:val="none"/>
                    </w:rPr>
                    <w:t>项目用电由工业园区接入</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项目用电由工业园区接入</w:t>
                  </w:r>
                  <w:r>
                    <w:rPr>
                      <w:rFonts w:hint="eastAsia" w:cs="Times New Roman"/>
                      <w:bCs/>
                      <w:color w:val="auto"/>
                      <w:kern w:val="0"/>
                      <w:sz w:val="21"/>
                      <w:szCs w:val="21"/>
                      <w:highlight w:val="none"/>
                      <w:lang w:eastAsia="zh-CN"/>
                    </w:rPr>
                    <w:t>。</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依托园区设施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排水</w:t>
                  </w:r>
                </w:p>
              </w:tc>
              <w:tc>
                <w:tcPr>
                  <w:tcW w:w="1640"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项目区实行雨污分流，雨水经过雨水沟收集排入园区雨水管网。软水制备废水和生物质锅炉排污水经过管道接入烟气蒸器用于烟气降温，随烟气蒸发，不外排。</w:t>
                  </w:r>
                </w:p>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项目区不设生活设施，故项目不产生生活污水。</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项目区实行雨污分流，雨水经过雨水沟收集排入园区雨水管网。</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软水制备废水和生物质锅炉排污水经过管道接入烟气蒸器用于烟气降温，随烟气蒸发，不外排。</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环保工程</w:t>
                  </w:r>
                </w:p>
              </w:tc>
              <w:tc>
                <w:tcPr>
                  <w:tcW w:w="281"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废气</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海大供热点锅炉废气经多管旋风除尘器+布袋除尘器处理后，经编号为DA001，高度为45米的1根烟囱排放。</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海大供热点</w:t>
                  </w:r>
                  <w:r>
                    <w:rPr>
                      <w:rFonts w:hint="eastAsia" w:cs="Times New Roman"/>
                      <w:bCs/>
                      <w:color w:val="auto"/>
                      <w:kern w:val="0"/>
                      <w:sz w:val="21"/>
                      <w:szCs w:val="21"/>
                      <w:highlight w:val="none"/>
                      <w:lang w:val="en-US" w:eastAsia="zh-CN"/>
                    </w:rPr>
                    <w:t>3台锅炉分别建设1套除尘器，共用1根排气筒。</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val="en-US" w:eastAsia="zh-CN"/>
                    </w:rPr>
                    <w:t>烟气</w:t>
                  </w:r>
                  <w:r>
                    <w:rPr>
                      <w:rFonts w:hint="eastAsia" w:ascii="Times New Roman" w:hAnsi="Times New Roman" w:eastAsia="宋体" w:cs="Times New Roman"/>
                      <w:bCs/>
                      <w:color w:val="auto"/>
                      <w:kern w:val="0"/>
                      <w:sz w:val="21"/>
                      <w:szCs w:val="21"/>
                      <w:highlight w:val="none"/>
                    </w:rPr>
                    <w:t>经多管旋风除尘器+布袋除尘器处理后，经编号为DA001，高度为45</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的1根烟囱排放。</w:t>
                  </w:r>
                </w:p>
              </w:tc>
              <w:tc>
                <w:tcPr>
                  <w:tcW w:w="873"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rPr>
                  </w:pPr>
                  <w:r>
                    <w:rPr>
                      <w:rFonts w:hint="eastAsia" w:ascii="Times New Roman" w:hAnsi="Times New Roman" w:eastAsia="宋体" w:cs="Times New Roman"/>
                      <w:bCs/>
                      <w:color w:val="auto"/>
                      <w:kern w:val="0"/>
                      <w:sz w:val="21"/>
                      <w:szCs w:val="21"/>
                      <w:highlight w:val="none"/>
                      <w:lang w:val="en-US" w:eastAsia="zh-CN"/>
                    </w:rPr>
                    <w:t>15t/h锅炉</w:t>
                  </w:r>
                  <w:r>
                    <w:rPr>
                      <w:rFonts w:hint="eastAsia" w:cs="Times New Roman"/>
                      <w:bCs/>
                      <w:color w:val="auto"/>
                      <w:kern w:val="0"/>
                      <w:sz w:val="21"/>
                      <w:szCs w:val="21"/>
                      <w:highlight w:val="none"/>
                      <w:lang w:val="en-US" w:eastAsia="zh-CN"/>
                    </w:rPr>
                    <w:t>及配套除尘器</w:t>
                  </w:r>
                  <w:r>
                    <w:rPr>
                      <w:rFonts w:hint="eastAsia" w:ascii="Times New Roman" w:hAnsi="Times New Roman" w:eastAsia="宋体" w:cs="Times New Roman"/>
                      <w:bCs/>
                      <w:color w:val="auto"/>
                      <w:kern w:val="0"/>
                      <w:sz w:val="21"/>
                      <w:szCs w:val="21"/>
                      <w:highlight w:val="none"/>
                      <w:lang w:val="en-US" w:eastAsia="zh-CN"/>
                    </w:rPr>
                    <w:t>暂未建设</w:t>
                  </w:r>
                  <w:r>
                    <w:rPr>
                      <w:rFonts w:hint="eastAsia" w:cs="Times New Roman"/>
                      <w:bCs/>
                      <w:color w:val="auto"/>
                      <w:kern w:val="0"/>
                      <w:sz w:val="21"/>
                      <w:szCs w:val="21"/>
                      <w:highlight w:val="none"/>
                      <w:lang w:val="en-US" w:eastAsia="zh-CN"/>
                    </w:rPr>
                    <w:t>，其余已建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特驱供热点锅炉废气经多管旋风除尘器+布袋除尘器处理后，经编号为DA003，高度为35米1根烟囱排放。</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特驱供热点</w:t>
                  </w:r>
                  <w:r>
                    <w:rPr>
                      <w:rFonts w:hint="eastAsia" w:cs="Times New Roman"/>
                      <w:bCs/>
                      <w:color w:val="auto"/>
                      <w:kern w:val="0"/>
                      <w:sz w:val="21"/>
                      <w:szCs w:val="21"/>
                      <w:highlight w:val="none"/>
                      <w:lang w:val="en-US" w:eastAsia="zh-CN"/>
                    </w:rPr>
                    <w:t>2台</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val="en-US" w:eastAsia="zh-CN"/>
                    </w:rPr>
                    <w:t>分别建设1套除尘器，共用1根排气筒。</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val="en-US" w:eastAsia="zh-CN"/>
                    </w:rPr>
                    <w:t>烟气</w:t>
                  </w:r>
                  <w:r>
                    <w:rPr>
                      <w:rFonts w:hint="eastAsia" w:ascii="Times New Roman" w:hAnsi="Times New Roman" w:eastAsia="宋体" w:cs="Times New Roman"/>
                      <w:bCs/>
                      <w:color w:val="auto"/>
                      <w:kern w:val="0"/>
                      <w:sz w:val="21"/>
                      <w:szCs w:val="21"/>
                      <w:highlight w:val="none"/>
                    </w:rPr>
                    <w:t>经多管旋风除尘器+布袋除尘器处理后，经编号为DA00</w:t>
                  </w:r>
                  <w:r>
                    <w:rPr>
                      <w:rFonts w:hint="eastAsia" w:cs="Times New Roman"/>
                      <w:bCs/>
                      <w:color w:val="auto"/>
                      <w:kern w:val="0"/>
                      <w:sz w:val="21"/>
                      <w:szCs w:val="21"/>
                      <w:highlight w:val="none"/>
                      <w:lang w:val="en-US" w:eastAsia="zh-CN"/>
                    </w:rPr>
                    <w:t>2</w:t>
                  </w:r>
                  <w:r>
                    <w:rPr>
                      <w:rFonts w:hint="eastAsia" w:ascii="Times New Roman" w:hAnsi="Times New Roman" w:eastAsia="宋体" w:cs="Times New Roman"/>
                      <w:bCs/>
                      <w:color w:val="auto"/>
                      <w:kern w:val="0"/>
                      <w:sz w:val="21"/>
                      <w:szCs w:val="21"/>
                      <w:highlight w:val="none"/>
                    </w:rPr>
                    <w:t>，高度为</w:t>
                  </w: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5</w:t>
                  </w:r>
                  <w:r>
                    <w:rPr>
                      <w:rFonts w:hint="eastAsia" w:cs="Times New Roman"/>
                      <w:bCs/>
                      <w:color w:val="auto"/>
                      <w:kern w:val="0"/>
                      <w:sz w:val="21"/>
                      <w:szCs w:val="21"/>
                      <w:highlight w:val="none"/>
                      <w:lang w:val="en-US" w:eastAsia="zh-CN"/>
                    </w:rPr>
                    <w:t>m的</w:t>
                  </w:r>
                  <w:r>
                    <w:rPr>
                      <w:rFonts w:hint="eastAsia" w:ascii="Times New Roman" w:hAnsi="Times New Roman" w:eastAsia="宋体" w:cs="Times New Roman"/>
                      <w:bCs/>
                      <w:color w:val="auto"/>
                      <w:kern w:val="0"/>
                      <w:sz w:val="21"/>
                      <w:szCs w:val="21"/>
                      <w:highlight w:val="none"/>
                    </w:rPr>
                    <w:t>1根烟囱排放。</w:t>
                  </w:r>
                </w:p>
              </w:tc>
              <w:tc>
                <w:tcPr>
                  <w:tcW w:w="873"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20</w:t>
                  </w:r>
                  <w:r>
                    <w:rPr>
                      <w:rFonts w:hint="eastAsia" w:ascii="Times New Roman" w:hAnsi="Times New Roman" w:eastAsia="宋体" w:cs="Times New Roman"/>
                      <w:bCs/>
                      <w:color w:val="auto"/>
                      <w:kern w:val="0"/>
                      <w:sz w:val="21"/>
                      <w:szCs w:val="21"/>
                      <w:highlight w:val="none"/>
                      <w:lang w:val="en-US" w:eastAsia="zh-CN"/>
                    </w:rPr>
                    <w:t>t/h锅炉</w:t>
                  </w:r>
                  <w:r>
                    <w:rPr>
                      <w:rFonts w:hint="eastAsia" w:cs="Times New Roman"/>
                      <w:bCs/>
                      <w:color w:val="auto"/>
                      <w:kern w:val="0"/>
                      <w:sz w:val="21"/>
                      <w:szCs w:val="21"/>
                      <w:highlight w:val="none"/>
                      <w:lang w:val="en-US" w:eastAsia="zh-CN"/>
                    </w:rPr>
                    <w:t>及配套除尘器</w:t>
                  </w:r>
                  <w:r>
                    <w:rPr>
                      <w:rFonts w:hint="eastAsia" w:ascii="Times New Roman" w:hAnsi="Times New Roman" w:eastAsia="宋体" w:cs="Times New Roman"/>
                      <w:bCs/>
                      <w:color w:val="auto"/>
                      <w:kern w:val="0"/>
                      <w:sz w:val="21"/>
                      <w:szCs w:val="21"/>
                      <w:highlight w:val="none"/>
                      <w:lang w:val="en-US" w:eastAsia="zh-CN"/>
                    </w:rPr>
                    <w:t>暂未建设</w:t>
                  </w:r>
                  <w:r>
                    <w:rPr>
                      <w:rFonts w:hint="eastAsia" w:cs="Times New Roman"/>
                      <w:bCs/>
                      <w:color w:val="auto"/>
                      <w:kern w:val="0"/>
                      <w:sz w:val="21"/>
                      <w:szCs w:val="21"/>
                      <w:highlight w:val="none"/>
                      <w:lang w:val="en-US" w:eastAsia="zh-CN"/>
                    </w:rPr>
                    <w:t>，其余已建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漓源供热点锅炉废气经多管旋风除尘器+布袋除尘器处理后，经编号为DA002，高度为35米1根烟囱排放。</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漓源供热点</w:t>
                  </w:r>
                  <w:r>
                    <w:rPr>
                      <w:rFonts w:hint="eastAsia" w:cs="Times New Roman"/>
                      <w:bCs/>
                      <w:color w:val="auto"/>
                      <w:kern w:val="0"/>
                      <w:sz w:val="21"/>
                      <w:szCs w:val="21"/>
                      <w:highlight w:val="none"/>
                      <w:lang w:val="en-US" w:eastAsia="zh-CN"/>
                    </w:rPr>
                    <w:t>设1台</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val="en-US" w:eastAsia="zh-CN"/>
                    </w:rPr>
                    <w:t>烟气</w:t>
                  </w:r>
                  <w:r>
                    <w:rPr>
                      <w:rFonts w:hint="eastAsia" w:ascii="Times New Roman" w:hAnsi="Times New Roman" w:eastAsia="宋体" w:cs="Times New Roman"/>
                      <w:bCs/>
                      <w:color w:val="auto"/>
                      <w:kern w:val="0"/>
                      <w:sz w:val="21"/>
                      <w:szCs w:val="21"/>
                      <w:highlight w:val="none"/>
                    </w:rPr>
                    <w:t>经多管旋风除尘器+布袋除尘器处理后，经编号为DA00</w:t>
                  </w:r>
                  <w:r>
                    <w:rPr>
                      <w:rFonts w:hint="eastAsia" w:cs="Times New Roman"/>
                      <w:bCs/>
                      <w:color w:val="auto"/>
                      <w:kern w:val="0"/>
                      <w:sz w:val="21"/>
                      <w:szCs w:val="21"/>
                      <w:highlight w:val="none"/>
                      <w:lang w:val="en-US" w:eastAsia="zh-CN"/>
                    </w:rPr>
                    <w:t>3</w:t>
                  </w:r>
                  <w:r>
                    <w:rPr>
                      <w:rFonts w:hint="eastAsia" w:ascii="Times New Roman" w:hAnsi="Times New Roman" w:eastAsia="宋体" w:cs="Times New Roman"/>
                      <w:bCs/>
                      <w:color w:val="auto"/>
                      <w:kern w:val="0"/>
                      <w:sz w:val="21"/>
                      <w:szCs w:val="21"/>
                      <w:highlight w:val="none"/>
                    </w:rPr>
                    <w:t>，高度为35</w:t>
                  </w:r>
                  <w:r>
                    <w:rPr>
                      <w:rFonts w:hint="eastAsia" w:cs="Times New Roman"/>
                      <w:bCs/>
                      <w:color w:val="auto"/>
                      <w:kern w:val="0"/>
                      <w:sz w:val="21"/>
                      <w:szCs w:val="21"/>
                      <w:highlight w:val="none"/>
                      <w:lang w:val="en-US" w:eastAsia="zh-CN"/>
                    </w:rPr>
                    <w:t>m的</w:t>
                  </w:r>
                  <w:r>
                    <w:rPr>
                      <w:rFonts w:hint="eastAsia" w:ascii="Times New Roman" w:hAnsi="Times New Roman" w:eastAsia="宋体" w:cs="Times New Roman"/>
                      <w:bCs/>
                      <w:color w:val="auto"/>
                      <w:kern w:val="0"/>
                      <w:sz w:val="21"/>
                      <w:szCs w:val="21"/>
                      <w:highlight w:val="none"/>
                    </w:rPr>
                    <w:t>1根烟囱排放。</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每个锅炉均配套建设一套多管旋风除尘器+布袋除尘器，共建设6套。</w:t>
                  </w:r>
                </w:p>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项目在每个供热点配套建设一套烟气CEMS在线分析系统，共建设3套。</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项目在每个供热点配套建设一套烟气CEMS在线分析系统，共建设3套。</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生产废水</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软水制备废水和生物质锅炉排污水经过管道接入烟气蒸器用于烟气降温，随烟气蒸发，不外排，共建设3套烟气蒸发器。</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软水制备废水和生物质锅炉排污水经过管道接入烟气蒸器用于烟气降温，随烟气蒸发，不外排，共建设3套烟气蒸发器。</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生活污水</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海大供热点及特驱供热点员工生活设施均依托于昆明特驱饲料有限公司已建成的生活设施，产生的冲厕及洗手废水由昆明特驱饲料有限公司已建成并验收的一座5.04</w:t>
                  </w:r>
                  <w:r>
                    <w:rPr>
                      <w:rFonts w:hint="default" w:ascii="Times New Roman" w:hAnsi="Times New Roman" w:eastAsia="宋体"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/d的一体化膜生物反应器处理。</w:t>
                  </w:r>
                </w:p>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漓源供热点员工生活设施依托昆明漓源饲料有限公司已建成的生活设施，产的的生活污水由</w:t>
                  </w:r>
                  <w:r>
                    <w:rPr>
                      <w:rFonts w:hint="eastAsia" w:ascii="Times New Roman" w:hAnsi="Times New Roman" w:eastAsia="宋体" w:cs="Times New Roman"/>
                      <w:bCs/>
                      <w:color w:val="auto"/>
                      <w:kern w:val="0"/>
                      <w:sz w:val="21"/>
                      <w:szCs w:val="21"/>
                      <w:highlight w:val="none"/>
                    </w:rPr>
                    <w:fldChar w:fldCharType="begin"/>
                  </w:r>
                  <w:r>
                    <w:rPr>
                      <w:rFonts w:hint="eastAsia" w:ascii="Times New Roman" w:hAnsi="Times New Roman" w:eastAsia="宋体" w:cs="Times New Roman"/>
                      <w:bCs/>
                      <w:color w:val="auto"/>
                      <w:kern w:val="0"/>
                      <w:sz w:val="21"/>
                      <w:szCs w:val="21"/>
                      <w:highlight w:val="none"/>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bCs/>
                      <w:color w:val="auto"/>
                      <w:kern w:val="0"/>
                      <w:sz w:val="21"/>
                      <w:szCs w:val="21"/>
                      <w:highlight w:val="none"/>
                    </w:rPr>
                    <w:fldChar w:fldCharType="separate"/>
                  </w:r>
                  <w:r>
                    <w:rPr>
                      <w:rFonts w:hint="eastAsia" w:ascii="Times New Roman" w:hAnsi="Times New Roman" w:eastAsia="宋体" w:cs="Times New Roman"/>
                      <w:bCs/>
                      <w:color w:val="auto"/>
                      <w:kern w:val="0"/>
                      <w:sz w:val="21"/>
                      <w:szCs w:val="21"/>
                      <w:highlight w:val="none"/>
                    </w:rPr>
                    <w:t>昆明漓源饲料有限公司</w:t>
                  </w:r>
                  <w:r>
                    <w:rPr>
                      <w:rFonts w:hint="eastAsia" w:ascii="Times New Roman" w:hAnsi="Times New Roman" w:eastAsia="宋体" w:cs="Times New Roman"/>
                      <w:bCs/>
                      <w:color w:val="auto"/>
                      <w:kern w:val="0"/>
                      <w:sz w:val="21"/>
                      <w:szCs w:val="21"/>
                      <w:highlight w:val="none"/>
                    </w:rPr>
                    <w:fldChar w:fldCharType="end"/>
                  </w:r>
                  <w:r>
                    <w:rPr>
                      <w:rFonts w:hint="eastAsia" w:ascii="Times New Roman" w:hAnsi="Times New Roman" w:eastAsia="宋体" w:cs="Times New Roman"/>
                      <w:bCs/>
                      <w:color w:val="auto"/>
                      <w:kern w:val="0"/>
                      <w:sz w:val="21"/>
                      <w:szCs w:val="21"/>
                      <w:highlight w:val="none"/>
                    </w:rPr>
                    <w:t>已建成并验收的一座15</w:t>
                  </w:r>
                  <w:r>
                    <w:rPr>
                      <w:rFonts w:hint="default" w:ascii="Times New Roman" w:hAnsi="Times New Roman" w:eastAsia="宋体"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/d一体化污水处理设施处理。</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海大供热点及特驱供热点员工生活设施均依托于昆明特驱饲料有限公司已建成的生活设施，产生的冲厕及洗手废水由昆明特驱饲料有限公司已建成并验收的一座5</w:t>
                  </w:r>
                  <w:r>
                    <w:rPr>
                      <w:rFonts w:hint="default" w:ascii="Times New Roman" w:hAnsi="Times New Roman" w:eastAsia="宋体"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/d的一体化膜生物反应器处理。</w:t>
                  </w:r>
                </w:p>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漓源供热点员工生活设施依托昆明漓源饲料有限公司已建成的生活设施，产的的生活污水由</w:t>
                  </w:r>
                  <w:r>
                    <w:rPr>
                      <w:rFonts w:hint="eastAsia" w:ascii="Times New Roman" w:hAnsi="Times New Roman" w:eastAsia="宋体" w:cs="Times New Roman"/>
                      <w:bCs/>
                      <w:color w:val="auto"/>
                      <w:kern w:val="0"/>
                      <w:sz w:val="21"/>
                      <w:szCs w:val="21"/>
                      <w:highlight w:val="none"/>
                    </w:rPr>
                    <w:fldChar w:fldCharType="begin"/>
                  </w:r>
                  <w:r>
                    <w:rPr>
                      <w:rFonts w:hint="eastAsia" w:ascii="Times New Roman" w:hAnsi="Times New Roman" w:eastAsia="宋体" w:cs="Times New Roman"/>
                      <w:bCs/>
                      <w:color w:val="auto"/>
                      <w:kern w:val="0"/>
                      <w:sz w:val="21"/>
                      <w:szCs w:val="21"/>
                      <w:highlight w:val="none"/>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bCs/>
                      <w:color w:val="auto"/>
                      <w:kern w:val="0"/>
                      <w:sz w:val="21"/>
                      <w:szCs w:val="21"/>
                      <w:highlight w:val="none"/>
                    </w:rPr>
                    <w:fldChar w:fldCharType="separate"/>
                  </w:r>
                  <w:r>
                    <w:rPr>
                      <w:rFonts w:hint="eastAsia" w:ascii="Times New Roman" w:hAnsi="Times New Roman" w:eastAsia="宋体" w:cs="Times New Roman"/>
                      <w:bCs/>
                      <w:color w:val="auto"/>
                      <w:kern w:val="0"/>
                      <w:sz w:val="21"/>
                      <w:szCs w:val="21"/>
                      <w:highlight w:val="none"/>
                    </w:rPr>
                    <w:t>昆明漓源饲料有限公司</w:t>
                  </w:r>
                  <w:r>
                    <w:rPr>
                      <w:rFonts w:hint="eastAsia" w:ascii="Times New Roman" w:hAnsi="Times New Roman" w:eastAsia="宋体" w:cs="Times New Roman"/>
                      <w:bCs/>
                      <w:color w:val="auto"/>
                      <w:kern w:val="0"/>
                      <w:sz w:val="21"/>
                      <w:szCs w:val="21"/>
                      <w:highlight w:val="none"/>
                    </w:rPr>
                    <w:fldChar w:fldCharType="end"/>
                  </w:r>
                  <w:r>
                    <w:rPr>
                      <w:rFonts w:hint="eastAsia" w:ascii="Times New Roman" w:hAnsi="Times New Roman" w:eastAsia="宋体" w:cs="Times New Roman"/>
                      <w:bCs/>
                      <w:color w:val="auto"/>
                      <w:kern w:val="0"/>
                      <w:sz w:val="21"/>
                      <w:szCs w:val="21"/>
                      <w:highlight w:val="none"/>
                    </w:rPr>
                    <w:t>已建成并验收的一座15</w:t>
                  </w:r>
                  <w:r>
                    <w:rPr>
                      <w:rFonts w:hint="default" w:ascii="Times New Roman" w:hAnsi="Times New Roman" w:eastAsia="宋体"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/d一体化污水处理设施处理。</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噪声</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选用低噪声设备，机械设备采取减振、降噪措施，设备置于封闭式锅炉房内，加强机械设备维护。</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选用低噪声设备，机械设备采取减振、降噪措施，设备置于封闭式锅炉房内，加强机械设备维护。</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cs="Times New Roman"/>
                      <w:bCs/>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生活垃圾桶</w:t>
                  </w: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ascii="Times New Roman" w:hAnsi="Times New Roman" w:eastAsia="宋体" w:cs="Times New Roman"/>
                      <w:bCs/>
                      <w:color w:val="auto"/>
                      <w:kern w:val="0"/>
                      <w:sz w:val="21"/>
                      <w:szCs w:val="21"/>
                      <w:highlight w:val="none"/>
                    </w:rPr>
                    <w:t>生活垃圾收集后送至工业园区指定位置，由园区统一处置</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生活垃圾收集后送至工业园区指定位置，由园区统一处置</w:t>
                  </w:r>
                  <w:r>
                    <w:rPr>
                      <w:rFonts w:hint="eastAsia" w:cs="Times New Roman"/>
                      <w:bCs/>
                      <w:color w:val="auto"/>
                      <w:kern w:val="0"/>
                      <w:sz w:val="21"/>
                      <w:szCs w:val="21"/>
                      <w:highlight w:val="none"/>
                      <w:lang w:eastAsia="zh-CN"/>
                    </w:rPr>
                    <w:t>。</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固体废物</w:t>
                  </w:r>
                </w:p>
              </w:tc>
              <w:tc>
                <w:tcPr>
                  <w:tcW w:w="1640"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rPr>
                  </w:pPr>
                  <w:r>
                    <w:rPr>
                      <w:rFonts w:hint="eastAsia" w:ascii="Times New Roman" w:hAnsi="Times New Roman" w:eastAsia="宋体" w:cs="Times New Roman"/>
                      <w:bCs/>
                      <w:color w:val="auto"/>
                      <w:kern w:val="0"/>
                      <w:sz w:val="21"/>
                      <w:szCs w:val="21"/>
                      <w:highlight w:val="none"/>
                    </w:rPr>
                    <w:t>危废暂存间设置于海大供热点，面积约为5</w:t>
                  </w:r>
                  <w:r>
                    <w:rPr>
                      <w:rFonts w:hint="default" w:ascii="Times New Roman" w:hAnsi="Times New Roman" w:eastAsia="宋体" w:cs="Times New Roman"/>
                      <w:bCs/>
                      <w:color w:val="auto"/>
                      <w:kern w:val="0"/>
                      <w:sz w:val="21"/>
                      <w:szCs w:val="21"/>
                      <w:highlight w:val="none"/>
                      <w:lang w:val="en-US" w:eastAsia="zh-CN"/>
                    </w:rPr>
                    <w:t>m²</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项目在漓源</w:t>
                  </w:r>
                  <w:r>
                    <w:rPr>
                      <w:rFonts w:hint="eastAsia" w:ascii="Times New Roman" w:hAnsi="Times New Roman" w:eastAsia="宋体" w:cs="Times New Roman"/>
                      <w:bCs/>
                      <w:color w:val="auto"/>
                      <w:kern w:val="0"/>
                      <w:sz w:val="21"/>
                      <w:szCs w:val="21"/>
                      <w:highlight w:val="none"/>
                    </w:rPr>
                    <w:t>供热点</w:t>
                  </w:r>
                  <w:r>
                    <w:rPr>
                      <w:rFonts w:hint="eastAsia" w:cs="Times New Roman"/>
                      <w:bCs/>
                      <w:color w:val="auto"/>
                      <w:kern w:val="0"/>
                      <w:sz w:val="21"/>
                      <w:szCs w:val="21"/>
                      <w:highlight w:val="none"/>
                      <w:lang w:val="en-US" w:eastAsia="zh-CN"/>
                    </w:rPr>
                    <w:t>建设1间建筑</w:t>
                  </w:r>
                  <w:r>
                    <w:rPr>
                      <w:rFonts w:hint="eastAsia" w:ascii="Times New Roman" w:hAnsi="Times New Roman" w:eastAsia="宋体" w:cs="Times New Roman"/>
                      <w:bCs/>
                      <w:color w:val="auto"/>
                      <w:kern w:val="0"/>
                      <w:sz w:val="21"/>
                      <w:szCs w:val="21"/>
                      <w:highlight w:val="none"/>
                    </w:rPr>
                    <w:t>面积约为</w:t>
                  </w:r>
                  <w:r>
                    <w:rPr>
                      <w:rFonts w:hint="eastAsia" w:cs="Times New Roman"/>
                      <w:bCs/>
                      <w:color w:val="auto"/>
                      <w:kern w:val="0"/>
                      <w:sz w:val="21"/>
                      <w:szCs w:val="21"/>
                      <w:highlight w:val="none"/>
                      <w:lang w:val="en-US" w:eastAsia="zh-CN"/>
                    </w:rPr>
                    <w:t>10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的危险废物贮存库，贮存各供热点产生的危险废物。</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281"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64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海大供热点在储料仓设置一间约10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的灰渣暂存间，特驱供热点在储料仓设置一间约6</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的灰渣暂存间，漓源供热点在储料仓设置一间约6</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的灰渣暂存间。</w:t>
                  </w:r>
                </w:p>
              </w:tc>
              <w:tc>
                <w:tcPr>
                  <w:tcW w:w="1932"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海大供热点设置一间约</w:t>
                  </w:r>
                  <w:r>
                    <w:rPr>
                      <w:rFonts w:hint="eastAsia" w:cs="Times New Roman"/>
                      <w:bCs/>
                      <w:color w:val="auto"/>
                      <w:kern w:val="0"/>
                      <w:sz w:val="21"/>
                      <w:szCs w:val="21"/>
                      <w:highlight w:val="none"/>
                      <w:lang w:val="en-US" w:eastAsia="zh-CN"/>
                    </w:rPr>
                    <w:t>300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的</w:t>
                  </w:r>
                  <w:r>
                    <w:rPr>
                      <w:rFonts w:hint="eastAsia" w:ascii="Times New Roman" w:hAnsi="Times New Roman" w:eastAsia="宋体" w:cs="Times New Roman"/>
                      <w:bCs/>
                      <w:color w:val="auto"/>
                      <w:kern w:val="0"/>
                      <w:sz w:val="21"/>
                      <w:szCs w:val="21"/>
                      <w:highlight w:val="none"/>
                      <w:lang w:val="en-US" w:eastAsia="zh-CN"/>
                    </w:rPr>
                    <w:t>仓储房</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rPr>
                    <w:t>灰渣</w:t>
                  </w:r>
                  <w:r>
                    <w:rPr>
                      <w:rFonts w:hint="eastAsia" w:cs="Times New Roman"/>
                      <w:bCs/>
                      <w:color w:val="auto"/>
                      <w:kern w:val="0"/>
                      <w:sz w:val="21"/>
                      <w:szCs w:val="21"/>
                      <w:highlight w:val="none"/>
                      <w:lang w:val="en-US" w:eastAsia="zh-CN"/>
                    </w:rPr>
                    <w:t>暂存在仓储房内</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特驱供热点设置一间约</w:t>
                  </w:r>
                  <w:r>
                    <w:rPr>
                      <w:rFonts w:hint="eastAsia" w:cs="Times New Roman"/>
                      <w:bCs/>
                      <w:color w:val="auto"/>
                      <w:kern w:val="0"/>
                      <w:sz w:val="21"/>
                      <w:szCs w:val="21"/>
                      <w:highlight w:val="none"/>
                      <w:lang w:val="en-US" w:eastAsia="zh-CN"/>
                    </w:rPr>
                    <w:t>200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的</w:t>
                  </w:r>
                  <w:r>
                    <w:rPr>
                      <w:rFonts w:hint="eastAsia" w:ascii="Times New Roman" w:hAnsi="Times New Roman" w:eastAsia="宋体" w:cs="Times New Roman"/>
                      <w:bCs/>
                      <w:color w:val="auto"/>
                      <w:kern w:val="0"/>
                      <w:sz w:val="21"/>
                      <w:szCs w:val="21"/>
                      <w:highlight w:val="none"/>
                      <w:lang w:val="en-US" w:eastAsia="zh-CN"/>
                    </w:rPr>
                    <w:t>仓储房</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rPr>
                    <w:t>灰渣</w:t>
                  </w:r>
                  <w:r>
                    <w:rPr>
                      <w:rFonts w:hint="eastAsia" w:cs="Times New Roman"/>
                      <w:bCs/>
                      <w:color w:val="auto"/>
                      <w:kern w:val="0"/>
                      <w:sz w:val="21"/>
                      <w:szCs w:val="21"/>
                      <w:highlight w:val="none"/>
                      <w:lang w:val="en-US" w:eastAsia="zh-CN"/>
                    </w:rPr>
                    <w:t>暂存在仓储房内</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漓源供热点利用漓源饲料公司现有空厂房，灰渣、堆放在锅炉房内，不另设仓储房。</w:t>
                  </w:r>
                </w:p>
              </w:tc>
              <w:tc>
                <w:tcPr>
                  <w:tcW w:w="87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、主要设备变动情况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color w:val="auto"/>
                <w:sz w:val="24"/>
                <w:szCs w:val="24"/>
                <w:highlight w:val="none"/>
              </w:rPr>
            </w:pPr>
            <w:r>
              <w:rPr>
                <w:rFonts w:hint="eastAsia"/>
                <w:color w:val="auto"/>
                <w:sz w:val="24"/>
                <w:szCs w:val="24"/>
                <w:highlight w:val="none"/>
                <w:lang w:val="en-US" w:eastAsia="zh-CN"/>
              </w:rPr>
              <w:t>项目</w:t>
            </w:r>
            <w:r>
              <w:rPr>
                <w:rFonts w:hint="eastAsia"/>
                <w:color w:val="auto"/>
                <w:sz w:val="24"/>
                <w:szCs w:val="24"/>
                <w:highlight w:val="none"/>
              </w:rPr>
              <w:t>主要</w:t>
            </w:r>
            <w:r>
              <w:rPr>
                <w:rFonts w:hint="eastAsia" w:eastAsia="宋体"/>
                <w:color w:val="auto"/>
                <w:sz w:val="24"/>
                <w:szCs w:val="24"/>
                <w:highlight w:val="none"/>
                <w:lang w:val="en-US" w:eastAsia="zh-CN"/>
              </w:rPr>
              <w:t>设施</w:t>
            </w:r>
            <w:r>
              <w:rPr>
                <w:rFonts w:hint="eastAsia"/>
                <w:color w:val="auto"/>
                <w:sz w:val="24"/>
                <w:szCs w:val="24"/>
                <w:highlight w:val="none"/>
              </w:rPr>
              <w:t>设备见表</w:t>
            </w:r>
            <w:r>
              <w:rPr>
                <w:rFonts w:hint="eastAsia"/>
                <w:color w:val="auto"/>
                <w:sz w:val="24"/>
                <w:szCs w:val="24"/>
                <w:highlight w:val="none"/>
                <w:lang w:val="en-US" w:eastAsia="zh-CN"/>
              </w:rPr>
              <w:t>2-4</w:t>
            </w:r>
            <w:r>
              <w:rPr>
                <w:rFonts w:hint="eastAsia"/>
                <w:color w:val="auto"/>
                <w:sz w:val="24"/>
                <w:szCs w:val="24"/>
                <w:highlight w:val="none"/>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4项目</w:t>
            </w:r>
            <w:r>
              <w:rPr>
                <w:rFonts w:hint="eastAsia" w:ascii="Times New Roman" w:hAnsi="Times New Roman" w:eastAsia="宋体" w:cs="Times New Roman"/>
                <w:b/>
                <w:bCs/>
                <w:color w:val="auto"/>
                <w:sz w:val="21"/>
                <w:szCs w:val="21"/>
                <w:highlight w:val="none"/>
                <w:lang w:val="en-US" w:eastAsia="zh-CN"/>
              </w:rPr>
              <w:t>主要设施设备变动情况</w:t>
            </w:r>
            <w:r>
              <w:rPr>
                <w:rFonts w:hint="eastAsia" w:cs="Times New Roman"/>
                <w:b/>
                <w:bCs/>
                <w:color w:val="auto"/>
                <w:sz w:val="21"/>
                <w:szCs w:val="21"/>
                <w:highlight w:val="none"/>
                <w:lang w:val="en-US" w:eastAsia="zh-CN"/>
              </w:rPr>
              <w:t>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171"/>
              <w:gridCol w:w="2007"/>
              <w:gridCol w:w="904"/>
              <w:gridCol w:w="1129"/>
              <w:gridCol w:w="1845"/>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供热点</w:t>
                  </w:r>
                </w:p>
              </w:tc>
              <w:tc>
                <w:tcPr>
                  <w:tcW w:w="2325" w:type="pct"/>
                  <w:gridSpan w:val="3"/>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变动前</w:t>
                  </w:r>
                </w:p>
              </w:tc>
              <w:tc>
                <w:tcPr>
                  <w:tcW w:w="2165" w:type="pct"/>
                  <w:gridSpan w:val="3"/>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变动后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667"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设备名称</w:t>
                  </w:r>
                </w:p>
              </w:tc>
              <w:tc>
                <w:tcPr>
                  <w:tcW w:w="11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设备型号</w:t>
                  </w:r>
                </w:p>
              </w:tc>
              <w:tc>
                <w:tcPr>
                  <w:tcW w:w="51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数量</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设备名称</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设备型号</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生物质锅炉</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color w:val="auto"/>
                      <w:szCs w:val="21"/>
                      <w:highlight w:val="none"/>
                    </w:rPr>
                    <w:t>SZL6-1.25-SCI</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rFonts w:hint="eastAsia"/>
                      <w:bCs/>
                      <w:color w:val="auto"/>
                      <w:szCs w:val="21"/>
                      <w:highlight w:val="none"/>
                    </w:rPr>
                    <w:t>2</w:t>
                  </w:r>
                  <w:r>
                    <w:rPr>
                      <w:bCs/>
                      <w:color w:val="auto"/>
                      <w:szCs w:val="21"/>
                      <w:highlight w:val="none"/>
                    </w:rPr>
                    <w:t>台</w:t>
                  </w:r>
                </w:p>
              </w:tc>
              <w:tc>
                <w:tcPr>
                  <w:tcW w:w="643"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6t/h</w:t>
                  </w:r>
                  <w:r>
                    <w:rPr>
                      <w:rFonts w:hint="eastAsia" w:ascii="Times New Roman" w:hAnsi="Times New Roman" w:eastAsia="宋体" w:cs="Times New Roman"/>
                      <w:bCs/>
                      <w:color w:val="auto"/>
                      <w:kern w:val="0"/>
                      <w:sz w:val="21"/>
                      <w:szCs w:val="21"/>
                      <w:highlight w:val="none"/>
                    </w:rPr>
                    <w:t>生物质锅炉</w:t>
                  </w:r>
                </w:p>
              </w:tc>
              <w:tc>
                <w:tcPr>
                  <w:tcW w:w="105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SZL6-1.25-SCI</w:t>
                  </w:r>
                </w:p>
              </w:tc>
              <w:tc>
                <w:tcPr>
                  <w:tcW w:w="47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生物质锅炉</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color w:val="auto"/>
                      <w:szCs w:val="21"/>
                      <w:highlight w:val="none"/>
                    </w:rPr>
                    <w:t>SZL4-1.25-SCIII</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1台</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4t/h</w:t>
                  </w:r>
                  <w:r>
                    <w:rPr>
                      <w:rFonts w:hint="eastAsia" w:ascii="Times New Roman" w:hAnsi="Times New Roman" w:eastAsia="宋体" w:cs="Times New Roman"/>
                      <w:bCs/>
                      <w:color w:val="auto"/>
                      <w:kern w:val="0"/>
                      <w:sz w:val="21"/>
                      <w:szCs w:val="21"/>
                      <w:highlight w:val="none"/>
                    </w:rPr>
                    <w:t>生物质锅炉</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SZL4-1.25-SCIII</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rFonts w:hint="eastAsia"/>
                      <w:bCs/>
                      <w:color w:val="auto"/>
                      <w:szCs w:val="21"/>
                      <w:highlight w:val="none"/>
                    </w:rPr>
                    <w:t>生物质锅炉</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color w:val="auto"/>
                      <w:szCs w:val="21"/>
                      <w:highlight w:val="none"/>
                    </w:rPr>
                    <w:t>SZW10-1.25-SC</w:t>
                  </w:r>
                  <w:r>
                    <w:rPr>
                      <w:rFonts w:hint="eastAsia" w:ascii="宋体" w:hAnsi="宋体" w:cs="宋体"/>
                      <w:color w:val="auto"/>
                      <w:szCs w:val="21"/>
                      <w:highlight w:val="none"/>
                    </w:rPr>
                    <w:t>Ⅲ</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1台</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15t/h</w:t>
                  </w:r>
                  <w:r>
                    <w:rPr>
                      <w:rFonts w:hint="eastAsia" w:ascii="Times New Roman" w:hAnsi="Times New Roman" w:eastAsia="宋体" w:cs="Times New Roman"/>
                      <w:bCs/>
                      <w:color w:val="auto"/>
                      <w:kern w:val="0"/>
                      <w:sz w:val="21"/>
                      <w:szCs w:val="21"/>
                      <w:highlight w:val="none"/>
                    </w:rPr>
                    <w:t>生物质锅炉</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SZW</w:t>
                  </w:r>
                  <w:r>
                    <w:rPr>
                      <w:rFonts w:hint="eastAsia" w:cs="Times New Roman"/>
                      <w:bCs/>
                      <w:color w:val="auto"/>
                      <w:kern w:val="0"/>
                      <w:sz w:val="21"/>
                      <w:szCs w:val="21"/>
                      <w:highlight w:val="none"/>
                      <w:lang w:val="en-US" w:eastAsia="zh-CN"/>
                    </w:rPr>
                    <w:t>15</w:t>
                  </w:r>
                  <w:r>
                    <w:rPr>
                      <w:rFonts w:hint="eastAsia" w:ascii="Times New Roman" w:hAnsi="Times New Roman" w:eastAsia="宋体" w:cs="Times New Roman"/>
                      <w:bCs/>
                      <w:color w:val="auto"/>
                      <w:kern w:val="0"/>
                      <w:sz w:val="21"/>
                      <w:szCs w:val="21"/>
                      <w:highlight w:val="none"/>
                    </w:rPr>
                    <w:t>-1.25-SCⅢ</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风机</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rFonts w:hint="eastAsia"/>
                      <w:bCs/>
                      <w:color w:val="auto"/>
                      <w:szCs w:val="21"/>
                      <w:highlight w:val="none"/>
                    </w:rPr>
                    <w:t>8</w:t>
                  </w:r>
                  <w:r>
                    <w:rPr>
                      <w:bCs/>
                      <w:color w:val="auto"/>
                      <w:szCs w:val="21"/>
                      <w:highlight w:val="none"/>
                    </w:rPr>
                    <w:t>台</w:t>
                  </w:r>
                </w:p>
              </w:tc>
              <w:tc>
                <w:tcPr>
                  <w:tcW w:w="643"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风机</w:t>
                  </w:r>
                </w:p>
              </w:tc>
              <w:tc>
                <w:tcPr>
                  <w:tcW w:w="105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w:t>
                  </w:r>
                </w:p>
              </w:tc>
              <w:tc>
                <w:tcPr>
                  <w:tcW w:w="47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6</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水泵</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rFonts w:hint="eastAsia"/>
                      <w:bCs/>
                      <w:color w:val="auto"/>
                      <w:szCs w:val="21"/>
                      <w:highlight w:val="none"/>
                    </w:rPr>
                    <w:t>8</w:t>
                  </w:r>
                  <w:r>
                    <w:rPr>
                      <w:bCs/>
                      <w:color w:val="auto"/>
                      <w:szCs w:val="21"/>
                      <w:highlight w:val="none"/>
                    </w:rPr>
                    <w:t>台</w:t>
                  </w:r>
                </w:p>
              </w:tc>
              <w:tc>
                <w:tcPr>
                  <w:tcW w:w="643"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水泵</w:t>
                  </w:r>
                </w:p>
              </w:tc>
              <w:tc>
                <w:tcPr>
                  <w:tcW w:w="105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w:t>
                  </w:r>
                </w:p>
              </w:tc>
              <w:tc>
                <w:tcPr>
                  <w:tcW w:w="47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空压机</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Q=1.2m</w:t>
                  </w:r>
                  <w:r>
                    <w:rPr>
                      <w:bCs/>
                      <w:color w:val="auto"/>
                      <w:szCs w:val="21"/>
                      <w:highlight w:val="none"/>
                      <w:vertAlign w:val="superscript"/>
                    </w:rPr>
                    <w:t>3</w:t>
                  </w:r>
                  <w:r>
                    <w:rPr>
                      <w:bCs/>
                      <w:color w:val="auto"/>
                      <w:szCs w:val="21"/>
                      <w:highlight w:val="none"/>
                    </w:rPr>
                    <w:t>，P=0.8Mpa</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1台</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空压机</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Q=1.2m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，P=0.8Mpa</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rFonts w:hint="eastAsia"/>
                      <w:bCs/>
                      <w:color w:val="auto"/>
                      <w:szCs w:val="21"/>
                      <w:highlight w:val="none"/>
                    </w:rPr>
                    <w:t>空压机</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V=2m</w:t>
                  </w:r>
                  <w:r>
                    <w:rPr>
                      <w:bCs/>
                      <w:color w:val="auto"/>
                      <w:szCs w:val="21"/>
                      <w:highlight w:val="none"/>
                      <w:vertAlign w:val="superscript"/>
                    </w:rPr>
                    <w:t>3</w:t>
                  </w:r>
                  <w:r>
                    <w:rPr>
                      <w:bCs/>
                      <w:color w:val="auto"/>
                      <w:szCs w:val="21"/>
                      <w:highlight w:val="none"/>
                    </w:rPr>
                    <w:t>，P=0.8MPa</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1台</w:t>
                  </w:r>
                </w:p>
              </w:tc>
              <w:tc>
                <w:tcPr>
                  <w:tcW w:w="643"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空压机</w:t>
                  </w:r>
                </w:p>
              </w:tc>
              <w:tc>
                <w:tcPr>
                  <w:tcW w:w="105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V=2m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，P=0.8MPa</w:t>
                  </w:r>
                </w:p>
              </w:tc>
              <w:tc>
                <w:tcPr>
                  <w:tcW w:w="47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烟囱</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rFonts w:hint="eastAsia"/>
                      <w:bCs/>
                      <w:color w:val="auto"/>
                      <w:szCs w:val="21"/>
                      <w:highlight w:val="none"/>
                    </w:rPr>
                    <w:t>45</w:t>
                  </w:r>
                  <w:r>
                    <w:rPr>
                      <w:bCs/>
                      <w:color w:val="auto"/>
                      <w:szCs w:val="21"/>
                      <w:highlight w:val="none"/>
                    </w:rPr>
                    <w:t>m</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一根</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烟囱</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45m</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一根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特驱供热点</w:t>
                  </w: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生物质锅炉</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color w:val="auto"/>
                      <w:szCs w:val="21"/>
                      <w:highlight w:val="none"/>
                    </w:rPr>
                    <w:t>SZL6-1.25-SCI</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1台</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20t/h</w:t>
                  </w:r>
                  <w:r>
                    <w:rPr>
                      <w:rFonts w:hint="eastAsia" w:ascii="Times New Roman" w:hAnsi="Times New Roman" w:eastAsia="宋体" w:cs="Times New Roman"/>
                      <w:bCs/>
                      <w:color w:val="auto"/>
                      <w:kern w:val="0"/>
                      <w:sz w:val="21"/>
                      <w:szCs w:val="21"/>
                      <w:highlight w:val="none"/>
                    </w:rPr>
                    <w:t>生物质锅炉</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SZW</w:t>
                  </w:r>
                  <w:r>
                    <w:rPr>
                      <w:rFonts w:hint="eastAsia" w:cs="Times New Roman"/>
                      <w:bCs/>
                      <w:color w:val="auto"/>
                      <w:kern w:val="0"/>
                      <w:sz w:val="21"/>
                      <w:szCs w:val="21"/>
                      <w:highlight w:val="none"/>
                      <w:lang w:val="en-US" w:eastAsia="zh-CN"/>
                    </w:rPr>
                    <w:t>20</w:t>
                  </w:r>
                  <w:r>
                    <w:rPr>
                      <w:rFonts w:hint="eastAsia" w:ascii="Times New Roman" w:hAnsi="Times New Roman" w:eastAsia="宋体" w:cs="Times New Roman"/>
                      <w:bCs/>
                      <w:color w:val="auto"/>
                      <w:kern w:val="0"/>
                      <w:sz w:val="21"/>
                      <w:szCs w:val="21"/>
                      <w:highlight w:val="none"/>
                    </w:rPr>
                    <w:t>-1.25-SCⅢ</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lang w:val="en-US" w:eastAsia="zh-CN" w:bidi="ar-SA"/>
                    </w:rPr>
                  </w:pPr>
                  <w:r>
                    <w:rPr>
                      <w:bCs/>
                      <w:color w:val="auto"/>
                      <w:szCs w:val="21"/>
                      <w:highlight w:val="none"/>
                    </w:rPr>
                    <w:t>风机</w:t>
                  </w:r>
                </w:p>
              </w:tc>
              <w:tc>
                <w:tcPr>
                  <w:tcW w:w="2007" w:type="dxa"/>
                  <w:vAlign w:val="center"/>
                </w:tcPr>
                <w:p>
                  <w:pPr>
                    <w:jc w:val="center"/>
                    <w:rPr>
                      <w:rFonts w:hint="eastAsia" w:ascii="Times New Roman" w:hAnsi="Times New Roman" w:eastAsia="宋体" w:cs="Times New Roman"/>
                      <w:bCs/>
                      <w:color w:val="auto"/>
                      <w:kern w:val="0"/>
                      <w:sz w:val="21"/>
                      <w:szCs w:val="21"/>
                      <w:highlight w:val="none"/>
                      <w:lang w:val="en-US" w:eastAsia="zh-CN" w:bidi="ar-SA"/>
                    </w:rPr>
                  </w:pPr>
                  <w:r>
                    <w:rPr>
                      <w:bCs/>
                      <w:color w:val="auto"/>
                      <w:szCs w:val="21"/>
                      <w:highlight w:val="none"/>
                    </w:rPr>
                    <w:t>/</w:t>
                  </w:r>
                </w:p>
              </w:tc>
              <w:tc>
                <w:tcPr>
                  <w:tcW w:w="904" w:type="dxa"/>
                  <w:vAlign w:val="center"/>
                </w:tcPr>
                <w:p>
                  <w:pPr>
                    <w:jc w:val="center"/>
                    <w:rPr>
                      <w:rFonts w:hint="eastAsia" w:ascii="Times New Roman" w:hAnsi="Times New Roman" w:eastAsia="宋体" w:cs="Times New Roman"/>
                      <w:bCs/>
                      <w:color w:val="auto"/>
                      <w:kern w:val="0"/>
                      <w:sz w:val="21"/>
                      <w:szCs w:val="21"/>
                      <w:highlight w:val="none"/>
                      <w:lang w:val="en-US" w:eastAsia="zh-CN" w:bidi="ar-SA"/>
                    </w:rPr>
                  </w:pPr>
                  <w:r>
                    <w:rPr>
                      <w:bCs/>
                      <w:color w:val="auto"/>
                      <w:szCs w:val="21"/>
                      <w:highlight w:val="none"/>
                    </w:rPr>
                    <w:t>2台</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6t/h</w:t>
                  </w:r>
                  <w:r>
                    <w:rPr>
                      <w:rFonts w:hint="eastAsia" w:ascii="Times New Roman" w:hAnsi="Times New Roman" w:eastAsia="宋体" w:cs="Times New Roman"/>
                      <w:bCs/>
                      <w:color w:val="auto"/>
                      <w:kern w:val="0"/>
                      <w:sz w:val="21"/>
                      <w:szCs w:val="21"/>
                      <w:highlight w:val="none"/>
                    </w:rPr>
                    <w:t>生物质锅炉</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SZL6-1.25-SCI</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水泵</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2台</w:t>
                  </w:r>
                </w:p>
              </w:tc>
              <w:tc>
                <w:tcPr>
                  <w:tcW w:w="643"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风机</w:t>
                  </w:r>
                </w:p>
              </w:tc>
              <w:tc>
                <w:tcPr>
                  <w:tcW w:w="105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w:t>
                  </w:r>
                </w:p>
              </w:tc>
              <w:tc>
                <w:tcPr>
                  <w:tcW w:w="47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空压机</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Q</w:t>
                  </w:r>
                  <w:r>
                    <w:rPr>
                      <w:rFonts w:hint="eastAsia" w:ascii="Times New Roman" w:hAnsi="Times New Roman" w:eastAsia="宋体" w:cs="Times New Roman"/>
                      <w:bCs/>
                      <w:color w:val="auto"/>
                      <w:kern w:val="0"/>
                      <w:sz w:val="21"/>
                      <w:szCs w:val="21"/>
                      <w:highlight w:val="none"/>
                    </w:rPr>
                    <w:t>=2m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，P=0.8MPa</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1台</w:t>
                  </w:r>
                </w:p>
              </w:tc>
              <w:tc>
                <w:tcPr>
                  <w:tcW w:w="643"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水泵</w:t>
                  </w:r>
                </w:p>
              </w:tc>
              <w:tc>
                <w:tcPr>
                  <w:tcW w:w="105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w:t>
                  </w:r>
                </w:p>
              </w:tc>
              <w:tc>
                <w:tcPr>
                  <w:tcW w:w="47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171"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烟囱</w:t>
                  </w:r>
                </w:p>
              </w:tc>
              <w:tc>
                <w:tcPr>
                  <w:tcW w:w="2007"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35m</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一根</w:t>
                  </w:r>
                </w:p>
              </w:tc>
              <w:tc>
                <w:tcPr>
                  <w:tcW w:w="643"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空压机</w:t>
                  </w:r>
                </w:p>
              </w:tc>
              <w:tc>
                <w:tcPr>
                  <w:tcW w:w="105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Q=1.2m</w:t>
                  </w:r>
                  <w:r>
                    <w:rPr>
                      <w:rFonts w:hint="default" w:ascii="Times New Roman" w:hAnsi="Times New Roman" w:cs="Times New Roman"/>
                      <w:bCs/>
                      <w:color w:val="auto"/>
                      <w:kern w:val="0"/>
                      <w:sz w:val="21"/>
                      <w:szCs w:val="21"/>
                      <w:highlight w:val="none"/>
                      <w:lang w:val="en-US" w:eastAsia="zh-CN"/>
                    </w:rPr>
                    <w:t>³</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P=0.8Mpa</w:t>
                  </w:r>
                </w:p>
              </w:tc>
              <w:tc>
                <w:tcPr>
                  <w:tcW w:w="47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667"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w:t>
                  </w:r>
                </w:p>
              </w:tc>
              <w:tc>
                <w:tcPr>
                  <w:tcW w:w="11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w:t>
                  </w:r>
                </w:p>
              </w:tc>
              <w:tc>
                <w:tcPr>
                  <w:tcW w:w="51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p>
              </w:tc>
              <w:tc>
                <w:tcPr>
                  <w:tcW w:w="643"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空压机</w:t>
                  </w:r>
                </w:p>
              </w:tc>
              <w:tc>
                <w:tcPr>
                  <w:tcW w:w="105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V=2m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，P=0.8MPa</w:t>
                  </w:r>
                </w:p>
              </w:tc>
              <w:tc>
                <w:tcPr>
                  <w:tcW w:w="47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667"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w:t>
                  </w:r>
                </w:p>
              </w:tc>
              <w:tc>
                <w:tcPr>
                  <w:tcW w:w="11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w:t>
                  </w:r>
                </w:p>
              </w:tc>
              <w:tc>
                <w:tcPr>
                  <w:tcW w:w="51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烟囱</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5m</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一根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w:t>
                  </w:r>
                </w:p>
              </w:tc>
              <w:tc>
                <w:tcPr>
                  <w:tcW w:w="667"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生物质锅炉</w:t>
                  </w:r>
                </w:p>
              </w:tc>
              <w:tc>
                <w:tcPr>
                  <w:tcW w:w="11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SZL4-1.25-SCI</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1台</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4t/h</w:t>
                  </w:r>
                  <w:r>
                    <w:rPr>
                      <w:rFonts w:hint="eastAsia" w:ascii="Times New Roman" w:hAnsi="Times New Roman" w:eastAsia="宋体" w:cs="Times New Roman"/>
                      <w:bCs/>
                      <w:color w:val="auto"/>
                      <w:kern w:val="0"/>
                      <w:sz w:val="21"/>
                      <w:szCs w:val="21"/>
                      <w:highlight w:val="none"/>
                    </w:rPr>
                    <w:t>生物质锅炉</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SZL4-1.25-SCI</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667"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风机</w:t>
                  </w:r>
                </w:p>
              </w:tc>
              <w:tc>
                <w:tcPr>
                  <w:tcW w:w="11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2台</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风机</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667"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水泵</w:t>
                  </w:r>
                </w:p>
              </w:tc>
              <w:tc>
                <w:tcPr>
                  <w:tcW w:w="11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2台</w:t>
                  </w:r>
                </w:p>
              </w:tc>
              <w:tc>
                <w:tcPr>
                  <w:tcW w:w="643"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水泵</w:t>
                  </w:r>
                </w:p>
              </w:tc>
              <w:tc>
                <w:tcPr>
                  <w:tcW w:w="105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w:t>
                  </w:r>
                </w:p>
              </w:tc>
              <w:tc>
                <w:tcPr>
                  <w:tcW w:w="471" w:type="pct"/>
                  <w:vAlign w:val="center"/>
                </w:tcPr>
                <w:p>
                  <w:pPr>
                    <w:widowControl/>
                    <w:adjustRightInd w:val="0"/>
                    <w:snapToGrid w:val="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667"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空压机</w:t>
                  </w:r>
                </w:p>
              </w:tc>
              <w:tc>
                <w:tcPr>
                  <w:tcW w:w="11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Q=1.2m</w:t>
                  </w:r>
                  <w:r>
                    <w:rPr>
                      <w:rFonts w:hint="default" w:ascii="Times New Roman" w:hAnsi="Times New Roman" w:cs="Times New Roman"/>
                      <w:bCs/>
                      <w:color w:val="auto"/>
                      <w:kern w:val="0"/>
                      <w:sz w:val="21"/>
                      <w:szCs w:val="21"/>
                      <w:highlight w:val="none"/>
                      <w:lang w:val="en-US" w:eastAsia="zh-CN"/>
                    </w:rPr>
                    <w:t>³</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P=0.8Mpa</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1台</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空压机</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Q=1.2m</w:t>
                  </w:r>
                  <w:r>
                    <w:rPr>
                      <w:rFonts w:hint="default" w:ascii="Times New Roman" w:hAnsi="Times New Roman" w:cs="Times New Roman"/>
                      <w:bCs/>
                      <w:color w:val="auto"/>
                      <w:kern w:val="0"/>
                      <w:sz w:val="21"/>
                      <w:szCs w:val="21"/>
                      <w:highlight w:val="none"/>
                      <w:lang w:val="en-US" w:eastAsia="zh-CN"/>
                    </w:rPr>
                    <w:t>³</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P=0.8Mpa</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9"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667"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烟囱</w:t>
                  </w:r>
                </w:p>
              </w:tc>
              <w:tc>
                <w:tcPr>
                  <w:tcW w:w="11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35m</w:t>
                  </w:r>
                </w:p>
              </w:tc>
              <w:tc>
                <w:tcPr>
                  <w:tcW w:w="904" w:type="dxa"/>
                  <w:vAlign w:val="center"/>
                </w:tcPr>
                <w:p>
                  <w:pPr>
                    <w:jc w:val="center"/>
                    <w:rPr>
                      <w:rFonts w:hint="eastAsia" w:ascii="Times New Roman" w:hAnsi="Times New Roman" w:eastAsia="宋体" w:cs="Times New Roman"/>
                      <w:bCs/>
                      <w:color w:val="auto"/>
                      <w:kern w:val="0"/>
                      <w:sz w:val="21"/>
                      <w:szCs w:val="21"/>
                      <w:highlight w:val="none"/>
                    </w:rPr>
                  </w:pPr>
                  <w:r>
                    <w:rPr>
                      <w:bCs/>
                      <w:color w:val="auto"/>
                      <w:szCs w:val="21"/>
                      <w:highlight w:val="none"/>
                    </w:rPr>
                    <w:t>1根</w:t>
                  </w:r>
                </w:p>
              </w:tc>
              <w:tc>
                <w:tcPr>
                  <w:tcW w:w="64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烟囱</w:t>
                  </w:r>
                </w:p>
              </w:tc>
              <w:tc>
                <w:tcPr>
                  <w:tcW w:w="105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35m</w:t>
                  </w:r>
                </w:p>
              </w:tc>
              <w:tc>
                <w:tcPr>
                  <w:tcW w:w="47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1根</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、原辅材料及能耗变动情况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根据建设单位提供资料，项目变动前后原辅材料及能源消耗见表2-5。</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项目主要原辅材料及能源消耗</w:t>
            </w:r>
            <w:r>
              <w:rPr>
                <w:rFonts w:hint="eastAsia" w:cs="Times New Roman"/>
                <w:b/>
                <w:bCs/>
                <w:color w:val="auto"/>
                <w:sz w:val="21"/>
                <w:szCs w:val="21"/>
                <w:highlight w:val="none"/>
                <w:lang w:val="en-US" w:eastAsia="zh-CN"/>
              </w:rPr>
              <w:t>变动情况</w:t>
            </w:r>
            <w:r>
              <w:rPr>
                <w:rFonts w:hint="eastAsia" w:ascii="Times New Roman" w:hAnsi="Times New Roman" w:eastAsia="宋体" w:cs="Times New Roman"/>
                <w:b/>
                <w:bCs/>
                <w:color w:val="auto"/>
                <w:sz w:val="21"/>
                <w:szCs w:val="21"/>
                <w:highlight w:val="none"/>
                <w:lang w:val="en-US" w:eastAsia="zh-CN"/>
              </w:rPr>
              <w:t>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1232"/>
              <w:gridCol w:w="1225"/>
              <w:gridCol w:w="1264"/>
              <w:gridCol w:w="1157"/>
              <w:gridCol w:w="1183"/>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4" w:type="pct"/>
                  <w:vMerge w:val="restar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物料名称</w:t>
                  </w:r>
                </w:p>
              </w:tc>
              <w:tc>
                <w:tcPr>
                  <w:tcW w:w="2120" w:type="pct"/>
                  <w:gridSpan w:val="3"/>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变动前年用量</w:t>
                  </w:r>
                </w:p>
              </w:tc>
              <w:tc>
                <w:tcPr>
                  <w:tcW w:w="2054" w:type="pct"/>
                  <w:gridSpan w:val="3"/>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变动后年用量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4" w:type="pct"/>
                  <w:vMerge w:val="continue"/>
                  <w:vAlign w:val="center"/>
                </w:tcPr>
                <w:p>
                  <w:pPr>
                    <w:pStyle w:val="23"/>
                    <w:bidi w:val="0"/>
                    <w:ind w:left="0" w:leftChars="0" w:firstLine="0" w:firstLineChars="0"/>
                    <w:jc w:val="center"/>
                    <w:rPr>
                      <w:rFonts w:hint="eastAsia" w:cs="Times New Roman"/>
                      <w:color w:val="auto"/>
                      <w:highlight w:val="none"/>
                      <w:lang w:val="en-US" w:eastAsia="zh-CN"/>
                    </w:rPr>
                  </w:pPr>
                </w:p>
              </w:tc>
              <w:tc>
                <w:tcPr>
                  <w:tcW w:w="702"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海大供热点</w:t>
                  </w:r>
                </w:p>
              </w:tc>
              <w:tc>
                <w:tcPr>
                  <w:tcW w:w="698"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特驱供热点</w:t>
                  </w:r>
                </w:p>
              </w:tc>
              <w:tc>
                <w:tcPr>
                  <w:tcW w:w="719"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漓源供热点</w:t>
                  </w:r>
                </w:p>
              </w:tc>
              <w:tc>
                <w:tcPr>
                  <w:tcW w:w="659"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海大供热点</w:t>
                  </w:r>
                </w:p>
              </w:tc>
              <w:tc>
                <w:tcPr>
                  <w:tcW w:w="674"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特驱供热点</w:t>
                  </w:r>
                </w:p>
              </w:tc>
              <w:tc>
                <w:tcPr>
                  <w:tcW w:w="721"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漓源供热点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4"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生物质（非成型燃料）</w:t>
                  </w:r>
                </w:p>
              </w:tc>
              <w:tc>
                <w:tcPr>
                  <w:tcW w:w="702"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14000t/a</w:t>
                  </w:r>
                </w:p>
              </w:tc>
              <w:tc>
                <w:tcPr>
                  <w:tcW w:w="698"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2000t/a</w:t>
                  </w:r>
                </w:p>
              </w:tc>
              <w:tc>
                <w:tcPr>
                  <w:tcW w:w="719"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2000t/a</w:t>
                  </w:r>
                </w:p>
              </w:tc>
              <w:tc>
                <w:tcPr>
                  <w:tcW w:w="659"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42847.2t/a</w:t>
                  </w:r>
                </w:p>
              </w:tc>
              <w:tc>
                <w:tcPr>
                  <w:tcW w:w="674"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44287.7t/a</w:t>
                  </w:r>
                </w:p>
              </w:tc>
              <w:tc>
                <w:tcPr>
                  <w:tcW w:w="721"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6766.9t/a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4" w:type="pct"/>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水</w:t>
                  </w:r>
                </w:p>
              </w:tc>
              <w:tc>
                <w:tcPr>
                  <w:tcW w:w="2120" w:type="pct"/>
                  <w:gridSpan w:val="3"/>
                  <w:vAlign w:val="center"/>
                </w:tcPr>
                <w:p>
                  <w:pPr>
                    <w:pStyle w:val="23"/>
                    <w:bidi w:val="0"/>
                    <w:ind w:left="0" w:lef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107041/a</w:t>
                  </w:r>
                </w:p>
              </w:tc>
              <w:tc>
                <w:tcPr>
                  <w:tcW w:w="2054" w:type="pct"/>
                  <w:gridSpan w:val="3"/>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452067t/a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4" w:type="pct"/>
                  <w:vAlign w:val="center"/>
                </w:tcPr>
                <w:p>
                  <w:pPr>
                    <w:pStyle w:val="23"/>
                    <w:bidi w:val="0"/>
                    <w:ind w:left="0" w:lef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电</w:t>
                  </w:r>
                </w:p>
              </w:tc>
              <w:tc>
                <w:tcPr>
                  <w:tcW w:w="2120" w:type="pct"/>
                  <w:gridSpan w:val="3"/>
                  <w:vAlign w:val="center"/>
                </w:tcPr>
                <w:p>
                  <w:pPr>
                    <w:pStyle w:val="23"/>
                    <w:bidi w:val="0"/>
                    <w:ind w:left="0" w:lef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2054" w:type="pct"/>
                  <w:gridSpan w:val="3"/>
                  <w:vAlign w:val="center"/>
                </w:tcPr>
                <w:p>
                  <w:pPr>
                    <w:pStyle w:val="23"/>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300万度/a</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、生物质燃料</w:t>
            </w:r>
            <w:r>
              <w:rPr>
                <w:rFonts w:hint="eastAsia" w:cs="Times New Roman"/>
                <w:b/>
                <w:bCs/>
                <w:color w:val="auto"/>
                <w:sz w:val="24"/>
                <w:szCs w:val="24"/>
                <w:highlight w:val="none"/>
                <w:lang w:val="en-US" w:eastAsia="zh-CN"/>
              </w:rPr>
              <w:t>指标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项目外购昆明腾元禾农林科技有限公司生产的生物质燃料，</w:t>
            </w:r>
            <w:r>
              <w:rPr>
                <w:rFonts w:hint="eastAsia" w:ascii="Times New Roman" w:hAnsi="Times New Roman" w:eastAsia="宋体" w:cs="Times New Roman"/>
                <w:color w:val="auto"/>
                <w:sz w:val="24"/>
                <w:highlight w:val="none"/>
                <w:lang w:val="en-US" w:eastAsia="zh-CN"/>
              </w:rPr>
              <w:t>根据建设单位提供的生物质颗粒检测报告，项目变动后生物质颗粒燃料成分信息见</w:t>
            </w:r>
            <w:r>
              <w:rPr>
                <w:rFonts w:hint="eastAsia" w:cs="Times New Roman"/>
                <w:color w:val="auto"/>
                <w:sz w:val="24"/>
                <w:highlight w:val="none"/>
                <w:lang w:val="en-US" w:eastAsia="zh-CN"/>
              </w:rPr>
              <w:t>下表</w:t>
            </w:r>
            <w:r>
              <w:rPr>
                <w:rFonts w:hint="eastAsia" w:ascii="Times New Roman" w:hAnsi="Times New Roman" w:eastAsia="宋体" w:cs="Times New Roman"/>
                <w:color w:val="auto"/>
                <w:sz w:val="24"/>
                <w:highlight w:val="none"/>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生物质燃料主要参数指标一览表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3060"/>
              <w:gridCol w:w="1989"/>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序号</w:t>
                  </w:r>
                </w:p>
              </w:tc>
              <w:tc>
                <w:tcPr>
                  <w:tcW w:w="174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w:t>
                  </w:r>
                </w:p>
              </w:tc>
              <w:tc>
                <w:tcPr>
                  <w:tcW w:w="113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单位</w:t>
                  </w:r>
                </w:p>
              </w:tc>
              <w:tc>
                <w:tcPr>
                  <w:tcW w:w="1582"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生物质颗粒监测值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174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空气干燥基水份</w:t>
                  </w:r>
                </w:p>
              </w:tc>
              <w:tc>
                <w:tcPr>
                  <w:tcW w:w="113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174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空气干燥基挥发份</w:t>
                  </w:r>
                </w:p>
              </w:tc>
              <w:tc>
                <w:tcPr>
                  <w:tcW w:w="113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174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空气干燥基灰份</w:t>
                  </w:r>
                </w:p>
              </w:tc>
              <w:tc>
                <w:tcPr>
                  <w:tcW w:w="113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w:t>
                  </w:r>
                </w:p>
              </w:tc>
              <w:tc>
                <w:tcPr>
                  <w:tcW w:w="174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收到基水份</w:t>
                  </w:r>
                </w:p>
              </w:tc>
              <w:tc>
                <w:tcPr>
                  <w:tcW w:w="113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w:t>
                  </w:r>
                </w:p>
              </w:tc>
              <w:tc>
                <w:tcPr>
                  <w:tcW w:w="174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空气干燥基</w:t>
                  </w:r>
                  <w:r>
                    <w:rPr>
                      <w:rFonts w:hint="eastAsia" w:cs="Times New Roman"/>
                      <w:color w:val="auto"/>
                      <w:highlight w:val="none"/>
                      <w:lang w:val="en-US" w:eastAsia="zh-CN"/>
                    </w:rPr>
                    <w:t>高</w:t>
                  </w:r>
                  <w:r>
                    <w:rPr>
                      <w:rFonts w:hint="eastAsia" w:ascii="Times New Roman" w:hAnsi="Times New Roman" w:eastAsia="宋体" w:cs="Times New Roman"/>
                      <w:color w:val="auto"/>
                      <w:highlight w:val="none"/>
                    </w:rPr>
                    <w:t>位发热量Q</w:t>
                  </w:r>
                  <w:r>
                    <w:rPr>
                      <w:rFonts w:hint="eastAsia" w:cs="Times New Roman"/>
                      <w:color w:val="auto"/>
                      <w:highlight w:val="none"/>
                      <w:lang w:val="en-US" w:eastAsia="zh-CN"/>
                    </w:rPr>
                    <w:t>gr,v,</w:t>
                  </w:r>
                  <w:r>
                    <w:rPr>
                      <w:rFonts w:hint="eastAsia" w:ascii="Times New Roman" w:hAnsi="Times New Roman" w:eastAsia="宋体" w:cs="Times New Roman"/>
                      <w:color w:val="auto"/>
                      <w:highlight w:val="none"/>
                    </w:rPr>
                    <w:t>a</w:t>
                  </w:r>
                  <w:r>
                    <w:rPr>
                      <w:rFonts w:hint="eastAsia" w:cs="Times New Roman"/>
                      <w:color w:val="auto"/>
                      <w:highlight w:val="none"/>
                      <w:lang w:val="en-US" w:eastAsia="zh-CN"/>
                    </w:rPr>
                    <w:t>d</w:t>
                  </w:r>
                </w:p>
              </w:tc>
              <w:tc>
                <w:tcPr>
                  <w:tcW w:w="113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MJ/kg</w:t>
                  </w:r>
                </w:p>
              </w:tc>
              <w:tc>
                <w:tcPr>
                  <w:tcW w:w="1582"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19.709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w:t>
                  </w:r>
                </w:p>
              </w:tc>
              <w:tc>
                <w:tcPr>
                  <w:tcW w:w="174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收到基低位发热值Qnet,</w:t>
                  </w:r>
                  <w:r>
                    <w:rPr>
                      <w:rFonts w:hint="eastAsia" w:cs="Times New Roman"/>
                      <w:color w:val="auto"/>
                      <w:highlight w:val="none"/>
                      <w:lang w:val="en-US" w:eastAsia="zh-CN"/>
                    </w:rPr>
                    <w:t>p,</w:t>
                  </w:r>
                  <w:r>
                    <w:rPr>
                      <w:rFonts w:hint="eastAsia" w:ascii="Times New Roman" w:hAnsi="Times New Roman" w:eastAsia="宋体" w:cs="Times New Roman"/>
                      <w:color w:val="auto"/>
                      <w:highlight w:val="none"/>
                    </w:rPr>
                    <w:t>ar</w:t>
                  </w:r>
                </w:p>
              </w:tc>
              <w:tc>
                <w:tcPr>
                  <w:tcW w:w="113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MJ/kg</w:t>
                  </w:r>
                </w:p>
              </w:tc>
              <w:tc>
                <w:tcPr>
                  <w:tcW w:w="1582"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p>
              </w:tc>
              <w:tc>
                <w:tcPr>
                  <w:tcW w:w="174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空气干燥基全硫</w:t>
                  </w:r>
                </w:p>
              </w:tc>
              <w:tc>
                <w:tcPr>
                  <w:tcW w:w="113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174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空气干燥基固定碳</w:t>
                  </w:r>
                </w:p>
              </w:tc>
              <w:tc>
                <w:tcPr>
                  <w:tcW w:w="1133" w:type="pct"/>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shd w:val="clear" w:color="auto" w:fill="auto"/>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注：1MJ/kg=239.14kcal/kg</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left"/>
              <w:textAlignment w:val="auto"/>
              <w:rPr>
                <w:rFonts w:hint="eastAsia"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6</w:t>
            </w:r>
            <w:r>
              <w:rPr>
                <w:rFonts w:hint="eastAsia"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产品方案变动情况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根据建设方提供，项目变动前后产品方案见表</w:t>
            </w:r>
            <w:r>
              <w:rPr>
                <w:rFonts w:hint="eastAsia" w:ascii="Times New Roman" w:hAnsi="Times New Roman" w:eastAsia="宋体" w:cs="Times New Roman"/>
                <w:color w:val="auto"/>
                <w:sz w:val="24"/>
                <w:highlight w:val="none"/>
              </w:rPr>
              <w:t>2-</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项目产品方案变动情况一览表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2009"/>
              <w:gridCol w:w="2250"/>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序号</w:t>
                  </w:r>
                </w:p>
              </w:tc>
              <w:tc>
                <w:tcPr>
                  <w:tcW w:w="1144"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供热点</w:t>
                  </w:r>
                </w:p>
              </w:tc>
              <w:tc>
                <w:tcPr>
                  <w:tcW w:w="1281"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cs="Times New Roman"/>
                      <w:color w:val="auto"/>
                      <w:highlight w:val="none"/>
                      <w:lang w:val="en-US" w:eastAsia="zh-CN"/>
                    </w:rPr>
                    <w:t>变动前</w:t>
                  </w:r>
                  <w:r>
                    <w:rPr>
                      <w:rFonts w:hint="eastAsia" w:ascii="Times New Roman" w:hAnsi="Times New Roman" w:eastAsia="宋体" w:cs="Times New Roman"/>
                      <w:color w:val="auto"/>
                      <w:highlight w:val="none"/>
                    </w:rPr>
                    <w:t>供汽量</w:t>
                  </w:r>
                </w:p>
              </w:tc>
              <w:tc>
                <w:tcPr>
                  <w:tcW w:w="1806"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cs="Times New Roman"/>
                      <w:color w:val="auto"/>
                      <w:highlight w:val="none"/>
                      <w:lang w:val="en-US" w:eastAsia="zh-CN"/>
                    </w:rPr>
                    <w:t>变动后</w:t>
                  </w:r>
                  <w:r>
                    <w:rPr>
                      <w:rFonts w:hint="eastAsia" w:ascii="Times New Roman" w:hAnsi="Times New Roman" w:eastAsia="宋体" w:cs="Times New Roman"/>
                      <w:color w:val="auto"/>
                      <w:highlight w:val="none"/>
                    </w:rPr>
                    <w:t>供汽量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1144"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海大供热点</w:t>
                  </w:r>
                </w:p>
              </w:tc>
              <w:tc>
                <w:tcPr>
                  <w:tcW w:w="1281"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70000t/a</w:t>
                  </w:r>
                </w:p>
              </w:tc>
              <w:tc>
                <w:tcPr>
                  <w:tcW w:w="1806" w:type="pct"/>
                  <w:vAlign w:val="center"/>
                </w:tcPr>
                <w:p>
                  <w:pPr>
                    <w:pStyle w:val="23"/>
                    <w:bidi w:val="0"/>
                    <w:ind w:left="0" w:leftChars="0" w:firstLine="0" w:firstLineChars="0"/>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198000</w:t>
                  </w:r>
                  <w:r>
                    <w:rPr>
                      <w:rFonts w:hint="eastAsia" w:ascii="Times New Roman" w:hAnsi="Times New Roman" w:eastAsia="宋体" w:cs="Times New Roman"/>
                      <w:color w:val="auto"/>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1144"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特驱供热点</w:t>
                  </w:r>
                </w:p>
              </w:tc>
              <w:tc>
                <w:tcPr>
                  <w:tcW w:w="1281"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10000t/a</w:t>
                  </w:r>
                </w:p>
              </w:tc>
              <w:tc>
                <w:tcPr>
                  <w:tcW w:w="1806" w:type="pct"/>
                  <w:vAlign w:val="center"/>
                </w:tcPr>
                <w:p>
                  <w:pPr>
                    <w:pStyle w:val="23"/>
                    <w:bidi w:val="0"/>
                    <w:ind w:left="0" w:leftChars="0" w:firstLine="0" w:firstLineChars="0"/>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205920</w:t>
                  </w:r>
                  <w:r>
                    <w:rPr>
                      <w:rFonts w:hint="eastAsia" w:ascii="Times New Roman" w:hAnsi="Times New Roman" w:eastAsia="宋体" w:cs="Times New Roman"/>
                      <w:color w:val="auto"/>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1144"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漓源供热点</w:t>
                  </w:r>
                </w:p>
              </w:tc>
              <w:tc>
                <w:tcPr>
                  <w:tcW w:w="1281"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10000t/a</w:t>
                  </w:r>
                </w:p>
              </w:tc>
              <w:tc>
                <w:tcPr>
                  <w:tcW w:w="1806" w:type="pct"/>
                  <w:vAlign w:val="center"/>
                </w:tcPr>
                <w:p>
                  <w:pPr>
                    <w:pStyle w:val="23"/>
                    <w:bidi w:val="0"/>
                    <w:ind w:left="0" w:leftChars="0" w:firstLine="0" w:firstLineChars="0"/>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15840</w:t>
                  </w:r>
                  <w:r>
                    <w:rPr>
                      <w:rFonts w:hint="eastAsia" w:ascii="Times New Roman" w:hAnsi="Times New Roman" w:eastAsia="宋体" w:cs="Times New Roman"/>
                      <w:color w:val="auto"/>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11" w:type="pct"/>
                  <w:gridSpan w:val="2"/>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合计</w:t>
                  </w:r>
                </w:p>
              </w:tc>
              <w:tc>
                <w:tcPr>
                  <w:tcW w:w="1281" w:type="pct"/>
                  <w:vAlign w:val="center"/>
                </w:tcPr>
                <w:p>
                  <w:pPr>
                    <w:pStyle w:val="23"/>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90000t/a</w:t>
                  </w:r>
                </w:p>
              </w:tc>
              <w:tc>
                <w:tcPr>
                  <w:tcW w:w="1806" w:type="pct"/>
                  <w:vAlign w:val="center"/>
                </w:tcPr>
                <w:p>
                  <w:pPr>
                    <w:pStyle w:val="23"/>
                    <w:bidi w:val="0"/>
                    <w:ind w:left="0" w:leftChars="0" w:firstLine="0" w:firstLineChars="0"/>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419760</w:t>
                  </w:r>
                  <w:r>
                    <w:rPr>
                      <w:rFonts w:hint="eastAsia" w:ascii="Times New Roman" w:hAnsi="Times New Roman" w:eastAsia="宋体" w:cs="Times New Roman"/>
                      <w:color w:val="auto"/>
                      <w:highlight w:val="none"/>
                    </w:rPr>
                    <w:t>t/a</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left"/>
              <w:textAlignment w:val="auto"/>
              <w:rPr>
                <w:rFonts w:hint="eastAsia"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rPr>
              <w:t>、项目供汽方案变动情况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Times New Roman" w:hAnsi="Times New Roman" w:eastAsia="宋体" w:cs="Times New Roman"/>
                <w:color w:val="auto"/>
                <w:sz w:val="24"/>
                <w:highlight w:val="none"/>
              </w:rPr>
            </w:pPr>
            <w:r>
              <w:rPr>
                <w:rFonts w:hint="eastAsia" w:cs="Times New Roman"/>
                <w:color w:val="auto"/>
                <w:sz w:val="24"/>
                <w:highlight w:val="none"/>
                <w:lang w:val="en-US" w:eastAsia="zh-CN"/>
              </w:rPr>
              <w:t>项目产生的蒸汽供给生产企业，生产企业现有锅炉将根据供气满足情况决定停用或继续使用，生产企业</w:t>
            </w:r>
            <w:r>
              <w:rPr>
                <w:rFonts w:hint="eastAsia" w:ascii="Times New Roman" w:hAnsi="Times New Roman" w:eastAsia="宋体" w:cs="Times New Roman"/>
                <w:color w:val="auto"/>
                <w:sz w:val="24"/>
                <w:highlight w:val="none"/>
              </w:rPr>
              <w:t>原有</w:t>
            </w:r>
            <w:r>
              <w:rPr>
                <w:rFonts w:hint="eastAsia" w:cs="Times New Roman"/>
                <w:color w:val="auto"/>
                <w:sz w:val="24"/>
                <w:highlight w:val="none"/>
                <w:lang w:val="en-US" w:eastAsia="zh-CN"/>
              </w:rPr>
              <w:t>锅炉</w:t>
            </w:r>
            <w:r>
              <w:rPr>
                <w:rFonts w:hint="eastAsia" w:ascii="Times New Roman" w:hAnsi="Times New Roman" w:eastAsia="宋体" w:cs="Times New Roman"/>
                <w:color w:val="auto"/>
                <w:sz w:val="24"/>
                <w:highlight w:val="none"/>
              </w:rPr>
              <w:t>设备的</w:t>
            </w:r>
            <w:r>
              <w:rPr>
                <w:rFonts w:hint="eastAsia" w:cs="Times New Roman"/>
                <w:color w:val="auto"/>
                <w:sz w:val="24"/>
                <w:highlight w:val="none"/>
                <w:lang w:val="en-US" w:eastAsia="zh-CN"/>
              </w:rPr>
              <w:t>停用和</w:t>
            </w:r>
            <w:r>
              <w:rPr>
                <w:rFonts w:hint="eastAsia" w:ascii="Times New Roman" w:hAnsi="Times New Roman" w:eastAsia="宋体" w:cs="Times New Roman"/>
                <w:color w:val="auto"/>
                <w:sz w:val="24"/>
                <w:highlight w:val="none"/>
              </w:rPr>
              <w:t>拆除不由本项目负责。</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w:t>
            </w:r>
            <w:r>
              <w:rPr>
                <w:rFonts w:hint="eastAsia" w:cs="Times New Roman"/>
                <w:color w:val="auto"/>
                <w:sz w:val="24"/>
                <w:highlight w:val="none"/>
                <w:lang w:val="en-US" w:eastAsia="zh-CN"/>
              </w:rPr>
              <w:t>变动前后</w:t>
            </w:r>
            <w:r>
              <w:rPr>
                <w:rFonts w:hint="eastAsia" w:ascii="Times New Roman" w:hAnsi="Times New Roman" w:eastAsia="宋体" w:cs="Times New Roman"/>
                <w:color w:val="auto"/>
                <w:sz w:val="24"/>
                <w:highlight w:val="none"/>
              </w:rPr>
              <w:t>供热点供汽方案</w:t>
            </w:r>
            <w:r>
              <w:rPr>
                <w:rFonts w:hint="eastAsia" w:cs="Times New Roman"/>
                <w:color w:val="auto"/>
                <w:sz w:val="24"/>
                <w:highlight w:val="none"/>
                <w:lang w:val="en-US" w:eastAsia="zh-CN"/>
              </w:rPr>
              <w:t>变化情况</w:t>
            </w:r>
            <w:r>
              <w:rPr>
                <w:rFonts w:hint="eastAsia" w:ascii="Times New Roman" w:hAnsi="Times New Roman" w:eastAsia="宋体" w:cs="Times New Roman"/>
                <w:color w:val="auto"/>
                <w:sz w:val="24"/>
                <w:highlight w:val="none"/>
              </w:rPr>
              <w:t>见表2-</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项目供汽方案变动情况一览表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067"/>
              <w:gridCol w:w="846"/>
              <w:gridCol w:w="1366"/>
              <w:gridCol w:w="735"/>
              <w:gridCol w:w="974"/>
              <w:gridCol w:w="2326"/>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restar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供热点</w:t>
                  </w:r>
                </w:p>
              </w:tc>
              <w:tc>
                <w:tcPr>
                  <w:tcW w:w="608" w:type="pct"/>
                  <w:vMerge w:val="restar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用汽企业名称</w:t>
                  </w:r>
                </w:p>
              </w:tc>
              <w:tc>
                <w:tcPr>
                  <w:tcW w:w="1679" w:type="pct"/>
                  <w:gridSpan w:val="3"/>
                  <w:vAlign w:val="center"/>
                </w:tcPr>
                <w:p>
                  <w:pPr>
                    <w:pStyle w:val="23"/>
                    <w:ind w:left="0" w:leftChars="0" w:firstLine="0" w:firstLineChars="0"/>
                    <w:jc w:val="center"/>
                    <w:rPr>
                      <w:rFonts w:hint="default" w:eastAsia="宋体" w:cs="Times New Roman"/>
                      <w:color w:val="auto"/>
                      <w:highlight w:val="none"/>
                      <w:lang w:val="en-US" w:eastAsia="zh-CN"/>
                    </w:rPr>
                  </w:pPr>
                  <w:r>
                    <w:rPr>
                      <w:rFonts w:hint="eastAsia" w:cs="Times New Roman"/>
                      <w:color w:val="auto"/>
                      <w:highlight w:val="none"/>
                      <w:lang w:val="en-US" w:eastAsia="zh-CN"/>
                    </w:rPr>
                    <w:t>变动前</w:t>
                  </w:r>
                  <w:r>
                    <w:rPr>
                      <w:rFonts w:hint="eastAsia" w:cs="Times New Roman"/>
                      <w:color w:val="auto"/>
                      <w:highlight w:val="none"/>
                    </w:rPr>
                    <w:t>供汽量</w:t>
                  </w:r>
                </w:p>
              </w:tc>
              <w:tc>
                <w:tcPr>
                  <w:tcW w:w="2455" w:type="pct"/>
                  <w:gridSpan w:val="3"/>
                  <w:vAlign w:val="center"/>
                </w:tcPr>
                <w:p>
                  <w:pPr>
                    <w:pStyle w:val="23"/>
                    <w:ind w:left="0" w:leftChars="0" w:firstLine="0" w:firstLineChars="0"/>
                    <w:jc w:val="center"/>
                    <w:rPr>
                      <w:rFonts w:hint="default" w:eastAsia="宋体" w:cs="Times New Roman"/>
                      <w:color w:val="auto"/>
                      <w:highlight w:val="none"/>
                      <w:lang w:val="en-US" w:eastAsia="zh-CN"/>
                    </w:rPr>
                  </w:pPr>
                  <w:r>
                    <w:rPr>
                      <w:rFonts w:hint="eastAsia" w:cs="Times New Roman"/>
                      <w:color w:val="auto"/>
                      <w:highlight w:val="none"/>
                      <w:lang w:val="en-US" w:eastAsia="zh-CN"/>
                    </w:rPr>
                    <w:t>变动后供汽量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Merge w:val="continue"/>
                  <w:vAlign w:val="center"/>
                </w:tcPr>
                <w:p>
                  <w:pPr>
                    <w:pStyle w:val="23"/>
                    <w:ind w:left="0" w:leftChars="0" w:firstLine="0" w:firstLineChars="0"/>
                    <w:jc w:val="center"/>
                    <w:rPr>
                      <w:rFonts w:cs="Times New Roman"/>
                      <w:color w:val="auto"/>
                      <w:highlight w:val="none"/>
                    </w:rPr>
                  </w:pPr>
                </w:p>
              </w:tc>
              <w:tc>
                <w:tcPr>
                  <w:tcW w:w="482" w:type="pct"/>
                  <w:vAlign w:val="center"/>
                </w:tcPr>
                <w:p>
                  <w:pPr>
                    <w:pStyle w:val="23"/>
                    <w:ind w:left="0" w:leftChars="0" w:firstLine="0" w:firstLineChars="0"/>
                    <w:jc w:val="center"/>
                    <w:rPr>
                      <w:rFonts w:hint="eastAsia" w:cs="Times New Roman"/>
                      <w:color w:val="auto"/>
                      <w:highlight w:val="none"/>
                    </w:rPr>
                  </w:pPr>
                  <w:r>
                    <w:rPr>
                      <w:rFonts w:hint="eastAsia" w:cs="Times New Roman"/>
                      <w:color w:val="auto"/>
                      <w:highlight w:val="none"/>
                    </w:rPr>
                    <w:t>供汽量（t/a）</w:t>
                  </w:r>
                </w:p>
              </w:tc>
              <w:tc>
                <w:tcPr>
                  <w:tcW w:w="778" w:type="pct"/>
                  <w:vAlign w:val="center"/>
                </w:tcPr>
                <w:p>
                  <w:pPr>
                    <w:pStyle w:val="23"/>
                    <w:ind w:left="0" w:leftChars="0" w:firstLine="0" w:firstLineChars="0"/>
                    <w:jc w:val="center"/>
                    <w:rPr>
                      <w:rFonts w:hint="eastAsia" w:cs="Times New Roman"/>
                      <w:color w:val="auto"/>
                      <w:highlight w:val="none"/>
                    </w:rPr>
                  </w:pPr>
                  <w:r>
                    <w:rPr>
                      <w:rFonts w:hint="eastAsia" w:cs="Times New Roman"/>
                      <w:color w:val="auto"/>
                      <w:highlight w:val="none"/>
                    </w:rPr>
                    <w:t>用汽企业锅炉现状</w:t>
                  </w:r>
                </w:p>
              </w:tc>
              <w:tc>
                <w:tcPr>
                  <w:tcW w:w="418" w:type="pct"/>
                  <w:vAlign w:val="center"/>
                </w:tcPr>
                <w:p>
                  <w:pPr>
                    <w:pStyle w:val="23"/>
                    <w:ind w:left="0" w:leftChars="0" w:firstLine="0" w:firstLineChars="0"/>
                    <w:jc w:val="center"/>
                    <w:rPr>
                      <w:rFonts w:hint="eastAsia" w:cs="Times New Roman"/>
                      <w:color w:val="auto"/>
                      <w:highlight w:val="none"/>
                    </w:rPr>
                  </w:pPr>
                  <w:r>
                    <w:rPr>
                      <w:rFonts w:hint="eastAsia" w:cs="Times New Roman"/>
                      <w:color w:val="auto"/>
                      <w:highlight w:val="none"/>
                    </w:rPr>
                    <w:t>剩余负荷量</w:t>
                  </w:r>
                </w:p>
              </w:tc>
              <w:tc>
                <w:tcPr>
                  <w:tcW w:w="555"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供汽量（t/a）</w:t>
                  </w:r>
                </w:p>
              </w:tc>
              <w:tc>
                <w:tcPr>
                  <w:tcW w:w="1325"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用汽企业锅炉现状</w:t>
                  </w:r>
                </w:p>
              </w:tc>
              <w:tc>
                <w:tcPr>
                  <w:tcW w:w="575"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剩余负荷量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restar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海大供热点</w:t>
                  </w:r>
                </w:p>
              </w:tc>
              <w:tc>
                <w:tcPr>
                  <w:tcW w:w="608"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云南海大生物科技有限公司</w:t>
                  </w:r>
                </w:p>
              </w:tc>
              <w:tc>
                <w:tcPr>
                  <w:tcW w:w="482" w:type="pct"/>
                  <w:vAlign w:val="center"/>
                </w:tcPr>
                <w:p>
                  <w:pPr>
                    <w:pStyle w:val="23"/>
                    <w:ind w:left="0" w:leftChars="0" w:firstLine="0" w:firstLineChars="0"/>
                    <w:jc w:val="center"/>
                    <w:rPr>
                      <w:rFonts w:hint="default"/>
                      <w:color w:val="auto"/>
                      <w:highlight w:val="none"/>
                      <w:lang w:val="en-US" w:eastAsia="zh-CN"/>
                    </w:rPr>
                  </w:pPr>
                  <w:r>
                    <w:rPr>
                      <w:rFonts w:hint="eastAsia"/>
                      <w:color w:val="auto"/>
                      <w:highlight w:val="none"/>
                      <w:lang w:val="en-US" w:eastAsia="zh-CN"/>
                    </w:rPr>
                    <w:t>20000</w:t>
                  </w:r>
                </w:p>
              </w:tc>
              <w:tc>
                <w:tcPr>
                  <w:tcW w:w="778" w:type="pct"/>
                  <w:vAlign w:val="center"/>
                </w:tcPr>
                <w:p>
                  <w:pPr>
                    <w:pStyle w:val="23"/>
                    <w:ind w:left="0" w:leftChars="0" w:firstLine="0" w:firstLineChars="0"/>
                    <w:jc w:val="center"/>
                    <w:rPr>
                      <w:rFonts w:hint="default"/>
                      <w:color w:val="auto"/>
                      <w:highlight w:val="none"/>
                      <w:lang w:val="en-US" w:eastAsia="zh-CN"/>
                    </w:rPr>
                  </w:pPr>
                  <w:r>
                    <w:rPr>
                      <w:rFonts w:hint="eastAsia"/>
                      <w:color w:val="auto"/>
                      <w:highlight w:val="none"/>
                      <w:lang w:val="en-US" w:eastAsia="zh-CN"/>
                    </w:rPr>
                    <w:t>10t/h燃煤锅炉，供气量约为6t/h-10t/h</w:t>
                  </w:r>
                </w:p>
              </w:tc>
              <w:tc>
                <w:tcPr>
                  <w:tcW w:w="418" w:type="pct"/>
                  <w:vMerge w:val="restart"/>
                  <w:vAlign w:val="center"/>
                </w:tcPr>
                <w:p>
                  <w:pPr>
                    <w:jc w:val="center"/>
                    <w:rPr>
                      <w:rFonts w:hint="default"/>
                      <w:color w:val="auto"/>
                      <w:highlight w:val="none"/>
                      <w:lang w:val="en-US" w:eastAsia="zh-CN"/>
                    </w:rPr>
                  </w:pPr>
                  <w:r>
                    <w:rPr>
                      <w:rFonts w:hint="default"/>
                      <w:color w:val="auto"/>
                      <w:highlight w:val="none"/>
                      <w:lang w:val="en-US" w:eastAsia="zh-CN"/>
                    </w:rPr>
                    <w:t>剩余50%</w:t>
                  </w: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79200</w:t>
                  </w:r>
                </w:p>
              </w:tc>
              <w:tc>
                <w:tcPr>
                  <w:tcW w:w="1325"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10t/h燃煤锅炉，需蒸汽量约79200t/a</w:t>
                  </w:r>
                </w:p>
              </w:tc>
              <w:tc>
                <w:tcPr>
                  <w:tcW w:w="575" w:type="pct"/>
                  <w:vMerge w:val="restar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还剩余</w:t>
                  </w:r>
                  <w:r>
                    <w:rPr>
                      <w:rFonts w:hint="eastAsia" w:cs="Times New Roman"/>
                      <w:color w:val="auto"/>
                      <w:highlight w:val="none"/>
                      <w:lang w:val="en-US" w:eastAsia="zh-CN"/>
                    </w:rPr>
                    <w:t>1.7</w:t>
                  </w:r>
                  <w:r>
                    <w:rPr>
                      <w:rFonts w:hint="eastAsia" w:cs="Times New Roman"/>
                      <w:color w:val="auto"/>
                      <w:highlight w:val="none"/>
                    </w:rPr>
                    <w:t>%负荷量，后期可供应其他需求企业使用。本项目可通过调节锅炉生产负荷来控制蒸汽产量，以满足各用汽企业对蒸汽量的</w:t>
                  </w:r>
                </w:p>
                <w:p>
                  <w:pPr>
                    <w:pStyle w:val="23"/>
                    <w:ind w:left="0" w:leftChars="0" w:firstLine="0" w:firstLineChars="0"/>
                    <w:jc w:val="center"/>
                    <w:rPr>
                      <w:rFonts w:cs="Times New Roman"/>
                      <w:color w:val="auto"/>
                      <w:highlight w:val="none"/>
                    </w:rPr>
                  </w:pPr>
                  <w:r>
                    <w:rPr>
                      <w:rFonts w:hint="eastAsia" w:cs="Times New Roman"/>
                      <w:color w:val="auto"/>
                      <w:highlight w:val="none"/>
                    </w:rPr>
                    <w:t>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Align w:val="center"/>
                </w:tcPr>
                <w:p>
                  <w:pPr>
                    <w:pStyle w:val="23"/>
                    <w:ind w:left="0" w:leftChars="0" w:firstLine="0" w:firstLineChars="0"/>
                    <w:jc w:val="center"/>
                    <w:rPr>
                      <w:rFonts w:hint="eastAsia"/>
                      <w:color w:val="auto"/>
                      <w:highlight w:val="none"/>
                    </w:rPr>
                  </w:pPr>
                  <w:r>
                    <w:rPr>
                      <w:rFonts w:hint="eastAsia"/>
                      <w:color w:val="auto"/>
                      <w:highlight w:val="none"/>
                    </w:rPr>
                    <w:t>昆明滇大饲料有限公司</w:t>
                  </w:r>
                </w:p>
              </w:tc>
              <w:tc>
                <w:tcPr>
                  <w:tcW w:w="482"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778"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418" w:type="pct"/>
                  <w:vMerge w:val="continue"/>
                  <w:vAlign w:val="center"/>
                </w:tcPr>
                <w:p>
                  <w:pPr>
                    <w:pStyle w:val="23"/>
                    <w:ind w:left="0" w:leftChars="0" w:firstLine="0" w:firstLineChars="0"/>
                    <w:jc w:val="center"/>
                    <w:rPr>
                      <w:rFonts w:hint="default"/>
                      <w:color w:val="auto"/>
                      <w:highlight w:val="none"/>
                      <w:lang w:val="en-US" w:eastAsia="zh-CN"/>
                    </w:rPr>
                  </w:pP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19800</w:t>
                  </w:r>
                </w:p>
              </w:tc>
              <w:tc>
                <w:tcPr>
                  <w:tcW w:w="1325" w:type="pct"/>
                  <w:vAlign w:val="center"/>
                </w:tcPr>
                <w:p>
                  <w:pPr>
                    <w:pStyle w:val="23"/>
                    <w:ind w:left="0" w:leftChars="0" w:firstLine="0" w:firstLineChars="0"/>
                    <w:jc w:val="center"/>
                    <w:rPr>
                      <w:rFonts w:hint="eastAsia" w:cs="Times New Roman"/>
                      <w:color w:val="auto"/>
                      <w:highlight w:val="none"/>
                    </w:rPr>
                  </w:pPr>
                  <w:r>
                    <w:rPr>
                      <w:color w:val="auto"/>
                      <w:highlight w:val="none"/>
                    </w:rPr>
                    <w:t>2</w:t>
                  </w:r>
                  <w:r>
                    <w:rPr>
                      <w:rFonts w:hint="eastAsia"/>
                      <w:color w:val="auto"/>
                      <w:highlight w:val="none"/>
                    </w:rPr>
                    <w:t>t/h燃煤锅炉，需蒸汽量约</w:t>
                  </w:r>
                  <w:r>
                    <w:rPr>
                      <w:color w:val="auto"/>
                      <w:highlight w:val="none"/>
                    </w:rPr>
                    <w:t>198</w:t>
                  </w:r>
                  <w:r>
                    <w:rPr>
                      <w:rFonts w:hint="eastAsia"/>
                      <w:color w:val="auto"/>
                      <w:highlight w:val="none"/>
                    </w:rPr>
                    <w:t>0</w:t>
                  </w:r>
                  <w:r>
                    <w:rPr>
                      <w:rFonts w:hint="eastAsia"/>
                      <w:color w:val="auto"/>
                      <w:highlight w:val="none"/>
                      <w:lang w:val="en-US" w:eastAsia="zh-CN"/>
                    </w:rPr>
                    <w:t>0</w:t>
                  </w:r>
                  <w:r>
                    <w:rPr>
                      <w:rFonts w:hint="eastAsia"/>
                      <w:color w:val="auto"/>
                      <w:highlight w:val="none"/>
                    </w:rPr>
                    <w:t>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Align w:val="center"/>
                </w:tcPr>
                <w:p>
                  <w:pPr>
                    <w:pStyle w:val="23"/>
                    <w:ind w:left="0" w:leftChars="0" w:firstLine="0" w:firstLineChars="0"/>
                    <w:jc w:val="center"/>
                    <w:rPr>
                      <w:rFonts w:hint="eastAsia"/>
                      <w:color w:val="auto"/>
                      <w:highlight w:val="none"/>
                    </w:rPr>
                  </w:pPr>
                  <w:r>
                    <w:rPr>
                      <w:rFonts w:hint="eastAsia"/>
                      <w:color w:val="auto"/>
                      <w:highlight w:val="none"/>
                    </w:rPr>
                    <w:t>昆明通威饲料有限公司</w:t>
                  </w:r>
                </w:p>
              </w:tc>
              <w:tc>
                <w:tcPr>
                  <w:tcW w:w="482"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778"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418" w:type="pct"/>
                  <w:vMerge w:val="continue"/>
                  <w:vAlign w:val="center"/>
                </w:tcPr>
                <w:p>
                  <w:pPr>
                    <w:pStyle w:val="23"/>
                    <w:ind w:left="0" w:leftChars="0" w:firstLine="0" w:firstLineChars="0"/>
                    <w:jc w:val="center"/>
                    <w:rPr>
                      <w:rFonts w:hint="default"/>
                      <w:color w:val="auto"/>
                      <w:highlight w:val="none"/>
                      <w:lang w:val="en-US" w:eastAsia="zh-CN"/>
                    </w:rPr>
                  </w:pP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19800</w:t>
                  </w:r>
                </w:p>
              </w:tc>
              <w:tc>
                <w:tcPr>
                  <w:tcW w:w="1325" w:type="pct"/>
                  <w:vAlign w:val="center"/>
                </w:tcPr>
                <w:p>
                  <w:pPr>
                    <w:pStyle w:val="23"/>
                    <w:ind w:left="0" w:leftChars="0" w:firstLine="0" w:firstLineChars="0"/>
                    <w:jc w:val="center"/>
                    <w:rPr>
                      <w:rFonts w:hint="eastAsia" w:cs="Times New Roman"/>
                      <w:color w:val="auto"/>
                      <w:highlight w:val="none"/>
                    </w:rPr>
                  </w:pPr>
                  <w:r>
                    <w:rPr>
                      <w:rFonts w:hint="eastAsia"/>
                      <w:color w:val="auto"/>
                      <w:highlight w:val="none"/>
                    </w:rPr>
                    <w:t>4t/h燃气锅炉，需蒸汽量约</w:t>
                  </w:r>
                  <w:r>
                    <w:rPr>
                      <w:rFonts w:hint="default" w:ascii="Times New Roman" w:hAnsi="Times New Roman" w:eastAsia="宋体" w:cs="Times New Roman"/>
                      <w:i w:val="0"/>
                      <w:iCs w:val="0"/>
                      <w:color w:val="auto"/>
                      <w:kern w:val="0"/>
                      <w:sz w:val="21"/>
                      <w:szCs w:val="21"/>
                      <w:highlight w:val="none"/>
                      <w:u w:val="none"/>
                      <w:lang w:val="en-US" w:eastAsia="zh-CN" w:bidi="ar"/>
                    </w:rPr>
                    <w:t>19800</w:t>
                  </w:r>
                  <w:r>
                    <w:rPr>
                      <w:rFonts w:hint="eastAsia"/>
                      <w:color w:val="auto"/>
                      <w:highlight w:val="none"/>
                    </w:rPr>
                    <w:t>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Align w:val="center"/>
                </w:tcPr>
                <w:p>
                  <w:pPr>
                    <w:pStyle w:val="23"/>
                    <w:ind w:left="0" w:leftChars="0" w:firstLine="0" w:firstLineChars="0"/>
                    <w:jc w:val="center"/>
                    <w:rPr>
                      <w:rFonts w:hint="eastAsia"/>
                      <w:color w:val="auto"/>
                      <w:highlight w:val="none"/>
                    </w:rPr>
                  </w:pPr>
                  <w:r>
                    <w:rPr>
                      <w:rFonts w:hint="eastAsia"/>
                      <w:color w:val="auto"/>
                      <w:highlight w:val="none"/>
                    </w:rPr>
                    <w:t>云南大北农饲料科技有限公司</w:t>
                  </w:r>
                </w:p>
              </w:tc>
              <w:tc>
                <w:tcPr>
                  <w:tcW w:w="482"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778"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418" w:type="pct"/>
                  <w:vMerge w:val="continue"/>
                  <w:vAlign w:val="center"/>
                </w:tcPr>
                <w:p>
                  <w:pPr>
                    <w:pStyle w:val="23"/>
                    <w:ind w:left="0" w:leftChars="0" w:firstLine="0" w:firstLineChars="0"/>
                    <w:jc w:val="center"/>
                    <w:rPr>
                      <w:rFonts w:hint="default"/>
                      <w:color w:val="auto"/>
                      <w:highlight w:val="none"/>
                      <w:lang w:val="en-US" w:eastAsia="zh-CN"/>
                    </w:rPr>
                  </w:pP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19800</w:t>
                  </w:r>
                </w:p>
              </w:tc>
              <w:tc>
                <w:tcPr>
                  <w:tcW w:w="1325" w:type="pct"/>
                  <w:vAlign w:val="center"/>
                </w:tcPr>
                <w:p>
                  <w:pPr>
                    <w:pStyle w:val="23"/>
                    <w:ind w:left="0" w:leftChars="0" w:firstLine="0" w:firstLineChars="0"/>
                    <w:jc w:val="center"/>
                    <w:rPr>
                      <w:rFonts w:hint="eastAsia" w:cs="Times New Roman"/>
                      <w:color w:val="auto"/>
                      <w:highlight w:val="none"/>
                    </w:rPr>
                  </w:pPr>
                  <w:r>
                    <w:rPr>
                      <w:rFonts w:hint="eastAsia"/>
                      <w:color w:val="auto"/>
                      <w:highlight w:val="none"/>
                    </w:rPr>
                    <w:t>4t/h燃气锅炉，需蒸汽量约</w:t>
                  </w:r>
                  <w:r>
                    <w:rPr>
                      <w:rFonts w:hint="default" w:ascii="Times New Roman" w:hAnsi="Times New Roman" w:eastAsia="宋体" w:cs="Times New Roman"/>
                      <w:i w:val="0"/>
                      <w:iCs w:val="0"/>
                      <w:color w:val="auto"/>
                      <w:kern w:val="0"/>
                      <w:sz w:val="21"/>
                      <w:szCs w:val="21"/>
                      <w:highlight w:val="none"/>
                      <w:u w:val="none"/>
                      <w:lang w:val="en-US" w:eastAsia="zh-CN" w:bidi="ar"/>
                    </w:rPr>
                    <w:t>19800</w:t>
                  </w:r>
                  <w:r>
                    <w:rPr>
                      <w:rFonts w:hint="eastAsia"/>
                      <w:color w:val="auto"/>
                      <w:highlight w:val="none"/>
                    </w:rPr>
                    <w:t>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Align w:val="center"/>
                </w:tcPr>
                <w:p>
                  <w:pPr>
                    <w:pStyle w:val="23"/>
                    <w:ind w:left="0" w:leftChars="0" w:firstLine="0" w:firstLineChars="0"/>
                    <w:jc w:val="center"/>
                    <w:rPr>
                      <w:rFonts w:hint="eastAsia"/>
                      <w:color w:val="auto"/>
                      <w:highlight w:val="none"/>
                    </w:rPr>
                  </w:pPr>
                  <w:r>
                    <w:rPr>
                      <w:rFonts w:hint="eastAsia"/>
                      <w:color w:val="auto"/>
                      <w:highlight w:val="none"/>
                    </w:rPr>
                    <w:t>云南新希望动物营养食品有限公司</w:t>
                  </w:r>
                </w:p>
              </w:tc>
              <w:tc>
                <w:tcPr>
                  <w:tcW w:w="482"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778"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418" w:type="pct"/>
                  <w:vMerge w:val="continue"/>
                  <w:vAlign w:val="center"/>
                </w:tcPr>
                <w:p>
                  <w:pPr>
                    <w:pStyle w:val="23"/>
                    <w:ind w:left="0" w:leftChars="0" w:firstLine="0" w:firstLineChars="0"/>
                    <w:jc w:val="center"/>
                    <w:rPr>
                      <w:rFonts w:hint="default"/>
                      <w:color w:val="auto"/>
                      <w:highlight w:val="none"/>
                      <w:lang w:val="en-US" w:eastAsia="zh-CN"/>
                    </w:rPr>
                  </w:pP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79200</w:t>
                  </w:r>
                </w:p>
              </w:tc>
              <w:tc>
                <w:tcPr>
                  <w:tcW w:w="1325" w:type="pct"/>
                  <w:vAlign w:val="center"/>
                </w:tcPr>
                <w:p>
                  <w:pPr>
                    <w:pStyle w:val="23"/>
                    <w:ind w:left="0" w:leftChars="0" w:firstLine="0" w:firstLineChars="0"/>
                    <w:jc w:val="center"/>
                    <w:rPr>
                      <w:rFonts w:hint="eastAsia" w:cs="Times New Roman"/>
                      <w:color w:val="auto"/>
                      <w:highlight w:val="none"/>
                    </w:rPr>
                  </w:pPr>
                  <w:r>
                    <w:rPr>
                      <w:rFonts w:hint="eastAsia"/>
                      <w:color w:val="auto"/>
                      <w:highlight w:val="none"/>
                    </w:rPr>
                    <w:t>一台4t/h燃煤锅炉</w:t>
                  </w:r>
                  <w:r>
                    <w:rPr>
                      <w:rFonts w:hint="eastAsia"/>
                      <w:color w:val="auto"/>
                      <w:highlight w:val="none"/>
                      <w:lang w:eastAsia="zh-CN"/>
                    </w:rPr>
                    <w:t>，</w:t>
                  </w:r>
                  <w:r>
                    <w:rPr>
                      <w:rFonts w:hint="eastAsia"/>
                      <w:color w:val="auto"/>
                      <w:highlight w:val="none"/>
                    </w:rPr>
                    <w:t>一台4t/h燃气锅炉，需蒸汽量约79200t/a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云南加大饲料有限公司</w:t>
                  </w:r>
                </w:p>
              </w:tc>
              <w:tc>
                <w:tcPr>
                  <w:tcW w:w="482" w:type="pct"/>
                  <w:vAlign w:val="center"/>
                </w:tcPr>
                <w:p>
                  <w:pPr>
                    <w:pStyle w:val="23"/>
                    <w:ind w:left="0" w:leftChars="0" w:firstLine="0" w:firstLineChars="0"/>
                    <w:jc w:val="center"/>
                    <w:rPr>
                      <w:rFonts w:hint="default"/>
                      <w:color w:val="auto"/>
                      <w:highlight w:val="none"/>
                      <w:lang w:val="en-US" w:eastAsia="zh-CN"/>
                    </w:rPr>
                  </w:pPr>
                  <w:r>
                    <w:rPr>
                      <w:rFonts w:hint="eastAsia"/>
                      <w:color w:val="auto"/>
                      <w:highlight w:val="none"/>
                      <w:lang w:val="en-US" w:eastAsia="zh-CN"/>
                    </w:rPr>
                    <w:t>15</w:t>
                  </w:r>
                  <w:r>
                    <w:rPr>
                      <w:rFonts w:hint="default"/>
                      <w:color w:val="auto"/>
                      <w:highlight w:val="none"/>
                      <w:lang w:val="en-US" w:eastAsia="zh-CN"/>
                    </w:rPr>
                    <w:t>000</w:t>
                  </w:r>
                </w:p>
              </w:tc>
              <w:tc>
                <w:tcPr>
                  <w:tcW w:w="778" w:type="pct"/>
                  <w:vAlign w:val="center"/>
                </w:tcPr>
                <w:p>
                  <w:pPr>
                    <w:pStyle w:val="23"/>
                    <w:ind w:left="0" w:leftChars="0" w:firstLine="0" w:firstLineChars="0"/>
                    <w:jc w:val="center"/>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t/h燃煤锅炉，供气量为</w:t>
                  </w:r>
                  <w:r>
                    <w:rPr>
                      <w:rFonts w:hint="eastAsia"/>
                      <w:color w:val="auto"/>
                      <w:highlight w:val="none"/>
                      <w:lang w:val="en-US" w:eastAsia="zh-CN"/>
                    </w:rPr>
                    <w:t>3</w:t>
                  </w:r>
                  <w:r>
                    <w:rPr>
                      <w:rFonts w:hint="default"/>
                      <w:color w:val="auto"/>
                      <w:highlight w:val="none"/>
                      <w:lang w:val="en-US" w:eastAsia="zh-CN"/>
                    </w:rPr>
                    <w:t>t/h</w:t>
                  </w:r>
                </w:p>
              </w:tc>
              <w:tc>
                <w:tcPr>
                  <w:tcW w:w="418" w:type="pct"/>
                  <w:vMerge w:val="continue"/>
                  <w:vAlign w:val="center"/>
                </w:tcPr>
                <w:p>
                  <w:pPr>
                    <w:pStyle w:val="23"/>
                    <w:ind w:left="0" w:leftChars="0" w:firstLine="0" w:firstLineChars="0"/>
                    <w:jc w:val="center"/>
                    <w:rPr>
                      <w:rFonts w:hint="default"/>
                      <w:color w:val="auto"/>
                      <w:highlight w:val="none"/>
                      <w:lang w:val="en-US" w:eastAsia="zh-CN"/>
                    </w:rPr>
                  </w:pP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39600</w:t>
                  </w:r>
                </w:p>
              </w:tc>
              <w:tc>
                <w:tcPr>
                  <w:tcW w:w="1325"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4t/h燃煤锅炉，需蒸汽量约39600t/a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restar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特驱供热点</w:t>
                  </w:r>
                </w:p>
              </w:tc>
              <w:tc>
                <w:tcPr>
                  <w:tcW w:w="608" w:type="pct"/>
                  <w:vAlign w:val="center"/>
                </w:tcPr>
                <w:p>
                  <w:pPr>
                    <w:pStyle w:val="23"/>
                    <w:ind w:left="0" w:leftChars="0" w:firstLine="0" w:firstLineChars="0"/>
                    <w:jc w:val="center"/>
                    <w:rPr>
                      <w:rFonts w:cs="Times New Roman"/>
                      <w:color w:val="auto"/>
                      <w:highlight w:val="none"/>
                    </w:rPr>
                  </w:pPr>
                  <w:r>
                    <w:rPr>
                      <w:color w:val="auto"/>
                      <w:highlight w:val="none"/>
                    </w:rPr>
                    <w:fldChar w:fldCharType="begin"/>
                  </w:r>
                  <w:r>
                    <w:rPr>
                      <w:color w:val="auto"/>
                      <w:highlight w:val="none"/>
                    </w:rPr>
                    <w:instrText xml:space="preserve"> HYPERLINK "https://aiqicha.baidu.com/detail/compinfo?pid=xlTM-TogKuTwp56dOZz546tmDwVaavKg7wmd&amp;rq=ef&amp;pd=ee&amp;from=ps" \t "_blank" </w:instrText>
                  </w:r>
                  <w:r>
                    <w:rPr>
                      <w:color w:val="auto"/>
                      <w:highlight w:val="none"/>
                    </w:rPr>
                    <w:fldChar w:fldCharType="separate"/>
                  </w:r>
                  <w:r>
                    <w:rPr>
                      <w:rFonts w:hint="eastAsia" w:cs="Times New Roman"/>
                      <w:color w:val="auto"/>
                      <w:highlight w:val="none"/>
                    </w:rPr>
                    <w:t>昆明特驱饲料有限公司</w:t>
                  </w:r>
                  <w:r>
                    <w:rPr>
                      <w:rFonts w:hint="eastAsia" w:cs="Times New Roman"/>
                      <w:color w:val="auto"/>
                      <w:highlight w:val="none"/>
                    </w:rPr>
                    <w:fldChar w:fldCharType="end"/>
                  </w:r>
                </w:p>
              </w:tc>
              <w:tc>
                <w:tcPr>
                  <w:tcW w:w="482" w:type="pct"/>
                  <w:vAlign w:val="center"/>
                </w:tcPr>
                <w:p>
                  <w:pPr>
                    <w:pStyle w:val="23"/>
                    <w:ind w:left="0" w:leftChars="0" w:firstLine="0" w:firstLineChars="0"/>
                    <w:jc w:val="center"/>
                    <w:rPr>
                      <w:rFonts w:hint="default"/>
                      <w:color w:val="auto"/>
                      <w:highlight w:val="none"/>
                      <w:lang w:val="en-US" w:eastAsia="zh-CN"/>
                    </w:rPr>
                  </w:pPr>
                  <w:r>
                    <w:rPr>
                      <w:rFonts w:hint="default"/>
                      <w:color w:val="auto"/>
                      <w:highlight w:val="none"/>
                      <w:lang w:val="en-US" w:eastAsia="zh-CN"/>
                    </w:rPr>
                    <w:t>6000</w:t>
                  </w:r>
                </w:p>
              </w:tc>
              <w:tc>
                <w:tcPr>
                  <w:tcW w:w="778" w:type="pct"/>
                  <w:vAlign w:val="center"/>
                </w:tcPr>
                <w:p>
                  <w:pPr>
                    <w:pStyle w:val="23"/>
                    <w:ind w:left="0" w:leftChars="0" w:firstLine="0" w:firstLineChars="0"/>
                    <w:jc w:val="center"/>
                    <w:rPr>
                      <w:rFonts w:hint="default"/>
                      <w:color w:val="auto"/>
                      <w:highlight w:val="none"/>
                      <w:lang w:val="en-US" w:eastAsia="zh-CN"/>
                    </w:rPr>
                  </w:pPr>
                  <w:r>
                    <w:rPr>
                      <w:rFonts w:hint="default"/>
                      <w:color w:val="auto"/>
                      <w:highlight w:val="none"/>
                      <w:lang w:val="en-US" w:eastAsia="zh-CN"/>
                    </w:rPr>
                    <w:t>4t/h燃煤锅炉，供气量</w:t>
                  </w:r>
                  <w:r>
                    <w:rPr>
                      <w:rFonts w:hint="eastAsia"/>
                      <w:color w:val="auto"/>
                      <w:highlight w:val="none"/>
                      <w:lang w:val="en-US" w:eastAsia="zh-CN"/>
                    </w:rPr>
                    <w:t>约</w:t>
                  </w:r>
                  <w:r>
                    <w:rPr>
                      <w:rFonts w:hint="default"/>
                      <w:color w:val="auto"/>
                      <w:highlight w:val="none"/>
                      <w:lang w:val="en-US" w:eastAsia="zh-CN"/>
                    </w:rPr>
                    <w:t>为</w:t>
                  </w:r>
                  <w:r>
                    <w:rPr>
                      <w:rFonts w:hint="eastAsia"/>
                      <w:color w:val="auto"/>
                      <w:highlight w:val="none"/>
                      <w:lang w:val="en-US" w:eastAsia="zh-CN"/>
                    </w:rPr>
                    <w:t>2</w:t>
                  </w:r>
                  <w:r>
                    <w:rPr>
                      <w:rFonts w:hint="default"/>
                      <w:color w:val="auto"/>
                      <w:highlight w:val="none"/>
                      <w:lang w:val="en-US" w:eastAsia="zh-CN"/>
                    </w:rPr>
                    <w:t>t/h</w:t>
                  </w:r>
                </w:p>
              </w:tc>
              <w:tc>
                <w:tcPr>
                  <w:tcW w:w="418" w:type="pct"/>
                  <w:vMerge w:val="restart"/>
                  <w:vAlign w:val="center"/>
                </w:tcPr>
                <w:p>
                  <w:pPr>
                    <w:pStyle w:val="23"/>
                    <w:ind w:left="0" w:leftChars="0" w:firstLine="0" w:firstLineChars="0"/>
                    <w:jc w:val="center"/>
                    <w:rPr>
                      <w:rFonts w:hint="default"/>
                      <w:color w:val="auto"/>
                      <w:highlight w:val="none"/>
                      <w:lang w:val="en-US" w:eastAsia="zh-CN"/>
                    </w:rPr>
                  </w:pPr>
                  <w:r>
                    <w:rPr>
                      <w:rFonts w:hint="eastAsia"/>
                      <w:color w:val="auto"/>
                      <w:highlight w:val="none"/>
                      <w:lang w:val="en-US" w:eastAsia="zh-CN"/>
                    </w:rPr>
                    <w:t>0</w:t>
                  </w: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39600</w:t>
                  </w:r>
                </w:p>
              </w:tc>
              <w:tc>
                <w:tcPr>
                  <w:tcW w:w="1325"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4t/h燃煤锅炉，需蒸汽量约</w:t>
                  </w:r>
                  <w:r>
                    <w:rPr>
                      <w:rFonts w:cs="Times New Roman"/>
                      <w:color w:val="auto"/>
                      <w:highlight w:val="none"/>
                    </w:rPr>
                    <w:t>39600</w:t>
                  </w:r>
                  <w:r>
                    <w:rPr>
                      <w:rFonts w:hint="eastAsia" w:cs="Times New Roman"/>
                      <w:color w:val="auto"/>
                      <w:highlight w:val="none"/>
                    </w:rPr>
                    <w:t>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云南新东道农业产业有限公司</w:t>
                  </w:r>
                </w:p>
              </w:tc>
              <w:tc>
                <w:tcPr>
                  <w:tcW w:w="482" w:type="pct"/>
                  <w:vAlign w:val="center"/>
                </w:tcPr>
                <w:p>
                  <w:pPr>
                    <w:pStyle w:val="23"/>
                    <w:ind w:left="0" w:leftChars="0" w:firstLine="0" w:firstLineChars="0"/>
                    <w:jc w:val="center"/>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000</w:t>
                  </w:r>
                </w:p>
              </w:tc>
              <w:tc>
                <w:tcPr>
                  <w:tcW w:w="778" w:type="pct"/>
                  <w:vAlign w:val="center"/>
                </w:tcPr>
                <w:p>
                  <w:pPr>
                    <w:pStyle w:val="23"/>
                    <w:ind w:left="0" w:leftChars="0" w:firstLine="0" w:firstLineChars="0"/>
                    <w:jc w:val="center"/>
                    <w:rPr>
                      <w:rFonts w:hint="default"/>
                      <w:color w:val="auto"/>
                      <w:highlight w:val="none"/>
                      <w:lang w:val="en-US" w:eastAsia="zh-CN"/>
                    </w:rPr>
                  </w:pPr>
                  <w:r>
                    <w:rPr>
                      <w:rFonts w:hint="default"/>
                      <w:color w:val="auto"/>
                      <w:highlight w:val="none"/>
                      <w:lang w:val="en-US" w:eastAsia="zh-CN"/>
                    </w:rPr>
                    <w:t>4t/h燃煤锅炉，供气量为1</w:t>
                  </w:r>
                  <w:r>
                    <w:rPr>
                      <w:rFonts w:hint="eastAsia"/>
                      <w:color w:val="auto"/>
                      <w:highlight w:val="none"/>
                      <w:lang w:val="en-US" w:eastAsia="zh-CN"/>
                    </w:rPr>
                    <w:t>.6</w:t>
                  </w:r>
                  <w:r>
                    <w:rPr>
                      <w:rFonts w:hint="default"/>
                      <w:color w:val="auto"/>
                      <w:highlight w:val="none"/>
                      <w:lang w:val="en-US" w:eastAsia="zh-CN"/>
                    </w:rPr>
                    <w:t>t/h</w:t>
                  </w:r>
                </w:p>
              </w:tc>
              <w:tc>
                <w:tcPr>
                  <w:tcW w:w="418" w:type="pct"/>
                  <w:vMerge w:val="continue"/>
                  <w:vAlign w:val="center"/>
                </w:tcPr>
                <w:p>
                  <w:pPr>
                    <w:pStyle w:val="23"/>
                    <w:ind w:left="0" w:leftChars="0" w:firstLine="0" w:firstLineChars="0"/>
                    <w:jc w:val="center"/>
                    <w:rPr>
                      <w:rFonts w:hint="default"/>
                      <w:color w:val="auto"/>
                      <w:highlight w:val="none"/>
                      <w:lang w:val="en-US" w:eastAsia="zh-CN"/>
                    </w:rPr>
                  </w:pP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19800</w:t>
                  </w:r>
                </w:p>
              </w:tc>
              <w:tc>
                <w:tcPr>
                  <w:tcW w:w="1325"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4t/h燃煤锅炉，需蒸汽约</w:t>
                  </w:r>
                  <w:r>
                    <w:rPr>
                      <w:rFonts w:hint="default" w:ascii="Times New Roman" w:hAnsi="Times New Roman" w:eastAsia="宋体" w:cs="Times New Roman"/>
                      <w:i w:val="0"/>
                      <w:iCs w:val="0"/>
                      <w:color w:val="auto"/>
                      <w:kern w:val="0"/>
                      <w:sz w:val="21"/>
                      <w:szCs w:val="21"/>
                      <w:highlight w:val="none"/>
                      <w:u w:val="none"/>
                      <w:lang w:val="en-US" w:eastAsia="zh-CN" w:bidi="ar"/>
                    </w:rPr>
                    <w:t>19800</w:t>
                  </w:r>
                  <w:r>
                    <w:rPr>
                      <w:rFonts w:hint="eastAsia" w:cs="Times New Roman"/>
                      <w:color w:val="auto"/>
                      <w:highlight w:val="none"/>
                    </w:rPr>
                    <w:t>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Align w:val="center"/>
                </w:tcPr>
                <w:p>
                  <w:pPr>
                    <w:pStyle w:val="23"/>
                    <w:ind w:left="0" w:leftChars="0" w:firstLine="0" w:firstLineChars="0"/>
                    <w:jc w:val="center"/>
                    <w:rPr>
                      <w:rFonts w:hint="eastAsia" w:cs="Times New Roman"/>
                      <w:color w:val="auto"/>
                      <w:highlight w:val="none"/>
                    </w:rPr>
                  </w:pPr>
                  <w:r>
                    <w:rPr>
                      <w:rFonts w:hint="eastAsia" w:cs="Times New Roman"/>
                      <w:color w:val="auto"/>
                      <w:highlight w:val="none"/>
                    </w:rPr>
                    <w:t>云南大台农台标农业科技有限公司</w:t>
                  </w:r>
                </w:p>
              </w:tc>
              <w:tc>
                <w:tcPr>
                  <w:tcW w:w="482"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778"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418" w:type="pct"/>
                  <w:vAlign w:val="center"/>
                </w:tcPr>
                <w:p>
                  <w:pPr>
                    <w:pStyle w:val="23"/>
                    <w:ind w:left="0" w:leftChars="0" w:firstLine="0" w:firstLineChars="0"/>
                    <w:jc w:val="center"/>
                    <w:rPr>
                      <w:rFonts w:hint="default"/>
                      <w:color w:val="auto"/>
                      <w:highlight w:val="none"/>
                      <w:lang w:val="en-US" w:eastAsia="zh-CN"/>
                    </w:rPr>
                  </w:pP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32000</w:t>
                  </w:r>
                </w:p>
              </w:tc>
              <w:tc>
                <w:tcPr>
                  <w:tcW w:w="1325" w:type="pct"/>
                  <w:vAlign w:val="center"/>
                </w:tcPr>
                <w:p>
                  <w:pPr>
                    <w:pStyle w:val="23"/>
                    <w:ind w:left="0" w:leftChars="0" w:firstLine="0" w:firstLineChars="0"/>
                    <w:jc w:val="center"/>
                    <w:rPr>
                      <w:rFonts w:hint="eastAsia" w:cs="Times New Roman"/>
                      <w:color w:val="auto"/>
                      <w:highlight w:val="none"/>
                    </w:rPr>
                  </w:pPr>
                  <w:r>
                    <w:rPr>
                      <w:rFonts w:cs="Times New Roman"/>
                      <w:color w:val="auto"/>
                      <w:highlight w:val="none"/>
                    </w:rPr>
                    <w:t>2</w:t>
                  </w:r>
                  <w:r>
                    <w:rPr>
                      <w:rFonts w:hint="eastAsia" w:cs="Times New Roman"/>
                      <w:color w:val="auto"/>
                      <w:highlight w:val="none"/>
                    </w:rPr>
                    <w:t>X</w:t>
                  </w:r>
                  <w:r>
                    <w:rPr>
                      <w:rFonts w:cs="Times New Roman"/>
                      <w:color w:val="auto"/>
                      <w:highlight w:val="none"/>
                    </w:rPr>
                    <w:t>2t</w:t>
                  </w:r>
                  <w:r>
                    <w:rPr>
                      <w:rFonts w:hint="eastAsia" w:cs="Times New Roman"/>
                      <w:color w:val="auto"/>
                      <w:highlight w:val="none"/>
                    </w:rPr>
                    <w:t>/</w:t>
                  </w:r>
                  <w:r>
                    <w:rPr>
                      <w:rFonts w:cs="Times New Roman"/>
                      <w:color w:val="auto"/>
                      <w:highlight w:val="none"/>
                    </w:rPr>
                    <w:t>h</w:t>
                  </w:r>
                  <w:r>
                    <w:rPr>
                      <w:rFonts w:hint="eastAsia" w:cs="Times New Roman"/>
                      <w:color w:val="auto"/>
                      <w:highlight w:val="none"/>
                    </w:rPr>
                    <w:t>两台蒸汽发生器，需蒸汽约3</w:t>
                  </w:r>
                  <w:r>
                    <w:rPr>
                      <w:rFonts w:cs="Times New Roman"/>
                      <w:color w:val="auto"/>
                      <w:highlight w:val="none"/>
                    </w:rPr>
                    <w:t>2000</w:t>
                  </w:r>
                  <w:r>
                    <w:rPr>
                      <w:rFonts w:hint="eastAsia" w:cs="Times New Roman"/>
                      <w:color w:val="auto"/>
                      <w:highlight w:val="none"/>
                    </w:rPr>
                    <w:t>t</w:t>
                  </w:r>
                  <w:r>
                    <w:rPr>
                      <w:rFonts w:cs="Times New Roman"/>
                      <w:color w:val="auto"/>
                      <w:highlight w:val="none"/>
                    </w:rPr>
                    <w: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Align w:val="center"/>
                </w:tcPr>
                <w:p>
                  <w:pPr>
                    <w:pStyle w:val="23"/>
                    <w:ind w:left="0" w:leftChars="0" w:firstLine="0" w:firstLineChars="0"/>
                    <w:jc w:val="center"/>
                    <w:rPr>
                      <w:rFonts w:hint="eastAsia" w:cs="Times New Roman"/>
                      <w:color w:val="auto"/>
                      <w:highlight w:val="none"/>
                    </w:rPr>
                  </w:pPr>
                  <w:r>
                    <w:rPr>
                      <w:rFonts w:hint="eastAsia" w:cs="Times New Roman"/>
                      <w:color w:val="auto"/>
                      <w:highlight w:val="none"/>
                    </w:rPr>
                    <w:t>云南巨星农牧有限公司</w:t>
                  </w:r>
                </w:p>
              </w:tc>
              <w:tc>
                <w:tcPr>
                  <w:tcW w:w="482"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778" w:type="pct"/>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418" w:type="pct"/>
                  <w:vAlign w:val="center"/>
                </w:tcPr>
                <w:p>
                  <w:pPr>
                    <w:pStyle w:val="23"/>
                    <w:ind w:left="0" w:leftChars="0" w:firstLine="0" w:firstLineChars="0"/>
                    <w:jc w:val="center"/>
                    <w:rPr>
                      <w:rFonts w:hint="default"/>
                      <w:color w:val="auto"/>
                      <w:highlight w:val="none"/>
                      <w:lang w:val="en-US" w:eastAsia="zh-CN"/>
                    </w:rPr>
                  </w:pP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48000</w:t>
                  </w:r>
                </w:p>
              </w:tc>
              <w:tc>
                <w:tcPr>
                  <w:tcW w:w="1325" w:type="pct"/>
                  <w:vAlign w:val="center"/>
                </w:tcPr>
                <w:p>
                  <w:pPr>
                    <w:pStyle w:val="23"/>
                    <w:ind w:left="0" w:leftChars="0" w:firstLine="0" w:firstLineChars="0"/>
                    <w:jc w:val="center"/>
                    <w:rPr>
                      <w:rFonts w:hint="eastAsia" w:cs="Times New Roman"/>
                      <w:color w:val="auto"/>
                      <w:highlight w:val="none"/>
                    </w:rPr>
                  </w:pPr>
                  <w:r>
                    <w:rPr>
                      <w:rFonts w:hint="eastAsia" w:cs="Times New Roman"/>
                      <w:color w:val="auto"/>
                      <w:highlight w:val="none"/>
                    </w:rPr>
                    <w:t>6t</w:t>
                  </w:r>
                  <w:r>
                    <w:rPr>
                      <w:rFonts w:cs="Times New Roman"/>
                      <w:color w:val="auto"/>
                      <w:highlight w:val="none"/>
                    </w:rPr>
                    <w:t>/h</w:t>
                  </w:r>
                  <w:r>
                    <w:rPr>
                      <w:rFonts w:hint="eastAsia" w:cs="Times New Roman"/>
                      <w:color w:val="auto"/>
                      <w:highlight w:val="none"/>
                    </w:rPr>
                    <w:t>燃气锅炉，需蒸汽约4</w:t>
                  </w:r>
                  <w:r>
                    <w:rPr>
                      <w:rFonts w:cs="Times New Roman"/>
                      <w:color w:val="auto"/>
                      <w:highlight w:val="none"/>
                    </w:rPr>
                    <w:t>8000</w:t>
                  </w:r>
                  <w:r>
                    <w:rPr>
                      <w:rFonts w:hint="eastAsia" w:cs="Times New Roman"/>
                      <w:color w:val="auto"/>
                      <w:highlight w:val="none"/>
                    </w:rPr>
                    <w:t>t/</w:t>
                  </w:r>
                  <w:r>
                    <w:rPr>
                      <w:rFonts w:cs="Times New Roman"/>
                      <w:color w:val="auto"/>
                      <w:highlight w:val="none"/>
                    </w:rPr>
                    <w: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restar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漓源供热点</w:t>
                  </w:r>
                </w:p>
              </w:tc>
              <w:tc>
                <w:tcPr>
                  <w:tcW w:w="608" w:type="pct"/>
                  <w:vAlign w:val="center"/>
                </w:tcPr>
                <w:p>
                  <w:pPr>
                    <w:pStyle w:val="23"/>
                    <w:ind w:left="0" w:leftChars="0" w:firstLine="0" w:firstLineChars="0"/>
                    <w:jc w:val="center"/>
                    <w:rPr>
                      <w:rFonts w:cs="Times New Roman"/>
                      <w:color w:val="auto"/>
                      <w:highlight w:val="none"/>
                    </w:rPr>
                  </w:pPr>
                  <w:r>
                    <w:rPr>
                      <w:color w:val="auto"/>
                      <w:highlight w:val="none"/>
                    </w:rPr>
                    <w:fldChar w:fldCharType="begin"/>
                  </w:r>
                  <w:r>
                    <w:rPr>
                      <w:color w:val="auto"/>
                      <w:highlight w:val="none"/>
                    </w:rPr>
                    <w:instrText xml:space="preserve"> HYPERLINK "http://www.baidu.com/link?url=k38QrQiOpPhdnIoPfF-NRVdrrP4Rhg1-USYOQr1U9jApQjA8Vs5PJx58NJfeIweWVLfmUDdOT8BfCt1bzwbTe5t9EnIlnBBtpJciK0lHMvG" \t "_blank" </w:instrText>
                  </w:r>
                  <w:r>
                    <w:rPr>
                      <w:color w:val="auto"/>
                      <w:highlight w:val="none"/>
                    </w:rPr>
                    <w:fldChar w:fldCharType="separate"/>
                  </w:r>
                  <w:r>
                    <w:rPr>
                      <w:rFonts w:hint="eastAsia" w:cs="Times New Roman"/>
                      <w:color w:val="auto"/>
                      <w:highlight w:val="none"/>
                    </w:rPr>
                    <w:t>昆明漓源饲料有限公司</w:t>
                  </w:r>
                  <w:r>
                    <w:rPr>
                      <w:rFonts w:hint="eastAsia" w:cs="Times New Roman"/>
                      <w:color w:val="auto"/>
                      <w:highlight w:val="none"/>
                    </w:rPr>
                    <w:fldChar w:fldCharType="end"/>
                  </w:r>
                </w:p>
              </w:tc>
              <w:tc>
                <w:tcPr>
                  <w:tcW w:w="482" w:type="pct"/>
                  <w:vAlign w:val="center"/>
                </w:tcPr>
                <w:p>
                  <w:pPr>
                    <w:pStyle w:val="23"/>
                    <w:ind w:left="0" w:leftChars="0" w:firstLine="0" w:firstLineChars="0"/>
                    <w:jc w:val="center"/>
                    <w:rPr>
                      <w:rFonts w:hint="default"/>
                      <w:color w:val="auto"/>
                      <w:highlight w:val="none"/>
                      <w:lang w:val="en-US" w:eastAsia="zh-CN"/>
                    </w:rPr>
                  </w:pPr>
                  <w:r>
                    <w:rPr>
                      <w:rFonts w:hint="eastAsia"/>
                      <w:color w:val="auto"/>
                      <w:highlight w:val="none"/>
                      <w:lang w:val="en-US" w:eastAsia="zh-CN"/>
                    </w:rPr>
                    <w:t>6</w:t>
                  </w:r>
                  <w:r>
                    <w:rPr>
                      <w:rFonts w:hint="default"/>
                      <w:color w:val="auto"/>
                      <w:highlight w:val="none"/>
                      <w:lang w:val="en-US" w:eastAsia="zh-CN"/>
                    </w:rPr>
                    <w:t>000</w:t>
                  </w:r>
                </w:p>
              </w:tc>
              <w:tc>
                <w:tcPr>
                  <w:tcW w:w="778" w:type="pct"/>
                  <w:vAlign w:val="center"/>
                </w:tcPr>
                <w:p>
                  <w:pPr>
                    <w:pStyle w:val="23"/>
                    <w:ind w:left="0" w:leftChars="0" w:firstLine="0" w:firstLineChars="0"/>
                    <w:jc w:val="center"/>
                    <w:rPr>
                      <w:rFonts w:hint="default"/>
                      <w:color w:val="auto"/>
                      <w:highlight w:val="none"/>
                      <w:lang w:val="en-US" w:eastAsia="zh-CN"/>
                    </w:rPr>
                  </w:pPr>
                  <w:r>
                    <w:rPr>
                      <w:rFonts w:hint="default"/>
                      <w:color w:val="auto"/>
                      <w:highlight w:val="none"/>
                      <w:lang w:val="en-US" w:eastAsia="zh-CN"/>
                    </w:rPr>
                    <w:t>4t/h燃煤锅炉，供气量</w:t>
                  </w:r>
                  <w:r>
                    <w:rPr>
                      <w:rFonts w:hint="eastAsia"/>
                      <w:color w:val="auto"/>
                      <w:highlight w:val="none"/>
                      <w:lang w:val="en-US" w:eastAsia="zh-CN"/>
                    </w:rPr>
                    <w:t>约</w:t>
                  </w:r>
                  <w:r>
                    <w:rPr>
                      <w:rFonts w:hint="default"/>
                      <w:color w:val="auto"/>
                      <w:highlight w:val="none"/>
                      <w:lang w:val="en-US" w:eastAsia="zh-CN"/>
                    </w:rPr>
                    <w:t>为</w:t>
                  </w:r>
                  <w:r>
                    <w:rPr>
                      <w:rFonts w:hint="eastAsia"/>
                      <w:color w:val="auto"/>
                      <w:highlight w:val="none"/>
                      <w:lang w:val="en-US" w:eastAsia="zh-CN"/>
                    </w:rPr>
                    <w:t>2</w:t>
                  </w:r>
                  <w:r>
                    <w:rPr>
                      <w:rFonts w:hint="default"/>
                      <w:color w:val="auto"/>
                      <w:highlight w:val="none"/>
                      <w:lang w:val="en-US" w:eastAsia="zh-CN"/>
                    </w:rPr>
                    <w:t>t/h</w:t>
                  </w:r>
                </w:p>
              </w:tc>
              <w:tc>
                <w:tcPr>
                  <w:tcW w:w="418" w:type="pct"/>
                  <w:vMerge w:val="restart"/>
                  <w:vAlign w:val="center"/>
                </w:tcPr>
                <w:p>
                  <w:pPr>
                    <w:pStyle w:val="23"/>
                    <w:ind w:left="0" w:leftChars="0" w:firstLine="0" w:firstLineChars="0"/>
                    <w:jc w:val="center"/>
                    <w:rPr>
                      <w:rFonts w:hint="default"/>
                      <w:color w:val="auto"/>
                      <w:highlight w:val="none"/>
                      <w:lang w:val="en-US" w:eastAsia="zh-CN"/>
                    </w:rPr>
                  </w:pPr>
                  <w:r>
                    <w:rPr>
                      <w:rFonts w:hint="eastAsia"/>
                      <w:color w:val="auto"/>
                      <w:highlight w:val="none"/>
                      <w:lang w:val="en-US" w:eastAsia="zh-CN"/>
                    </w:rPr>
                    <w:t>0</w:t>
                  </w: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7920</w:t>
                  </w:r>
                </w:p>
              </w:tc>
              <w:tc>
                <w:tcPr>
                  <w:tcW w:w="1325"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4t/h燃煤锅炉，需蒸汽约7920t/a</w:t>
                  </w:r>
                </w:p>
              </w:tc>
              <w:tc>
                <w:tcPr>
                  <w:tcW w:w="575" w:type="pct"/>
                  <w:vMerge w:val="continue"/>
                  <w:vAlign w:val="center"/>
                </w:tcPr>
                <w:p>
                  <w:pPr>
                    <w:pStyle w:val="23"/>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 w:type="pct"/>
                  <w:vMerge w:val="continue"/>
                  <w:vAlign w:val="center"/>
                </w:tcPr>
                <w:p>
                  <w:pPr>
                    <w:pStyle w:val="23"/>
                    <w:ind w:left="0" w:leftChars="0" w:firstLine="0" w:firstLineChars="0"/>
                    <w:jc w:val="center"/>
                    <w:rPr>
                      <w:rFonts w:cs="Times New Roman"/>
                      <w:color w:val="auto"/>
                      <w:highlight w:val="none"/>
                    </w:rPr>
                  </w:pPr>
                </w:p>
              </w:tc>
              <w:tc>
                <w:tcPr>
                  <w:tcW w:w="608"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云南云大饲料有限公司</w:t>
                  </w:r>
                </w:p>
              </w:tc>
              <w:tc>
                <w:tcPr>
                  <w:tcW w:w="482" w:type="pct"/>
                  <w:vAlign w:val="center"/>
                </w:tcPr>
                <w:p>
                  <w:pPr>
                    <w:pStyle w:val="23"/>
                    <w:ind w:left="0" w:leftChars="0" w:firstLine="0" w:firstLineChars="0"/>
                    <w:jc w:val="center"/>
                    <w:rPr>
                      <w:rFonts w:hint="default"/>
                      <w:color w:val="auto"/>
                      <w:highlight w:val="none"/>
                      <w:lang w:val="en-US" w:eastAsia="zh-CN"/>
                    </w:rPr>
                  </w:pPr>
                  <w:r>
                    <w:rPr>
                      <w:rFonts w:hint="eastAsia"/>
                      <w:color w:val="auto"/>
                      <w:highlight w:val="none"/>
                      <w:lang w:val="en-US" w:eastAsia="zh-CN"/>
                    </w:rPr>
                    <w:t>4000</w:t>
                  </w:r>
                </w:p>
              </w:tc>
              <w:tc>
                <w:tcPr>
                  <w:tcW w:w="778" w:type="pct"/>
                  <w:vAlign w:val="center"/>
                </w:tcPr>
                <w:p>
                  <w:pPr>
                    <w:pStyle w:val="23"/>
                    <w:ind w:left="0" w:leftChars="0" w:firstLine="0" w:firstLineChars="0"/>
                    <w:jc w:val="center"/>
                    <w:rPr>
                      <w:rFonts w:hint="default"/>
                      <w:color w:val="auto"/>
                      <w:highlight w:val="none"/>
                      <w:lang w:val="en-US" w:eastAsia="zh-CN"/>
                    </w:rPr>
                  </w:pPr>
                  <w:r>
                    <w:rPr>
                      <w:rFonts w:hint="default"/>
                      <w:color w:val="auto"/>
                      <w:highlight w:val="none"/>
                      <w:lang w:val="en-US" w:eastAsia="zh-CN"/>
                    </w:rPr>
                    <w:t>4t/h燃煤锅炉，供气量为</w:t>
                  </w:r>
                  <w:r>
                    <w:rPr>
                      <w:rFonts w:hint="eastAsia"/>
                      <w:color w:val="auto"/>
                      <w:highlight w:val="none"/>
                      <w:lang w:val="en-US" w:eastAsia="zh-CN"/>
                    </w:rPr>
                    <w:t>1.6</w:t>
                  </w:r>
                  <w:r>
                    <w:rPr>
                      <w:rFonts w:hint="default"/>
                      <w:color w:val="auto"/>
                      <w:highlight w:val="none"/>
                      <w:lang w:val="en-US" w:eastAsia="zh-CN"/>
                    </w:rPr>
                    <w:t>t/h</w:t>
                  </w:r>
                </w:p>
              </w:tc>
              <w:tc>
                <w:tcPr>
                  <w:tcW w:w="418" w:type="pct"/>
                  <w:vMerge w:val="continue"/>
                  <w:vAlign w:val="center"/>
                </w:tcPr>
                <w:p>
                  <w:pPr>
                    <w:pStyle w:val="23"/>
                    <w:ind w:left="0" w:leftChars="0" w:firstLine="0" w:firstLineChars="0"/>
                    <w:jc w:val="center"/>
                    <w:rPr>
                      <w:rFonts w:hint="default"/>
                      <w:color w:val="auto"/>
                      <w:highlight w:val="none"/>
                      <w:lang w:val="en-US" w:eastAsia="zh-CN"/>
                    </w:rPr>
                  </w:pPr>
                </w:p>
              </w:tc>
              <w:tc>
                <w:tcPr>
                  <w:tcW w:w="555" w:type="pct"/>
                  <w:vAlign w:val="center"/>
                </w:tcPr>
                <w:p>
                  <w:pPr>
                    <w:pStyle w:val="23"/>
                    <w:ind w:left="0" w:leftChars="0" w:firstLine="0" w:firstLineChars="0"/>
                    <w:jc w:val="center"/>
                    <w:rPr>
                      <w:rFonts w:hint="eastAsia"/>
                      <w:color w:val="auto"/>
                      <w:highlight w:val="none"/>
                    </w:rPr>
                  </w:pPr>
                  <w:r>
                    <w:rPr>
                      <w:rFonts w:hint="default"/>
                      <w:color w:val="auto"/>
                      <w:highlight w:val="none"/>
                      <w:lang w:val="en-US" w:eastAsia="zh-CN"/>
                    </w:rPr>
                    <w:t>7920</w:t>
                  </w:r>
                </w:p>
              </w:tc>
              <w:tc>
                <w:tcPr>
                  <w:tcW w:w="1325" w:type="pct"/>
                  <w:vAlign w:val="center"/>
                </w:tcPr>
                <w:p>
                  <w:pPr>
                    <w:pStyle w:val="23"/>
                    <w:ind w:left="0" w:leftChars="0" w:firstLine="0" w:firstLineChars="0"/>
                    <w:jc w:val="center"/>
                    <w:rPr>
                      <w:rFonts w:cs="Times New Roman"/>
                      <w:color w:val="auto"/>
                      <w:highlight w:val="none"/>
                    </w:rPr>
                  </w:pPr>
                  <w:r>
                    <w:rPr>
                      <w:rFonts w:hint="eastAsia" w:cs="Times New Roman"/>
                      <w:color w:val="auto"/>
                      <w:highlight w:val="none"/>
                    </w:rPr>
                    <w:t>4t/h燃煤锅炉，需蒸汽约7920t/a</w:t>
                  </w:r>
                </w:p>
              </w:tc>
              <w:tc>
                <w:tcPr>
                  <w:tcW w:w="575" w:type="pct"/>
                  <w:vMerge w:val="continue"/>
                  <w:vAlign w:val="center"/>
                </w:tcPr>
                <w:p>
                  <w:pPr>
                    <w:pStyle w:val="23"/>
                    <w:ind w:left="0" w:leftChars="0" w:firstLine="0" w:firstLineChars="0"/>
                    <w:jc w:val="center"/>
                    <w:rPr>
                      <w:rFonts w:cs="Times New Roman"/>
                      <w:color w:val="auto"/>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、劳动定员及工作制度变动情况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项目不设生活设施，各供热点所有工作人员均依托服务企业生活设施。项目变动前后劳动定员与工作制度变化情况一览表如下：</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9项目劳动定员与工作制度变动情况一览表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1204"/>
              <w:gridCol w:w="1206"/>
              <w:gridCol w:w="1209"/>
              <w:gridCol w:w="1206"/>
              <w:gridCol w:w="1232"/>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Merge w:val="restar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供热点</w:t>
                  </w:r>
                </w:p>
              </w:tc>
              <w:tc>
                <w:tcPr>
                  <w:tcW w:w="2062" w:type="pct"/>
                  <w:gridSpan w:val="3"/>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变动前</w:t>
                  </w:r>
                </w:p>
              </w:tc>
              <w:tc>
                <w:tcPr>
                  <w:tcW w:w="2140" w:type="pct"/>
                  <w:gridSpan w:val="3"/>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变动后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Merge w:val="continue"/>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海大供热点</w:t>
                  </w:r>
                </w:p>
              </w:tc>
              <w:tc>
                <w:tcPr>
                  <w:tcW w:w="68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特驱供热点</w:t>
                  </w:r>
                </w:p>
              </w:tc>
              <w:tc>
                <w:tcPr>
                  <w:tcW w:w="689"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漓源供热点</w:t>
                  </w:r>
                </w:p>
              </w:tc>
              <w:tc>
                <w:tcPr>
                  <w:tcW w:w="68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海大供热点</w:t>
                  </w:r>
                </w:p>
              </w:tc>
              <w:tc>
                <w:tcPr>
                  <w:tcW w:w="702"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特驱供热点</w:t>
                  </w:r>
                </w:p>
              </w:tc>
              <w:tc>
                <w:tcPr>
                  <w:tcW w:w="751"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漓源供热点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Merge w:val="restar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管理及生产人员</w:t>
                  </w:r>
                </w:p>
              </w:tc>
              <w:tc>
                <w:tcPr>
                  <w:tcW w:w="2062" w:type="pct"/>
                  <w:gridSpan w:val="3"/>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管理及销售人员4人</w:t>
                  </w:r>
                </w:p>
              </w:tc>
              <w:tc>
                <w:tcPr>
                  <w:tcW w:w="68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02"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1"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Merge w:val="continue"/>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5人</w:t>
                  </w:r>
                </w:p>
              </w:tc>
              <w:tc>
                <w:tcPr>
                  <w:tcW w:w="68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2人</w:t>
                  </w:r>
                </w:p>
              </w:tc>
              <w:tc>
                <w:tcPr>
                  <w:tcW w:w="689"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3人</w:t>
                  </w:r>
                </w:p>
              </w:tc>
              <w:tc>
                <w:tcPr>
                  <w:tcW w:w="68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4人</w:t>
                  </w:r>
                </w:p>
              </w:tc>
              <w:tc>
                <w:tcPr>
                  <w:tcW w:w="702"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4人</w:t>
                  </w:r>
                </w:p>
              </w:tc>
              <w:tc>
                <w:tcPr>
                  <w:tcW w:w="751"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工作制度</w:t>
                  </w:r>
                </w:p>
              </w:tc>
              <w:tc>
                <w:tcPr>
                  <w:tcW w:w="686"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2班制，每班12小时</w:t>
                  </w:r>
                </w:p>
              </w:tc>
              <w:tc>
                <w:tcPr>
                  <w:tcW w:w="68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班制，每班</w:t>
                  </w:r>
                  <w:r>
                    <w:rPr>
                      <w:rFonts w:hint="eastAsia" w:ascii="Times New Roman" w:hAnsi="Times New Roman"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lang w:val="en-US" w:eastAsia="zh-CN"/>
                    </w:rPr>
                    <w:t>小时</w:t>
                  </w:r>
                </w:p>
              </w:tc>
              <w:tc>
                <w:tcPr>
                  <w:tcW w:w="689"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2班制，每班6小时</w:t>
                  </w:r>
                </w:p>
              </w:tc>
              <w:tc>
                <w:tcPr>
                  <w:tcW w:w="68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2班制，每班12小时</w:t>
                  </w:r>
                </w:p>
              </w:tc>
              <w:tc>
                <w:tcPr>
                  <w:tcW w:w="702"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2班制，每班12小时</w:t>
                  </w:r>
                </w:p>
              </w:tc>
              <w:tc>
                <w:tcPr>
                  <w:tcW w:w="751"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2班制，每班6小时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锅炉运行时间</w:t>
                  </w:r>
                </w:p>
              </w:tc>
              <w:tc>
                <w:tcPr>
                  <w:tcW w:w="2062" w:type="pct"/>
                  <w:gridSpan w:val="3"/>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330天/年</w:t>
                  </w:r>
                </w:p>
              </w:tc>
              <w:tc>
                <w:tcPr>
                  <w:tcW w:w="2140" w:type="pct"/>
                  <w:gridSpan w:val="3"/>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330天/年</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9、项目平面布置变动情况</w:t>
            </w:r>
          </w:p>
          <w:p>
            <w:pPr>
              <w:autoSpaceDE w:val="0"/>
              <w:autoSpaceDN w:val="0"/>
              <w:adjustRightInd w:val="0"/>
              <w:spacing w:line="360" w:lineRule="auto"/>
              <w:ind w:firstLine="474" w:firstLineChars="197"/>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项目发生重大变动前</w:t>
            </w:r>
          </w:p>
          <w:p>
            <w:pPr>
              <w:autoSpaceDE w:val="0"/>
              <w:autoSpaceDN w:val="0"/>
              <w:adjustRightInd w:val="0"/>
              <w:spacing w:line="360" w:lineRule="auto"/>
              <w:ind w:firstLine="472" w:firstLineChars="197"/>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项目建设均不新增用地，主要有生产区，员工均不在项目内食宿。</w:t>
            </w:r>
          </w:p>
          <w:p>
            <w:pPr>
              <w:autoSpaceDE w:val="0"/>
              <w:autoSpaceDN w:val="0"/>
              <w:adjustRightInd w:val="0"/>
              <w:spacing w:line="360" w:lineRule="auto"/>
              <w:ind w:firstLine="472" w:firstLineChars="197"/>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①海大供热点租用云南海大生物科技有限公司二期厂房规划建设用地建设，目前该地块为闲置空地。在该厂房内布设4台组合式然生物质锅炉，4t/h锅炉一台、6t/h锅炉二台、10t/h锅炉一台。在该厂房内隔间布设生物质颗粒储料仓1间，锅炉房外建设多管旋风除尘器+布袋除尘器1套。锅炉产生的蒸汽供给周边的海大生物科和加大饲料公司。②特驱供热点租用昆明特驱饲料有限公司空地建设，该空地已经进行了场地地面硬化。建设一层钢结构厂房，占地面积360</w:t>
            </w:r>
            <w:r>
              <w:rPr>
                <w:rFonts w:hint="default" w:ascii="Times New Roman" w:hAnsi="Times New Roman" w:cs="Times New Roman"/>
                <w:color w:val="auto"/>
                <w:sz w:val="24"/>
                <w:szCs w:val="24"/>
                <w:highlight w:val="none"/>
                <w:lang w:val="en-US" w:eastAsia="zh-CN"/>
              </w:rPr>
              <w:t>m²</w:t>
            </w:r>
            <w:r>
              <w:rPr>
                <w:rFonts w:hint="eastAsia" w:cs="Times New Roman"/>
                <w:color w:val="auto"/>
                <w:sz w:val="24"/>
                <w:szCs w:val="24"/>
                <w:highlight w:val="none"/>
                <w:lang w:val="en-US" w:eastAsia="zh-CN"/>
              </w:rPr>
              <w:t>，建筑面积360</w:t>
            </w:r>
            <w:r>
              <w:rPr>
                <w:rFonts w:hint="default" w:ascii="Times New Roman" w:hAnsi="Times New Roman" w:cs="Times New Roman"/>
                <w:color w:val="auto"/>
                <w:sz w:val="24"/>
                <w:szCs w:val="24"/>
                <w:highlight w:val="none"/>
                <w:lang w:val="en-US" w:eastAsia="zh-CN"/>
              </w:rPr>
              <w:t>m²</w:t>
            </w:r>
            <w:r>
              <w:rPr>
                <w:rFonts w:hint="eastAsia" w:cs="Times New Roman"/>
                <w:color w:val="auto"/>
                <w:sz w:val="24"/>
                <w:szCs w:val="24"/>
                <w:highlight w:val="none"/>
                <w:lang w:val="en-US" w:eastAsia="zh-CN"/>
              </w:rPr>
              <w:t>，在该厂房内建设6t/h锅炉一座及软水制备系统，锅炉房内隔间建设面积约为78</w:t>
            </w:r>
            <w:r>
              <w:rPr>
                <w:rFonts w:hint="default" w:ascii="Times New Roman" w:hAnsi="Times New Roman" w:cs="Times New Roman"/>
                <w:color w:val="auto"/>
                <w:sz w:val="24"/>
                <w:szCs w:val="24"/>
                <w:highlight w:val="none"/>
                <w:lang w:val="en-US" w:eastAsia="zh-CN"/>
              </w:rPr>
              <w:t>m²</w:t>
            </w:r>
            <w:r>
              <w:rPr>
                <w:rFonts w:hint="eastAsia" w:cs="Times New Roman"/>
                <w:color w:val="auto"/>
                <w:sz w:val="24"/>
                <w:szCs w:val="24"/>
                <w:highlight w:val="none"/>
                <w:lang w:val="en-US" w:eastAsia="zh-CN"/>
              </w:rPr>
              <w:t>的生物质颗粒储料仓，锅炉房外建设多管旋风除尘器+布袋除尘器1套。锅炉产生的蒸汽供给周边的昆明特驱饲料和云南新东道公司。③漓源供热点利用昆明漓源饲料有限公司原锅炉房，在锅炉房内新建一台4t/h的燃生物质锅炉及软水系统，利用锅炉房隔间设置生物质燃料堆放点，锅炉房外建设多管旋风除尘器+布袋除尘器1套。锅炉产生的蒸汽供给周边的昆明漓源饲料和云南云大饲料公司。</w:t>
            </w:r>
          </w:p>
          <w:p>
            <w:pPr>
              <w:autoSpaceDE w:val="0"/>
              <w:autoSpaceDN w:val="0"/>
              <w:adjustRightInd w:val="0"/>
              <w:spacing w:line="360" w:lineRule="auto"/>
              <w:ind w:firstLine="474" w:firstLineChars="197"/>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（2）项目发生重大变动后</w:t>
            </w:r>
          </w:p>
          <w:p>
            <w:pPr>
              <w:autoSpaceDE w:val="0"/>
              <w:autoSpaceDN w:val="0"/>
              <w:adjustRightInd w:val="0"/>
              <w:spacing w:line="360" w:lineRule="auto"/>
              <w:ind w:firstLine="472" w:firstLineChars="197"/>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项目建设均不新增用地，主要有生产区，员工均不在项目内食宿。</w:t>
            </w:r>
          </w:p>
          <w:p>
            <w:pPr>
              <w:autoSpaceDE w:val="0"/>
              <w:autoSpaceDN w:val="0"/>
              <w:adjustRightInd w:val="0"/>
              <w:spacing w:line="360" w:lineRule="auto"/>
              <w:ind w:firstLine="472" w:firstLineChars="197"/>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①海大供热点租用云南海大生物科技有限公司二期厂房规划建设用地建设，目前该地块为闲置空地。在该厂房内布设4t/h锅炉一台、6t/h锅炉一台、15t/h锅炉一台。配套建设软水系统、除尘系统、烟气蒸发系统。在该厂房内隔间建设300</w:t>
            </w:r>
            <w:r>
              <w:rPr>
                <w:rFonts w:hint="default" w:ascii="Times New Roman" w:hAnsi="Times New Roman" w:cs="Times New Roman"/>
                <w:color w:val="auto"/>
                <w:sz w:val="24"/>
                <w:szCs w:val="24"/>
                <w:highlight w:val="none"/>
                <w:lang w:val="en-US" w:eastAsia="zh-CN"/>
              </w:rPr>
              <w:t>m²</w:t>
            </w:r>
            <w:r>
              <w:rPr>
                <w:rFonts w:hint="eastAsia" w:cs="Times New Roman"/>
                <w:color w:val="auto"/>
                <w:sz w:val="24"/>
                <w:szCs w:val="24"/>
                <w:highlight w:val="none"/>
                <w:lang w:val="en-US" w:eastAsia="zh-CN"/>
              </w:rPr>
              <w:t>仓储房，锅炉房外建设多管旋风除尘器+布袋除尘器1套。锅炉产生的蒸汽供给周边的海大生物科、加大饲料公司、昆明通威饲料、云南大北农饲料和云南新希望动物营养食品有限公司。②特驱供热点租用昆明特驱饲料有限公司空地建设，该空地已经进行了场地地面硬化。建设一层钢结构厂房，占地面积360</w:t>
            </w:r>
            <w:r>
              <w:rPr>
                <w:rFonts w:hint="default" w:ascii="Times New Roman" w:hAnsi="Times New Roman" w:cs="Times New Roman"/>
                <w:color w:val="auto"/>
                <w:sz w:val="24"/>
                <w:szCs w:val="24"/>
                <w:highlight w:val="none"/>
                <w:lang w:val="en-US" w:eastAsia="zh-CN"/>
              </w:rPr>
              <w:t>m²</w:t>
            </w:r>
            <w:r>
              <w:rPr>
                <w:rFonts w:hint="eastAsia" w:cs="Times New Roman"/>
                <w:color w:val="auto"/>
                <w:sz w:val="24"/>
                <w:szCs w:val="24"/>
                <w:highlight w:val="none"/>
                <w:lang w:val="en-US" w:eastAsia="zh-CN"/>
              </w:rPr>
              <w:t>，建筑面积360</w:t>
            </w:r>
            <w:r>
              <w:rPr>
                <w:rFonts w:hint="default" w:ascii="Times New Roman" w:hAnsi="Times New Roman" w:cs="Times New Roman"/>
                <w:color w:val="auto"/>
                <w:sz w:val="24"/>
                <w:szCs w:val="24"/>
                <w:highlight w:val="none"/>
                <w:lang w:val="en-US" w:eastAsia="zh-CN"/>
              </w:rPr>
              <w:t>m²</w:t>
            </w:r>
            <w:r>
              <w:rPr>
                <w:rFonts w:hint="eastAsia" w:cs="Times New Roman"/>
                <w:color w:val="auto"/>
                <w:sz w:val="24"/>
                <w:szCs w:val="24"/>
                <w:highlight w:val="none"/>
                <w:lang w:val="en-US" w:eastAsia="zh-CN"/>
              </w:rPr>
              <w:t>，在该厂房内建设6t/h锅炉一台、20t/h锅炉一台，配套建设软水系统、除尘系统、烟气蒸发系统。锅炉房内隔间建设200</w:t>
            </w:r>
            <w:r>
              <w:rPr>
                <w:rFonts w:hint="default" w:ascii="Times New Roman" w:hAnsi="Times New Roman" w:cs="Times New Roman"/>
                <w:color w:val="auto"/>
                <w:sz w:val="24"/>
                <w:szCs w:val="24"/>
                <w:highlight w:val="none"/>
                <w:lang w:val="en-US" w:eastAsia="zh-CN"/>
              </w:rPr>
              <w:t>m²</w:t>
            </w:r>
            <w:r>
              <w:rPr>
                <w:rFonts w:hint="eastAsia" w:cs="Times New Roman"/>
                <w:color w:val="auto"/>
                <w:sz w:val="24"/>
                <w:szCs w:val="24"/>
                <w:highlight w:val="none"/>
                <w:lang w:val="en-US" w:eastAsia="zh-CN"/>
              </w:rPr>
              <w:t>仓储房，锅炉房外建设多管旋风除尘器+布袋除尘器1套。锅炉产生的蒸汽供给周边的昆明特驱饲料、云南新东道公司、云南大台农台标农业科技有限公司和云南巨星农牧有限公司。③漓源供热点利用昆明漓源饲料有限公司原锅炉房，在锅炉房内新建一台4t/h的燃生物质锅炉，配套建设软水系统、除尘系统、烟气蒸发系统。利用锅炉房隔间设置生物质燃料堆放点，锅炉房外建设多管旋风除尘器+布袋除尘器1套。锅炉产生的蒸汽供给周边的昆明漓源饲料和云南云大饲料公司。</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10</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施工进度安排</w:t>
            </w:r>
          </w:p>
          <w:p>
            <w:pPr>
              <w:autoSpaceDE w:val="0"/>
              <w:autoSpaceDN w:val="0"/>
              <w:adjustRightInd w:val="0"/>
              <w:spacing w:line="360" w:lineRule="auto"/>
              <w:ind w:firstLine="472" w:firstLineChars="197"/>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该项目目前现已建设完成4台锅炉及配套设施，并投入运行，但未验收，分别在海大供热点建设一台4t/h锅炉和一台6t/h锅炉，特驱供热点建设一台6t/h锅炉，漓源供热点建设一台4t/h锅炉。</w:t>
            </w:r>
          </w:p>
          <w:p>
            <w:pPr>
              <w:autoSpaceDE w:val="0"/>
              <w:autoSpaceDN w:val="0"/>
              <w:adjustRightInd w:val="0"/>
              <w:spacing w:line="360" w:lineRule="auto"/>
              <w:ind w:firstLine="472" w:firstLineChars="197"/>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项目计划于2024年4月开工，根据实际供气需求陆续开工建设，计划2026年4月完成。</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11</w:t>
            </w:r>
            <w:r>
              <w:rPr>
                <w:rFonts w:hint="eastAsia" w:ascii="Times New Roman" w:hAnsi="Times New Roman" w:eastAsia="宋体" w:cs="Times New Roman"/>
                <w:b/>
                <w:bCs/>
                <w:color w:val="auto"/>
                <w:sz w:val="24"/>
                <w:szCs w:val="24"/>
                <w:highlight w:val="none"/>
                <w:lang w:val="en-US" w:eastAsia="zh-CN"/>
              </w:rPr>
              <w:t>、环保投资变动情况</w:t>
            </w:r>
          </w:p>
          <w:p>
            <w:pPr>
              <w:autoSpaceDE w:val="0"/>
              <w:autoSpaceDN w:val="0"/>
              <w:adjustRightInd w:val="0"/>
              <w:spacing w:line="360" w:lineRule="auto"/>
              <w:ind w:firstLine="472" w:firstLineChars="197"/>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项目变动前：项目总投资1560万元，其中环保总投资160.645万元，占总投资的10.3%。</w:t>
            </w:r>
          </w:p>
          <w:p>
            <w:pPr>
              <w:autoSpaceDE w:val="0"/>
              <w:autoSpaceDN w:val="0"/>
              <w:adjustRightInd w:val="0"/>
              <w:spacing w:line="360" w:lineRule="auto"/>
              <w:ind w:firstLine="472" w:firstLineChars="197"/>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项目变动后：项目</w:t>
            </w:r>
            <w:r>
              <w:rPr>
                <w:rFonts w:hint="default" w:ascii="Times New Roman" w:hAnsi="Times New Roman" w:eastAsia="宋体" w:cs="Times New Roman"/>
                <w:color w:val="auto"/>
                <w:sz w:val="24"/>
                <w:szCs w:val="24"/>
                <w:highlight w:val="none"/>
                <w:lang w:eastAsia="zh-CN"/>
              </w:rPr>
              <w:t>总投资</w:t>
            </w:r>
            <w:r>
              <w:rPr>
                <w:rFonts w:hint="eastAsia" w:cs="Times New Roman"/>
                <w:color w:val="auto"/>
                <w:sz w:val="24"/>
                <w:szCs w:val="24"/>
                <w:highlight w:val="none"/>
                <w:lang w:val="en-US" w:eastAsia="zh-CN"/>
              </w:rPr>
              <w:t>1560</w:t>
            </w:r>
            <w:r>
              <w:rPr>
                <w:rFonts w:hint="eastAsia" w:ascii="Times New Roman" w:hAnsi="Times New Roman" w:eastAsia="宋体" w:cs="Times New Roman"/>
                <w:color w:val="auto"/>
                <w:sz w:val="24"/>
                <w:szCs w:val="24"/>
                <w:highlight w:val="none"/>
                <w:lang w:val="en-US" w:eastAsia="zh-CN"/>
              </w:rPr>
              <w:t>万</w:t>
            </w:r>
            <w:r>
              <w:rPr>
                <w:rFonts w:hint="default" w:ascii="Times New Roman" w:hAnsi="Times New Roman" w:eastAsia="宋体" w:cs="Times New Roman"/>
                <w:color w:val="auto"/>
                <w:sz w:val="24"/>
                <w:szCs w:val="24"/>
                <w:highlight w:val="none"/>
                <w:lang w:eastAsia="zh-CN"/>
              </w:rPr>
              <w:t>元</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其中环保投资</w:t>
            </w:r>
            <w:r>
              <w:rPr>
                <w:rFonts w:hint="eastAsia" w:cs="Times New Roman"/>
                <w:color w:val="auto"/>
                <w:sz w:val="24"/>
                <w:szCs w:val="24"/>
                <w:highlight w:val="none"/>
                <w:lang w:val="en-US" w:eastAsia="zh-CN"/>
              </w:rPr>
              <w:t>196.02</w:t>
            </w:r>
            <w:r>
              <w:rPr>
                <w:rFonts w:hint="default" w:ascii="Times New Roman" w:hAnsi="Times New Roman" w:eastAsia="宋体" w:cs="Times New Roman"/>
                <w:color w:val="auto"/>
                <w:sz w:val="24"/>
                <w:szCs w:val="24"/>
                <w:highlight w:val="none"/>
                <w:lang w:eastAsia="zh-CN"/>
              </w:rPr>
              <w:t>万元，占总投资的</w:t>
            </w:r>
            <w:r>
              <w:rPr>
                <w:rFonts w:hint="eastAsia" w:cs="Times New Roman"/>
                <w:color w:val="auto"/>
                <w:sz w:val="24"/>
                <w:szCs w:val="24"/>
                <w:highlight w:val="none"/>
                <w:lang w:val="en-US" w:eastAsia="zh-CN"/>
              </w:rPr>
              <w:t>12.56</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w:t>
            </w:r>
          </w:p>
          <w:p>
            <w:pPr>
              <w:autoSpaceDE w:val="0"/>
              <w:autoSpaceDN w:val="0"/>
              <w:adjustRightInd w:val="0"/>
              <w:spacing w:line="360" w:lineRule="auto"/>
              <w:ind w:firstLine="472" w:firstLineChars="197"/>
              <w:rPr>
                <w:rFonts w:hint="eastAsia"/>
                <w:snapToGrid w:val="0"/>
                <w:color w:val="auto"/>
                <w:kern w:val="0"/>
                <w:sz w:val="24"/>
                <w:highlight w:val="none"/>
              </w:rPr>
            </w:pPr>
            <w:r>
              <w:rPr>
                <w:rFonts w:hint="eastAsia" w:cs="Times New Roman"/>
                <w:color w:val="auto"/>
                <w:sz w:val="24"/>
                <w:szCs w:val="24"/>
                <w:highlight w:val="none"/>
                <w:lang w:val="en-US" w:eastAsia="zh-CN"/>
              </w:rPr>
              <w:t>项目变动前后环保投资情况见下表</w:t>
            </w:r>
            <w:r>
              <w:rPr>
                <w:rFonts w:hint="eastAsia" w:ascii="Times New Roman" w:hAnsi="Times New Roman" w:eastAsia="宋体" w:cs="Times New Roman"/>
                <w:color w:val="auto"/>
                <w:sz w:val="24"/>
                <w:szCs w:val="24"/>
                <w:highlight w:val="none"/>
                <w:lang w:eastAsia="zh-CN"/>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10环保投资变动情况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90"/>
              <w:gridCol w:w="1349"/>
              <w:gridCol w:w="1094"/>
              <w:gridCol w:w="1561"/>
              <w:gridCol w:w="1347"/>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Merge w:val="restar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序号</w:t>
                  </w:r>
                </w:p>
              </w:tc>
              <w:tc>
                <w:tcPr>
                  <w:tcW w:w="2240" w:type="pct"/>
                  <w:gridSpan w:val="3"/>
                  <w:vAlign w:val="center"/>
                </w:tcPr>
                <w:p>
                  <w:pPr>
                    <w:pStyle w:val="23"/>
                    <w:ind w:left="0" w:leftChars="0" w:firstLine="0" w:firstLineChars="0"/>
                    <w:jc w:val="center"/>
                    <w:rPr>
                      <w:rFonts w:hint="eastAsia" w:ascii="Times New Roman" w:hAnsi="Times New Roman" w:eastAsia="宋体" w:cs="Times New Roman"/>
                      <w:bCs/>
                      <w:color w:val="auto"/>
                      <w:sz w:val="21"/>
                      <w:szCs w:val="21"/>
                      <w:highlight w:val="none"/>
                    </w:rPr>
                  </w:pPr>
                  <w:r>
                    <w:rPr>
                      <w:rFonts w:hint="eastAsia" w:cs="Times New Roman"/>
                      <w:color w:val="auto"/>
                      <w:highlight w:val="none"/>
                      <w:lang w:val="en-US" w:eastAsia="zh-CN"/>
                    </w:rPr>
                    <w:t>变动前</w:t>
                  </w:r>
                </w:p>
              </w:tc>
              <w:tc>
                <w:tcPr>
                  <w:tcW w:w="2516" w:type="pct"/>
                  <w:gridSpan w:val="3"/>
                  <w:vAlign w:val="center"/>
                </w:tcPr>
                <w:p>
                  <w:pPr>
                    <w:pStyle w:val="23"/>
                    <w:ind w:left="0" w:leftChars="0" w:firstLine="0" w:firstLineChars="0"/>
                    <w:jc w:val="center"/>
                    <w:rPr>
                      <w:rFonts w:hint="default" w:ascii="Times New Roman" w:hAnsi="Times New Roman" w:eastAsia="宋体" w:cs="Times New Roman"/>
                      <w:bCs/>
                      <w:color w:val="auto"/>
                      <w:sz w:val="21"/>
                      <w:szCs w:val="21"/>
                      <w:highlight w:val="none"/>
                    </w:rPr>
                  </w:pPr>
                  <w:r>
                    <w:rPr>
                      <w:rFonts w:hint="eastAsia" w:cs="Times New Roman"/>
                      <w:color w:val="auto"/>
                      <w:highlight w:val="none"/>
                      <w:lang w:val="en-US" w:eastAsia="zh-CN"/>
                    </w:rPr>
                    <w:t>变动后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Merge w:val="continue"/>
                  <w:vAlign w:val="center"/>
                </w:tcPr>
                <w:p>
                  <w:pPr>
                    <w:jc w:val="center"/>
                    <w:textAlignment w:val="center"/>
                    <w:rPr>
                      <w:rFonts w:hint="default" w:ascii="Times New Roman" w:hAnsi="Times New Roman" w:eastAsia="宋体" w:cs="Times New Roman"/>
                      <w:bCs/>
                      <w:color w:val="auto"/>
                      <w:sz w:val="21"/>
                      <w:szCs w:val="21"/>
                      <w:highlight w:val="none"/>
                    </w:rPr>
                  </w:pPr>
                </w:p>
              </w:tc>
              <w:tc>
                <w:tcPr>
                  <w:tcW w:w="848" w:type="pct"/>
                  <w:vAlign w:val="center"/>
                </w:tcPr>
                <w:p>
                  <w:pPr>
                    <w:jc w:val="center"/>
                    <w:textAlignment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环保措施</w:t>
                  </w:r>
                </w:p>
              </w:tc>
              <w:tc>
                <w:tcPr>
                  <w:tcW w:w="768" w:type="pct"/>
                  <w:vAlign w:val="center"/>
                </w:tcPr>
                <w:p>
                  <w:pPr>
                    <w:jc w:val="center"/>
                    <w:textAlignment w:val="center"/>
                    <w:rPr>
                      <w:rFonts w:hint="eastAsia"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数量</w:t>
                  </w:r>
                </w:p>
              </w:tc>
              <w:tc>
                <w:tcPr>
                  <w:tcW w:w="623" w:type="pct"/>
                  <w:vAlign w:val="center"/>
                </w:tcPr>
                <w:p>
                  <w:pPr>
                    <w:jc w:val="center"/>
                    <w:textAlignment w:val="center"/>
                    <w:rPr>
                      <w:rFonts w:hint="eastAsia"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投资额（万元）</w:t>
                  </w:r>
                </w:p>
              </w:tc>
              <w:tc>
                <w:tcPr>
                  <w:tcW w:w="889"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环保措施</w:t>
                  </w:r>
                </w:p>
              </w:tc>
              <w:tc>
                <w:tcPr>
                  <w:tcW w:w="767"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数量</w:t>
                  </w:r>
                </w:p>
              </w:tc>
              <w:tc>
                <w:tcPr>
                  <w:tcW w:w="86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84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旋风除尘器+布袋除尘器</w:t>
                  </w:r>
                </w:p>
              </w:tc>
              <w:tc>
                <w:tcPr>
                  <w:tcW w:w="76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6套</w:t>
                  </w:r>
                </w:p>
              </w:tc>
              <w:tc>
                <w:tcPr>
                  <w:tcW w:w="623"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30</w:t>
                  </w:r>
                </w:p>
              </w:tc>
              <w:tc>
                <w:tcPr>
                  <w:tcW w:w="889"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旋风除尘器+布袋除尘器</w:t>
                  </w:r>
                </w:p>
              </w:tc>
              <w:tc>
                <w:tcPr>
                  <w:tcW w:w="767"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w:t>
                  </w:r>
                  <w:r>
                    <w:rPr>
                      <w:rFonts w:hint="default" w:ascii="Times New Roman" w:hAnsi="Times New Roman" w:eastAsia="宋体" w:cs="Times New Roman"/>
                      <w:bCs/>
                      <w:color w:val="auto"/>
                      <w:sz w:val="21"/>
                      <w:szCs w:val="21"/>
                      <w:highlight w:val="none"/>
                    </w:rPr>
                    <w:t>套</w:t>
                  </w:r>
                </w:p>
              </w:tc>
              <w:tc>
                <w:tcPr>
                  <w:tcW w:w="860" w:type="pct"/>
                  <w:vAlign w:val="center"/>
                </w:tcPr>
                <w:p>
                  <w:pPr>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84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烟囱</w:t>
                  </w:r>
                </w:p>
              </w:tc>
              <w:tc>
                <w:tcPr>
                  <w:tcW w:w="76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1根45m，2根35m高</w:t>
                  </w:r>
                </w:p>
              </w:tc>
              <w:tc>
                <w:tcPr>
                  <w:tcW w:w="623"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45</w:t>
                  </w:r>
                </w:p>
              </w:tc>
              <w:tc>
                <w:tcPr>
                  <w:tcW w:w="889"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烟囱</w:t>
                  </w:r>
                </w:p>
              </w:tc>
              <w:tc>
                <w:tcPr>
                  <w:tcW w:w="767"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根</w:t>
                  </w:r>
                  <w:r>
                    <w:rPr>
                      <w:rFonts w:hint="eastAsia" w:ascii="Times New Roman" w:hAnsi="Times New Roman" w:eastAsia="宋体" w:cs="Times New Roman"/>
                      <w:bCs/>
                      <w:color w:val="auto"/>
                      <w:sz w:val="21"/>
                      <w:szCs w:val="21"/>
                      <w:highlight w:val="none"/>
                    </w:rPr>
                    <w:t>45</w:t>
                  </w:r>
                  <w:r>
                    <w:rPr>
                      <w:rFonts w:hint="default" w:ascii="Times New Roman" w:hAnsi="Times New Roman" w:eastAsia="宋体" w:cs="Times New Roman"/>
                      <w:bCs/>
                      <w:color w:val="auto"/>
                      <w:sz w:val="21"/>
                      <w:szCs w:val="21"/>
                      <w:highlight w:val="none"/>
                    </w:rPr>
                    <w:t>m，</w:t>
                  </w: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根35m</w:t>
                  </w:r>
                </w:p>
              </w:tc>
              <w:tc>
                <w:tcPr>
                  <w:tcW w:w="860" w:type="pct"/>
                  <w:vAlign w:val="center"/>
                </w:tcPr>
                <w:p>
                  <w:pPr>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w:t>
                  </w:r>
                </w:p>
              </w:tc>
              <w:tc>
                <w:tcPr>
                  <w:tcW w:w="848" w:type="pct"/>
                  <w:vAlign w:val="center"/>
                </w:tcPr>
                <w:p>
                  <w:pPr>
                    <w:jc w:val="center"/>
                    <w:textAlignment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烟气CEMS在线分析系统</w:t>
                  </w:r>
                </w:p>
              </w:tc>
              <w:tc>
                <w:tcPr>
                  <w:tcW w:w="768" w:type="pct"/>
                  <w:vAlign w:val="center"/>
                </w:tcPr>
                <w:p>
                  <w:pPr>
                    <w:jc w:val="center"/>
                    <w:textAlignment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3套</w:t>
                  </w:r>
                </w:p>
              </w:tc>
              <w:tc>
                <w:tcPr>
                  <w:tcW w:w="623" w:type="pct"/>
                  <w:vAlign w:val="center"/>
                </w:tcPr>
                <w:p>
                  <w:pPr>
                    <w:jc w:val="center"/>
                    <w:textAlignment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60</w:t>
                  </w:r>
                </w:p>
              </w:tc>
              <w:tc>
                <w:tcPr>
                  <w:tcW w:w="889"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烟气CEMS在线分析系统</w:t>
                  </w:r>
                </w:p>
              </w:tc>
              <w:tc>
                <w:tcPr>
                  <w:tcW w:w="767"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3套</w:t>
                  </w:r>
                </w:p>
              </w:tc>
              <w:tc>
                <w:tcPr>
                  <w:tcW w:w="86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4</w:t>
                  </w:r>
                </w:p>
              </w:tc>
              <w:tc>
                <w:tcPr>
                  <w:tcW w:w="84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基础减振、墙壁隔声、消声器</w:t>
                  </w:r>
                </w:p>
              </w:tc>
              <w:tc>
                <w:tcPr>
                  <w:tcW w:w="76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623"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c>
                <w:tcPr>
                  <w:tcW w:w="889"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基础减振、墙壁隔声、消声器</w:t>
                  </w:r>
                </w:p>
              </w:tc>
              <w:tc>
                <w:tcPr>
                  <w:tcW w:w="767"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86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w:t>
                  </w:r>
                </w:p>
              </w:tc>
              <w:tc>
                <w:tcPr>
                  <w:tcW w:w="84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危废暂存间</w:t>
                  </w:r>
                </w:p>
              </w:tc>
              <w:tc>
                <w:tcPr>
                  <w:tcW w:w="76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kern w:val="0"/>
                      <w:sz w:val="21"/>
                      <w:szCs w:val="21"/>
                      <w:highlight w:val="none"/>
                      <w:lang w:val="en-US" w:eastAsia="zh-CN"/>
                    </w:rPr>
                    <w:t>m²</w:t>
                  </w:r>
                </w:p>
              </w:tc>
              <w:tc>
                <w:tcPr>
                  <w:tcW w:w="623"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2.6</w:t>
                  </w:r>
                </w:p>
              </w:tc>
              <w:tc>
                <w:tcPr>
                  <w:tcW w:w="889"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危险废物贮存库</w:t>
                  </w:r>
                </w:p>
              </w:tc>
              <w:tc>
                <w:tcPr>
                  <w:tcW w:w="767"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10</w:t>
                  </w:r>
                  <w:r>
                    <w:rPr>
                      <w:rFonts w:hint="default" w:ascii="Times New Roman" w:hAnsi="Times New Roman" w:eastAsia="宋体" w:cs="Times New Roman"/>
                      <w:bCs/>
                      <w:color w:val="auto"/>
                      <w:kern w:val="0"/>
                      <w:sz w:val="21"/>
                      <w:szCs w:val="21"/>
                      <w:highlight w:val="none"/>
                      <w:lang w:val="en-US" w:eastAsia="zh-CN"/>
                    </w:rPr>
                    <w:t>m²</w:t>
                  </w:r>
                </w:p>
              </w:tc>
              <w:tc>
                <w:tcPr>
                  <w:tcW w:w="860"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w:t>
                  </w:r>
                </w:p>
              </w:tc>
              <w:tc>
                <w:tcPr>
                  <w:tcW w:w="84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烟气蒸发器</w:t>
                  </w:r>
                </w:p>
              </w:tc>
              <w:tc>
                <w:tcPr>
                  <w:tcW w:w="76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3套</w:t>
                  </w:r>
                </w:p>
              </w:tc>
              <w:tc>
                <w:tcPr>
                  <w:tcW w:w="623"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c>
                <w:tcPr>
                  <w:tcW w:w="889" w:type="pct"/>
                  <w:vAlign w:val="center"/>
                </w:tcPr>
                <w:p>
                  <w:pPr>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烟气蒸发</w:t>
                  </w:r>
                  <w:r>
                    <w:rPr>
                      <w:rFonts w:hint="eastAsia" w:cs="Times New Roman"/>
                      <w:bCs/>
                      <w:color w:val="auto"/>
                      <w:sz w:val="21"/>
                      <w:szCs w:val="21"/>
                      <w:highlight w:val="none"/>
                      <w:lang w:val="en-US" w:eastAsia="zh-CN"/>
                    </w:rPr>
                    <w:t>系统</w:t>
                  </w:r>
                </w:p>
              </w:tc>
              <w:tc>
                <w:tcPr>
                  <w:tcW w:w="767"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3套</w:t>
                  </w:r>
                </w:p>
              </w:tc>
              <w:tc>
                <w:tcPr>
                  <w:tcW w:w="860"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jc w:val="center"/>
                    <w:textAlignment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7</w:t>
                  </w:r>
                </w:p>
              </w:tc>
              <w:tc>
                <w:tcPr>
                  <w:tcW w:w="84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生活垃圾桶</w:t>
                  </w:r>
                </w:p>
              </w:tc>
              <w:tc>
                <w:tcPr>
                  <w:tcW w:w="768"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3个</w:t>
                  </w:r>
                </w:p>
              </w:tc>
              <w:tc>
                <w:tcPr>
                  <w:tcW w:w="623" w:type="pct"/>
                  <w:vAlign w:val="center"/>
                </w:tcPr>
                <w:p>
                  <w:pPr>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0.045</w:t>
                  </w:r>
                </w:p>
              </w:tc>
              <w:tc>
                <w:tcPr>
                  <w:tcW w:w="889"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生活垃圾桶</w:t>
                  </w:r>
                </w:p>
              </w:tc>
              <w:tc>
                <w:tcPr>
                  <w:tcW w:w="767"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3个</w:t>
                  </w:r>
                </w:p>
              </w:tc>
              <w:tc>
                <w:tcPr>
                  <w:tcW w:w="860"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合计</w:t>
                  </w:r>
                </w:p>
              </w:tc>
              <w:tc>
                <w:tcPr>
                  <w:tcW w:w="1391" w:type="pct"/>
                  <w:gridSpan w:val="2"/>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160.645</w:t>
                  </w:r>
                </w:p>
              </w:tc>
              <w:tc>
                <w:tcPr>
                  <w:tcW w:w="889"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合计</w:t>
                  </w:r>
                </w:p>
              </w:tc>
              <w:tc>
                <w:tcPr>
                  <w:tcW w:w="1627" w:type="pct"/>
                  <w:gridSpan w:val="2"/>
                  <w:vAlign w:val="center"/>
                </w:tcPr>
                <w:p>
                  <w:pPr>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196.02</w:t>
                  </w:r>
                </w:p>
              </w:tc>
            </w:tr>
          </w:tbl>
          <w:p>
            <w:pPr>
              <w:autoSpaceDE w:val="0"/>
              <w:autoSpaceDN w:val="0"/>
              <w:adjustRightInd w:val="0"/>
              <w:spacing w:line="360" w:lineRule="auto"/>
              <w:ind w:firstLine="474" w:firstLineChars="197"/>
              <w:rPr>
                <w:rFonts w:hint="default" w:ascii="Times New Roman" w:hAnsi="宋体" w:eastAsia="宋体" w:cs="Times New Roman"/>
                <w:b/>
                <w:bCs/>
                <w:color w:val="auto"/>
                <w:sz w:val="24"/>
                <w:highlight w:val="none"/>
                <w:lang w:val="en-US" w:eastAsia="zh-CN"/>
              </w:rPr>
            </w:pPr>
            <w:r>
              <w:rPr>
                <w:rFonts w:hint="eastAsia" w:hAnsi="宋体" w:cs="Times New Roman"/>
                <w:b/>
                <w:bCs/>
                <w:color w:val="auto"/>
                <w:sz w:val="24"/>
                <w:highlight w:val="none"/>
                <w:lang w:val="en-US" w:eastAsia="zh-CN"/>
              </w:rPr>
              <w:t>11、水量平衡变动情况分析</w:t>
            </w:r>
          </w:p>
          <w:p>
            <w:pPr>
              <w:autoSpaceDE w:val="0"/>
              <w:autoSpaceDN w:val="0"/>
              <w:adjustRightInd w:val="0"/>
              <w:spacing w:line="360" w:lineRule="auto"/>
              <w:ind w:firstLine="474" w:firstLineChars="197"/>
              <w:rPr>
                <w:rFonts w:hint="eastAsia" w:ascii="Times New Roman" w:hAnsi="宋体" w:eastAsia="宋体" w:cs="Times New Roman"/>
                <w:b/>
                <w:bCs/>
                <w:color w:val="auto"/>
                <w:sz w:val="24"/>
                <w:highlight w:val="none"/>
                <w:lang w:val="en-US" w:eastAsia="zh-CN"/>
              </w:rPr>
            </w:pPr>
            <w:r>
              <w:rPr>
                <w:rFonts w:hint="eastAsia" w:hAnsi="宋体" w:cs="Times New Roman"/>
                <w:b/>
                <w:bCs/>
                <w:color w:val="auto"/>
                <w:sz w:val="24"/>
                <w:highlight w:val="none"/>
                <w:lang w:val="en-US" w:eastAsia="zh-CN"/>
              </w:rPr>
              <w:t>（1）</w:t>
            </w:r>
            <w:r>
              <w:rPr>
                <w:rFonts w:hint="eastAsia" w:ascii="Times New Roman" w:hAnsi="宋体" w:eastAsia="宋体" w:cs="Times New Roman"/>
                <w:b/>
                <w:bCs/>
                <w:color w:val="auto"/>
                <w:sz w:val="24"/>
                <w:highlight w:val="none"/>
                <w:lang w:val="en-US" w:eastAsia="zh-CN"/>
              </w:rPr>
              <w:t>变动前水量平衡</w:t>
            </w:r>
          </w:p>
          <w:p>
            <w:pPr>
              <w:autoSpaceDE w:val="0"/>
              <w:autoSpaceDN w:val="0"/>
              <w:adjustRightInd w:val="0"/>
              <w:spacing w:line="360" w:lineRule="auto"/>
              <w:jc w:val="center"/>
              <w:rPr>
                <w:rFonts w:hint="eastAsia" w:ascii="Times New Roman" w:hAnsi="宋体" w:eastAsia="宋体" w:cs="Times New Roman"/>
                <w:color w:val="auto"/>
                <w:sz w:val="24"/>
                <w:highlight w:val="none"/>
                <w:lang w:val="en-US" w:eastAsia="zh-CN"/>
              </w:rPr>
            </w:pPr>
            <w:r>
              <w:rPr>
                <w:color w:val="auto"/>
                <w:highlight w:val="none"/>
              </w:rPr>
              <w:object>
                <v:shape id="_x0000_i1025" o:spt="75" type="#_x0000_t75" style="height:426pt;width:397.5pt;" o:ole="t" filled="f" o:preferrelative="t" stroked="f" coordsize="21600,21600">
                  <v:path/>
                  <v:fill on="f" focussize="0,0"/>
                  <v:stroke on="f"/>
                  <v:imagedata r:id="rId34" o:title=""/>
                  <o:lock v:ext="edit" aspectratio="t"/>
                  <w10:wrap type="none"/>
                  <w10:anchorlock/>
                </v:shape>
                <o:OLEObject Type="Embed" ProgID="Visio.Drawing.11" ShapeID="_x0000_i1025" DrawAspect="Content" ObjectID="_1468075725" r:id="rId33">
                  <o:LockedField>false</o:LockedField>
                </o:OLEObject>
              </w:object>
            </w:r>
          </w:p>
          <w:p>
            <w:pPr>
              <w:pStyle w:val="98"/>
              <w:bidi w:val="0"/>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图2-1</w:t>
            </w:r>
            <w:r>
              <w:rPr>
                <w:rFonts w:hint="eastAsia" w:eastAsia="宋体" w:cs="Times New Roman"/>
                <w:b/>
                <w:color w:val="auto"/>
                <w:kern w:val="2"/>
                <w:sz w:val="21"/>
                <w:szCs w:val="21"/>
                <w:highlight w:val="none"/>
                <w:lang w:val="en-US" w:eastAsia="zh-CN" w:bidi="ar-SA"/>
              </w:rPr>
              <w:t>变动前项目</w:t>
            </w:r>
            <w:r>
              <w:rPr>
                <w:rFonts w:hint="eastAsia" w:ascii="Times New Roman" w:hAnsi="Times New Roman" w:eastAsia="宋体" w:cs="Times New Roman"/>
                <w:b/>
                <w:color w:val="auto"/>
                <w:kern w:val="2"/>
                <w:sz w:val="21"/>
                <w:szCs w:val="21"/>
                <w:highlight w:val="none"/>
                <w:lang w:val="en-US" w:eastAsia="zh-CN" w:bidi="ar-SA"/>
              </w:rPr>
              <w:t>水平衡图（单位m</w:t>
            </w:r>
            <w:r>
              <w:rPr>
                <w:rFonts w:hint="default" w:ascii="Times New Roman" w:hAnsi="Times New Roman" w:eastAsia="宋体" w:cs="Times New Roman"/>
                <w:b/>
                <w:color w:val="auto"/>
                <w:kern w:val="2"/>
                <w:sz w:val="21"/>
                <w:szCs w:val="21"/>
                <w:highlight w:val="none"/>
                <w:lang w:val="en-US" w:eastAsia="zh-CN" w:bidi="ar-SA"/>
              </w:rPr>
              <w:t>³</w:t>
            </w:r>
            <w:r>
              <w:rPr>
                <w:rFonts w:hint="eastAsia" w:ascii="Times New Roman" w:hAnsi="Times New Roman" w:eastAsia="宋体" w:cs="Times New Roman"/>
                <w:b/>
                <w:color w:val="auto"/>
                <w:kern w:val="2"/>
                <w:sz w:val="21"/>
                <w:szCs w:val="21"/>
                <w:highlight w:val="none"/>
                <w:lang w:val="en-US" w:eastAsia="zh-CN" w:bidi="ar-SA"/>
              </w:rPr>
              <w:t>/d）</w:t>
            </w:r>
          </w:p>
          <w:p>
            <w:pPr>
              <w:autoSpaceDE w:val="0"/>
              <w:autoSpaceDN w:val="0"/>
              <w:adjustRightInd w:val="0"/>
              <w:spacing w:line="360" w:lineRule="auto"/>
              <w:ind w:firstLine="474" w:firstLineChars="197"/>
              <w:rPr>
                <w:rFonts w:hint="eastAsia" w:ascii="Times New Roman" w:hAnsi="宋体" w:eastAsia="宋体" w:cs="Times New Roman"/>
                <w:b/>
                <w:bCs/>
                <w:color w:val="auto"/>
                <w:sz w:val="24"/>
                <w:highlight w:val="none"/>
                <w:lang w:val="en-US" w:eastAsia="zh-CN"/>
              </w:rPr>
            </w:pPr>
            <w:r>
              <w:rPr>
                <w:rFonts w:hint="eastAsia" w:hAnsi="宋体" w:cs="Times New Roman"/>
                <w:b/>
                <w:bCs/>
                <w:color w:val="auto"/>
                <w:sz w:val="24"/>
                <w:highlight w:val="none"/>
                <w:lang w:val="en-US" w:eastAsia="zh-CN"/>
              </w:rPr>
              <w:t>（2）</w:t>
            </w:r>
            <w:r>
              <w:rPr>
                <w:rFonts w:hint="eastAsia" w:ascii="Times New Roman" w:hAnsi="宋体" w:eastAsia="宋体" w:cs="Times New Roman"/>
                <w:b/>
                <w:bCs/>
                <w:color w:val="auto"/>
                <w:sz w:val="24"/>
                <w:highlight w:val="none"/>
                <w:lang w:val="en-US" w:eastAsia="zh-CN"/>
              </w:rPr>
              <w:t>变动</w:t>
            </w:r>
            <w:r>
              <w:rPr>
                <w:rFonts w:hint="eastAsia" w:hAnsi="宋体" w:cs="Times New Roman"/>
                <w:b/>
                <w:bCs/>
                <w:color w:val="auto"/>
                <w:sz w:val="24"/>
                <w:highlight w:val="none"/>
                <w:lang w:val="en-US" w:eastAsia="zh-CN"/>
              </w:rPr>
              <w:t>后</w:t>
            </w:r>
            <w:r>
              <w:rPr>
                <w:rFonts w:hint="eastAsia" w:ascii="Times New Roman" w:hAnsi="宋体" w:eastAsia="宋体" w:cs="Times New Roman"/>
                <w:b/>
                <w:bCs/>
                <w:color w:val="auto"/>
                <w:sz w:val="24"/>
                <w:highlight w:val="none"/>
                <w:lang w:val="en-US" w:eastAsia="zh-CN"/>
              </w:rPr>
              <w:t>水量平衡</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根据下文第四章节中废水污染物源强核算，本项目用排水情况如下：</w:t>
            </w:r>
          </w:p>
          <w:p>
            <w:pPr>
              <w:autoSpaceDE w:val="0"/>
              <w:autoSpaceDN w:val="0"/>
              <w:adjustRightInd w:val="0"/>
              <w:spacing w:line="360" w:lineRule="auto"/>
              <w:ind w:firstLine="472" w:firstLineChars="197"/>
              <w:rPr>
                <w:rFonts w:hint="default"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海大供热锅炉：新鲜水用水量213246t/a，646.2</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/d，产生的软化处理废水4156.2t/a，12.6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/d；锅炉排污水量11097.4t/a，33.6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w:t>
            </w:r>
          </w:p>
          <w:p>
            <w:pPr>
              <w:autoSpaceDE w:val="0"/>
              <w:autoSpaceDN w:val="0"/>
              <w:adjustRightInd w:val="0"/>
              <w:spacing w:line="360" w:lineRule="auto"/>
              <w:ind w:firstLine="472" w:firstLineChars="197"/>
              <w:rPr>
                <w:rFonts w:hint="default"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特驱供热锅炉：新鲜水用水量221694t/a，671.8</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/d，产生的软化处理废水4295.9t/a，13</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/d；锅炉排污水量11470.5t/a，34.8</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w:t>
            </w:r>
          </w:p>
          <w:p>
            <w:pPr>
              <w:autoSpaceDE w:val="0"/>
              <w:autoSpaceDN w:val="0"/>
              <w:adjustRightInd w:val="0"/>
              <w:spacing w:line="360" w:lineRule="auto"/>
              <w:ind w:firstLine="472" w:firstLineChars="197"/>
              <w:rPr>
                <w:rFonts w:hint="default"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漓源供热锅炉：新鲜水用水量17028t/a，51.6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/d，产生的软化处理废水656.4t/a，1.0</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/d；锅炉排污水量1752.6t/a，2.6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员工生活：用水量99t/a，0.3</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/d，其中海大供热点及特驱供热点用水量79.2t/a，0.24</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/d，污水量63.36t/a，0.192</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/d。漓源供热点用水量19.8t/a，0.06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/d，污水量15.84t/a，0.048</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本项目</w:t>
            </w:r>
            <w:r>
              <w:rPr>
                <w:rFonts w:hint="eastAsia" w:ascii="Times New Roman" w:hAnsi="宋体" w:eastAsia="宋体" w:cs="Times New Roman"/>
                <w:color w:val="auto"/>
                <w:sz w:val="24"/>
                <w:highlight w:val="none"/>
                <w:lang w:val="en-US" w:eastAsia="zh-CN"/>
              </w:rPr>
              <w:t>水量平衡图见图</w:t>
            </w:r>
            <w:r>
              <w:rPr>
                <w:rFonts w:hint="eastAsia" w:hAnsi="宋体" w:cs="Times New Roman"/>
                <w:color w:val="auto"/>
                <w:sz w:val="24"/>
                <w:highlight w:val="none"/>
                <w:lang w:val="en-US" w:eastAsia="zh-CN"/>
              </w:rPr>
              <w:t>2-1</w:t>
            </w:r>
            <w:r>
              <w:rPr>
                <w:rFonts w:hint="eastAsia" w:ascii="Times New Roman" w:hAnsi="宋体" w:eastAsia="宋体" w:cs="Times New Roman"/>
                <w:color w:val="auto"/>
                <w:sz w:val="24"/>
                <w:highlight w:val="none"/>
                <w:lang w:val="en-US" w:eastAsia="zh-CN"/>
              </w:rPr>
              <w:t>所示。</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b/>
                <w:color w:val="auto"/>
                <w:szCs w:val="21"/>
                <w:highlight w:val="none"/>
                <w:lang w:val="en-US" w:eastAsia="zh-CN"/>
              </w:rPr>
            </w:pPr>
            <w:r>
              <w:rPr>
                <w:color w:val="auto"/>
                <w:highlight w:val="none"/>
              </w:rPr>
              <w:object>
                <v:shape id="_x0000_i1026" o:spt="75" type="#_x0000_t75" style="height:426pt;width:397.5pt;" o:ole="t" filled="f" o:preferrelative="t" stroked="f" coordsize="21600,21600">
                  <v:path/>
                  <v:fill on="f" focussize="0,0"/>
                  <v:stroke on="f"/>
                  <v:imagedata r:id="rId36" o:title=""/>
                  <o:lock v:ext="edit" aspectratio="t"/>
                  <w10:wrap type="none"/>
                  <w10:anchorlock/>
                </v:shape>
                <o:OLEObject Type="Embed" ProgID="Visio.Drawing.11" ShapeID="_x0000_i1026" DrawAspect="Content" ObjectID="_1468075726" r:id="rId35">
                  <o:LockedField>false</o:LockedField>
                </o:OLEObject>
              </w:object>
            </w:r>
          </w:p>
          <w:p>
            <w:pPr>
              <w:pStyle w:val="9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color w:val="auto"/>
                <w:kern w:val="2"/>
                <w:sz w:val="21"/>
                <w:szCs w:val="21"/>
                <w:highlight w:val="none"/>
                <w:lang w:val="en-US" w:eastAsia="zh-CN" w:bidi="ar-SA"/>
              </w:rPr>
              <w:t>图2-</w:t>
            </w:r>
            <w:r>
              <w:rPr>
                <w:rFonts w:hint="eastAsia" w:eastAsia="宋体" w:cs="Times New Roman"/>
                <w:b/>
                <w:color w:val="auto"/>
                <w:kern w:val="2"/>
                <w:sz w:val="21"/>
                <w:szCs w:val="21"/>
                <w:highlight w:val="none"/>
                <w:lang w:val="en-US" w:eastAsia="zh-CN" w:bidi="ar-SA"/>
              </w:rPr>
              <w:t>2变动后</w:t>
            </w:r>
            <w:r>
              <w:rPr>
                <w:rFonts w:hint="eastAsia" w:ascii="Times New Roman" w:hAnsi="Times New Roman" w:eastAsia="宋体" w:cs="Times New Roman"/>
                <w:b/>
                <w:color w:val="auto"/>
                <w:kern w:val="2"/>
                <w:sz w:val="21"/>
                <w:szCs w:val="21"/>
                <w:highlight w:val="none"/>
                <w:lang w:val="en-US" w:eastAsia="zh-CN" w:bidi="ar-SA"/>
              </w:rPr>
              <w:t>项目水平衡图（单位m</w:t>
            </w:r>
            <w:r>
              <w:rPr>
                <w:rFonts w:hint="default" w:ascii="Times New Roman" w:hAnsi="Times New Roman" w:eastAsia="宋体" w:cs="Times New Roman"/>
                <w:b/>
                <w:color w:val="auto"/>
                <w:kern w:val="2"/>
                <w:sz w:val="21"/>
                <w:szCs w:val="21"/>
                <w:highlight w:val="none"/>
                <w:lang w:val="en-US" w:eastAsia="zh-CN" w:bidi="ar-SA"/>
              </w:rPr>
              <w:t>³</w:t>
            </w:r>
            <w:r>
              <w:rPr>
                <w:rFonts w:hint="eastAsia" w:ascii="Times New Roman" w:hAnsi="Times New Roman" w:eastAsia="宋体" w:cs="Times New Roman"/>
                <w:b/>
                <w:color w:val="auto"/>
                <w:kern w:val="2"/>
                <w:sz w:val="21"/>
                <w:szCs w:val="21"/>
                <w:highlight w:val="none"/>
                <w:lang w:val="en-US" w:eastAsia="zh-CN" w:bidi="ar-SA"/>
              </w:rPr>
              <w:t>/d）</w:t>
            </w:r>
          </w:p>
          <w:p>
            <w:pPr>
              <w:keepNext w:val="0"/>
              <w:keepLines w:val="0"/>
              <w:pageBreakBefore w:val="0"/>
              <w:kinsoku/>
              <w:wordWrap/>
              <w:overflowPunct/>
              <w:topLinePunct w:val="0"/>
              <w:autoSpaceDE w:val="0"/>
              <w:autoSpaceDN w:val="0"/>
              <w:bidi w:val="0"/>
              <w:snapToGrid/>
              <w:spacing w:line="360" w:lineRule="auto"/>
              <w:ind w:firstLine="420" w:firstLineChars="200"/>
              <w:textAlignment w:val="auto"/>
              <w:rPr>
                <w:rFonts w:hint="default" w:ascii="Times New Roman" w:hAnsi="Times New Roman" w:eastAsia="宋体" w:cs="Times New Roman"/>
                <w:bCs/>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4" w:type="dxa"/>
            <w:noWrap w:val="0"/>
            <w:vAlign w:val="center"/>
          </w:tcPr>
          <w:p>
            <w:pPr>
              <w:pStyle w:val="25"/>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工艺流程和产排污环节</w:t>
            </w:r>
          </w:p>
        </w:tc>
        <w:tc>
          <w:tcPr>
            <w:tcW w:w="9003" w:type="dxa"/>
            <w:noWrap w:val="0"/>
            <w:vAlign w:val="top"/>
          </w:tcPr>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1" w:firstLineChars="200"/>
              <w:textAlignment w:val="auto"/>
              <w:rPr>
                <w:rFonts w:hint="eastAsia"/>
                <w:b/>
                <w:color w:val="auto"/>
                <w:sz w:val="24"/>
                <w:szCs w:val="24"/>
                <w:highlight w:val="none"/>
                <w:lang w:val="en-US" w:eastAsia="zh-CN"/>
              </w:rPr>
            </w:pPr>
            <w:r>
              <w:rPr>
                <w:rFonts w:hint="eastAsia"/>
                <w:b/>
                <w:color w:val="auto"/>
                <w:sz w:val="24"/>
                <w:szCs w:val="24"/>
                <w:highlight w:val="none"/>
                <w:lang w:val="en-US" w:eastAsia="zh-CN"/>
              </w:rPr>
              <w:t>一、施工期工艺流程和产排污环节</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本项目施工期主要以锅炉设备及配套除尘设施安装为主，不涉及土建工程。施工期产生的污染物主要是运输车辆尾气、施工器械燃油废气、施工人员生活污水、施工器械及运输车辆噪声。</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施工期施工流程及各阶段产污环节见</w:t>
            </w:r>
            <w:r>
              <w:rPr>
                <w:rFonts w:hint="eastAsia" w:cs="Times New Roman"/>
                <w:color w:val="auto"/>
                <w:sz w:val="24"/>
                <w:szCs w:val="24"/>
                <w:highlight w:val="none"/>
                <w:lang w:val="en-US" w:eastAsia="zh-CN"/>
              </w:rPr>
              <w:t>下图</w:t>
            </w:r>
            <w:r>
              <w:rPr>
                <w:rFonts w:hint="eastAsia" w:ascii="Times New Roman" w:hAnsi="Times New Roman" w:eastAsia="宋体" w:cs="Times New Roman"/>
                <w:color w:val="auto"/>
                <w:sz w:val="24"/>
                <w:szCs w:val="24"/>
                <w:highlight w:val="none"/>
                <w:lang w:val="en-US" w:eastAsia="zh-CN"/>
              </w:rPr>
              <w:t>。</w:t>
            </w:r>
          </w:p>
          <w:p>
            <w:pPr>
              <w:pStyle w:val="49"/>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3052445" cy="3085465"/>
                  <wp:effectExtent l="0" t="0" r="0" b="0"/>
                  <wp:docPr id="2" name="ECB019B1-382A-4266-B25C-5B523AA43C14-1" descr="C:/Users/ASUS/AppData/Local/Temp/wps.aqRfCB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ECB019B1-382A-4266-B25C-5B523AA43C14-1" descr="C:/Users/ASUS/AppData/Local/Temp/wps.aqRfCBwps"/>
                          <pic:cNvPicPr>
                            <a:picLocks noChangeAspect="true"/>
                          </pic:cNvPicPr>
                        </pic:nvPicPr>
                        <pic:blipFill>
                          <a:blip r:embed="rId37"/>
                          <a:stretch>
                            <a:fillRect/>
                          </a:stretch>
                        </pic:blipFill>
                        <pic:spPr>
                          <a:xfrm>
                            <a:off x="0" y="0"/>
                            <a:ext cx="3052445" cy="3085465"/>
                          </a:xfrm>
                          <a:prstGeom prst="rect">
                            <a:avLst/>
                          </a:prstGeom>
                        </pic:spPr>
                      </pic:pic>
                    </a:graphicData>
                  </a:graphic>
                </wp:inline>
              </w:drawing>
            </w:r>
          </w:p>
          <w:p>
            <w:pPr>
              <w:pStyle w:val="98"/>
              <w:bidi w:val="0"/>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图2-</w:t>
            </w:r>
            <w:r>
              <w:rPr>
                <w:rFonts w:hint="eastAsia" w:eastAsia="宋体" w:cs="Times New Roman"/>
                <w:b/>
                <w:color w:val="auto"/>
                <w:kern w:val="2"/>
                <w:sz w:val="21"/>
                <w:szCs w:val="21"/>
                <w:highlight w:val="none"/>
                <w:lang w:val="en-US" w:eastAsia="zh-CN" w:bidi="ar-SA"/>
              </w:rPr>
              <w:t>3</w:t>
            </w:r>
            <w:r>
              <w:rPr>
                <w:rFonts w:hint="eastAsia" w:ascii="Times New Roman" w:hAnsi="Times New Roman" w:eastAsia="宋体" w:cs="Times New Roman"/>
                <w:b/>
                <w:color w:val="auto"/>
                <w:kern w:val="2"/>
                <w:sz w:val="21"/>
                <w:szCs w:val="21"/>
                <w:highlight w:val="none"/>
                <w:lang w:val="en-US" w:eastAsia="zh-CN" w:bidi="ar-SA"/>
              </w:rPr>
              <w:t>施工期工艺流程及产污节点图</w:t>
            </w:r>
          </w:p>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1" w:firstLineChars="200"/>
              <w:textAlignment w:val="auto"/>
              <w:rPr>
                <w:rFonts w:hint="eastAsia"/>
                <w:b/>
                <w:color w:val="auto"/>
                <w:sz w:val="24"/>
                <w:szCs w:val="24"/>
                <w:highlight w:val="none"/>
                <w:lang w:val="en-US" w:eastAsia="zh-CN"/>
              </w:rPr>
            </w:pPr>
            <w:r>
              <w:rPr>
                <w:rFonts w:hint="eastAsia"/>
                <w:b/>
                <w:color w:val="auto"/>
                <w:sz w:val="24"/>
                <w:szCs w:val="24"/>
                <w:highlight w:val="none"/>
                <w:lang w:val="en-US" w:eastAsia="zh-CN"/>
              </w:rPr>
              <w:t>二、运营期工艺流程和产排污环节</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1、工艺流程及产排污环节</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项目运营期工艺流程和产排污环节见图2-</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w:t>
            </w:r>
          </w:p>
          <w:p>
            <w:pPr>
              <w:adjustRightInd w:val="0"/>
              <w:snapToGrid w:val="0"/>
              <w:spacing w:line="360" w:lineRule="auto"/>
              <w:jc w:val="center"/>
              <w:rPr>
                <w:rFonts w:hint="eastAsia"/>
                <w:b/>
                <w:color w:val="auto"/>
                <w:szCs w:val="21"/>
                <w:highlight w:val="none"/>
                <w:lang w:val="en-US" w:eastAsia="zh-CN"/>
              </w:rPr>
            </w:pPr>
            <w:r>
              <w:rPr>
                <w:rFonts w:hint="eastAsia"/>
                <w:b/>
                <w:color w:val="auto"/>
                <w:szCs w:val="21"/>
                <w:highlight w:val="none"/>
                <w:lang w:val="en-US" w:eastAsia="zh-CN"/>
              </w:rPr>
              <w:object>
                <v:shape id="_x0000_i1027" o:spt="75" type="#_x0000_t75" style="height:307.9pt;width:445pt;" o:ole="t" filled="f" o:preferrelative="t" stroked="f" coordsize="21600,21600">
                  <v:path/>
                  <v:fill on="f" focussize="0,0"/>
                  <v:stroke on="f"/>
                  <v:imagedata r:id="rId39" o:title=""/>
                  <o:lock v:ext="edit" aspectratio="f"/>
                  <w10:wrap type="none"/>
                  <w10:anchorlock/>
                </v:shape>
                <o:OLEObject Type="Embed" ProgID="Visio.Drawing.11" ShapeID="_x0000_i1027" DrawAspect="Content" ObjectID="_1468075727" r:id="rId38">
                  <o:LockedField>false</o:LockedField>
                </o:OLEObject>
              </w:object>
            </w:r>
          </w:p>
          <w:p>
            <w:pPr>
              <w:adjustRightInd w:val="0"/>
              <w:snapToGrid w:val="0"/>
              <w:spacing w:line="360" w:lineRule="auto"/>
              <w:jc w:val="center"/>
              <w:rPr>
                <w:rFonts w:hint="eastAsia"/>
                <w:b/>
                <w:color w:val="auto"/>
                <w:szCs w:val="21"/>
                <w:highlight w:val="none"/>
                <w:lang w:val="en-US" w:eastAsia="zh-CN"/>
              </w:rPr>
            </w:pPr>
            <w:r>
              <w:rPr>
                <w:rFonts w:hint="eastAsia"/>
                <w:b/>
                <w:color w:val="auto"/>
                <w:szCs w:val="21"/>
                <w:highlight w:val="none"/>
                <w:lang w:val="en-US" w:eastAsia="zh-CN"/>
              </w:rPr>
              <w:t>图2-4项目运营期工艺流程及产污节点图</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工艺流程简述：</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本项目蒸汽锅炉采用</w:t>
            </w:r>
            <w:r>
              <w:rPr>
                <w:rFonts w:hint="eastAsia" w:cs="Times New Roman"/>
                <w:b w:val="0"/>
                <w:bCs w:val="0"/>
                <w:color w:val="auto"/>
                <w:sz w:val="24"/>
                <w:szCs w:val="24"/>
                <w:highlight w:val="none"/>
                <w:lang w:val="en-US" w:eastAsia="zh-CN"/>
              </w:rPr>
              <w:t>固体生物质</w:t>
            </w:r>
            <w:r>
              <w:rPr>
                <w:rFonts w:hint="default" w:ascii="Times New Roman" w:hAnsi="Times New Roman" w:eastAsia="宋体" w:cs="Times New Roman"/>
                <w:b w:val="0"/>
                <w:bCs w:val="0"/>
                <w:color w:val="auto"/>
                <w:sz w:val="24"/>
                <w:szCs w:val="24"/>
                <w:highlight w:val="none"/>
                <w:lang w:val="en-US" w:eastAsia="zh-CN"/>
              </w:rPr>
              <w:t>作为燃料，由昆明腾元禾农林科技有限公司运输至项目</w:t>
            </w:r>
            <w:r>
              <w:rPr>
                <w:rFonts w:hint="eastAsia" w:cs="Times New Roman"/>
                <w:b w:val="0"/>
                <w:bCs w:val="0"/>
                <w:color w:val="auto"/>
                <w:sz w:val="24"/>
                <w:szCs w:val="24"/>
                <w:highlight w:val="none"/>
                <w:lang w:val="en-US" w:eastAsia="zh-CN"/>
              </w:rPr>
              <w:t>供热点</w:t>
            </w:r>
            <w:r>
              <w:rPr>
                <w:rFonts w:hint="default" w:ascii="Times New Roman" w:hAnsi="Times New Roman" w:eastAsia="宋体" w:cs="Times New Roman"/>
                <w:b w:val="0"/>
                <w:bCs w:val="0"/>
                <w:color w:val="auto"/>
                <w:sz w:val="24"/>
                <w:szCs w:val="24"/>
                <w:highlight w:val="none"/>
                <w:lang w:val="en-US" w:eastAsia="zh-CN"/>
              </w:rPr>
              <w:t>，经人工送至料仓，经过皮带运输机送至上料系统进入炉膛燃烧，自来水经过软水制备系统进行软化后供给锅炉，锅炉产生的蒸汽提供给企业。燃烧废气经过多管旋风除尘器+布袋除尘器处理后从烟囱排放。软水制备产生的废水及锅炉排污水经管道接入烟气蒸发器蒸发处理。蒸汽经供汽管道输送至用汽企业使用后，不回收，不建设蒸汽回收管道。</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、主要污染源与污染因子识别</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运营期</w:t>
            </w:r>
            <w:r>
              <w:rPr>
                <w:rFonts w:hint="eastAsia" w:ascii="Times New Roman" w:hAnsi="Times New Roman" w:eastAsia="宋体" w:cs="Times New Roman"/>
                <w:color w:val="auto"/>
                <w:sz w:val="24"/>
                <w:szCs w:val="24"/>
                <w:highlight w:val="none"/>
                <w:lang w:val="en-US" w:eastAsia="zh-CN"/>
              </w:rPr>
              <w:t>产生的污染物主要为</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锅炉</w:t>
            </w:r>
            <w:r>
              <w:rPr>
                <w:rFonts w:hint="eastAsia" w:cs="Times New Roman"/>
                <w:color w:val="auto"/>
                <w:sz w:val="24"/>
                <w:szCs w:val="24"/>
                <w:highlight w:val="none"/>
                <w:lang w:val="en-US" w:eastAsia="zh-CN"/>
              </w:rPr>
              <w:t>烟气、</w:t>
            </w:r>
            <w:r>
              <w:rPr>
                <w:rFonts w:hint="eastAsia" w:ascii="Times New Roman" w:hAnsi="Times New Roman" w:eastAsia="宋体" w:cs="Times New Roman"/>
                <w:color w:val="auto"/>
                <w:sz w:val="24"/>
                <w:szCs w:val="24"/>
                <w:highlight w:val="none"/>
                <w:lang w:val="en-US" w:eastAsia="zh-CN"/>
              </w:rPr>
              <w:t>无组织粉尘</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软水处理废水、锅炉</w:t>
            </w:r>
            <w:r>
              <w:rPr>
                <w:rFonts w:hint="eastAsia" w:cs="Times New Roman"/>
                <w:color w:val="auto"/>
                <w:sz w:val="24"/>
                <w:szCs w:val="24"/>
                <w:highlight w:val="none"/>
                <w:lang w:val="en-US" w:eastAsia="zh-CN"/>
              </w:rPr>
              <w:t>排污</w:t>
            </w:r>
            <w:r>
              <w:rPr>
                <w:rFonts w:hint="eastAsia" w:ascii="Times New Roman" w:hAnsi="Times New Roman" w:eastAsia="宋体" w:cs="Times New Roman"/>
                <w:color w:val="auto"/>
                <w:sz w:val="24"/>
                <w:szCs w:val="24"/>
                <w:highlight w:val="none"/>
                <w:lang w:val="en-US" w:eastAsia="zh-CN"/>
              </w:rPr>
              <w:t>水</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风机、泵体运作噪声，炉渣、除尘灰、生物质燃料废包装袋</w:t>
            </w:r>
            <w:r>
              <w:rPr>
                <w:rFonts w:hint="eastAsia" w:cs="Times New Roman"/>
                <w:color w:val="auto"/>
                <w:sz w:val="24"/>
                <w:szCs w:val="24"/>
                <w:highlight w:val="none"/>
                <w:lang w:val="en-US" w:eastAsia="zh-CN"/>
              </w:rPr>
              <w:t>、废弃</w:t>
            </w:r>
            <w:r>
              <w:rPr>
                <w:rFonts w:hint="eastAsia" w:ascii="Times New Roman" w:hAnsi="Times New Roman" w:eastAsia="宋体" w:cs="Times New Roman"/>
                <w:color w:val="auto"/>
                <w:sz w:val="24"/>
                <w:szCs w:val="24"/>
                <w:highlight w:val="none"/>
                <w:lang w:val="en-US" w:eastAsia="zh-CN"/>
              </w:rPr>
              <w:t>离子交换树脂。</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根据项目特点，项目营运期主要污染源与污染因子</w:t>
            </w:r>
            <w:r>
              <w:rPr>
                <w:rFonts w:hint="eastAsia" w:cs="Times New Roman"/>
                <w:color w:val="auto"/>
                <w:sz w:val="24"/>
                <w:szCs w:val="24"/>
                <w:highlight w:val="none"/>
                <w:lang w:val="en-US" w:eastAsia="zh-CN"/>
              </w:rPr>
              <w:t>识别</w:t>
            </w:r>
            <w:r>
              <w:rPr>
                <w:rFonts w:hint="eastAsia" w:ascii="Times New Roman" w:hAnsi="Times New Roman" w:eastAsia="宋体" w:cs="Times New Roman"/>
                <w:color w:val="auto"/>
                <w:sz w:val="24"/>
                <w:szCs w:val="24"/>
                <w:highlight w:val="none"/>
                <w:lang w:val="en-US" w:eastAsia="zh-CN"/>
              </w:rPr>
              <w:t>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11</w:t>
            </w:r>
            <w:r>
              <w:rPr>
                <w:rFonts w:hint="eastAsia" w:ascii="Times New Roman" w:hAnsi="Times New Roman" w:eastAsia="宋体" w:cs="Times New Roman"/>
                <w:b/>
                <w:bCs/>
                <w:color w:val="auto"/>
                <w:sz w:val="21"/>
                <w:szCs w:val="21"/>
                <w:highlight w:val="none"/>
                <w:lang w:val="en-US" w:eastAsia="zh-CN"/>
              </w:rPr>
              <w:t>项目营运期主要污染源与污染因子识别表</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0"/>
              <w:gridCol w:w="1532"/>
              <w:gridCol w:w="1771"/>
              <w:gridCol w:w="4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12" w:type="pct"/>
                  <w:gridSpan w:val="2"/>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类别</w:t>
                  </w:r>
                </w:p>
              </w:tc>
              <w:tc>
                <w:tcPr>
                  <w:tcW w:w="100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产污环节</w:t>
                  </w:r>
                </w:p>
              </w:tc>
              <w:tc>
                <w:tcPr>
                  <w:tcW w:w="2677"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污染物</w:t>
                  </w:r>
                </w:p>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（依据《排污许可证申请与核发技术规范锅炉》（HJ953-2018））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w:t>
                  </w:r>
                </w:p>
              </w:tc>
              <w:tc>
                <w:tcPr>
                  <w:tcW w:w="873"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锅炉烟气</w:t>
                  </w:r>
                </w:p>
              </w:tc>
              <w:tc>
                <w:tcPr>
                  <w:tcW w:w="100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生物质燃烧</w:t>
                  </w:r>
                </w:p>
              </w:tc>
              <w:tc>
                <w:tcPr>
                  <w:tcW w:w="2677"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颗粒物、二氧化硫、氮氧化物、烟气黑度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873"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粉尘</w:t>
                  </w:r>
                </w:p>
              </w:tc>
              <w:tc>
                <w:tcPr>
                  <w:tcW w:w="100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堆渣间</w:t>
                  </w:r>
                </w:p>
              </w:tc>
              <w:tc>
                <w:tcPr>
                  <w:tcW w:w="2677"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43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废水</w:t>
                  </w:r>
                </w:p>
              </w:tc>
              <w:tc>
                <w:tcPr>
                  <w:tcW w:w="873"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软水制备废水</w:t>
                  </w:r>
                </w:p>
              </w:tc>
              <w:tc>
                <w:tcPr>
                  <w:tcW w:w="100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软水制备</w:t>
                  </w:r>
                </w:p>
              </w:tc>
              <w:tc>
                <w:tcPr>
                  <w:tcW w:w="2677"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全盐量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73"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锅炉排污水</w:t>
                  </w:r>
                </w:p>
              </w:tc>
              <w:tc>
                <w:tcPr>
                  <w:tcW w:w="1009"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锅炉排污</w:t>
                  </w:r>
                </w:p>
              </w:tc>
              <w:tc>
                <w:tcPr>
                  <w:tcW w:w="2677"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pH、COD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873"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生活污水</w:t>
                  </w:r>
                </w:p>
              </w:tc>
              <w:tc>
                <w:tcPr>
                  <w:tcW w:w="100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员工洗手及冲厕</w:t>
                  </w:r>
                </w:p>
              </w:tc>
              <w:tc>
                <w:tcPr>
                  <w:tcW w:w="2677"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pH值、</w:t>
                  </w:r>
                  <w:r>
                    <w:rPr>
                      <w:rFonts w:hint="eastAsia" w:ascii="Times New Roman" w:cs="Times New Roman"/>
                      <w:b w:val="0"/>
                      <w:bCs w:val="0"/>
                      <w:color w:val="auto"/>
                      <w:sz w:val="21"/>
                      <w:szCs w:val="21"/>
                      <w:highlight w:val="none"/>
                      <w:lang w:val="en-US" w:eastAsia="zh-CN"/>
                    </w:rPr>
                    <w:t>COD</w:t>
                  </w:r>
                  <w:r>
                    <w:rPr>
                      <w:rFonts w:hint="eastAsia" w:ascii="Times New Roman" w:hAnsi="Times New Roman" w:eastAsia="宋体" w:cs="Times New Roman"/>
                      <w:b w:val="0"/>
                      <w:bCs w:val="0"/>
                      <w:color w:val="auto"/>
                      <w:sz w:val="21"/>
                      <w:szCs w:val="21"/>
                      <w:highlight w:val="none"/>
                      <w:lang w:val="en-US" w:eastAsia="zh-CN"/>
                    </w:rPr>
                    <w:t>、BOD</w:t>
                  </w:r>
                  <w:r>
                    <w:rPr>
                      <w:rFonts w:hint="eastAsia" w:ascii="Times New Roman" w:hAnsi="Times New Roman" w:eastAsia="宋体" w:cs="Times New Roman"/>
                      <w:b w:val="0"/>
                      <w:bCs w:val="0"/>
                      <w:color w:val="auto"/>
                      <w:sz w:val="21"/>
                      <w:szCs w:val="21"/>
                      <w:highlight w:val="none"/>
                      <w:vertAlign w:val="subscript"/>
                      <w:lang w:val="en-US" w:eastAsia="zh-CN"/>
                    </w:rPr>
                    <w:t>5</w:t>
                  </w:r>
                  <w:r>
                    <w:rPr>
                      <w:rFonts w:hint="eastAsia" w:ascii="Times New Roman" w:hAnsi="Times New Roman" w:eastAsia="宋体" w:cs="Times New Roman"/>
                      <w:b w:val="0"/>
                      <w:bCs w:val="0"/>
                      <w:color w:val="auto"/>
                      <w:sz w:val="21"/>
                      <w:szCs w:val="21"/>
                      <w:highlight w:val="none"/>
                      <w:lang w:val="en-US" w:eastAsia="zh-CN"/>
                    </w:rPr>
                    <w:t>、氨氮、总氮、</w:t>
                  </w:r>
                  <w:r>
                    <w:rPr>
                      <w:rFonts w:hint="eastAsia" w:ascii="Times New Roman" w:cs="Times New Roman"/>
                      <w:b w:val="0"/>
                      <w:bCs w:val="0"/>
                      <w:color w:val="auto"/>
                      <w:sz w:val="21"/>
                      <w:szCs w:val="21"/>
                      <w:highlight w:val="none"/>
                      <w:lang w:val="en-US" w:eastAsia="zh-CN"/>
                    </w:rPr>
                    <w:t>SS</w:t>
                  </w:r>
                  <w:r>
                    <w:rPr>
                      <w:rFonts w:hint="eastAsia" w:ascii="Times New Roman" w:hAnsi="Times New Roman" w:eastAsia="宋体" w:cs="Times New Roman"/>
                      <w:b w:val="0"/>
                      <w:bCs w:val="0"/>
                      <w:color w:val="auto"/>
                      <w:sz w:val="21"/>
                      <w:szCs w:val="21"/>
                      <w:highlight w:val="none"/>
                      <w:lang w:val="en-US" w:eastAsia="zh-CN"/>
                    </w:rPr>
                    <w:t>、总磷、动植物油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w:t>
                  </w:r>
                </w:p>
              </w:tc>
              <w:tc>
                <w:tcPr>
                  <w:tcW w:w="1882" w:type="pct"/>
                  <w:gridSpan w:val="2"/>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生产设备</w:t>
                  </w:r>
                </w:p>
              </w:tc>
              <w:tc>
                <w:tcPr>
                  <w:tcW w:w="2677"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43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固体废物</w:t>
                  </w:r>
                </w:p>
              </w:tc>
              <w:tc>
                <w:tcPr>
                  <w:tcW w:w="873"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一般固废</w:t>
                  </w:r>
                </w:p>
              </w:tc>
              <w:tc>
                <w:tcPr>
                  <w:tcW w:w="100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w:t>
                  </w:r>
                </w:p>
              </w:tc>
              <w:tc>
                <w:tcPr>
                  <w:tcW w:w="2677"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生活垃圾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73"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100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软水制备</w:t>
                  </w:r>
                </w:p>
              </w:tc>
              <w:tc>
                <w:tcPr>
                  <w:tcW w:w="2677"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废弃离子交换树脂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pPr>
                    <w:pStyle w:val="49"/>
                    <w:bidi w:val="0"/>
                    <w:ind w:left="0" w:leftChars="0" w:firstLine="0" w:firstLineChars="0"/>
                    <w:jc w:val="center"/>
                    <w:rPr>
                      <w:color w:val="auto"/>
                      <w:highlight w:val="none"/>
                    </w:rPr>
                  </w:pPr>
                </w:p>
              </w:tc>
              <w:tc>
                <w:tcPr>
                  <w:tcW w:w="873"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100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生物质燃烧</w:t>
                  </w:r>
                </w:p>
              </w:tc>
              <w:tc>
                <w:tcPr>
                  <w:tcW w:w="2677"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炉渣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873"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100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烟气除尘</w:t>
                  </w:r>
                </w:p>
              </w:tc>
              <w:tc>
                <w:tcPr>
                  <w:tcW w:w="2677"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439"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873"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100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燃料包装</w:t>
                  </w:r>
                </w:p>
              </w:tc>
              <w:tc>
                <w:tcPr>
                  <w:tcW w:w="2677"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生物质燃料废包装袋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873"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危险废物</w:t>
                  </w:r>
                </w:p>
              </w:tc>
              <w:tc>
                <w:tcPr>
                  <w:tcW w:w="100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设备维修</w:t>
                  </w:r>
                </w:p>
              </w:tc>
              <w:tc>
                <w:tcPr>
                  <w:tcW w:w="2677"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废机油</w:t>
                  </w:r>
                </w:p>
              </w:tc>
            </w:tr>
          </w:tbl>
          <w:p>
            <w:pPr>
              <w:keepNext w:val="0"/>
              <w:keepLines w:val="0"/>
              <w:pageBreakBefore w:val="0"/>
              <w:numPr>
                <w:ilvl w:val="0"/>
                <w:numId w:val="0"/>
              </w:numPr>
              <w:kinsoku/>
              <w:wordWrap/>
              <w:overflowPunct/>
              <w:topLinePunct w:val="0"/>
              <w:autoSpaceDE w:val="0"/>
              <w:autoSpaceDN w:val="0"/>
              <w:bidi w:val="0"/>
              <w:snapToGrid/>
              <w:spacing w:line="360" w:lineRule="auto"/>
              <w:ind w:firstLine="420" w:firstLineChars="200"/>
              <w:textAlignment w:val="auto"/>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4" w:type="dxa"/>
            <w:noWrap w:val="0"/>
            <w:vAlign w:val="center"/>
          </w:tcPr>
          <w:p>
            <w:pPr>
              <w:pStyle w:val="25"/>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kern w:val="2"/>
                <w:sz w:val="24"/>
                <w:szCs w:val="24"/>
                <w:highlight w:val="none"/>
              </w:rPr>
              <w:t>与项目有关的原有环境污染问题</w:t>
            </w:r>
          </w:p>
        </w:tc>
        <w:tc>
          <w:tcPr>
            <w:tcW w:w="9003" w:type="dxa"/>
            <w:noWrap w:val="0"/>
            <w:vAlign w:val="top"/>
          </w:tcPr>
          <w:p>
            <w:pPr>
              <w:keepNext w:val="0"/>
              <w:keepLines w:val="0"/>
              <w:pageBreakBefore w:val="0"/>
              <w:widowControl w:val="0"/>
              <w:kinsoku/>
              <w:wordWrap/>
              <w:overflowPunct/>
              <w:topLinePunct w:val="0"/>
              <w:bidi w:val="0"/>
              <w:adjustRightInd/>
              <w:snapToGrid/>
              <w:spacing w:line="360" w:lineRule="auto"/>
              <w:ind w:firstLine="457" w:firstLineChars="200"/>
              <w:textAlignment w:val="auto"/>
              <w:rPr>
                <w:rFonts w:hint="eastAsia"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1、原项目回顾性分析</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项目在生产建设过程中，由于锅炉装机容量发生变化，随即原辅材料的使用量发生了较大变化，因此需要重新报批环评。原项目已取得环评批复、排污许可证，但未组织竣工验收，本次变更后一并完善。项目自投入运营以来，未发生因环保问题引起的投诉。</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现有项目已于2022年9月14日取得昆明市生态环境局宜良分局文件宜生环〔2022〕55号关于对《宜良工业园区生物质绿色可再生能源分布式集中供热项目环境影响报告表》的批复。于2022年11月15日取得排污许可证，证书编号：91530125MA6Q6XB8XL001V。</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default"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本项目现已建设完成4台锅炉及配套设施，并投入运行，尚未验收。现状已在海大供热点建设一台4t/h锅炉和一台6t/h锅炉，于2023年4月投运；特驱供热点建设一台6t/h锅炉，于2023年4月投运；漓源供热点建设一台4t/h锅炉，于2023年9月投运。与项目有关的原有环境污染问题主要是现已建成并投运的4台锅炉产生的环境污染。为了解现已投运的4台锅炉污染排放情况，现对4台锅炉污染物实际排放及治理情况进行回顾性分析。</w:t>
            </w:r>
          </w:p>
          <w:p>
            <w:pPr>
              <w:keepNext w:val="0"/>
              <w:keepLines w:val="0"/>
              <w:pageBreakBefore w:val="0"/>
              <w:widowControl w:val="0"/>
              <w:kinsoku/>
              <w:wordWrap/>
              <w:overflowPunct/>
              <w:topLinePunct w:val="0"/>
              <w:bidi w:val="0"/>
              <w:adjustRightInd/>
              <w:snapToGrid/>
              <w:spacing w:line="360" w:lineRule="auto"/>
              <w:ind w:firstLine="457" w:firstLineChars="200"/>
              <w:textAlignment w:val="auto"/>
              <w:rPr>
                <w:rFonts w:hint="eastAsia"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2、变更前污染源强及治理措施</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变更前，项目主要的污染源为锅炉烟气、无组织粉尘、锅炉废水、软水制备废水、生活污水、噪声、锅炉灰渣、除尘器收集粉尘、废离子交换树脂、废机油等。本项目变更前，投运工程已落实了相应的防范治理措施，未收到环保方面的投诉，对周围环境影响不大。</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项目变更前，原环评核算的各污染物产生及排放情况见下表。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2-12变更前原环评核算的项目污染源强汇总一览表</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622"/>
              <w:gridCol w:w="835"/>
              <w:gridCol w:w="1046"/>
              <w:gridCol w:w="1214"/>
              <w:gridCol w:w="1004"/>
              <w:gridCol w:w="1452"/>
              <w:gridCol w:w="1084"/>
              <w:gridCol w:w="1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供热点</w:t>
                  </w:r>
                </w:p>
              </w:tc>
              <w:tc>
                <w:tcPr>
                  <w:tcW w:w="439"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类型</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污染源</w:t>
                  </w: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污染因子</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产生量</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排放量</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排放浓度</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排放标准</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污染治理措施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海大供热点</w:t>
                  </w:r>
                </w:p>
              </w:tc>
              <w:tc>
                <w:tcPr>
                  <w:tcW w:w="439"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default" w:ascii="Times New Roman" w:cs="Times New Roman"/>
                      <w:color w:val="auto"/>
                      <w:highlight w:val="none"/>
                      <w:lang w:val="en-US" w:eastAsia="zh-CN"/>
                    </w:rPr>
                    <w:t>废气</w:t>
                  </w:r>
                </w:p>
              </w:tc>
              <w:tc>
                <w:tcPr>
                  <w:tcW w:w="546"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DA001</w:t>
                  </w:r>
                  <w:r>
                    <w:rPr>
                      <w:rFonts w:hint="eastAsia" w:ascii="Times New Roman" w:cs="Times New Roman"/>
                      <w:color w:val="auto"/>
                      <w:highlight w:val="none"/>
                      <w:lang w:val="en-US" w:eastAsia="zh-CN"/>
                    </w:rPr>
                    <w:t>排气筒</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颗粒物</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7.0t/a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0.0063</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0.072mg/m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50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低氮燃烧技术+旋风除尘器+布袋除尘器+45m烟囱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SO</w:t>
                  </w:r>
                  <w:r>
                    <w:rPr>
                      <w:rFonts w:hint="eastAsia" w:ascii="Times New Roman" w:cs="Times New Roman"/>
                      <w:color w:val="auto"/>
                      <w:highlight w:val="none"/>
                      <w:vertAlign w:val="subscript"/>
                      <w:lang w:val="en-US" w:eastAsia="zh-CN"/>
                    </w:rPr>
                    <w:t>2</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4.76t/a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4.76</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54.49mg/m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14.28t/a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9.996</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114.423mg/m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堆渣间、生物质储存间</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无组织粉尘</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4.2t/a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0.42t/a</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袋装存放于密闭料仓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运输汽车尾气</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CO、THC、NOx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自然扩散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废水</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锅炉排污</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锅炉废水</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700t/a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软水制备废水和锅炉排污水接入烟气蒸器蒸发，不外排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12476.47t/a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员工生活</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pH值、</w:t>
                  </w:r>
                  <w:r>
                    <w:rPr>
                      <w:rFonts w:hint="eastAsia" w:ascii="Times New Roman" w:cs="Times New Roman"/>
                      <w:b w:val="0"/>
                      <w:bCs w:val="0"/>
                      <w:color w:val="auto"/>
                      <w:sz w:val="21"/>
                      <w:szCs w:val="21"/>
                      <w:highlight w:val="none"/>
                      <w:lang w:val="en-US" w:eastAsia="zh-CN"/>
                    </w:rPr>
                    <w:t>COD</w:t>
                  </w:r>
                  <w:r>
                    <w:rPr>
                      <w:rFonts w:hint="eastAsia" w:ascii="Times New Roman" w:hAnsi="Times New Roman" w:eastAsia="宋体" w:cs="Times New Roman"/>
                      <w:b w:val="0"/>
                      <w:bCs w:val="0"/>
                      <w:color w:val="auto"/>
                      <w:sz w:val="21"/>
                      <w:szCs w:val="21"/>
                      <w:highlight w:val="none"/>
                      <w:lang w:val="en-US" w:eastAsia="zh-CN"/>
                    </w:rPr>
                    <w:t>、BOD</w:t>
                  </w:r>
                  <w:r>
                    <w:rPr>
                      <w:rFonts w:hint="eastAsia" w:ascii="Times New Roman" w:hAnsi="Times New Roman" w:eastAsia="宋体" w:cs="Times New Roman"/>
                      <w:b w:val="0"/>
                      <w:bCs w:val="0"/>
                      <w:color w:val="auto"/>
                      <w:sz w:val="21"/>
                      <w:szCs w:val="21"/>
                      <w:highlight w:val="none"/>
                      <w:vertAlign w:val="subscript"/>
                      <w:lang w:val="en-US" w:eastAsia="zh-CN"/>
                    </w:rPr>
                    <w:t>5</w:t>
                  </w:r>
                  <w:r>
                    <w:rPr>
                      <w:rFonts w:hint="eastAsia" w:ascii="Times New Roman" w:hAnsi="Times New Roman" w:eastAsia="宋体" w:cs="Times New Roman"/>
                      <w:b w:val="0"/>
                      <w:bCs w:val="0"/>
                      <w:color w:val="auto"/>
                      <w:sz w:val="21"/>
                      <w:szCs w:val="21"/>
                      <w:highlight w:val="none"/>
                      <w:lang w:val="en-US" w:eastAsia="zh-CN"/>
                    </w:rPr>
                    <w:t>、氨氮、总氮、</w:t>
                  </w:r>
                  <w:r>
                    <w:rPr>
                      <w:rFonts w:hint="eastAsia" w:ascii="Times New Roman" w:cs="Times New Roman"/>
                      <w:b w:val="0"/>
                      <w:bCs w:val="0"/>
                      <w:color w:val="auto"/>
                      <w:sz w:val="21"/>
                      <w:szCs w:val="21"/>
                      <w:highlight w:val="none"/>
                      <w:lang w:val="en-US" w:eastAsia="zh-CN"/>
                    </w:rPr>
                    <w:t>SS</w:t>
                  </w:r>
                  <w:r>
                    <w:rPr>
                      <w:rFonts w:hint="eastAsia" w:ascii="Times New Roman" w:hAnsi="Times New Roman" w:eastAsia="宋体" w:cs="Times New Roman"/>
                      <w:b w:val="0"/>
                      <w:bCs w:val="0"/>
                      <w:color w:val="auto"/>
                      <w:sz w:val="21"/>
                      <w:szCs w:val="21"/>
                      <w:highlight w:val="none"/>
                      <w:lang w:val="en-US" w:eastAsia="zh-CN"/>
                    </w:rPr>
                    <w:t>、总磷、动植物油</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39.6t/a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39.6t/a</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依托服务企业现有生活设施及生活污水处理设施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噪声设备</w:t>
                  </w: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基础减振、厂房墙壁隔声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固体废物</w:t>
                  </w: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生物质燃烧</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灰渣</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242.34t/a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暂存于灰渣间，外售用作肥料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除尘器收尘</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6.994t/a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暂存于灰渣间，外售用作肥料供应商定期更换处理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废离子交换树脂</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1.1t/a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危险废物</w:t>
                  </w:r>
                </w:p>
              </w:tc>
              <w:tc>
                <w:tcPr>
                  <w:tcW w:w="1230" w:type="pct"/>
                  <w:gridSpan w:val="2"/>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废机油</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0.13t/a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暂存于危险废物贮存库，委托有资质单位清运处置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特驱供热点</w:t>
                  </w:r>
                </w:p>
              </w:tc>
              <w:tc>
                <w:tcPr>
                  <w:tcW w:w="439"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default" w:ascii="Times New Roman" w:cs="Times New Roman"/>
                      <w:color w:val="auto"/>
                      <w:highlight w:val="none"/>
                      <w:lang w:val="en-US" w:eastAsia="zh-CN"/>
                    </w:rPr>
                    <w:t>废气</w:t>
                  </w:r>
                </w:p>
              </w:tc>
              <w:tc>
                <w:tcPr>
                  <w:tcW w:w="546"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DA00</w:t>
                  </w:r>
                  <w:r>
                    <w:rPr>
                      <w:rFonts w:hint="eastAsia" w:ascii="Times New Roman" w:cs="Times New Roman"/>
                      <w:color w:val="auto"/>
                      <w:highlight w:val="none"/>
                      <w:lang w:val="en-US" w:eastAsia="zh-CN"/>
                    </w:rPr>
                    <w:t>2排气筒</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颗粒物</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1.0t/a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0.0009</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0.072mg/m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50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低氮燃烧技术</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旋风除尘器+布袋除尘器</w:t>
                  </w:r>
                  <w:r>
                    <w:rPr>
                      <w:rFonts w:hint="eastAsia" w:ascii="Times New Roman" w:cs="Times New Roman"/>
                      <w:color w:val="auto"/>
                      <w:highlight w:val="none"/>
                      <w:lang w:val="en-US" w:eastAsia="zh-CN"/>
                    </w:rPr>
                    <w:t>+35</w:t>
                  </w:r>
                  <w:r>
                    <w:rPr>
                      <w:rFonts w:hint="eastAsia" w:ascii="Times New Roman" w:hAnsi="Times New Roman" w:eastAsia="宋体" w:cs="Times New Roman"/>
                      <w:color w:val="auto"/>
                      <w:highlight w:val="none"/>
                      <w:lang w:val="en-US" w:eastAsia="zh-CN"/>
                    </w:rPr>
                    <w:t>m烟囱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SO</w:t>
                  </w:r>
                  <w:r>
                    <w:rPr>
                      <w:rFonts w:hint="eastAsia" w:ascii="Times New Roman" w:cs="Times New Roman"/>
                      <w:color w:val="auto"/>
                      <w:highlight w:val="none"/>
                      <w:vertAlign w:val="subscript"/>
                      <w:lang w:val="en-US" w:eastAsia="zh-CN"/>
                    </w:rPr>
                    <w:t>2</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0.68t/a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0.68</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54.487mg/m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2.04</w:t>
                  </w:r>
                  <w:r>
                    <w:rPr>
                      <w:rFonts w:hint="eastAsia" w:ascii="Times New Roman" w:cs="Times New Roman"/>
                      <w:color w:val="auto"/>
                      <w:highlight w:val="none"/>
                      <w:lang w:val="en-US" w:eastAsia="zh-CN"/>
                    </w:rPr>
                    <w:t>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1.428</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114.423mg/m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堆渣间、生物质储存间</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无组织粉尘</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0.6t/a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0.06t/a</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袋装存放于密闭料仓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运输汽车尾气</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CO、THC、NOx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自然扩散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废水</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锅炉排污</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100</w:t>
                  </w:r>
                  <w:r>
                    <w:rPr>
                      <w:rFonts w:hint="eastAsia" w:ascii="Times New Roman" w:cs="Times New Roman"/>
                      <w:color w:val="auto"/>
                      <w:highlight w:val="none"/>
                      <w:lang w:val="en-US" w:eastAsia="zh-CN"/>
                    </w:rPr>
                    <w:t>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软水制备废水和锅炉排污水接入烟气蒸器蒸发，不外排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1782.35t/a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员工生活</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生活污水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15.84t/a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依托服务企业现有生活设施及生活污水处理设施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噪声设备</w:t>
                  </w: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基础减振、厂房墙壁隔声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固体废物</w:t>
                  </w: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生物质燃烧</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锅炉灰渣</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34.62t/a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收集后送至园区指定位置</w:t>
                  </w:r>
                  <w:r>
                    <w:rPr>
                      <w:rFonts w:hint="eastAsia" w:ascii="Times New Roman" w:cs="Times New Roman"/>
                      <w:color w:val="auto"/>
                      <w:highlight w:val="none"/>
                      <w:lang w:val="en-US" w:eastAsia="zh-CN"/>
                    </w:rPr>
                    <w:t>集中处理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除尘器收尘</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0.999t/a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暂存于灰渣间，外售用作肥料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废离子交换树脂</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0.16t/a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危险废物</w:t>
                  </w:r>
                </w:p>
              </w:tc>
              <w:tc>
                <w:tcPr>
                  <w:tcW w:w="1230" w:type="pct"/>
                  <w:gridSpan w:val="2"/>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废机油</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0.03t/a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暂存于危险废物贮存库，委托有资质单位清运处置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漓源供热点</w:t>
                  </w:r>
                </w:p>
              </w:tc>
              <w:tc>
                <w:tcPr>
                  <w:tcW w:w="439"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default" w:ascii="Times New Roman" w:cs="Times New Roman"/>
                      <w:color w:val="auto"/>
                      <w:highlight w:val="none"/>
                      <w:lang w:val="en-US" w:eastAsia="zh-CN"/>
                    </w:rPr>
                    <w:t>废气</w:t>
                  </w:r>
                </w:p>
              </w:tc>
              <w:tc>
                <w:tcPr>
                  <w:tcW w:w="546"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锅炉</w:t>
                  </w:r>
                  <w:r>
                    <w:rPr>
                      <w:rFonts w:hint="eastAsia" w:ascii="Times New Roman" w:cs="Times New Roman"/>
                      <w:color w:val="auto"/>
                      <w:highlight w:val="none"/>
                      <w:lang w:val="en-US" w:eastAsia="zh-CN"/>
                    </w:rPr>
                    <w:t>烟</w:t>
                  </w:r>
                  <w:r>
                    <w:rPr>
                      <w:rFonts w:hint="default" w:ascii="Times New Roman" w:cs="Times New Roman"/>
                      <w:color w:val="auto"/>
                      <w:highlight w:val="none"/>
                      <w:lang w:val="en-US" w:eastAsia="zh-CN"/>
                    </w:rPr>
                    <w:t>气DA00</w:t>
                  </w:r>
                  <w:r>
                    <w:rPr>
                      <w:rFonts w:hint="eastAsia" w:ascii="Times New Roman" w:cs="Times New Roman"/>
                      <w:color w:val="auto"/>
                      <w:highlight w:val="none"/>
                      <w:lang w:val="en-US" w:eastAsia="zh-CN"/>
                    </w:rPr>
                    <w:t>3排气筒</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颗粒物</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1.0t/a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0.0009</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0.072mg/m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50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低氮燃烧技术</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旋风除尘器+布袋除尘器</w:t>
                  </w:r>
                  <w:r>
                    <w:rPr>
                      <w:rFonts w:hint="eastAsia" w:ascii="Times New Roman"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5m烟囱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SO</w:t>
                  </w:r>
                  <w:r>
                    <w:rPr>
                      <w:rFonts w:hint="eastAsia" w:ascii="Times New Roman" w:cs="Times New Roman"/>
                      <w:color w:val="auto"/>
                      <w:highlight w:val="none"/>
                      <w:vertAlign w:val="subscript"/>
                      <w:lang w:val="en-US" w:eastAsia="zh-CN"/>
                    </w:rPr>
                    <w:t>2</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0.68t/a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0.68</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54.487mg/m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2.04</w:t>
                  </w:r>
                  <w:r>
                    <w:rPr>
                      <w:rFonts w:hint="eastAsia" w:ascii="Times New Roman" w:cs="Times New Roman"/>
                      <w:color w:val="auto"/>
                      <w:highlight w:val="none"/>
                      <w:lang w:val="en-US" w:eastAsia="zh-CN"/>
                    </w:rPr>
                    <w:t>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1.428</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114.423mg/m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堆渣间、生物质储存间</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无组织粉尘</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0.6t/a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0.06t/a</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袋装存放于密闭料仓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运输汽车尾气</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CO、THC、NOx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自然扩散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废水</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锅炉排污</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100</w:t>
                  </w:r>
                  <w:r>
                    <w:rPr>
                      <w:rFonts w:hint="eastAsia" w:ascii="Times New Roman" w:cs="Times New Roman"/>
                      <w:color w:val="auto"/>
                      <w:highlight w:val="none"/>
                      <w:lang w:val="en-US" w:eastAsia="zh-CN"/>
                    </w:rPr>
                    <w:t>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软水制备废水和锅炉排污水接入烟气蒸器蒸发，不外排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1782.35t/a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员工生活</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生活污水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23.76t/a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依托服务企业现有生活设施及生活污水处理设施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噪声设备</w:t>
                  </w: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基础减振、厂房墙壁隔声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固体废物</w:t>
                  </w: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生物质燃烧</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锅炉灰渣</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34.62t/a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收集后送至园区指定位置</w:t>
                  </w:r>
                  <w:r>
                    <w:rPr>
                      <w:rFonts w:hint="eastAsia" w:ascii="Times New Roman" w:cs="Times New Roman"/>
                      <w:color w:val="auto"/>
                      <w:highlight w:val="none"/>
                      <w:lang w:val="en-US" w:eastAsia="zh-CN"/>
                    </w:rPr>
                    <w:t>集中处理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除尘器收尘</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0.999t/a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暂存于灰渣间，外售用作肥料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废离子交换树脂</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0.16t/a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危险废物</w:t>
                  </w:r>
                </w:p>
              </w:tc>
              <w:tc>
                <w:tcPr>
                  <w:tcW w:w="1230" w:type="pct"/>
                  <w:gridSpan w:val="2"/>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废机油</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0.03t/a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暂存于危险废物贮存库，委托有资质单位清运处置</w:t>
                  </w:r>
                </w:p>
              </w:tc>
            </w:tr>
          </w:tbl>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default"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根据建设单位提供的项目在线监测数据、例行监测数据分析，已建投运工程锅炉烟气排放满足《锅炉大气污染物排放标准》（GB13271-2014）中表2燃煤锅炉排放标准限值要求；厂界无组织粉尘排放满足《大气污染物综合排放标准》（GB16297-1996）表2新污染源大气污染物排放标准限值要求；厂界噪声排放满足《工业企业厂界环境噪声排放标准》（GB12348-2008）3类标准限值要求。</w:t>
            </w:r>
          </w:p>
          <w:p>
            <w:pPr>
              <w:keepNext w:val="0"/>
              <w:keepLines w:val="0"/>
              <w:pageBreakBefore w:val="0"/>
              <w:kinsoku/>
              <w:wordWrap/>
              <w:overflowPunct/>
              <w:topLinePunct w:val="0"/>
              <w:autoSpaceDE w:val="0"/>
              <w:autoSpaceDN w:val="0"/>
              <w:bidi w:val="0"/>
              <w:snapToGrid/>
              <w:spacing w:line="360" w:lineRule="auto"/>
              <w:ind w:firstLine="420" w:firstLineChars="200"/>
              <w:textAlignment w:val="auto"/>
              <w:rPr>
                <w:rFonts w:hint="default" w:ascii="Times New Roman" w:hAnsi="Times New Roman" w:cs="Times New Roman"/>
                <w:bCs/>
                <w:color w:val="auto"/>
                <w:szCs w:val="21"/>
                <w:highlight w:val="none"/>
                <w:lang w:val="en-US"/>
              </w:rPr>
            </w:pPr>
          </w:p>
        </w:tc>
      </w:tr>
    </w:tbl>
    <w:p>
      <w:pPr>
        <w:pStyle w:val="25"/>
        <w:jc w:val="center"/>
        <w:rPr>
          <w:rFonts w:hint="default" w:ascii="Times New Roman" w:hAnsi="Times New Roman" w:eastAsia="黑体" w:cs="Times New Roman"/>
          <w:snapToGrid w:val="0"/>
          <w:color w:val="auto"/>
          <w:sz w:val="36"/>
          <w:szCs w:val="36"/>
          <w:highlight w:val="none"/>
        </w:rPr>
        <w:sectPr>
          <w:pgSz w:w="11906" w:h="16838"/>
          <w:pgMar w:top="1304" w:right="1134" w:bottom="1304"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spacing w:line="260" w:lineRule="auto"/>
        <w:ind w:left="0" w:firstLine="0" w:firstLineChars="0"/>
        <w:jc w:val="center"/>
        <w:rPr>
          <w:rFonts w:hint="default" w:ascii="Times New Roman" w:hAnsi="Times New Roman" w:cs="Times New Roman"/>
          <w:color w:val="auto"/>
          <w:highlight w:val="none"/>
        </w:rPr>
      </w:pPr>
      <w:bookmarkStart w:id="7" w:name="_Toc24027"/>
      <w:r>
        <w:rPr>
          <w:rFonts w:hint="default" w:ascii="Times New Roman" w:hAnsi="Times New Roman" w:cs="Times New Roman"/>
          <w:color w:val="auto"/>
          <w:highlight w:val="none"/>
        </w:rPr>
        <w:t>三、区域环境质量现状、环境保护目标及评价标准</w:t>
      </w:r>
      <w:bookmarkEnd w:id="7"/>
    </w:p>
    <w:tbl>
      <w:tblPr>
        <w:tblStyle w:val="29"/>
        <w:tblW w:w="94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0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57" w:type="dxa"/>
            <w:noWrap w:val="0"/>
            <w:vAlign w:val="center"/>
          </w:tcPr>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区域环境质量现状</w:t>
            </w:r>
          </w:p>
        </w:tc>
        <w:tc>
          <w:tcPr>
            <w:tcW w:w="9001" w:type="dxa"/>
            <w:noWrap w:val="0"/>
            <w:vAlign w:val="center"/>
          </w:tcPr>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本项目位于宜良工业园区北古城片区，环境质量执行标准根据《宜良工业园区总体规划（2016-2030）环境影响报告书》中相应的质量标准执行。</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1、</w:t>
            </w:r>
            <w:r>
              <w:rPr>
                <w:rFonts w:hint="eastAsia" w:ascii="Times New Roman" w:hAnsi="Times New Roman" w:eastAsia="宋体" w:cs="Times New Roman"/>
                <w:b/>
                <w:bCs/>
                <w:color w:val="auto"/>
                <w:highlight w:val="none"/>
                <w:lang w:val="en-US" w:eastAsia="zh-CN"/>
              </w:rPr>
              <w:t>环境</w:t>
            </w:r>
            <w:r>
              <w:rPr>
                <w:rFonts w:hint="default" w:ascii="Times New Roman" w:hAnsi="Times New Roman" w:eastAsia="宋体" w:cs="Times New Roman"/>
                <w:b/>
                <w:bCs/>
                <w:color w:val="auto"/>
                <w:highlight w:val="none"/>
                <w:lang w:eastAsia="zh-CN"/>
              </w:rPr>
              <w:t>空气质量现状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本项目位于宜良工业园区北古城片区，根据《宜良工业园区总体规划（2016-2030）环境影响报告书》，项目区环境空气质量执行《环境空气质量标准》（GB3095-2012）二级标准。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根据昆明市生态环境局发布的《2022年度昆明市生态环境状况公报》：</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各县（市）区环境空气质量总体保持良好。与2021年相比，安宁市、禄劝县、石林县、嵩明县、富民县、宜良县、寻甸县环境空气综合污染指数有所下降，东川区环境空气综合污染指数有所上升</w:t>
            </w:r>
            <w:r>
              <w:rPr>
                <w:rFonts w:hint="eastAsia" w:cs="Times New Roman"/>
                <w:color w:val="auto"/>
                <w:kern w:val="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根据本次收集到的宜良县监测站2022年1月1日-2022年12月31日共计365天的监测资料：监测天数合计365天，其中SO</w:t>
            </w:r>
            <w:r>
              <w:rPr>
                <w:rFonts w:hint="eastAsia" w:cs="Times New Roman"/>
                <w:color w:val="auto"/>
                <w:kern w:val="0"/>
                <w:sz w:val="24"/>
                <w:szCs w:val="24"/>
                <w:highlight w:val="none"/>
                <w:vertAlign w:val="subscript"/>
                <w:lang w:val="en-US" w:eastAsia="zh-CN"/>
              </w:rPr>
              <w:t>2</w:t>
            </w:r>
            <w:r>
              <w:rPr>
                <w:rFonts w:hint="eastAsia" w:cs="Times New Roman"/>
                <w:color w:val="auto"/>
                <w:kern w:val="0"/>
                <w:sz w:val="24"/>
                <w:szCs w:val="24"/>
                <w:highlight w:val="none"/>
                <w:lang w:val="en-US" w:eastAsia="zh-CN"/>
              </w:rPr>
              <w:t>有效数据360个、NO</w:t>
            </w:r>
            <w:r>
              <w:rPr>
                <w:rFonts w:hint="eastAsia" w:cs="Times New Roman"/>
                <w:color w:val="auto"/>
                <w:kern w:val="0"/>
                <w:sz w:val="24"/>
                <w:szCs w:val="24"/>
                <w:highlight w:val="none"/>
                <w:vertAlign w:val="subscript"/>
                <w:lang w:val="en-US" w:eastAsia="zh-CN"/>
              </w:rPr>
              <w:t>2</w:t>
            </w:r>
            <w:r>
              <w:rPr>
                <w:rFonts w:hint="eastAsia" w:cs="Times New Roman"/>
                <w:color w:val="auto"/>
                <w:kern w:val="0"/>
                <w:sz w:val="24"/>
                <w:szCs w:val="24"/>
                <w:highlight w:val="none"/>
                <w:lang w:val="en-US" w:eastAsia="zh-CN"/>
              </w:rPr>
              <w:t>有效数据360个、PM</w:t>
            </w:r>
            <w:r>
              <w:rPr>
                <w:rFonts w:hint="eastAsia" w:cs="Times New Roman"/>
                <w:color w:val="auto"/>
                <w:kern w:val="0"/>
                <w:sz w:val="24"/>
                <w:szCs w:val="24"/>
                <w:highlight w:val="none"/>
                <w:vertAlign w:val="subscript"/>
                <w:lang w:val="en-US" w:eastAsia="zh-CN"/>
              </w:rPr>
              <w:t>10</w:t>
            </w:r>
            <w:r>
              <w:rPr>
                <w:rFonts w:hint="eastAsia" w:cs="Times New Roman"/>
                <w:color w:val="auto"/>
                <w:kern w:val="0"/>
                <w:sz w:val="24"/>
                <w:szCs w:val="24"/>
                <w:highlight w:val="none"/>
                <w:lang w:val="en-US" w:eastAsia="zh-CN"/>
              </w:rPr>
              <w:t>有效数据354个、PM</w:t>
            </w:r>
            <w:r>
              <w:rPr>
                <w:rFonts w:hint="eastAsia" w:cs="Times New Roman"/>
                <w:color w:val="auto"/>
                <w:kern w:val="0"/>
                <w:sz w:val="24"/>
                <w:szCs w:val="24"/>
                <w:highlight w:val="none"/>
                <w:vertAlign w:val="subscript"/>
                <w:lang w:val="en-US" w:eastAsia="zh-CN"/>
              </w:rPr>
              <w:t>2.5</w:t>
            </w:r>
            <w:r>
              <w:rPr>
                <w:rFonts w:hint="eastAsia" w:cs="Times New Roman"/>
                <w:color w:val="auto"/>
                <w:kern w:val="0"/>
                <w:sz w:val="24"/>
                <w:szCs w:val="24"/>
                <w:highlight w:val="none"/>
                <w:lang w:val="en-US" w:eastAsia="zh-CN"/>
              </w:rPr>
              <w:t>有效数据358个、O</w:t>
            </w:r>
            <w:r>
              <w:rPr>
                <w:rFonts w:hint="eastAsia" w:cs="Times New Roman"/>
                <w:color w:val="auto"/>
                <w:kern w:val="0"/>
                <w:sz w:val="24"/>
                <w:szCs w:val="24"/>
                <w:highlight w:val="none"/>
                <w:vertAlign w:val="subscript"/>
                <w:lang w:val="en-US" w:eastAsia="zh-CN"/>
              </w:rPr>
              <w:t>3</w:t>
            </w:r>
            <w:r>
              <w:rPr>
                <w:rFonts w:hint="eastAsia" w:cs="Times New Roman"/>
                <w:color w:val="auto"/>
                <w:kern w:val="0"/>
                <w:sz w:val="24"/>
                <w:szCs w:val="24"/>
                <w:highlight w:val="none"/>
                <w:lang w:val="en-US" w:eastAsia="zh-CN"/>
              </w:rPr>
              <w:t>有效数据361个、CO有效数据361个，监测结果见下表：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-1区域空气质量现状评价表</w:t>
            </w:r>
            <w:r>
              <w:rPr>
                <w:rFonts w:hint="eastAsia"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单位：μg/</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lang w:val="en-US" w:eastAsia="zh-CN"/>
              </w:rPr>
              <w:t>³</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3132"/>
              <w:gridCol w:w="1241"/>
              <w:gridCol w:w="1083"/>
              <w:gridCol w:w="1103"/>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95"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污染物</w:t>
                  </w: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年评价指标</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现状浓度</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标准值</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占标率%</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auto"/>
                  <w:tcMar>
                    <w:top w:w="15" w:type="dxa"/>
                    <w:left w:w="15" w:type="dxa"/>
                    <w:bottom w:w="15" w:type="dxa"/>
                    <w:right w:w="15" w:type="dxa"/>
                  </w:tcMar>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SO</w:t>
                  </w:r>
                  <w:r>
                    <w:rPr>
                      <w:rFonts w:ascii="Times New Roman" w:hAnsi="Times New Roman" w:eastAsia="宋体" w:cs="Times New Roman"/>
                      <w:b w:val="0"/>
                      <w:bCs/>
                      <w:color w:val="auto"/>
                      <w:kern w:val="1"/>
                      <w:szCs w:val="21"/>
                      <w:highlight w:val="none"/>
                      <w:vertAlign w:val="subscript"/>
                    </w:rPr>
                    <w:t>2</w:t>
                  </w: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年平均质量浓度</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11.1</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60</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18.5</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24h平均第98百分位数</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17</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150</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11.3</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auto"/>
                  <w:tcMar>
                    <w:top w:w="15" w:type="dxa"/>
                    <w:left w:w="15" w:type="dxa"/>
                    <w:bottom w:w="15" w:type="dxa"/>
                    <w:right w:w="15" w:type="dxa"/>
                  </w:tcMar>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NO</w:t>
                  </w:r>
                  <w:r>
                    <w:rPr>
                      <w:rFonts w:ascii="Times New Roman" w:hAnsi="Times New Roman" w:eastAsia="宋体" w:cs="Times New Roman"/>
                      <w:b w:val="0"/>
                      <w:bCs/>
                      <w:color w:val="auto"/>
                      <w:kern w:val="1"/>
                      <w:szCs w:val="21"/>
                      <w:highlight w:val="none"/>
                      <w:vertAlign w:val="subscript"/>
                    </w:rPr>
                    <w:t>2</w:t>
                  </w: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年平均质量浓度</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21.48</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40</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53.7</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24h平均第98百分位数</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38</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80</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47.5</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auto"/>
                  <w:tcMar>
                    <w:top w:w="15" w:type="dxa"/>
                    <w:left w:w="15" w:type="dxa"/>
                    <w:bottom w:w="15" w:type="dxa"/>
                    <w:right w:w="15" w:type="dxa"/>
                  </w:tcMar>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PM</w:t>
                  </w:r>
                  <w:r>
                    <w:rPr>
                      <w:rFonts w:ascii="Times New Roman" w:hAnsi="Times New Roman" w:eastAsia="宋体" w:cs="Times New Roman"/>
                      <w:b w:val="0"/>
                      <w:bCs/>
                      <w:color w:val="auto"/>
                      <w:kern w:val="1"/>
                      <w:szCs w:val="21"/>
                      <w:highlight w:val="none"/>
                      <w:vertAlign w:val="subscript"/>
                    </w:rPr>
                    <w:t>10</w:t>
                  </w: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年平均质量浓度</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35.05</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70</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50.7</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24h平均第95百分位数</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63</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150</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42</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auto"/>
                  <w:tcMar>
                    <w:top w:w="15" w:type="dxa"/>
                    <w:left w:w="15" w:type="dxa"/>
                    <w:bottom w:w="15" w:type="dxa"/>
                    <w:right w:w="15" w:type="dxa"/>
                  </w:tcMar>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CO（mg/m</w:t>
                  </w:r>
                  <w:r>
                    <w:rPr>
                      <w:rFonts w:hint="default" w:ascii="Times New Roman" w:hAnsi="Times New Roman" w:cs="Times New Roman"/>
                      <w:b w:val="0"/>
                      <w:bCs/>
                      <w:color w:val="auto"/>
                      <w:kern w:val="1"/>
                      <w:szCs w:val="21"/>
                      <w:highlight w:val="none"/>
                      <w:lang w:val="en-US" w:eastAsia="zh-CN"/>
                    </w:rPr>
                    <w:t>³</w:t>
                  </w:r>
                  <w:r>
                    <w:rPr>
                      <w:rFonts w:ascii="Times New Roman" w:hAnsi="Times New Roman" w:eastAsia="宋体" w:cs="Times New Roman"/>
                      <w:b w:val="0"/>
                      <w:bCs/>
                      <w:color w:val="auto"/>
                      <w:kern w:val="1"/>
                      <w:szCs w:val="21"/>
                      <w:highlight w:val="none"/>
                    </w:rPr>
                    <w:t>）</w:t>
                  </w: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年平均质量浓度</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0.71</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w:t>
                  </w:r>
                  <w:r>
                    <w:rPr>
                      <w:rFonts w:hint="eastAsia" w:ascii="Times New Roman" w:hAnsi="Times New Roman" w:eastAsia="宋体" w:cs="Times New Roman"/>
                      <w:b w:val="0"/>
                      <w:bCs/>
                      <w:color w:val="auto"/>
                      <w:kern w:val="1"/>
                      <w:szCs w:val="21"/>
                      <w:highlight w:val="none"/>
                    </w:rPr>
                    <w:t>-</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w:t>
                  </w:r>
                  <w:r>
                    <w:rPr>
                      <w:rFonts w:hint="eastAsia" w:ascii="Times New Roman" w:hAnsi="Times New Roman" w:eastAsia="宋体" w:cs="Times New Roman"/>
                      <w:b w:val="0"/>
                      <w:bCs/>
                      <w:color w:val="auto"/>
                      <w:kern w:val="1"/>
                      <w:szCs w:val="21"/>
                      <w:highlight w:val="none"/>
                    </w:rPr>
                    <w:t>-</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w:t>
                  </w:r>
                  <w:r>
                    <w:rPr>
                      <w:rFonts w:hint="eastAsia" w:ascii="Times New Roman" w:hAnsi="Times New Roman" w:eastAsia="宋体" w:cs="Times New Roman"/>
                      <w:b w:val="0"/>
                      <w:bCs/>
                      <w:color w:val="auto"/>
                      <w:kern w:val="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24h平均第95百分位数</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1.0</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4</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25</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auto"/>
                  <w:tcMar>
                    <w:top w:w="15" w:type="dxa"/>
                    <w:left w:w="15" w:type="dxa"/>
                    <w:bottom w:w="15" w:type="dxa"/>
                    <w:right w:w="15" w:type="dxa"/>
                  </w:tcMar>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O</w:t>
                  </w:r>
                  <w:r>
                    <w:rPr>
                      <w:rFonts w:ascii="Times New Roman" w:hAnsi="Times New Roman" w:eastAsia="宋体" w:cs="Times New Roman"/>
                      <w:b w:val="0"/>
                      <w:bCs/>
                      <w:color w:val="auto"/>
                      <w:kern w:val="1"/>
                      <w:szCs w:val="21"/>
                      <w:highlight w:val="none"/>
                      <w:vertAlign w:val="subscript"/>
                    </w:rPr>
                    <w:t>3</w:t>
                  </w: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年均最大8小时滑动平均</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82.1</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w:t>
                  </w:r>
                  <w:r>
                    <w:rPr>
                      <w:rFonts w:hint="eastAsia" w:ascii="Times New Roman" w:hAnsi="Times New Roman" w:eastAsia="宋体" w:cs="Times New Roman"/>
                      <w:b w:val="0"/>
                      <w:bCs/>
                      <w:color w:val="auto"/>
                      <w:kern w:val="1"/>
                      <w:szCs w:val="21"/>
                      <w:highlight w:val="none"/>
                    </w:rPr>
                    <w:t>-</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w:t>
                  </w:r>
                  <w:r>
                    <w:rPr>
                      <w:rFonts w:hint="eastAsia" w:ascii="Times New Roman" w:hAnsi="Times New Roman" w:eastAsia="宋体" w:cs="Times New Roman"/>
                      <w:b w:val="0"/>
                      <w:bCs/>
                      <w:color w:val="auto"/>
                      <w:kern w:val="1"/>
                      <w:szCs w:val="21"/>
                      <w:highlight w:val="none"/>
                    </w:rPr>
                    <w:t>-</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w:t>
                  </w:r>
                  <w:r>
                    <w:rPr>
                      <w:rFonts w:hint="eastAsia" w:ascii="Times New Roman" w:hAnsi="Times New Roman" w:eastAsia="宋体" w:cs="Times New Roman"/>
                      <w:b w:val="0"/>
                      <w:bCs/>
                      <w:color w:val="auto"/>
                      <w:kern w:val="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8小时滑动平均第90百分位数</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115</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160</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71.87</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auto"/>
                  <w:tcMar>
                    <w:top w:w="15" w:type="dxa"/>
                    <w:left w:w="15" w:type="dxa"/>
                    <w:bottom w:w="15" w:type="dxa"/>
                    <w:right w:w="15" w:type="dxa"/>
                  </w:tcMar>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PM</w:t>
                  </w:r>
                  <w:r>
                    <w:rPr>
                      <w:rFonts w:ascii="Times New Roman" w:hAnsi="Times New Roman" w:eastAsia="宋体" w:cs="Times New Roman"/>
                      <w:b w:val="0"/>
                      <w:bCs/>
                      <w:color w:val="auto"/>
                      <w:kern w:val="1"/>
                      <w:szCs w:val="21"/>
                      <w:highlight w:val="none"/>
                      <w:vertAlign w:val="subscript"/>
                    </w:rPr>
                    <w:t>2.5</w:t>
                  </w: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年平均质量浓度</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15.74</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35</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44.97</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p>
              </w:tc>
              <w:tc>
                <w:tcPr>
                  <w:tcW w:w="1784"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24h平均第95百分位数</w:t>
                  </w:r>
                </w:p>
              </w:tc>
              <w:tc>
                <w:tcPr>
                  <w:tcW w:w="70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30</w:t>
                  </w:r>
                </w:p>
              </w:tc>
              <w:tc>
                <w:tcPr>
                  <w:tcW w:w="61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75</w:t>
                  </w:r>
                </w:p>
              </w:tc>
              <w:tc>
                <w:tcPr>
                  <w:tcW w:w="628"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40</w:t>
                  </w:r>
                </w:p>
              </w:tc>
              <w:tc>
                <w:tcPr>
                  <w:tcW w:w="667" w:type="pct"/>
                  <w:tcBorders>
                    <w:tl2br w:val="nil"/>
                    <w:tr2bl w:val="nil"/>
                  </w:tcBorders>
                  <w:shd w:val="clear" w:color="auto" w:fill="auto"/>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达标</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根据宜良县监测站提供的例行监测数据，宜良县2022年环境空气基本污染物SO</w:t>
            </w:r>
            <w:r>
              <w:rPr>
                <w:rFonts w:hint="eastAsia" w:cs="Times New Roman"/>
                <w:color w:val="auto"/>
                <w:kern w:val="0"/>
                <w:sz w:val="24"/>
                <w:szCs w:val="24"/>
                <w:highlight w:val="none"/>
                <w:vertAlign w:val="subscript"/>
                <w:lang w:val="en-US" w:eastAsia="zh-CN"/>
              </w:rPr>
              <w:t>2</w:t>
            </w:r>
            <w:r>
              <w:rPr>
                <w:rFonts w:hint="eastAsia" w:cs="Times New Roman"/>
                <w:color w:val="auto"/>
                <w:kern w:val="0"/>
                <w:sz w:val="24"/>
                <w:szCs w:val="24"/>
                <w:highlight w:val="none"/>
                <w:lang w:val="en-US" w:eastAsia="zh-CN"/>
              </w:rPr>
              <w:t>、NO</w:t>
            </w:r>
            <w:r>
              <w:rPr>
                <w:rFonts w:hint="eastAsia" w:cs="Times New Roman"/>
                <w:color w:val="auto"/>
                <w:kern w:val="0"/>
                <w:sz w:val="24"/>
                <w:szCs w:val="24"/>
                <w:highlight w:val="none"/>
                <w:vertAlign w:val="subscript"/>
                <w:lang w:val="en-US" w:eastAsia="zh-CN"/>
              </w:rPr>
              <w:t>2</w:t>
            </w:r>
            <w:r>
              <w:rPr>
                <w:rFonts w:hint="eastAsia" w:cs="Times New Roman"/>
                <w:color w:val="auto"/>
                <w:kern w:val="0"/>
                <w:sz w:val="24"/>
                <w:szCs w:val="24"/>
                <w:highlight w:val="none"/>
                <w:lang w:val="en-US" w:eastAsia="zh-CN"/>
              </w:rPr>
              <w:t>、CO、O</w:t>
            </w:r>
            <w:r>
              <w:rPr>
                <w:rFonts w:hint="eastAsia" w:cs="Times New Roman"/>
                <w:color w:val="auto"/>
                <w:kern w:val="0"/>
                <w:sz w:val="24"/>
                <w:szCs w:val="24"/>
                <w:highlight w:val="none"/>
                <w:vertAlign w:val="subscript"/>
                <w:lang w:val="en-US" w:eastAsia="zh-CN"/>
              </w:rPr>
              <w:t>3</w:t>
            </w:r>
            <w:r>
              <w:rPr>
                <w:rFonts w:hint="eastAsia" w:cs="Times New Roman"/>
                <w:color w:val="auto"/>
                <w:kern w:val="0"/>
                <w:sz w:val="24"/>
                <w:szCs w:val="24"/>
                <w:highlight w:val="none"/>
                <w:lang w:val="en-US" w:eastAsia="zh-CN"/>
              </w:rPr>
              <w:t>、PM</w:t>
            </w:r>
            <w:r>
              <w:rPr>
                <w:rFonts w:hint="eastAsia" w:cs="Times New Roman"/>
                <w:color w:val="auto"/>
                <w:kern w:val="0"/>
                <w:sz w:val="24"/>
                <w:szCs w:val="24"/>
                <w:highlight w:val="none"/>
                <w:vertAlign w:val="subscript"/>
                <w:lang w:val="en-US" w:eastAsia="zh-CN"/>
              </w:rPr>
              <w:t>10</w:t>
            </w:r>
            <w:r>
              <w:rPr>
                <w:rFonts w:hint="eastAsia" w:cs="Times New Roman"/>
                <w:color w:val="auto"/>
                <w:kern w:val="0"/>
                <w:sz w:val="24"/>
                <w:szCs w:val="24"/>
                <w:highlight w:val="none"/>
                <w:lang w:val="en-US" w:eastAsia="zh-CN"/>
              </w:rPr>
              <w:t>和PM</w:t>
            </w:r>
            <w:r>
              <w:rPr>
                <w:rFonts w:hint="eastAsia" w:cs="Times New Roman"/>
                <w:color w:val="auto"/>
                <w:kern w:val="0"/>
                <w:sz w:val="24"/>
                <w:szCs w:val="24"/>
                <w:highlight w:val="none"/>
                <w:vertAlign w:val="subscript"/>
                <w:lang w:val="en-US" w:eastAsia="zh-CN"/>
              </w:rPr>
              <w:t>2.5</w:t>
            </w:r>
            <w:r>
              <w:rPr>
                <w:rFonts w:hint="eastAsia" w:cs="Times New Roman"/>
                <w:color w:val="auto"/>
                <w:kern w:val="0"/>
                <w:sz w:val="24"/>
                <w:szCs w:val="24"/>
                <w:highlight w:val="none"/>
                <w:lang w:val="en-US" w:eastAsia="zh-CN"/>
              </w:rPr>
              <w:t>年平均质量和相应百分位24h平均或8h平均质量浓度均能达到《环境空气质量标准》（3095-2012）二级标准要求，判定本项目所在区域为达标区域。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项目排放的特征污染物为颗粒物</w:t>
            </w:r>
            <w:r>
              <w:rPr>
                <w:rFonts w:hint="eastAsia" w:cs="Times New Roman"/>
                <w:color w:val="auto"/>
                <w:kern w:val="0"/>
                <w:sz w:val="24"/>
                <w:szCs w:val="24"/>
                <w:highlight w:val="none"/>
                <w:lang w:val="en-US" w:eastAsia="zh-CN"/>
              </w:rPr>
              <w:t>和氮氧化物，本次评价引用《年产10万吨耐火材料生产线改建项目》（报批稿）中云南有色金属及制品质量监督检验站对昆明红枫湖耐火材料有限公司该项目建设场地环境空气质量现状的监测数据结果对本项目所在区域特征污染物环境质量现状达标情况进行判定。</w:t>
            </w:r>
            <w:r>
              <w:rPr>
                <w:rFonts w:hint="eastAsia" w:ascii="Times New Roman" w:hAnsi="Times New Roman" w:eastAsia="宋体" w:cs="Times New Roman"/>
                <w:color w:val="auto"/>
                <w:kern w:val="0"/>
                <w:sz w:val="24"/>
                <w:szCs w:val="24"/>
                <w:highlight w:val="none"/>
                <w:lang w:val="en-US" w:eastAsia="zh-CN"/>
              </w:rPr>
              <w:t>引用监测点位与本项目的位置关系图见项目引用监测点位图</w:t>
            </w:r>
            <w:r>
              <w:rPr>
                <w:rFonts w:hint="eastAsia" w:cs="Times New Roman"/>
                <w:color w:val="auto"/>
                <w:kern w:val="0"/>
                <w:sz w:val="24"/>
                <w:szCs w:val="24"/>
                <w:highlight w:val="none"/>
                <w:lang w:val="en-US" w:eastAsia="zh-CN"/>
              </w:rPr>
              <w:t>，引用监测情况如下：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监测因子：TSP、NOx；</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监测点位：一个监测点位G1，坐标：E</w:t>
            </w:r>
            <w:r>
              <w:rPr>
                <w:rFonts w:hint="default" w:ascii="Times New Roman" w:hAnsi="Times New Roman" w:cs="Times New Roman"/>
                <w:color w:val="auto"/>
                <w:kern w:val="0"/>
                <w:sz w:val="24"/>
                <w:szCs w:val="24"/>
                <w:highlight w:val="none"/>
                <w:lang w:val="en-US" w:eastAsia="zh-CN"/>
              </w:rPr>
              <w:t>103°12′49.03865″</w:t>
            </w:r>
            <w:r>
              <w:rPr>
                <w:rFonts w:hint="eastAsia"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N</w:t>
            </w:r>
            <w:r>
              <w:rPr>
                <w:rFonts w:hint="default" w:ascii="Times New Roman" w:hAnsi="Times New Roman" w:cs="Times New Roman"/>
                <w:color w:val="auto"/>
                <w:kern w:val="0"/>
                <w:sz w:val="24"/>
                <w:szCs w:val="24"/>
                <w:highlight w:val="none"/>
                <w:lang w:val="en-US" w:eastAsia="zh-CN"/>
              </w:rPr>
              <w:t>25°0′21.63327″（</w:t>
            </w:r>
            <w:r>
              <w:rPr>
                <w:rFonts w:hint="eastAsia" w:ascii="Times New Roman" w:hAnsi="Times New Roman" w:cs="Times New Roman"/>
                <w:color w:val="auto"/>
                <w:kern w:val="0"/>
                <w:sz w:val="24"/>
                <w:szCs w:val="24"/>
                <w:highlight w:val="none"/>
                <w:lang w:val="en-US" w:eastAsia="zh-CN"/>
              </w:rPr>
              <w:t>位于本项目特驱供热点</w:t>
            </w:r>
            <w:r>
              <w:rPr>
                <w:rFonts w:hint="default" w:ascii="Times New Roman" w:hAnsi="Times New Roman" w:cs="Times New Roman"/>
                <w:color w:val="auto"/>
                <w:kern w:val="0"/>
                <w:sz w:val="24"/>
                <w:szCs w:val="24"/>
                <w:highlight w:val="none"/>
                <w:lang w:val="en-US" w:eastAsia="zh-CN"/>
              </w:rPr>
              <w:t>东北侧</w:t>
            </w:r>
            <w:r>
              <w:rPr>
                <w:rFonts w:hint="eastAsia" w:ascii="Times New Roman" w:hAnsi="Times New Roman" w:cs="Times New Roman"/>
                <w:color w:val="auto"/>
                <w:kern w:val="0"/>
                <w:sz w:val="24"/>
                <w:szCs w:val="24"/>
                <w:highlight w:val="none"/>
                <w:lang w:val="en-US" w:eastAsia="zh-CN"/>
              </w:rPr>
              <w:t>约</w:t>
            </w:r>
            <w:r>
              <w:rPr>
                <w:rFonts w:hint="default" w:ascii="Times New Roman" w:hAnsi="Times New Roman" w:cs="Times New Roman"/>
                <w:color w:val="auto"/>
                <w:kern w:val="0"/>
                <w:sz w:val="24"/>
                <w:szCs w:val="24"/>
                <w:highlight w:val="none"/>
                <w:lang w:val="en-US" w:eastAsia="zh-CN"/>
              </w:rPr>
              <w:t>1702m）</w:t>
            </w:r>
            <w:r>
              <w:rPr>
                <w:rFonts w:hint="eastAsia" w:ascii="Times New Roman" w:hAnsi="Times New Roman" w:cs="Times New Roman"/>
                <w:color w:val="auto"/>
                <w:kern w:val="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监测时间和频率：2022年8月13日-8月15日，连续3天采样；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监测分析方法：按照国家环保局颁布的《环境空气质量标准》（GB3095-2012）、《空气和废气监测方法》、《环境监测技术规范》中的有关规定执行；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color w:val="auto"/>
                <w:kern w:val="0"/>
                <w:sz w:val="24"/>
                <w:szCs w:val="24"/>
                <w:highlight w:val="none"/>
                <w:lang w:val="en-US" w:eastAsia="zh-CN"/>
              </w:rPr>
              <w:t>监测结果见下表：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项目引用TSP</w:t>
            </w:r>
            <w:r>
              <w:rPr>
                <w:rFonts w:hint="eastAsia" w:cs="Times New Roman"/>
                <w:b/>
                <w:bCs/>
                <w:color w:val="auto"/>
                <w:sz w:val="21"/>
                <w:szCs w:val="21"/>
                <w:highlight w:val="none"/>
                <w:lang w:val="en-US" w:eastAsia="zh-CN"/>
              </w:rPr>
              <w:t>、NOx</w:t>
            </w:r>
            <w:r>
              <w:rPr>
                <w:rFonts w:hint="eastAsia" w:ascii="Times New Roman" w:hAnsi="Times New Roman" w:eastAsia="宋体" w:cs="Times New Roman"/>
                <w:b/>
                <w:bCs/>
                <w:color w:val="auto"/>
                <w:sz w:val="21"/>
                <w:szCs w:val="21"/>
                <w:highlight w:val="none"/>
                <w:lang w:val="en-US" w:eastAsia="zh-CN"/>
              </w:rPr>
              <w:t>环境质量现状检测数据</w:t>
            </w:r>
            <w:r>
              <w:rPr>
                <w:rFonts w:hint="eastAsia" w:cs="Times New Roman"/>
                <w:b/>
                <w:bCs/>
                <w:color w:val="auto"/>
                <w:sz w:val="21"/>
                <w:szCs w:val="21"/>
                <w:highlight w:val="none"/>
                <w:lang w:val="en-US" w:eastAsia="zh-CN"/>
              </w:rPr>
              <w:t>结果</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185"/>
              <w:gridCol w:w="1337"/>
              <w:gridCol w:w="2113"/>
              <w:gridCol w:w="1159"/>
              <w:gridCol w:w="1428"/>
              <w:gridCol w:w="972"/>
              <w:gridCol w:w="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检测点位</w:t>
                  </w:r>
                </w:p>
              </w:tc>
              <w:tc>
                <w:tcPr>
                  <w:tcW w:w="762"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检测项目</w:t>
                  </w:r>
                </w:p>
              </w:tc>
              <w:tc>
                <w:tcPr>
                  <w:tcW w:w="1204"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采样日期</w:t>
                  </w:r>
                </w:p>
              </w:tc>
              <w:tc>
                <w:tcPr>
                  <w:tcW w:w="660"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采样时段</w:t>
                  </w:r>
                </w:p>
              </w:tc>
              <w:tc>
                <w:tcPr>
                  <w:tcW w:w="814"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检测结果</w:t>
                  </w:r>
                  <w:r>
                    <w:rPr>
                      <w:rFonts w:hint="eastAsia" w:ascii="Times New Roman" w:hAnsi="Times New Roman" w:eastAsia="宋体" w:cs="Times New Roman"/>
                      <w:b w:val="0"/>
                      <w:bCs/>
                      <w:color w:val="auto"/>
                      <w:kern w:val="1"/>
                      <w:szCs w:val="21"/>
                      <w:highlight w:val="none"/>
                    </w:rPr>
                    <w:t>（u</w:t>
                  </w:r>
                  <w:r>
                    <w:rPr>
                      <w:rFonts w:ascii="Times New Roman" w:hAnsi="Times New Roman" w:eastAsia="宋体" w:cs="Times New Roman"/>
                      <w:b w:val="0"/>
                      <w:bCs/>
                      <w:color w:val="auto"/>
                      <w:kern w:val="1"/>
                      <w:szCs w:val="21"/>
                      <w:highlight w:val="none"/>
                    </w:rPr>
                    <w:t>g/</w:t>
                  </w:r>
                  <w:r>
                    <w:rPr>
                      <w:rFonts w:hint="default" w:ascii="Times New Roman" w:hAnsi="Times New Roman" w:eastAsia="宋体" w:cs="Times New Roman"/>
                      <w:b w:val="0"/>
                      <w:bCs/>
                      <w:color w:val="auto"/>
                      <w:kern w:val="1"/>
                      <w:szCs w:val="21"/>
                      <w:highlight w:val="none"/>
                      <w:lang w:eastAsia="zh-CN"/>
                    </w:rPr>
                    <w:t>m³</w:t>
                  </w:r>
                  <w:r>
                    <w:rPr>
                      <w:rFonts w:hint="eastAsia" w:ascii="Times New Roman" w:hAnsi="Times New Roman" w:eastAsia="宋体" w:cs="Times New Roman"/>
                      <w:b w:val="0"/>
                      <w:bCs/>
                      <w:color w:val="auto"/>
                      <w:kern w:val="1"/>
                      <w:szCs w:val="21"/>
                      <w:highlight w:val="none"/>
                    </w:rPr>
                    <w:t>）</w:t>
                  </w:r>
                </w:p>
              </w:tc>
              <w:tc>
                <w:tcPr>
                  <w:tcW w:w="554"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标准限值（u</w:t>
                  </w:r>
                  <w:r>
                    <w:rPr>
                      <w:rFonts w:ascii="Times New Roman" w:hAnsi="Times New Roman" w:eastAsia="宋体" w:cs="Times New Roman"/>
                      <w:b w:val="0"/>
                      <w:bCs/>
                      <w:color w:val="auto"/>
                      <w:kern w:val="1"/>
                      <w:szCs w:val="21"/>
                      <w:highlight w:val="none"/>
                    </w:rPr>
                    <w:t>g/</w:t>
                  </w:r>
                  <w:r>
                    <w:rPr>
                      <w:rFonts w:hint="default" w:ascii="Times New Roman" w:hAnsi="Times New Roman" w:eastAsia="宋体" w:cs="Times New Roman"/>
                      <w:b w:val="0"/>
                      <w:bCs/>
                      <w:color w:val="auto"/>
                      <w:kern w:val="1"/>
                      <w:szCs w:val="21"/>
                      <w:highlight w:val="none"/>
                      <w:lang w:eastAsia="zh-CN"/>
                    </w:rPr>
                    <w:t>m³</w:t>
                  </w:r>
                  <w:r>
                    <w:rPr>
                      <w:rFonts w:hint="eastAsia" w:ascii="Times New Roman" w:hAnsi="Times New Roman" w:eastAsia="宋体" w:cs="Times New Roman"/>
                      <w:b w:val="0"/>
                      <w:bCs/>
                      <w:color w:val="auto"/>
                      <w:kern w:val="1"/>
                      <w:szCs w:val="21"/>
                      <w:highlight w:val="none"/>
                    </w:rPr>
                    <w:t>）</w:t>
                  </w:r>
                </w:p>
              </w:tc>
              <w:tc>
                <w:tcPr>
                  <w:tcW w:w="328"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ascii="Times New Roman" w:hAnsi="Times New Roman" w:eastAsia="宋体" w:cs="Times New Roman"/>
                      <w:color w:val="auto"/>
                      <w:kern w:val="1"/>
                      <w:szCs w:val="21"/>
                      <w:highlight w:val="none"/>
                      <w:lang w:val="en-US" w:eastAsia="zh-CN"/>
                    </w:rPr>
                    <w:t>G1</w:t>
                  </w:r>
                  <w:r>
                    <w:rPr>
                      <w:rFonts w:hint="eastAsia" w:cs="Times New Roman"/>
                      <w:color w:val="auto"/>
                      <w:kern w:val="1"/>
                      <w:szCs w:val="21"/>
                      <w:highlight w:val="none"/>
                      <w:lang w:val="en-US" w:eastAsia="zh-CN"/>
                    </w:rPr>
                    <w:t>（</w:t>
                  </w:r>
                  <w:r>
                    <w:rPr>
                      <w:rFonts w:hint="eastAsia" w:ascii="Times New Roman" w:hAnsi="Times New Roman" w:eastAsia="宋体" w:cs="Times New Roman"/>
                      <w:color w:val="auto"/>
                      <w:kern w:val="1"/>
                      <w:szCs w:val="21"/>
                      <w:highlight w:val="none"/>
                      <w:lang w:val="en-US" w:eastAsia="zh-CN"/>
                    </w:rPr>
                    <w:t>E</w:t>
                  </w:r>
                  <w:r>
                    <w:rPr>
                      <w:rFonts w:hint="default" w:ascii="Times New Roman" w:hAnsi="Times New Roman" w:eastAsia="宋体" w:cs="Times New Roman"/>
                      <w:color w:val="auto"/>
                      <w:kern w:val="1"/>
                      <w:szCs w:val="21"/>
                      <w:highlight w:val="none"/>
                      <w:lang w:val="en-US" w:eastAsia="zh-CN"/>
                    </w:rPr>
                    <w:t>103°12′49.03865″</w:t>
                  </w:r>
                  <w:r>
                    <w:rPr>
                      <w:rFonts w:hint="eastAsia" w:ascii="Times New Roman" w:hAnsi="Times New Roman" w:eastAsia="宋体" w:cs="Times New Roman"/>
                      <w:color w:val="auto"/>
                      <w:kern w:val="1"/>
                      <w:szCs w:val="21"/>
                      <w:highlight w:val="none"/>
                      <w:lang w:val="en-US" w:eastAsia="zh-CN"/>
                    </w:rPr>
                    <w:t>，N</w:t>
                  </w:r>
                  <w:r>
                    <w:rPr>
                      <w:rFonts w:hint="default" w:ascii="Times New Roman" w:hAnsi="Times New Roman" w:eastAsia="宋体" w:cs="Times New Roman"/>
                      <w:color w:val="auto"/>
                      <w:kern w:val="1"/>
                      <w:szCs w:val="21"/>
                      <w:highlight w:val="none"/>
                      <w:lang w:val="en-US" w:eastAsia="zh-CN"/>
                    </w:rPr>
                    <w:t>25°0′21.63327″</w:t>
                  </w:r>
                  <w:r>
                    <w:rPr>
                      <w:rFonts w:hint="eastAsia" w:cs="Times New Roman"/>
                      <w:color w:val="auto"/>
                      <w:kern w:val="1"/>
                      <w:szCs w:val="21"/>
                      <w:highlight w:val="none"/>
                      <w:lang w:val="en-US" w:eastAsia="zh-CN"/>
                    </w:rPr>
                    <w:t>）</w:t>
                  </w:r>
                </w:p>
              </w:tc>
              <w:tc>
                <w:tcPr>
                  <w:tcW w:w="762" w:type="pct"/>
                  <w:vMerge w:val="restart"/>
                  <w:noWrap w:val="0"/>
                  <w:vAlign w:val="center"/>
                </w:tcPr>
                <w:p>
                  <w:pPr>
                    <w:adjustRightInd w:val="0"/>
                    <w:snapToGrid w:val="0"/>
                    <w:jc w:val="center"/>
                    <w:rPr>
                      <w:rFonts w:hint="eastAsia" w:ascii="Times New Roman" w:hAnsi="Times New Roman" w:eastAsia="宋体" w:cs="Times New Roman"/>
                      <w:color w:val="auto"/>
                      <w:kern w:val="1"/>
                      <w:szCs w:val="21"/>
                      <w:highlight w:val="none"/>
                      <w:lang w:eastAsia="zh-CN"/>
                    </w:rPr>
                  </w:pPr>
                  <w:r>
                    <w:rPr>
                      <w:rFonts w:ascii="Times New Roman" w:hAnsi="Times New Roman" w:eastAsia="宋体" w:cs="Times New Roman"/>
                      <w:color w:val="auto"/>
                      <w:kern w:val="1"/>
                      <w:szCs w:val="21"/>
                      <w:highlight w:val="none"/>
                    </w:rPr>
                    <w:t>TSP</w:t>
                  </w:r>
                  <w:r>
                    <w:rPr>
                      <w:rFonts w:hint="eastAsia" w:cs="Times New Roman"/>
                      <w:color w:val="auto"/>
                      <w:kern w:val="1"/>
                      <w:szCs w:val="21"/>
                      <w:highlight w:val="none"/>
                      <w:lang w:eastAsia="zh-CN"/>
                    </w:rPr>
                    <w:t>（</w:t>
                  </w:r>
                  <w:r>
                    <w:rPr>
                      <w:rFonts w:hint="eastAsia" w:cs="Times New Roman"/>
                      <w:color w:val="auto"/>
                      <w:kern w:val="1"/>
                      <w:szCs w:val="21"/>
                      <w:highlight w:val="none"/>
                      <w:lang w:val="en-US" w:eastAsia="zh-CN"/>
                    </w:rPr>
                    <w:t>日均值</w:t>
                  </w:r>
                  <w:r>
                    <w:rPr>
                      <w:rFonts w:hint="eastAsia" w:cs="Times New Roman"/>
                      <w:color w:val="auto"/>
                      <w:kern w:val="1"/>
                      <w:szCs w:val="21"/>
                      <w:highlight w:val="none"/>
                      <w:lang w:eastAsia="zh-CN"/>
                    </w:rPr>
                    <w:t>）</w:t>
                  </w:r>
                </w:p>
              </w:tc>
              <w:tc>
                <w:tcPr>
                  <w:tcW w:w="1204" w:type="pc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12</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p>
              </w:tc>
              <w:tc>
                <w:tcPr>
                  <w:tcW w:w="660"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814" w:type="pc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158</w:t>
                  </w:r>
                </w:p>
              </w:tc>
              <w:tc>
                <w:tcPr>
                  <w:tcW w:w="554"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ascii="Times New Roman" w:hAnsi="Times New Roman" w:eastAsia="宋体" w:cs="Times New Roman"/>
                      <w:color w:val="auto"/>
                      <w:kern w:val="1"/>
                      <w:szCs w:val="21"/>
                      <w:highlight w:val="none"/>
                    </w:rPr>
                    <w:t>300</w:t>
                  </w:r>
                </w:p>
              </w:tc>
              <w:tc>
                <w:tcPr>
                  <w:tcW w:w="328"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12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p>
              </w:tc>
              <w:tc>
                <w:tcPr>
                  <w:tcW w:w="660"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814" w:type="pc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189</w:t>
                  </w:r>
                </w:p>
              </w:tc>
              <w:tc>
                <w:tcPr>
                  <w:tcW w:w="55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12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15</w:t>
                  </w:r>
                </w:p>
              </w:tc>
              <w:tc>
                <w:tcPr>
                  <w:tcW w:w="660"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814" w:type="pc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192</w:t>
                  </w:r>
                </w:p>
              </w:tc>
              <w:tc>
                <w:tcPr>
                  <w:tcW w:w="55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ascii="Times New Roman" w:hAnsi="Times New Roman" w:eastAsia="宋体" w:cs="Times New Roman"/>
                      <w:color w:val="auto"/>
                      <w:kern w:val="1"/>
                      <w:szCs w:val="21"/>
                      <w:highlight w:val="none"/>
                      <w:lang w:val="en-US" w:eastAsia="zh-CN"/>
                    </w:rPr>
                    <w:t>NOx</w:t>
                  </w:r>
                  <w:r>
                    <w:rPr>
                      <w:rFonts w:hint="eastAsia" w:cs="Times New Roman"/>
                      <w:color w:val="auto"/>
                      <w:kern w:val="1"/>
                      <w:szCs w:val="21"/>
                      <w:highlight w:val="none"/>
                      <w:lang w:eastAsia="zh-CN"/>
                    </w:rPr>
                    <w:t>（</w:t>
                  </w:r>
                  <w:r>
                    <w:rPr>
                      <w:rFonts w:hint="eastAsia" w:cs="Times New Roman"/>
                      <w:color w:val="auto"/>
                      <w:kern w:val="1"/>
                      <w:szCs w:val="21"/>
                      <w:highlight w:val="none"/>
                      <w:lang w:val="en-US" w:eastAsia="zh-CN"/>
                    </w:rPr>
                    <w:t>日均值</w:t>
                  </w:r>
                  <w:r>
                    <w:rPr>
                      <w:rFonts w:hint="eastAsia" w:cs="Times New Roman"/>
                      <w:color w:val="auto"/>
                      <w:kern w:val="1"/>
                      <w:szCs w:val="21"/>
                      <w:highlight w:val="none"/>
                      <w:lang w:eastAsia="zh-CN"/>
                    </w:rPr>
                    <w:t>）</w:t>
                  </w:r>
                </w:p>
              </w:tc>
              <w:tc>
                <w:tcPr>
                  <w:tcW w:w="12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12</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p>
              </w:tc>
              <w:tc>
                <w:tcPr>
                  <w:tcW w:w="660"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﹤3</w:t>
                  </w:r>
                </w:p>
              </w:tc>
              <w:tc>
                <w:tcPr>
                  <w:tcW w:w="554" w:type="pct"/>
                  <w:vMerge w:val="restar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100</w:t>
                  </w:r>
                </w:p>
              </w:tc>
              <w:tc>
                <w:tcPr>
                  <w:tcW w:w="328"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p>
              </w:tc>
              <w:tc>
                <w:tcPr>
                  <w:tcW w:w="660"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814" w:type="pct"/>
                  <w:noWrap w:val="0"/>
                  <w:vAlign w:val="center"/>
                </w:tcPr>
                <w:p>
                  <w:pPr>
                    <w:adjustRightInd w:val="0"/>
                    <w:snapToGrid w:val="0"/>
                    <w:jc w:val="center"/>
                    <w:rPr>
                      <w:rFonts w:hint="eastAsia" w:cs="Times New Roman"/>
                      <w:color w:val="auto"/>
                      <w:kern w:val="1"/>
                      <w:szCs w:val="21"/>
                      <w:highlight w:val="none"/>
                      <w:lang w:val="en-US" w:eastAsia="zh-CN"/>
                    </w:rPr>
                  </w:pPr>
                  <w:r>
                    <w:rPr>
                      <w:rFonts w:hint="eastAsia" w:cs="Times New Roman"/>
                      <w:color w:val="auto"/>
                      <w:kern w:val="1"/>
                      <w:szCs w:val="21"/>
                      <w:highlight w:val="none"/>
                      <w:lang w:val="en-US" w:eastAsia="zh-CN"/>
                    </w:rPr>
                    <w:t>﹤3</w:t>
                  </w:r>
                </w:p>
              </w:tc>
              <w:tc>
                <w:tcPr>
                  <w:tcW w:w="554" w:type="pct"/>
                  <w:vMerge w:val="continue"/>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15</w:t>
                  </w:r>
                </w:p>
              </w:tc>
              <w:tc>
                <w:tcPr>
                  <w:tcW w:w="660"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814" w:type="pct"/>
                  <w:noWrap w:val="0"/>
                  <w:vAlign w:val="center"/>
                </w:tcPr>
                <w:p>
                  <w:pPr>
                    <w:adjustRightInd w:val="0"/>
                    <w:snapToGrid w:val="0"/>
                    <w:jc w:val="center"/>
                    <w:rPr>
                      <w:rFonts w:hint="eastAsia" w:cs="Times New Roman"/>
                      <w:color w:val="auto"/>
                      <w:kern w:val="1"/>
                      <w:szCs w:val="21"/>
                      <w:highlight w:val="none"/>
                      <w:lang w:val="en-US" w:eastAsia="zh-CN"/>
                    </w:rPr>
                  </w:pPr>
                  <w:r>
                    <w:rPr>
                      <w:rFonts w:hint="eastAsia" w:cs="Times New Roman"/>
                      <w:color w:val="auto"/>
                      <w:kern w:val="1"/>
                      <w:szCs w:val="21"/>
                      <w:highlight w:val="none"/>
                      <w:lang w:val="en-US" w:eastAsia="zh-CN"/>
                    </w:rPr>
                    <w:t>﹤3</w:t>
                  </w:r>
                </w:p>
              </w:tc>
              <w:tc>
                <w:tcPr>
                  <w:tcW w:w="554" w:type="pct"/>
                  <w:vMerge w:val="continue"/>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restar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ascii="Times New Roman" w:hAnsi="Times New Roman" w:eastAsia="宋体" w:cs="Times New Roman"/>
                      <w:color w:val="auto"/>
                      <w:kern w:val="1"/>
                      <w:szCs w:val="21"/>
                      <w:highlight w:val="none"/>
                      <w:lang w:val="en-US" w:eastAsia="zh-CN"/>
                    </w:rPr>
                    <w:t>NOx</w:t>
                  </w:r>
                  <w:r>
                    <w:rPr>
                      <w:rFonts w:hint="eastAsia" w:cs="Times New Roman"/>
                      <w:color w:val="auto"/>
                      <w:kern w:val="1"/>
                      <w:szCs w:val="21"/>
                      <w:highlight w:val="none"/>
                      <w:lang w:eastAsia="zh-CN"/>
                    </w:rPr>
                    <w:t>（</w:t>
                  </w:r>
                  <w:r>
                    <w:rPr>
                      <w:rFonts w:hint="eastAsia" w:cs="Times New Roman"/>
                      <w:color w:val="auto"/>
                      <w:kern w:val="1"/>
                      <w:szCs w:val="21"/>
                      <w:highlight w:val="none"/>
                      <w:lang w:val="en-US" w:eastAsia="zh-CN"/>
                    </w:rPr>
                    <w:t>小时值</w:t>
                  </w:r>
                  <w:r>
                    <w:rPr>
                      <w:rFonts w:hint="eastAsia" w:cs="Times New Roman"/>
                      <w:color w:val="auto"/>
                      <w:kern w:val="1"/>
                      <w:szCs w:val="21"/>
                      <w:highlight w:val="none"/>
                      <w:lang w:eastAsia="zh-CN"/>
                    </w:rPr>
                    <w:t>）</w:t>
                  </w:r>
                </w:p>
              </w:tc>
              <w:tc>
                <w:tcPr>
                  <w:tcW w:w="1204" w:type="pct"/>
                  <w:vMerge w:val="restar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12</w:t>
                  </w:r>
                </w:p>
              </w:tc>
              <w:tc>
                <w:tcPr>
                  <w:tcW w:w="660" w:type="pc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3</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10</w:t>
                  </w:r>
                </w:p>
              </w:tc>
              <w:tc>
                <w:tcPr>
                  <w:tcW w:w="554" w:type="pct"/>
                  <w:vMerge w:val="restar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250</w:t>
                  </w:r>
                </w:p>
              </w:tc>
              <w:tc>
                <w:tcPr>
                  <w:tcW w:w="328"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660"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9</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10</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660"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15</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13</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660"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20</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21</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12</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restar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p>
              </w:tc>
              <w:tc>
                <w:tcPr>
                  <w:tcW w:w="660" w:type="pc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3</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11</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660"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9</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10</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660"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15</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13</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660"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20</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21</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12</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restar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p>
              </w:tc>
              <w:tc>
                <w:tcPr>
                  <w:tcW w:w="660" w:type="pc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3</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9</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660"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9</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12</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660"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15</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9</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675"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62"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2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660"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20</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21</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81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10</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w:t>
            </w:r>
            <w:r>
              <w:rPr>
                <w:rFonts w:hint="eastAsia" w:cs="Times New Roman"/>
                <w:color w:val="auto"/>
                <w:kern w:val="0"/>
                <w:sz w:val="24"/>
                <w:szCs w:val="24"/>
                <w:highlight w:val="none"/>
                <w:lang w:val="en-US" w:eastAsia="zh-CN"/>
              </w:rPr>
              <w:t>上表，引用的特征污染物</w:t>
            </w:r>
            <w:r>
              <w:rPr>
                <w:rFonts w:hint="default" w:ascii="Times New Roman" w:hAnsi="Times New Roman" w:eastAsia="宋体" w:cs="Times New Roman"/>
                <w:color w:val="auto"/>
                <w:kern w:val="0"/>
                <w:sz w:val="24"/>
                <w:szCs w:val="24"/>
                <w:highlight w:val="none"/>
                <w:lang w:val="en-US" w:eastAsia="zh-CN"/>
              </w:rPr>
              <w:t>现状监测结果，</w:t>
            </w:r>
            <w:r>
              <w:rPr>
                <w:rFonts w:hint="eastAsia" w:cs="Times New Roman"/>
                <w:color w:val="auto"/>
                <w:kern w:val="0"/>
                <w:sz w:val="24"/>
                <w:szCs w:val="24"/>
                <w:highlight w:val="none"/>
                <w:lang w:val="en-US" w:eastAsia="zh-CN"/>
              </w:rPr>
              <w:t>特征污染物</w:t>
            </w:r>
            <w:r>
              <w:rPr>
                <w:rFonts w:hint="default" w:ascii="Times New Roman" w:hAnsi="Times New Roman" w:eastAsia="宋体" w:cs="Times New Roman"/>
                <w:color w:val="auto"/>
                <w:kern w:val="0"/>
                <w:sz w:val="24"/>
                <w:szCs w:val="24"/>
                <w:highlight w:val="none"/>
                <w:lang w:val="en-US" w:eastAsia="zh-CN"/>
              </w:rPr>
              <w:t>TSP</w:t>
            </w:r>
            <w:r>
              <w:rPr>
                <w:rFonts w:hint="eastAsia" w:cs="Times New Roman"/>
                <w:color w:val="auto"/>
                <w:kern w:val="0"/>
                <w:sz w:val="24"/>
                <w:szCs w:val="24"/>
                <w:highlight w:val="none"/>
                <w:lang w:val="en-US" w:eastAsia="zh-CN"/>
              </w:rPr>
              <w:t>、NOx环境质量现状</w:t>
            </w:r>
            <w:r>
              <w:rPr>
                <w:rFonts w:hint="default" w:ascii="Times New Roman" w:hAnsi="Times New Roman" w:eastAsia="宋体" w:cs="Times New Roman"/>
                <w:color w:val="auto"/>
                <w:kern w:val="0"/>
                <w:sz w:val="24"/>
                <w:szCs w:val="24"/>
                <w:highlight w:val="none"/>
                <w:lang w:val="en-US" w:eastAsia="zh-CN"/>
              </w:rPr>
              <w:t>可满足《环境空气质量标准》（GB3095-2012）及修改单中二级标准。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综上，</w:t>
            </w:r>
            <w:r>
              <w:rPr>
                <w:rFonts w:hint="eastAsia" w:cs="Times New Roman"/>
                <w:color w:val="auto"/>
                <w:kern w:val="0"/>
                <w:sz w:val="24"/>
                <w:szCs w:val="24"/>
                <w:highlight w:val="none"/>
                <w:lang w:val="en-US" w:eastAsia="zh-CN"/>
              </w:rPr>
              <w:t>本</w:t>
            </w:r>
            <w:r>
              <w:rPr>
                <w:rFonts w:hint="eastAsia" w:ascii="Times New Roman" w:hAnsi="Times New Roman" w:eastAsia="宋体" w:cs="Times New Roman"/>
                <w:color w:val="auto"/>
                <w:kern w:val="0"/>
                <w:sz w:val="24"/>
                <w:szCs w:val="24"/>
                <w:highlight w:val="none"/>
                <w:lang w:val="en-US" w:eastAsia="zh-CN"/>
              </w:rPr>
              <w:t>项目所在区域</w:t>
            </w:r>
            <w:r>
              <w:rPr>
                <w:rFonts w:hint="eastAsia" w:cs="Times New Roman"/>
                <w:color w:val="auto"/>
                <w:kern w:val="0"/>
                <w:sz w:val="24"/>
                <w:szCs w:val="24"/>
                <w:highlight w:val="none"/>
                <w:lang w:val="en-US" w:eastAsia="zh-CN"/>
              </w:rPr>
              <w:t>属于</w:t>
            </w:r>
            <w:r>
              <w:rPr>
                <w:rFonts w:hint="eastAsia" w:ascii="Times New Roman" w:hAnsi="Times New Roman" w:eastAsia="宋体" w:cs="Times New Roman"/>
                <w:color w:val="auto"/>
                <w:kern w:val="0"/>
                <w:sz w:val="24"/>
                <w:szCs w:val="24"/>
                <w:highlight w:val="none"/>
                <w:lang w:val="en-US" w:eastAsia="zh-CN"/>
              </w:rPr>
              <w:t>环境空气质量达标区。</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2、地表水环境质量现状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区域的地表水体为南盘江，位于本项目东南侧，距离约1604m。根据《云南省水功能区划（2014年修订）》，涉及的地表水体南盘江河段为：南盘江沾益-宜良开发利用区，2030年的水质目标为Ⅲ类，主要功能是工业用水、农业用水、渔业用水。</w:t>
            </w:r>
            <w:r>
              <w:rPr>
                <w:rFonts w:hint="default" w:ascii="Times New Roman" w:hAnsi="Times New Roman" w:cs="Times New Roman"/>
                <w:color w:val="auto"/>
                <w:sz w:val="24"/>
                <w:szCs w:val="24"/>
                <w:highlight w:val="none"/>
                <w:lang w:val="en-US" w:eastAsia="zh-CN"/>
              </w:rPr>
              <w:t>按照《地表水环境质量标准》（GB3838-2002）III类水质标准进行保护。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项目位于南盘江狗街国控监测断面上游，狗街断面水质能代表项目区地表水质量现状。根据昆明市生态环境局发布的《2022年度昆明市生态环境状况公报》：</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南盘江与2021年相比，狗街断面水质类别由Ⅴ类提升为Ⅳ类，水质现状不能满足《地表水环境质量标准》（GB3838-2002）III类标准要求。</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lang w:eastAsia="zh-CN"/>
              </w:rPr>
              <w:t>声环境质量现状</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本项目位于宜良工业园区北古城片区，属集中式工业园区，声环境功能为3类区，执行《声环境质量标准》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GB3096-2008</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3类区标准。根据现场勘查，项目区厂界外50m范围内无声环境保护目标，故未进行现状监测。</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val="en-US" w:eastAsia="zh-CN"/>
              </w:rPr>
              <w:t>根据昆明市生态环境局发布的《2022年度昆明市生态环境状况公报》：“2022年，各县（市）区昼间区域声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噪声等效声级下降。东川区、石林县、寻甸县的昼间区域声环境质量平均等效声级上升。”</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项目位于宜良工业园区北古城片区，昼间声环境质量可达《声环境质量标准》（GB3096-2008）3类区标准，项目厂界外50m范围内无声环境保护目标。</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、生态环境质量现状</w:t>
            </w:r>
          </w:p>
          <w:p>
            <w:pPr>
              <w:keepNext w:val="0"/>
              <w:keepLines w:val="0"/>
              <w:pageBreakBefore w:val="0"/>
              <w:widowControl w:val="0"/>
              <w:numPr>
                <w:ilvl w:val="0"/>
                <w:numId w:val="0"/>
              </w:numPr>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本项目不涉及新增用地，且用地范围内不含生态环境保护目标，不需要进行生态现状调查与评价。</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5、地下水、土壤环境质量现状</w:t>
            </w:r>
          </w:p>
          <w:p>
            <w:pPr>
              <w:keepNext w:val="0"/>
              <w:keepLines w:val="0"/>
              <w:pageBreakBefore w:val="0"/>
              <w:widowControl w:val="0"/>
              <w:numPr>
                <w:ilvl w:val="0"/>
                <w:numId w:val="0"/>
              </w:numPr>
              <w:kinsoku/>
              <w:wordWrap/>
              <w:overflowPunct/>
              <w:topLinePunct w:val="0"/>
              <w:bidi w:val="0"/>
              <w:adjustRightInd/>
              <w:snapToGrid/>
              <w:spacing w:line="360" w:lineRule="auto"/>
              <w:ind w:firstLine="456" w:firstLineChars="200"/>
              <w:textAlignment w:val="auto"/>
              <w:rPr>
                <w:rFonts w:hint="eastAsia" w:ascii="Times New Roman" w:hAnsi="Times New Roman" w:eastAsia="宋体" w:cs="Times New Roman"/>
                <w:bCs/>
                <w:color w:val="auto"/>
                <w:spacing w:val="-6"/>
                <w:sz w:val="24"/>
                <w:szCs w:val="24"/>
                <w:highlight w:val="none"/>
                <w:lang w:val="en-US" w:eastAsia="zh-CN"/>
              </w:rPr>
            </w:pPr>
            <w:r>
              <w:rPr>
                <w:rFonts w:hint="eastAsia" w:ascii="Times New Roman" w:hAnsi="Times New Roman" w:eastAsia="宋体" w:cs="Times New Roman"/>
                <w:bCs/>
                <w:color w:val="auto"/>
                <w:spacing w:val="-6"/>
                <w:sz w:val="24"/>
                <w:szCs w:val="24"/>
                <w:highlight w:val="none"/>
                <w:lang w:val="en-US" w:eastAsia="zh-CN"/>
              </w:rPr>
              <w:t>根据《建设项目环境影响报告表编制技术指南》（污染影响类）（试行）中区域环境质量现状中相关要求：地下水、土壤环境原则上不开展环境质量现状调查。建设项目存在土壤、地下水污染途径的，应结合污染源、保护目标分布情况开展现状调查以留作背景值。本项目不存在地下水、土壤环境污染途径，不开展土壤、地下水环境质量现状调查。</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电磁辐射</w:t>
            </w:r>
          </w:p>
          <w:p>
            <w:pPr>
              <w:keepNext w:val="0"/>
              <w:keepLines w:val="0"/>
              <w:pageBreakBefore w:val="0"/>
              <w:widowControl w:val="0"/>
              <w:numPr>
                <w:ilvl w:val="0"/>
                <w:numId w:val="0"/>
              </w:numPr>
              <w:kinsoku/>
              <w:wordWrap/>
              <w:overflowPunct/>
              <w:topLinePunct w:val="0"/>
              <w:bidi w:val="0"/>
              <w:adjustRightInd/>
              <w:snapToGrid/>
              <w:spacing w:line="360" w:lineRule="auto"/>
              <w:ind w:firstLine="456"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Cs/>
                <w:color w:val="auto"/>
                <w:spacing w:val="-6"/>
                <w:sz w:val="24"/>
                <w:szCs w:val="24"/>
                <w:highlight w:val="none"/>
                <w:lang w:val="en-US" w:eastAsia="zh-CN"/>
              </w:rPr>
              <w:t>本项目不涉及电磁辐射。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7" w:type="dxa"/>
            <w:noWrap w:val="0"/>
            <w:vAlign w:val="center"/>
          </w:tcPr>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环境保护目标</w:t>
            </w:r>
          </w:p>
        </w:tc>
        <w:tc>
          <w:tcPr>
            <w:tcW w:w="90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1、大气环境保护目标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根据现场踏勘，项目各供热点厂界外500m范围无大气环境保护目标。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根据现场调查，项目厂界外周边50m范围内无声环境保护目标。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3、地表水环境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项目区域的地表水体为南盘江，位于本项目东南侧，距离约为1604m，执行《地表水环境质量标准》（GB3838-2002）</w:t>
            </w:r>
            <w:r>
              <w:rPr>
                <w:rFonts w:hint="default" w:ascii="Times New Roman" w:hAnsi="Times New Roman" w:cs="Times New Roman"/>
                <w:color w:val="auto"/>
                <w:sz w:val="24"/>
                <w:szCs w:val="24"/>
                <w:highlight w:val="none"/>
                <w:lang w:val="en-US" w:eastAsia="zh-CN"/>
              </w:rPr>
              <w:t>Ⅲ类标准。</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4、地下水环境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项目各供热点厂界外500m范围内无集中式饮用水源和热水、矿泉水、温泉等特殊地下水资源。</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项目建设不新增用地，项目周边200m范围内无生态环境保护目标。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57" w:type="dxa"/>
            <w:noWrap w:val="0"/>
            <w:tcMar>
              <w:left w:w="28" w:type="dxa"/>
              <w:right w:w="28" w:type="dxa"/>
            </w:tcMar>
            <w:vAlign w:val="center"/>
          </w:tcPr>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污染物排放控制标准</w:t>
            </w:r>
          </w:p>
        </w:tc>
        <w:tc>
          <w:tcPr>
            <w:tcW w:w="9001" w:type="dxa"/>
            <w:noWrap w:val="0"/>
            <w:vAlign w:val="center"/>
          </w:tcPr>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废气排放标准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本项目施工期主要以锅炉设备及配套除尘设施安装为主，不涉及土建工程。施工期产生的污染物主要是运输车辆尾气、施工器械燃油废气。项目产生的废气污染主要在运营期。</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锅炉烟气排放标准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根据《锅炉大气污染物排放标准》（GB13271-2014）要求，生物质成型燃料等的锅炉，参照标准中燃煤锅炉排放控制要求执行，锅炉废气</w:t>
            </w:r>
            <w:r>
              <w:rPr>
                <w:rFonts w:hint="eastAsia" w:cs="Times New Roman"/>
                <w:color w:val="auto"/>
                <w:sz w:val="24"/>
                <w:szCs w:val="24"/>
                <w:highlight w:val="none"/>
                <w:lang w:val="en-US" w:eastAsia="zh-CN"/>
              </w:rPr>
              <w:t>污染物</w:t>
            </w:r>
            <w:r>
              <w:rPr>
                <w:rFonts w:hint="eastAsia" w:ascii="Times New Roman" w:hAnsi="Times New Roman" w:eastAsia="宋体" w:cs="Times New Roman"/>
                <w:color w:val="auto"/>
                <w:sz w:val="24"/>
                <w:szCs w:val="24"/>
                <w:highlight w:val="none"/>
                <w:lang w:val="en-US" w:eastAsia="zh-CN"/>
              </w:rPr>
              <w:t>排放执行《锅炉大气污染物排放标准》（GB13271-2014）表2新建锅炉大气污染物排放浓度限值，标准值见下表。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新建锅炉大气污染物排放浓度限值单位</w:t>
            </w:r>
          </w:p>
          <w:tbl>
            <w:tblPr>
              <w:tblStyle w:val="30"/>
              <w:tblW w:w="87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29"/>
              <w:gridCol w:w="2052"/>
              <w:gridCol w:w="962"/>
              <w:gridCol w:w="824"/>
              <w:gridCol w:w="1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污染物项目</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燃煤锅炉限值（mg/</w:t>
                  </w:r>
                  <w:r>
                    <w:rPr>
                      <w:rFonts w:hint="eastAsia"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lang w:val="en-US" w:eastAsia="zh-CN"/>
                    </w:rPr>
                    <w:t>³</w:t>
                  </w:r>
                  <w:r>
                    <w:rPr>
                      <w:rFonts w:hint="eastAsia" w:ascii="Times New Roman" w:hAnsi="Times New Roman" w:cs="Times New Roman"/>
                      <w:bCs/>
                      <w:color w:val="auto"/>
                      <w:sz w:val="21"/>
                      <w:szCs w:val="21"/>
                      <w:highlight w:val="none"/>
                      <w:lang w:val="en-US" w:eastAsia="zh-CN"/>
                    </w:rPr>
                    <w:t>）</w:t>
                  </w:r>
                </w:p>
              </w:tc>
              <w:tc>
                <w:tcPr>
                  <w:tcW w:w="2611"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污染物排放监控位置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50</w:t>
                  </w:r>
                </w:p>
              </w:tc>
              <w:tc>
                <w:tcPr>
                  <w:tcW w:w="2611" w:type="dxa"/>
                  <w:gridSpan w:val="2"/>
                  <w:vMerge w:val="restar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烟囱或烟道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二氧化硫</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300</w:t>
                  </w:r>
                </w:p>
              </w:tc>
              <w:tc>
                <w:tcPr>
                  <w:tcW w:w="2611" w:type="dxa"/>
                  <w:gridSpan w:val="2"/>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氮氧化物</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300</w:t>
                  </w:r>
                </w:p>
              </w:tc>
              <w:tc>
                <w:tcPr>
                  <w:tcW w:w="2611" w:type="dxa"/>
                  <w:gridSpan w:val="2"/>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烟气黑度（林格曼黑度，级）</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2611"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烟囱排放口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vMerge w:val="restar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烟囱高度</w:t>
                  </w:r>
                </w:p>
              </w:tc>
              <w:tc>
                <w:tcPr>
                  <w:tcW w:w="2052"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海大供热点排气筒DA001</w:t>
                  </w:r>
                </w:p>
              </w:tc>
              <w:tc>
                <w:tcPr>
                  <w:tcW w:w="1786"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特驱供热点排气筒DA002</w:t>
                  </w:r>
                </w:p>
              </w:tc>
              <w:tc>
                <w:tcPr>
                  <w:tcW w:w="1787"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漓源供热点排气筒DA003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cs="Times New Roman"/>
                      <w:bCs/>
                      <w:color w:val="auto"/>
                      <w:sz w:val="21"/>
                      <w:szCs w:val="21"/>
                      <w:highlight w:val="none"/>
                      <w:lang w:val="en-US" w:eastAsia="zh-CN"/>
                    </w:rPr>
                  </w:pPr>
                </w:p>
              </w:tc>
              <w:tc>
                <w:tcPr>
                  <w:tcW w:w="2052"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45m</w:t>
                  </w:r>
                </w:p>
              </w:tc>
              <w:tc>
                <w:tcPr>
                  <w:tcW w:w="1786"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45m</w:t>
                  </w:r>
                </w:p>
              </w:tc>
              <w:tc>
                <w:tcPr>
                  <w:tcW w:w="1787"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35m</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）厂界无组织粉尘</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本项目运营期无组织粉尘主要是生物质</w:t>
            </w:r>
            <w:r>
              <w:rPr>
                <w:rFonts w:hint="eastAsia" w:cs="Times New Roman"/>
                <w:color w:val="auto"/>
                <w:sz w:val="24"/>
                <w:szCs w:val="24"/>
                <w:highlight w:val="none"/>
                <w:lang w:val="en-US" w:eastAsia="zh-CN"/>
              </w:rPr>
              <w:t>燃料</w:t>
            </w:r>
            <w:r>
              <w:rPr>
                <w:rFonts w:hint="default" w:ascii="Times New Roman" w:hAnsi="Times New Roman" w:cs="Times New Roman"/>
                <w:color w:val="auto"/>
                <w:sz w:val="24"/>
                <w:szCs w:val="24"/>
                <w:highlight w:val="none"/>
                <w:lang w:val="en-US" w:eastAsia="zh-CN"/>
              </w:rPr>
              <w:t>装卸</w:t>
            </w:r>
            <w:r>
              <w:rPr>
                <w:rFonts w:hint="eastAsia" w:cs="Times New Roman"/>
                <w:color w:val="auto"/>
                <w:sz w:val="24"/>
                <w:szCs w:val="24"/>
                <w:highlight w:val="none"/>
                <w:lang w:val="en-US" w:eastAsia="zh-CN"/>
              </w:rPr>
              <w:t>储存</w:t>
            </w:r>
            <w:r>
              <w:rPr>
                <w:rFonts w:hint="default" w:ascii="Times New Roman" w:hAnsi="Times New Roman" w:cs="Times New Roman"/>
                <w:color w:val="auto"/>
                <w:sz w:val="24"/>
                <w:szCs w:val="24"/>
                <w:highlight w:val="none"/>
                <w:lang w:val="en-US" w:eastAsia="zh-CN"/>
              </w:rPr>
              <w:t>、灰渣装卸</w:t>
            </w:r>
            <w:r>
              <w:rPr>
                <w:rFonts w:hint="eastAsia" w:cs="Times New Roman"/>
                <w:color w:val="auto"/>
                <w:sz w:val="24"/>
                <w:szCs w:val="24"/>
                <w:highlight w:val="none"/>
                <w:lang w:val="en-US" w:eastAsia="zh-CN"/>
              </w:rPr>
              <w:t>储存</w:t>
            </w:r>
            <w:r>
              <w:rPr>
                <w:rFonts w:hint="default" w:ascii="Times New Roman" w:hAnsi="Times New Roman" w:cs="Times New Roman"/>
                <w:color w:val="auto"/>
                <w:sz w:val="24"/>
                <w:szCs w:val="24"/>
                <w:highlight w:val="none"/>
                <w:lang w:val="en-US" w:eastAsia="zh-CN"/>
              </w:rPr>
              <w:t>过程中产生的少量颗粒物。运营期项目无组织颗粒物排放执行《大气污染物综合排放标准》（GB16297-1996）表2无组织排放监控浓度限值，周界外浓度最高点1.0mg/m³。</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废水排放标准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本项目施工期主要以锅炉设备及配套除尘设施安装为主，不涉及土建工程。施工期产生的</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主要是</w:t>
            </w:r>
            <w:r>
              <w:rPr>
                <w:rFonts w:hint="default" w:ascii="Times New Roman" w:hAnsi="Times New Roman" w:eastAsia="宋体" w:cs="Times New Roman"/>
                <w:color w:val="auto"/>
                <w:sz w:val="24"/>
                <w:szCs w:val="24"/>
                <w:highlight w:val="none"/>
                <w:lang w:val="en-US" w:eastAsia="zh-CN"/>
              </w:rPr>
              <w:t>施工人员</w:t>
            </w:r>
            <w:r>
              <w:rPr>
                <w:rFonts w:hint="eastAsia" w:cs="Times New Roman"/>
                <w:color w:val="auto"/>
                <w:sz w:val="24"/>
                <w:szCs w:val="24"/>
                <w:highlight w:val="none"/>
                <w:lang w:val="en-US" w:eastAsia="zh-CN"/>
              </w:rPr>
              <w:t>洗手、冲厕废水，施工人员如厕利用服务企业现有卫生间，本项目不设施工期废水排放标准。</w:t>
            </w:r>
            <w:r>
              <w:rPr>
                <w:rFonts w:hint="eastAsia" w:ascii="Times New Roman" w:hAnsi="Times New Roman" w:eastAsia="宋体" w:cs="Times New Roman"/>
                <w:color w:val="auto"/>
                <w:sz w:val="24"/>
                <w:szCs w:val="24"/>
                <w:highlight w:val="none"/>
                <w:lang w:val="en-US" w:eastAsia="zh-CN"/>
              </w:rPr>
              <w:t>项目主要在运营期产生</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57" w:firstLineChars="200"/>
              <w:textAlignment w:val="auto"/>
              <w:rPr>
                <w:rFonts w:hint="eastAsia"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（1）生产废水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bCs/>
                <w:color w:val="auto"/>
                <w:spacing w:val="-6"/>
                <w:sz w:val="24"/>
                <w:szCs w:val="24"/>
                <w:highlight w:val="none"/>
                <w:lang w:val="en-US" w:eastAsia="zh-CN"/>
              </w:rPr>
            </w:pPr>
            <w:r>
              <w:rPr>
                <w:rFonts w:hint="eastAsia" w:ascii="Times New Roman" w:hAnsi="Times New Roman" w:eastAsia="宋体" w:cs="Times New Roman"/>
                <w:bCs/>
                <w:color w:val="auto"/>
                <w:spacing w:val="-6"/>
                <w:sz w:val="24"/>
                <w:szCs w:val="24"/>
                <w:highlight w:val="none"/>
                <w:lang w:val="en-US" w:eastAsia="zh-CN"/>
              </w:rPr>
              <w:t>项目运营期产生的软水制备废水及锅炉排污水接入烟气蒸发器用于降低烟气温度，蒸发处理，不外排</w:t>
            </w:r>
            <w:r>
              <w:rPr>
                <w:rFonts w:hint="eastAsia" w:cs="Times New Roman"/>
                <w:bCs/>
                <w:color w:val="auto"/>
                <w:spacing w:val="-6"/>
                <w:sz w:val="24"/>
                <w:szCs w:val="24"/>
                <w:highlight w:val="none"/>
                <w:lang w:val="en-US" w:eastAsia="zh-CN"/>
              </w:rPr>
              <w:t>。</w:t>
            </w:r>
            <w:r>
              <w:rPr>
                <w:rFonts w:hint="eastAsia" w:cs="Times New Roman"/>
                <w:color w:val="auto"/>
                <w:sz w:val="24"/>
                <w:szCs w:val="24"/>
                <w:highlight w:val="none"/>
                <w:lang w:val="en-US" w:eastAsia="zh-CN"/>
              </w:rPr>
              <w:t>因此，本项目不设生产废水排放标准</w:t>
            </w:r>
            <w:r>
              <w:rPr>
                <w:rFonts w:hint="eastAsia" w:ascii="Times New Roman" w:hAnsi="Times New Roman" w:eastAsia="宋体" w:cs="Times New Roman"/>
                <w:bCs/>
                <w:color w:val="auto"/>
                <w:spacing w:val="-6"/>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57" w:firstLineChars="200"/>
              <w:textAlignment w:val="auto"/>
              <w:rPr>
                <w:rFonts w:hint="default" w:ascii="Times New Roman" w:hAnsi="Times New Roman" w:eastAsia="宋体"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（2）生活污水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color w:val="auto"/>
                <w:spacing w:val="-6"/>
                <w:sz w:val="24"/>
                <w:szCs w:val="24"/>
                <w:highlight w:val="none"/>
                <w:lang w:val="en-US" w:eastAsia="zh-CN"/>
              </w:rPr>
              <w:t>海大供热点及特驱供热点生活设施</w:t>
            </w:r>
            <w:r>
              <w:rPr>
                <w:rFonts w:hint="eastAsia" w:cs="Times New Roman"/>
                <w:bCs/>
                <w:color w:val="auto"/>
                <w:spacing w:val="-6"/>
                <w:sz w:val="24"/>
                <w:szCs w:val="24"/>
                <w:highlight w:val="none"/>
                <w:lang w:val="en-US" w:eastAsia="zh-CN"/>
              </w:rPr>
              <w:t>依托</w:t>
            </w:r>
            <w:r>
              <w:rPr>
                <w:rFonts w:hint="eastAsia" w:ascii="Times New Roman" w:hAnsi="Times New Roman" w:eastAsia="宋体" w:cs="Times New Roman"/>
                <w:bCs/>
                <w:color w:val="auto"/>
                <w:spacing w:val="-6"/>
                <w:sz w:val="24"/>
                <w:szCs w:val="24"/>
                <w:highlight w:val="none"/>
                <w:lang w:val="en-US" w:eastAsia="zh-CN"/>
              </w:rPr>
              <w:t>昆明特驱饲料有限公司建成的生活设施，产生的生活污水由昆明特驱饲料有限公司已建成并验收的生活污水处理设施处理</w:t>
            </w:r>
            <w:r>
              <w:rPr>
                <w:rFonts w:hint="eastAsia" w:cs="Times New Roman"/>
                <w:bCs/>
                <w:color w:val="auto"/>
                <w:spacing w:val="-6"/>
                <w:sz w:val="24"/>
                <w:szCs w:val="24"/>
                <w:highlight w:val="none"/>
                <w:lang w:val="en-US" w:eastAsia="zh-CN"/>
              </w:rPr>
              <w:t>；</w:t>
            </w:r>
            <w:r>
              <w:rPr>
                <w:rFonts w:hint="eastAsia" w:ascii="Times New Roman" w:hAnsi="Times New Roman" w:eastAsia="宋体" w:cs="Times New Roman"/>
                <w:bCs/>
                <w:color w:val="auto"/>
                <w:spacing w:val="-6"/>
                <w:sz w:val="24"/>
                <w:szCs w:val="24"/>
                <w:highlight w:val="none"/>
                <w:lang w:val="en-US" w:eastAsia="zh-CN"/>
              </w:rPr>
              <w:t>漓源供热点生活设施依托</w:t>
            </w:r>
            <w:r>
              <w:rPr>
                <w:rFonts w:hint="eastAsia" w:ascii="Times New Roman" w:hAnsi="Times New Roman" w:eastAsia="宋体" w:cs="Times New Roman"/>
                <w:bCs/>
                <w:color w:val="auto"/>
                <w:spacing w:val="-6"/>
                <w:sz w:val="24"/>
                <w:szCs w:val="24"/>
                <w:highlight w:val="none"/>
                <w:lang w:val="en-US" w:eastAsia="zh-CN"/>
              </w:rPr>
              <w:fldChar w:fldCharType="begin"/>
            </w:r>
            <w:r>
              <w:rPr>
                <w:rFonts w:hint="eastAsia" w:ascii="Times New Roman" w:hAnsi="Times New Roman" w:eastAsia="宋体" w:cs="Times New Roman"/>
                <w:bCs/>
                <w:color w:val="auto"/>
                <w:spacing w:val="-6"/>
                <w:sz w:val="24"/>
                <w:szCs w:val="24"/>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bCs/>
                <w:color w:val="auto"/>
                <w:spacing w:val="-6"/>
                <w:sz w:val="24"/>
                <w:szCs w:val="24"/>
                <w:highlight w:val="none"/>
                <w:lang w:val="en-US" w:eastAsia="zh-CN"/>
              </w:rPr>
              <w:fldChar w:fldCharType="separate"/>
            </w:r>
            <w:r>
              <w:rPr>
                <w:rFonts w:hint="eastAsia" w:ascii="Times New Roman" w:hAnsi="Times New Roman" w:eastAsia="宋体" w:cs="Times New Roman"/>
                <w:bCs/>
                <w:color w:val="auto"/>
                <w:spacing w:val="-6"/>
                <w:sz w:val="24"/>
                <w:szCs w:val="24"/>
                <w:highlight w:val="none"/>
                <w:lang w:val="en-US" w:eastAsia="zh-CN"/>
              </w:rPr>
              <w:t>昆明漓源饲料有限公司</w:t>
            </w:r>
            <w:r>
              <w:rPr>
                <w:rFonts w:hint="eastAsia" w:ascii="Times New Roman" w:hAnsi="Times New Roman" w:eastAsia="宋体" w:cs="Times New Roman"/>
                <w:bCs/>
                <w:color w:val="auto"/>
                <w:spacing w:val="-6"/>
                <w:sz w:val="24"/>
                <w:szCs w:val="24"/>
                <w:highlight w:val="none"/>
                <w:lang w:val="en-US" w:eastAsia="zh-CN"/>
              </w:rPr>
              <w:fldChar w:fldCharType="end"/>
            </w:r>
            <w:r>
              <w:rPr>
                <w:rFonts w:hint="eastAsia" w:ascii="Times New Roman" w:hAnsi="Times New Roman" w:eastAsia="宋体" w:cs="Times New Roman"/>
                <w:bCs/>
                <w:color w:val="auto"/>
                <w:spacing w:val="-6"/>
                <w:sz w:val="24"/>
                <w:szCs w:val="24"/>
                <w:highlight w:val="none"/>
                <w:lang w:val="en-US" w:eastAsia="zh-CN"/>
              </w:rPr>
              <w:t>建成的生活设施，产生的生活污水由</w:t>
            </w:r>
            <w:r>
              <w:rPr>
                <w:rFonts w:hint="eastAsia" w:ascii="Times New Roman" w:hAnsi="Times New Roman" w:eastAsia="宋体" w:cs="Times New Roman"/>
                <w:bCs/>
                <w:color w:val="auto"/>
                <w:spacing w:val="-6"/>
                <w:sz w:val="24"/>
                <w:szCs w:val="24"/>
                <w:highlight w:val="none"/>
                <w:lang w:val="en-US" w:eastAsia="zh-CN"/>
              </w:rPr>
              <w:fldChar w:fldCharType="begin"/>
            </w:r>
            <w:r>
              <w:rPr>
                <w:rFonts w:hint="eastAsia" w:ascii="Times New Roman" w:hAnsi="Times New Roman" w:eastAsia="宋体" w:cs="Times New Roman"/>
                <w:bCs/>
                <w:color w:val="auto"/>
                <w:spacing w:val="-6"/>
                <w:sz w:val="24"/>
                <w:szCs w:val="24"/>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bCs/>
                <w:color w:val="auto"/>
                <w:spacing w:val="-6"/>
                <w:sz w:val="24"/>
                <w:szCs w:val="24"/>
                <w:highlight w:val="none"/>
                <w:lang w:val="en-US" w:eastAsia="zh-CN"/>
              </w:rPr>
              <w:fldChar w:fldCharType="separate"/>
            </w:r>
            <w:r>
              <w:rPr>
                <w:rFonts w:hint="eastAsia" w:ascii="Times New Roman" w:hAnsi="Times New Roman" w:eastAsia="宋体" w:cs="Times New Roman"/>
                <w:bCs/>
                <w:color w:val="auto"/>
                <w:spacing w:val="-6"/>
                <w:sz w:val="24"/>
                <w:szCs w:val="24"/>
                <w:highlight w:val="none"/>
                <w:lang w:val="en-US" w:eastAsia="zh-CN"/>
              </w:rPr>
              <w:t>昆明漓源饲料有限公司</w:t>
            </w:r>
            <w:r>
              <w:rPr>
                <w:rFonts w:hint="eastAsia" w:ascii="Times New Roman" w:hAnsi="Times New Roman" w:eastAsia="宋体" w:cs="Times New Roman"/>
                <w:bCs/>
                <w:color w:val="auto"/>
                <w:spacing w:val="-6"/>
                <w:sz w:val="24"/>
                <w:szCs w:val="24"/>
                <w:highlight w:val="none"/>
                <w:lang w:val="en-US" w:eastAsia="zh-CN"/>
              </w:rPr>
              <w:fldChar w:fldCharType="end"/>
            </w:r>
            <w:r>
              <w:rPr>
                <w:rFonts w:hint="eastAsia" w:ascii="Times New Roman" w:hAnsi="Times New Roman" w:eastAsia="宋体" w:cs="Times New Roman"/>
                <w:bCs/>
                <w:color w:val="auto"/>
                <w:spacing w:val="-6"/>
                <w:sz w:val="24"/>
                <w:szCs w:val="24"/>
                <w:highlight w:val="none"/>
                <w:lang w:val="en-US" w:eastAsia="zh-CN"/>
              </w:rPr>
              <w:t>已建成并验收的生活污水处理设施处理</w:t>
            </w:r>
            <w:r>
              <w:rPr>
                <w:rFonts w:hint="eastAsia" w:cs="Times New Roman"/>
                <w:bCs/>
                <w:color w:val="auto"/>
                <w:spacing w:val="-6"/>
                <w:sz w:val="24"/>
                <w:szCs w:val="24"/>
                <w:highlight w:val="none"/>
                <w:lang w:val="en-US" w:eastAsia="zh-CN"/>
              </w:rPr>
              <w:t>。</w:t>
            </w:r>
            <w:r>
              <w:rPr>
                <w:rFonts w:hint="eastAsia" w:cs="Times New Roman"/>
                <w:color w:val="auto"/>
                <w:sz w:val="24"/>
                <w:szCs w:val="24"/>
                <w:highlight w:val="none"/>
                <w:lang w:val="en-US" w:eastAsia="zh-CN"/>
              </w:rPr>
              <w:t>因此，本项目不设生活污水排放标准。</w:t>
            </w:r>
          </w:p>
          <w:p>
            <w:pPr>
              <w:pStyle w:val="74"/>
              <w:pageBreakBefore w:val="0"/>
              <w:widowControl w:val="0"/>
              <w:numPr>
                <w:ilvl w:val="2"/>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施工期噪声排放执行《建筑施工场界环境噪声排放标准》（GB12523-2011），排放限值见表3-</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建筑施工场界环境噪声排放标准 单位：dB（A）</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86"/>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249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eastAsia="zh-CN"/>
                    </w:rPr>
                    <w:t>昼间</w:t>
                  </w:r>
                </w:p>
              </w:tc>
              <w:tc>
                <w:tcPr>
                  <w:tcW w:w="25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249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eastAsia="zh-CN"/>
                    </w:rPr>
                    <w:t>70</w:t>
                  </w:r>
                </w:p>
              </w:tc>
              <w:tc>
                <w:tcPr>
                  <w:tcW w:w="25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eastAsia="zh-CN"/>
                    </w:rPr>
                    <w:t>55</w:t>
                  </w:r>
                </w:p>
              </w:tc>
            </w:tr>
          </w:tbl>
          <w:p>
            <w:pPr>
              <w:overflowPunct w:val="0"/>
              <w:topLinePunct/>
              <w:autoSpaceDE w:val="0"/>
              <w:autoSpaceDN w:val="0"/>
              <w:spacing w:line="360" w:lineRule="auto"/>
              <w:ind w:firstLine="481" w:firstLineChars="200"/>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（2）运营期</w:t>
            </w:r>
          </w:p>
          <w:p>
            <w:pPr>
              <w:overflowPunct w:val="0"/>
              <w:topLinePunct/>
              <w:autoSpaceDE w:val="0"/>
              <w:autoSpaceDN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eastAsia="zh-CN"/>
              </w:rPr>
              <w:t>项目</w:t>
            </w:r>
            <w:r>
              <w:rPr>
                <w:rFonts w:hint="eastAsia" w:ascii="Times New Roman" w:hAnsi="Times New Roman" w:eastAsia="宋体" w:cs="Times New Roman"/>
                <w:b w:val="0"/>
                <w:bCs/>
                <w:color w:val="auto"/>
                <w:sz w:val="24"/>
                <w:highlight w:val="none"/>
                <w:lang w:eastAsia="zh-CN"/>
              </w:rPr>
              <w:t>运营期噪声排放执行</w:t>
            </w:r>
            <w:r>
              <w:rPr>
                <w:rFonts w:hint="default" w:ascii="Times New Roman" w:hAnsi="Times New Roman" w:cs="Times New Roman"/>
                <w:b w:val="0"/>
                <w:bCs w:val="0"/>
                <w:color w:val="auto"/>
                <w:kern w:val="2"/>
                <w:sz w:val="24"/>
                <w:szCs w:val="24"/>
                <w:highlight w:val="none"/>
                <w:lang w:val="en-US" w:eastAsia="zh-CN" w:bidi="ar-SA"/>
              </w:rPr>
              <w:t>《工业企业厂界环境噪声排放标准》（GB12348-2008）</w:t>
            </w:r>
            <w:r>
              <w:rPr>
                <w:rFonts w:hint="eastAsia" w:ascii="Times New Roman" w:hAnsi="Times New Roman" w:cs="Times New Roman"/>
                <w:b w:val="0"/>
                <w:bCs w:val="0"/>
                <w:color w:val="auto"/>
                <w:kern w:val="2"/>
                <w:sz w:val="24"/>
                <w:szCs w:val="24"/>
                <w:highlight w:val="none"/>
                <w:lang w:val="en-US" w:eastAsia="zh-CN" w:bidi="ar-SA"/>
              </w:rPr>
              <w:t>中</w:t>
            </w:r>
            <w:r>
              <w:rPr>
                <w:rFonts w:hint="eastAsia" w:cs="Times New Roman"/>
                <w:b w:val="0"/>
                <w:bCs w:val="0"/>
                <w:color w:val="auto"/>
                <w:kern w:val="2"/>
                <w:sz w:val="24"/>
                <w:szCs w:val="24"/>
                <w:highlight w:val="none"/>
                <w:lang w:val="en-US" w:eastAsia="zh-CN" w:bidi="ar-SA"/>
              </w:rPr>
              <w:t>3</w:t>
            </w:r>
            <w:r>
              <w:rPr>
                <w:rFonts w:hint="default" w:ascii="Times New Roman" w:hAnsi="Times New Roman" w:cs="Times New Roman"/>
                <w:b w:val="0"/>
                <w:bCs w:val="0"/>
                <w:color w:val="auto"/>
                <w:kern w:val="2"/>
                <w:sz w:val="24"/>
                <w:szCs w:val="24"/>
                <w:highlight w:val="none"/>
                <w:lang w:val="en-US" w:eastAsia="zh-CN" w:bidi="ar-SA"/>
              </w:rPr>
              <w:t>类标准</w:t>
            </w:r>
            <w:r>
              <w:rPr>
                <w:rFonts w:hint="eastAsia" w:cs="Times New Roman"/>
                <w:b w:val="0"/>
                <w:bCs w:val="0"/>
                <w:color w:val="auto"/>
                <w:kern w:val="2"/>
                <w:sz w:val="24"/>
                <w:szCs w:val="24"/>
                <w:highlight w:val="none"/>
                <w:lang w:val="en-US" w:eastAsia="zh-CN" w:bidi="ar-SA"/>
              </w:rPr>
              <w:t>，</w:t>
            </w:r>
            <w:r>
              <w:rPr>
                <w:rFonts w:hint="eastAsia" w:ascii="Times New Roman" w:hAnsi="Times New Roman" w:cs="Times New Roman"/>
                <w:b w:val="0"/>
                <w:bCs w:val="0"/>
                <w:color w:val="auto"/>
                <w:kern w:val="2"/>
                <w:sz w:val="24"/>
                <w:szCs w:val="24"/>
                <w:highlight w:val="none"/>
                <w:lang w:val="en-US" w:eastAsia="zh-CN" w:bidi="ar-SA"/>
              </w:rPr>
              <w:t>标准限值见表</w:t>
            </w:r>
            <w:r>
              <w:rPr>
                <w:rFonts w:hint="eastAsia" w:cs="Times New Roman"/>
                <w:b w:val="0"/>
                <w:bCs w:val="0"/>
                <w:color w:val="auto"/>
                <w:kern w:val="2"/>
                <w:sz w:val="24"/>
                <w:szCs w:val="24"/>
                <w:highlight w:val="none"/>
                <w:lang w:val="en-US" w:eastAsia="zh-CN" w:bidi="ar-SA"/>
              </w:rPr>
              <w:t>3-5</w:t>
            </w:r>
            <w:r>
              <w:rPr>
                <w:rFonts w:hint="eastAsia" w:ascii="Times New Roman" w:hAnsi="Times New Roman" w:cs="Times New Roman"/>
                <w:b w:val="0"/>
                <w:bCs w:val="0"/>
                <w:color w:val="auto"/>
                <w:kern w:val="2"/>
                <w:sz w:val="24"/>
                <w:szCs w:val="24"/>
                <w:highlight w:val="none"/>
                <w:lang w:val="en-US" w:eastAsia="zh-CN" w:bidi="ar-SA"/>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工业企业厂界环境噪声排放标准单位：dB（A）</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6"/>
              <w:gridCol w:w="2603"/>
              <w:gridCol w:w="3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jc w:val="center"/>
              </w:trPr>
              <w:tc>
                <w:tcPr>
                  <w:tcW w:w="170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cs="Times New Roman"/>
                      <w:b w:val="0"/>
                      <w:bCs w:val="0"/>
                      <w:color w:val="auto"/>
                      <w:kern w:val="0"/>
                      <w:sz w:val="21"/>
                      <w:szCs w:val="21"/>
                      <w:highlight w:val="none"/>
                      <w:lang w:eastAsia="zh-CN"/>
                    </w:rPr>
                    <w:t>厂界</w:t>
                  </w:r>
                </w:p>
              </w:tc>
              <w:tc>
                <w:tcPr>
                  <w:tcW w:w="3298"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cs="Times New Roman"/>
                      <w:b w:val="0"/>
                      <w:bCs w:val="0"/>
                      <w:color w:val="auto"/>
                      <w:kern w:val="0"/>
                      <w:sz w:val="21"/>
                      <w:szCs w:val="21"/>
                      <w:highlight w:val="none"/>
                      <w:lang w:eastAsia="zh-CN"/>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70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rPr>
                  </w:pPr>
                </w:p>
              </w:tc>
              <w:tc>
                <w:tcPr>
                  <w:tcW w:w="14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昼间</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7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3类</w:t>
                  </w:r>
                </w:p>
              </w:tc>
              <w:tc>
                <w:tcPr>
                  <w:tcW w:w="14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65</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55</w:t>
                  </w: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4、固体废物</w:t>
            </w:r>
          </w:p>
          <w:p>
            <w:pPr>
              <w:spacing w:line="360" w:lineRule="auto"/>
              <w:ind w:firstLine="480" w:firstLineChars="200"/>
              <w:rPr>
                <w:rFonts w:hint="default" w:ascii="Times New Roman" w:hAnsi="Times New Roman" w:cs="Times New Roman"/>
                <w:color w:val="auto"/>
                <w:kern w:val="0"/>
                <w:szCs w:val="21"/>
                <w:highlight w:val="none"/>
              </w:rPr>
            </w:pPr>
            <w:r>
              <w:rPr>
                <w:rFonts w:hint="eastAsia" w:ascii="Times New Roman" w:hAnsi="Times New Roman" w:eastAsia="宋体" w:cs="Times New Roman"/>
                <w:bCs/>
                <w:color w:val="auto"/>
                <w:sz w:val="24"/>
                <w:szCs w:val="24"/>
                <w:highlight w:val="none"/>
                <w:lang w:val="en-US" w:eastAsia="zh-CN"/>
              </w:rPr>
              <w:t>一般工业固体废物暂存、处置执行《一般工业固体废物贮存和填埋污染控制标准》（GB18599-2020）；危险废物贮存、处置执行《危险废物贮存污染控制标准》（GB18597-2023）。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7" w:type="dxa"/>
            <w:noWrap w:val="0"/>
            <w:vAlign w:val="center"/>
          </w:tcPr>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总量</w:t>
            </w:r>
          </w:p>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控制</w:t>
            </w:r>
          </w:p>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指标</w:t>
            </w:r>
          </w:p>
        </w:tc>
        <w:tc>
          <w:tcPr>
            <w:tcW w:w="9001" w:type="dxa"/>
            <w:noWrap w:val="0"/>
            <w:vAlign w:val="center"/>
          </w:tcPr>
          <w:p>
            <w:pPr>
              <w:overflowPunct w:val="0"/>
              <w:topLinePunct/>
              <w:autoSpaceDE w:val="0"/>
              <w:autoSpaceDN w:val="0"/>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根据《云南省</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十四五</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节能减排综合工作实施方案》，</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十四五</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期间将主要水污染物化学需氧量、氨氮和主要气污染物氮氧化物、挥发性有机物等4项污染物纳入减排范围，作为约束性指标逐级下达并考核。通过计算，本项目总量控制指标如下：</w:t>
            </w:r>
          </w:p>
          <w:p>
            <w:pPr>
              <w:spacing w:line="360" w:lineRule="auto"/>
              <w:ind w:firstLine="481" w:firstLineChars="200"/>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1、废水</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本项目废水不外排，不设总量控制指标。</w:t>
            </w:r>
          </w:p>
          <w:p>
            <w:pPr>
              <w:spacing w:line="360" w:lineRule="auto"/>
              <w:ind w:firstLine="481" w:firstLineChars="200"/>
              <w:rPr>
                <w:rFonts w:hint="eastAsia" w:eastAsia="宋体"/>
                <w:b/>
                <w:bCs/>
                <w:color w:val="auto"/>
                <w:sz w:val="24"/>
                <w:szCs w:val="22"/>
                <w:highlight w:val="none"/>
                <w:lang w:val="en-US" w:eastAsia="zh-CN"/>
              </w:rPr>
            </w:pPr>
            <w:r>
              <w:rPr>
                <w:rFonts w:hint="eastAsia"/>
                <w:b/>
                <w:bCs/>
                <w:color w:val="auto"/>
                <w:sz w:val="24"/>
                <w:szCs w:val="22"/>
                <w:highlight w:val="none"/>
                <w:lang w:val="en-US" w:eastAsia="zh-CN"/>
              </w:rPr>
              <w:t>2、废气</w:t>
            </w:r>
          </w:p>
          <w:p>
            <w:pPr>
              <w:pStyle w:val="60"/>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kern w:val="2"/>
                <w:sz w:val="24"/>
                <w:szCs w:val="21"/>
                <w:highlight w:val="none"/>
                <w:lang w:val="en-US" w:eastAsia="zh-CN" w:bidi="ar-SA"/>
              </w:rPr>
            </w:pPr>
            <w:r>
              <w:rPr>
                <w:rFonts w:hint="eastAsia" w:cs="Times New Roman"/>
                <w:b w:val="0"/>
                <w:bCs/>
                <w:color w:val="auto"/>
                <w:kern w:val="2"/>
                <w:sz w:val="24"/>
                <w:szCs w:val="21"/>
                <w:highlight w:val="none"/>
                <w:lang w:val="en-US" w:eastAsia="zh-CN" w:bidi="ar-SA"/>
              </w:rPr>
              <w:t>海大供热点DA001：</w:t>
            </w:r>
            <w:r>
              <w:rPr>
                <w:rFonts w:hint="eastAsia" w:ascii="Times New Roman" w:hAnsi="Times New Roman" w:eastAsia="宋体" w:cs="Times New Roman"/>
                <w:b w:val="0"/>
                <w:bCs/>
                <w:color w:val="auto"/>
                <w:kern w:val="2"/>
                <w:sz w:val="24"/>
                <w:szCs w:val="21"/>
                <w:highlight w:val="none"/>
                <w:lang w:val="en-US" w:eastAsia="zh-CN" w:bidi="ar-SA"/>
              </w:rPr>
              <w:t>废气排放量为26736万N</w:t>
            </w:r>
            <w:r>
              <w:rPr>
                <w:rFonts w:hint="default" w:ascii="Times New Roman" w:hAnsi="Times New Roman" w:eastAsia="宋体" w:cs="Times New Roman"/>
                <w:b w:val="0"/>
                <w:bCs/>
                <w:color w:val="auto"/>
                <w:kern w:val="2"/>
                <w:sz w:val="24"/>
                <w:szCs w:val="21"/>
                <w:highlight w:val="none"/>
                <w:lang w:val="en-US" w:eastAsia="zh-CN" w:bidi="ar-SA"/>
              </w:rPr>
              <w:t>m</w:t>
            </w:r>
            <w:r>
              <w:rPr>
                <w:rFonts w:hint="default" w:ascii="Times New Roman" w:hAnsi="Times New Roman" w:cs="Times New Roman"/>
                <w:b w:val="0"/>
                <w:bCs/>
                <w:color w:val="auto"/>
                <w:kern w:val="2"/>
                <w:sz w:val="24"/>
                <w:szCs w:val="21"/>
                <w:highlight w:val="none"/>
                <w:lang w:val="en-US" w:eastAsia="zh-CN" w:bidi="ar-SA"/>
              </w:rPr>
              <w:t>³</w:t>
            </w:r>
            <w:r>
              <w:rPr>
                <w:rFonts w:hint="eastAsia" w:ascii="Times New Roman" w:hAnsi="Times New Roman" w:eastAsia="宋体" w:cs="Times New Roman"/>
                <w:b w:val="0"/>
                <w:bCs/>
                <w:color w:val="auto"/>
                <w:kern w:val="2"/>
                <w:sz w:val="24"/>
                <w:szCs w:val="21"/>
                <w:highlight w:val="none"/>
                <w:lang w:val="en-US" w:eastAsia="zh-CN" w:bidi="ar-SA"/>
              </w:rPr>
              <w:t>/a，</w:t>
            </w:r>
            <w:r>
              <w:rPr>
                <w:rFonts w:hint="eastAsia" w:cs="Times New Roman"/>
                <w:b w:val="0"/>
                <w:bCs/>
                <w:color w:val="auto"/>
                <w:kern w:val="2"/>
                <w:sz w:val="24"/>
                <w:szCs w:val="21"/>
                <w:highlight w:val="none"/>
                <w:lang w:val="en-US" w:eastAsia="zh-CN" w:bidi="ar-SA"/>
              </w:rPr>
              <w:t>有组织</w:t>
            </w:r>
            <w:r>
              <w:rPr>
                <w:rFonts w:hint="eastAsia" w:ascii="Times New Roman" w:hAnsi="Times New Roman" w:eastAsia="宋体" w:cs="Times New Roman"/>
                <w:b w:val="0"/>
                <w:bCs/>
                <w:color w:val="auto"/>
                <w:kern w:val="2"/>
                <w:sz w:val="24"/>
                <w:szCs w:val="21"/>
                <w:highlight w:val="none"/>
                <w:lang w:val="en-US" w:eastAsia="zh-CN" w:bidi="ar-SA"/>
              </w:rPr>
              <w:t>颗粒物排放量为12.37t/a、SO</w:t>
            </w:r>
            <w:r>
              <w:rPr>
                <w:rFonts w:hint="eastAsia" w:ascii="Times New Roman" w:hAnsi="Times New Roman" w:eastAsia="宋体" w:cs="Times New Roman"/>
                <w:b w:val="0"/>
                <w:bCs/>
                <w:color w:val="auto"/>
                <w:kern w:val="2"/>
                <w:sz w:val="24"/>
                <w:szCs w:val="21"/>
                <w:highlight w:val="none"/>
                <w:vertAlign w:val="subscript"/>
                <w:lang w:val="en-US" w:eastAsia="zh-CN" w:bidi="ar-SA"/>
              </w:rPr>
              <w:t>2</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14.57</w:t>
            </w:r>
            <w:r>
              <w:rPr>
                <w:rFonts w:hint="eastAsia" w:ascii="Times New Roman" w:hAnsi="Times New Roman" w:eastAsia="宋体" w:cs="Times New Roman"/>
                <w:b w:val="0"/>
                <w:bCs/>
                <w:color w:val="auto"/>
                <w:kern w:val="2"/>
                <w:sz w:val="24"/>
                <w:szCs w:val="21"/>
                <w:highlight w:val="none"/>
                <w:lang w:val="en-US" w:eastAsia="zh-CN" w:bidi="ar-SA"/>
              </w:rPr>
              <w:t>t/a、NO</w:t>
            </w:r>
            <w:r>
              <w:rPr>
                <w:rFonts w:hint="eastAsia" w:cs="Times New Roman"/>
                <w:b w:val="0"/>
                <w:bCs/>
                <w:color w:val="auto"/>
                <w:kern w:val="2"/>
                <w:sz w:val="24"/>
                <w:szCs w:val="21"/>
                <w:highlight w:val="none"/>
                <w:lang w:val="en-US" w:eastAsia="zh-CN" w:bidi="ar-SA"/>
              </w:rPr>
              <w:t>x</w:t>
            </w:r>
            <w:r>
              <w:rPr>
                <w:rFonts w:hint="eastAsia" w:ascii="Times New Roman" w:hAnsi="Times New Roman" w:eastAsia="宋体" w:cs="Times New Roman"/>
                <w:b w:val="0"/>
                <w:bCs/>
                <w:color w:val="auto"/>
                <w:kern w:val="2"/>
                <w:sz w:val="24"/>
                <w:szCs w:val="21"/>
                <w:highlight w:val="none"/>
                <w:lang w:val="en-US" w:eastAsia="zh-CN" w:bidi="ar-SA"/>
              </w:rPr>
              <w:t>排放量为43.7t/a</w:t>
            </w:r>
            <w:r>
              <w:rPr>
                <w:rFonts w:hint="eastAsia" w:cs="Times New Roman"/>
                <w:b w:val="0"/>
                <w:bCs/>
                <w:color w:val="auto"/>
                <w:kern w:val="2"/>
                <w:sz w:val="24"/>
                <w:szCs w:val="21"/>
                <w:highlight w:val="none"/>
                <w:lang w:val="en-US" w:eastAsia="zh-CN" w:bidi="ar-SA"/>
              </w:rPr>
              <w:t>，</w:t>
            </w:r>
            <w:r>
              <w:rPr>
                <w:rFonts w:hint="eastAsia" w:ascii="Times New Roman" w:hAnsi="Times New Roman" w:eastAsia="宋体" w:cs="Times New Roman"/>
                <w:b w:val="0"/>
                <w:bCs/>
                <w:color w:val="auto"/>
                <w:kern w:val="2"/>
                <w:sz w:val="24"/>
                <w:szCs w:val="21"/>
                <w:highlight w:val="none"/>
                <w:lang w:val="en-US" w:eastAsia="zh-CN" w:bidi="ar-SA"/>
              </w:rPr>
              <w:t>无组织颗粒物排放量为</w:t>
            </w:r>
            <w:r>
              <w:rPr>
                <w:rFonts w:hint="eastAsia" w:cs="Times New Roman"/>
                <w:b w:val="0"/>
                <w:bCs/>
                <w:color w:val="auto"/>
                <w:kern w:val="2"/>
                <w:sz w:val="24"/>
                <w:szCs w:val="21"/>
                <w:highlight w:val="none"/>
                <w:lang w:val="en-US" w:eastAsia="zh-CN" w:bidi="ar-SA"/>
              </w:rPr>
              <w:t>1.28</w:t>
            </w:r>
            <w:r>
              <w:rPr>
                <w:rFonts w:hint="eastAsia" w:ascii="Times New Roman" w:hAnsi="Times New Roman" w:eastAsia="宋体" w:cs="Times New Roman"/>
                <w:b w:val="0"/>
                <w:bCs/>
                <w:color w:val="auto"/>
                <w:kern w:val="2"/>
                <w:sz w:val="24"/>
                <w:szCs w:val="21"/>
                <w:highlight w:val="none"/>
                <w:lang w:val="en-US" w:eastAsia="zh-CN" w:bidi="ar-SA"/>
              </w:rPr>
              <w:t>t/a</w:t>
            </w:r>
            <w:r>
              <w:rPr>
                <w:rFonts w:hint="eastAsia" w:cs="Times New Roman"/>
                <w:b w:val="0"/>
                <w:bCs/>
                <w:color w:val="auto"/>
                <w:kern w:val="2"/>
                <w:sz w:val="24"/>
                <w:szCs w:val="21"/>
                <w:highlight w:val="none"/>
                <w:lang w:val="en-US" w:eastAsia="zh-CN" w:bidi="ar-SA"/>
              </w:rPr>
              <w:t>。</w:t>
            </w:r>
          </w:p>
          <w:p>
            <w:pPr>
              <w:pStyle w:val="60"/>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kern w:val="2"/>
                <w:sz w:val="24"/>
                <w:szCs w:val="21"/>
                <w:highlight w:val="none"/>
                <w:lang w:val="en-US" w:eastAsia="zh-CN" w:bidi="ar-SA"/>
              </w:rPr>
            </w:pPr>
            <w:r>
              <w:rPr>
                <w:rFonts w:hint="eastAsia" w:cs="Times New Roman"/>
                <w:b w:val="0"/>
                <w:bCs/>
                <w:color w:val="auto"/>
                <w:kern w:val="2"/>
                <w:sz w:val="24"/>
                <w:szCs w:val="21"/>
                <w:highlight w:val="none"/>
                <w:lang w:val="en-US" w:eastAsia="zh-CN" w:bidi="ar-SA"/>
              </w:rPr>
              <w:t>特驱供热点DA002：</w:t>
            </w:r>
            <w:r>
              <w:rPr>
                <w:rFonts w:hint="eastAsia" w:ascii="Times New Roman" w:hAnsi="Times New Roman" w:eastAsia="宋体" w:cs="Times New Roman"/>
                <w:b w:val="0"/>
                <w:bCs/>
                <w:color w:val="auto"/>
                <w:kern w:val="2"/>
                <w:sz w:val="24"/>
                <w:szCs w:val="21"/>
                <w:highlight w:val="none"/>
                <w:lang w:val="en-US" w:eastAsia="zh-CN" w:bidi="ar-SA"/>
              </w:rPr>
              <w:t>废气排放量为27635万N</w:t>
            </w:r>
            <w:r>
              <w:rPr>
                <w:rFonts w:hint="default" w:ascii="Times New Roman" w:hAnsi="Times New Roman" w:eastAsia="宋体" w:cs="Times New Roman"/>
                <w:b w:val="0"/>
                <w:bCs/>
                <w:color w:val="auto"/>
                <w:kern w:val="2"/>
                <w:sz w:val="24"/>
                <w:szCs w:val="21"/>
                <w:highlight w:val="none"/>
                <w:lang w:val="en-US" w:eastAsia="zh-CN" w:bidi="ar-SA"/>
              </w:rPr>
              <w:t>m</w:t>
            </w:r>
            <w:r>
              <w:rPr>
                <w:rFonts w:hint="default" w:ascii="Times New Roman" w:hAnsi="Times New Roman" w:cs="Times New Roman"/>
                <w:b w:val="0"/>
                <w:bCs/>
                <w:color w:val="auto"/>
                <w:kern w:val="2"/>
                <w:sz w:val="24"/>
                <w:szCs w:val="21"/>
                <w:highlight w:val="none"/>
                <w:lang w:val="en-US" w:eastAsia="zh-CN" w:bidi="ar-SA"/>
              </w:rPr>
              <w:t>³</w:t>
            </w:r>
            <w:r>
              <w:rPr>
                <w:rFonts w:hint="eastAsia" w:ascii="Times New Roman" w:hAnsi="Times New Roman" w:eastAsia="宋体" w:cs="Times New Roman"/>
                <w:b w:val="0"/>
                <w:bCs/>
                <w:color w:val="auto"/>
                <w:kern w:val="2"/>
                <w:sz w:val="24"/>
                <w:szCs w:val="21"/>
                <w:highlight w:val="none"/>
                <w:lang w:val="en-US" w:eastAsia="zh-CN" w:bidi="ar-SA"/>
              </w:rPr>
              <w:t>/a，</w:t>
            </w:r>
            <w:r>
              <w:rPr>
                <w:rFonts w:hint="eastAsia" w:cs="Times New Roman"/>
                <w:b w:val="0"/>
                <w:bCs/>
                <w:color w:val="auto"/>
                <w:kern w:val="2"/>
                <w:sz w:val="24"/>
                <w:szCs w:val="21"/>
                <w:highlight w:val="none"/>
                <w:lang w:val="en-US" w:eastAsia="zh-CN" w:bidi="ar-SA"/>
              </w:rPr>
              <w:t>有组织</w:t>
            </w:r>
            <w:r>
              <w:rPr>
                <w:rFonts w:hint="eastAsia" w:ascii="Times New Roman" w:hAnsi="Times New Roman" w:eastAsia="宋体" w:cs="Times New Roman"/>
                <w:b w:val="0"/>
                <w:bCs/>
                <w:color w:val="auto"/>
                <w:kern w:val="2"/>
                <w:sz w:val="24"/>
                <w:szCs w:val="21"/>
                <w:highlight w:val="none"/>
                <w:lang w:val="en-US" w:eastAsia="zh-CN" w:bidi="ar-SA"/>
              </w:rPr>
              <w:t>颗粒物排放量为12.79t/a、SO</w:t>
            </w:r>
            <w:r>
              <w:rPr>
                <w:rFonts w:hint="eastAsia" w:ascii="Times New Roman" w:hAnsi="Times New Roman" w:eastAsia="宋体" w:cs="Times New Roman"/>
                <w:b w:val="0"/>
                <w:bCs/>
                <w:color w:val="auto"/>
                <w:kern w:val="2"/>
                <w:sz w:val="24"/>
                <w:szCs w:val="21"/>
                <w:highlight w:val="none"/>
                <w:vertAlign w:val="subscript"/>
                <w:lang w:val="en-US" w:eastAsia="zh-CN" w:bidi="ar-SA"/>
              </w:rPr>
              <w:t>2</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15.06</w:t>
            </w:r>
            <w:r>
              <w:rPr>
                <w:rFonts w:hint="eastAsia" w:ascii="Times New Roman" w:hAnsi="Times New Roman" w:eastAsia="宋体" w:cs="Times New Roman"/>
                <w:b w:val="0"/>
                <w:bCs/>
                <w:color w:val="auto"/>
                <w:kern w:val="2"/>
                <w:sz w:val="24"/>
                <w:szCs w:val="21"/>
                <w:highlight w:val="none"/>
                <w:lang w:val="en-US" w:eastAsia="zh-CN" w:bidi="ar-SA"/>
              </w:rPr>
              <w:t>t/a、NO</w:t>
            </w:r>
            <w:r>
              <w:rPr>
                <w:rFonts w:hint="eastAsia" w:cs="Times New Roman"/>
                <w:b w:val="0"/>
                <w:bCs/>
                <w:color w:val="auto"/>
                <w:kern w:val="2"/>
                <w:sz w:val="24"/>
                <w:szCs w:val="21"/>
                <w:highlight w:val="none"/>
                <w:lang w:val="en-US" w:eastAsia="zh-CN" w:bidi="ar-SA"/>
              </w:rPr>
              <w:t>x</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45.17</w:t>
            </w:r>
            <w:r>
              <w:rPr>
                <w:rFonts w:hint="eastAsia" w:ascii="Times New Roman" w:hAnsi="Times New Roman" w:eastAsia="宋体" w:cs="Times New Roman"/>
                <w:b w:val="0"/>
                <w:bCs/>
                <w:color w:val="auto"/>
                <w:kern w:val="2"/>
                <w:sz w:val="24"/>
                <w:szCs w:val="21"/>
                <w:highlight w:val="none"/>
                <w:lang w:val="en-US" w:eastAsia="zh-CN" w:bidi="ar-SA"/>
              </w:rPr>
              <w:t>t/a</w:t>
            </w:r>
            <w:r>
              <w:rPr>
                <w:rFonts w:hint="eastAsia" w:cs="Times New Roman"/>
                <w:b w:val="0"/>
                <w:bCs/>
                <w:color w:val="auto"/>
                <w:kern w:val="2"/>
                <w:sz w:val="24"/>
                <w:szCs w:val="21"/>
                <w:highlight w:val="none"/>
                <w:lang w:val="en-US" w:eastAsia="zh-CN" w:bidi="ar-SA"/>
              </w:rPr>
              <w:t>，</w:t>
            </w:r>
            <w:r>
              <w:rPr>
                <w:rFonts w:hint="eastAsia" w:ascii="Times New Roman" w:hAnsi="Times New Roman" w:eastAsia="宋体" w:cs="Times New Roman"/>
                <w:b w:val="0"/>
                <w:bCs/>
                <w:color w:val="auto"/>
                <w:kern w:val="2"/>
                <w:sz w:val="24"/>
                <w:szCs w:val="21"/>
                <w:highlight w:val="none"/>
                <w:lang w:val="en-US" w:eastAsia="zh-CN" w:bidi="ar-SA"/>
              </w:rPr>
              <w:t>无组织颗粒物排放量为</w:t>
            </w:r>
            <w:r>
              <w:rPr>
                <w:rFonts w:hint="eastAsia" w:cs="Times New Roman"/>
                <w:b w:val="0"/>
                <w:bCs/>
                <w:color w:val="auto"/>
                <w:kern w:val="2"/>
                <w:sz w:val="24"/>
                <w:szCs w:val="21"/>
                <w:highlight w:val="none"/>
                <w:lang w:val="en-US" w:eastAsia="zh-CN" w:bidi="ar-SA"/>
              </w:rPr>
              <w:t>1.33</w:t>
            </w:r>
            <w:r>
              <w:rPr>
                <w:rFonts w:hint="eastAsia" w:ascii="Times New Roman" w:hAnsi="Times New Roman" w:eastAsia="宋体" w:cs="Times New Roman"/>
                <w:b w:val="0"/>
                <w:bCs/>
                <w:color w:val="auto"/>
                <w:kern w:val="2"/>
                <w:sz w:val="24"/>
                <w:szCs w:val="21"/>
                <w:highlight w:val="none"/>
                <w:lang w:val="en-US" w:eastAsia="zh-CN" w:bidi="ar-SA"/>
              </w:rPr>
              <w:t>t/a</w:t>
            </w:r>
            <w:r>
              <w:rPr>
                <w:rFonts w:hint="eastAsia" w:cs="Times New Roman"/>
                <w:b w:val="0"/>
                <w:bCs/>
                <w:color w:val="auto"/>
                <w:kern w:val="2"/>
                <w:sz w:val="24"/>
                <w:szCs w:val="21"/>
                <w:highlight w:val="none"/>
                <w:lang w:val="en-US" w:eastAsia="zh-CN" w:bidi="ar-SA"/>
              </w:rPr>
              <w:t>。</w:t>
            </w:r>
          </w:p>
          <w:p>
            <w:pPr>
              <w:pStyle w:val="60"/>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b/>
                <w:bCs/>
                <w:color w:val="auto"/>
                <w:sz w:val="24"/>
                <w:szCs w:val="22"/>
                <w:highlight w:val="none"/>
                <w:lang w:val="en-US" w:eastAsia="zh-CN"/>
              </w:rPr>
            </w:pPr>
            <w:r>
              <w:rPr>
                <w:rFonts w:hint="eastAsia" w:cs="Times New Roman"/>
                <w:b w:val="0"/>
                <w:bCs/>
                <w:color w:val="auto"/>
                <w:kern w:val="2"/>
                <w:sz w:val="24"/>
                <w:szCs w:val="21"/>
                <w:highlight w:val="none"/>
                <w:lang w:val="en-US" w:eastAsia="zh-CN" w:bidi="ar-SA"/>
              </w:rPr>
              <w:t>漓源供热点DA003：</w:t>
            </w:r>
            <w:r>
              <w:rPr>
                <w:rFonts w:hint="eastAsia" w:ascii="Times New Roman" w:hAnsi="Times New Roman" w:eastAsia="宋体" w:cs="Times New Roman"/>
                <w:b w:val="0"/>
                <w:bCs/>
                <w:color w:val="auto"/>
                <w:kern w:val="2"/>
                <w:sz w:val="24"/>
                <w:szCs w:val="21"/>
                <w:highlight w:val="none"/>
                <w:lang w:val="en-US" w:eastAsia="zh-CN" w:bidi="ar-SA"/>
              </w:rPr>
              <w:t>废气排放量为4222万N</w:t>
            </w:r>
            <w:r>
              <w:rPr>
                <w:rFonts w:hint="default" w:ascii="Times New Roman" w:hAnsi="Times New Roman" w:eastAsia="宋体" w:cs="Times New Roman"/>
                <w:b w:val="0"/>
                <w:bCs/>
                <w:color w:val="auto"/>
                <w:kern w:val="2"/>
                <w:sz w:val="24"/>
                <w:szCs w:val="21"/>
                <w:highlight w:val="none"/>
                <w:lang w:val="en-US" w:eastAsia="zh-CN" w:bidi="ar-SA"/>
              </w:rPr>
              <w:t>m</w:t>
            </w:r>
            <w:r>
              <w:rPr>
                <w:rFonts w:hint="default" w:ascii="Times New Roman" w:hAnsi="Times New Roman" w:cs="Times New Roman"/>
                <w:b w:val="0"/>
                <w:bCs/>
                <w:color w:val="auto"/>
                <w:kern w:val="2"/>
                <w:sz w:val="24"/>
                <w:szCs w:val="21"/>
                <w:highlight w:val="none"/>
                <w:lang w:val="en-US" w:eastAsia="zh-CN" w:bidi="ar-SA"/>
              </w:rPr>
              <w:t>³</w:t>
            </w:r>
            <w:r>
              <w:rPr>
                <w:rFonts w:hint="eastAsia" w:ascii="Times New Roman" w:hAnsi="Times New Roman" w:eastAsia="宋体" w:cs="Times New Roman"/>
                <w:b w:val="0"/>
                <w:bCs/>
                <w:color w:val="auto"/>
                <w:kern w:val="2"/>
                <w:sz w:val="24"/>
                <w:szCs w:val="21"/>
                <w:highlight w:val="none"/>
                <w:lang w:val="en-US" w:eastAsia="zh-CN" w:bidi="ar-SA"/>
              </w:rPr>
              <w:t>/a，</w:t>
            </w:r>
            <w:r>
              <w:rPr>
                <w:rFonts w:hint="eastAsia" w:cs="Times New Roman"/>
                <w:b w:val="0"/>
                <w:bCs/>
                <w:color w:val="auto"/>
                <w:kern w:val="2"/>
                <w:sz w:val="24"/>
                <w:szCs w:val="21"/>
                <w:highlight w:val="none"/>
                <w:lang w:val="en-US" w:eastAsia="zh-CN" w:bidi="ar-SA"/>
              </w:rPr>
              <w:t>有组织</w:t>
            </w:r>
            <w:r>
              <w:rPr>
                <w:rFonts w:hint="eastAsia" w:ascii="Times New Roman" w:hAnsi="Times New Roman" w:eastAsia="宋体" w:cs="Times New Roman"/>
                <w:b w:val="0"/>
                <w:bCs/>
                <w:color w:val="auto"/>
                <w:kern w:val="2"/>
                <w:sz w:val="24"/>
                <w:szCs w:val="21"/>
                <w:highlight w:val="none"/>
                <w:lang w:val="en-US" w:eastAsia="zh-CN" w:bidi="ar-SA"/>
              </w:rPr>
              <w:t>颗粒物排放量为1.95t/a、SO</w:t>
            </w:r>
            <w:r>
              <w:rPr>
                <w:rFonts w:hint="eastAsia" w:ascii="Times New Roman" w:hAnsi="Times New Roman" w:eastAsia="宋体" w:cs="Times New Roman"/>
                <w:b w:val="0"/>
                <w:bCs/>
                <w:color w:val="auto"/>
                <w:kern w:val="2"/>
                <w:sz w:val="24"/>
                <w:szCs w:val="21"/>
                <w:highlight w:val="none"/>
                <w:vertAlign w:val="subscript"/>
                <w:lang w:val="en-US" w:eastAsia="zh-CN" w:bidi="ar-SA"/>
              </w:rPr>
              <w:t>2</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2.3</w:t>
            </w:r>
            <w:r>
              <w:rPr>
                <w:rFonts w:hint="eastAsia" w:ascii="Times New Roman" w:hAnsi="Times New Roman" w:eastAsia="宋体" w:cs="Times New Roman"/>
                <w:b w:val="0"/>
                <w:bCs/>
                <w:color w:val="auto"/>
                <w:kern w:val="2"/>
                <w:sz w:val="24"/>
                <w:szCs w:val="21"/>
                <w:highlight w:val="none"/>
                <w:lang w:val="en-US" w:eastAsia="zh-CN" w:bidi="ar-SA"/>
              </w:rPr>
              <w:t>t/a、NO</w:t>
            </w:r>
            <w:r>
              <w:rPr>
                <w:rFonts w:hint="eastAsia" w:cs="Times New Roman"/>
                <w:b w:val="0"/>
                <w:bCs/>
                <w:color w:val="auto"/>
                <w:kern w:val="2"/>
                <w:sz w:val="24"/>
                <w:szCs w:val="21"/>
                <w:highlight w:val="none"/>
                <w:lang w:val="en-US" w:eastAsia="zh-CN" w:bidi="ar-SA"/>
              </w:rPr>
              <w:t>x</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6.9</w:t>
            </w:r>
            <w:r>
              <w:rPr>
                <w:rFonts w:hint="eastAsia" w:ascii="Times New Roman" w:hAnsi="Times New Roman" w:eastAsia="宋体" w:cs="Times New Roman"/>
                <w:b w:val="0"/>
                <w:bCs/>
                <w:color w:val="auto"/>
                <w:kern w:val="2"/>
                <w:sz w:val="24"/>
                <w:szCs w:val="21"/>
                <w:highlight w:val="none"/>
                <w:lang w:val="en-US" w:eastAsia="zh-CN" w:bidi="ar-SA"/>
              </w:rPr>
              <w:t>t/a</w:t>
            </w:r>
            <w:r>
              <w:rPr>
                <w:rFonts w:hint="eastAsia" w:cs="Times New Roman"/>
                <w:b w:val="0"/>
                <w:bCs/>
                <w:color w:val="auto"/>
                <w:kern w:val="2"/>
                <w:sz w:val="24"/>
                <w:szCs w:val="21"/>
                <w:highlight w:val="none"/>
                <w:lang w:val="en-US" w:eastAsia="zh-CN" w:bidi="ar-SA"/>
              </w:rPr>
              <w:t>，</w:t>
            </w:r>
            <w:r>
              <w:rPr>
                <w:rFonts w:hint="eastAsia" w:ascii="Times New Roman" w:hAnsi="Times New Roman" w:eastAsia="宋体" w:cs="Times New Roman"/>
                <w:b w:val="0"/>
                <w:bCs/>
                <w:color w:val="auto"/>
                <w:kern w:val="2"/>
                <w:sz w:val="24"/>
                <w:szCs w:val="21"/>
                <w:highlight w:val="none"/>
                <w:lang w:val="en-US" w:eastAsia="zh-CN" w:bidi="ar-SA"/>
              </w:rPr>
              <w:t>无组织颗粒物排放量为</w:t>
            </w:r>
            <w:r>
              <w:rPr>
                <w:rFonts w:hint="eastAsia" w:cs="Times New Roman"/>
                <w:b w:val="0"/>
                <w:bCs/>
                <w:color w:val="auto"/>
                <w:kern w:val="2"/>
                <w:sz w:val="24"/>
                <w:szCs w:val="21"/>
                <w:highlight w:val="none"/>
                <w:lang w:val="en-US" w:eastAsia="zh-CN" w:bidi="ar-SA"/>
              </w:rPr>
              <w:t>0.2</w:t>
            </w:r>
            <w:r>
              <w:rPr>
                <w:rFonts w:hint="eastAsia" w:ascii="Times New Roman" w:hAnsi="Times New Roman" w:eastAsia="宋体" w:cs="Times New Roman"/>
                <w:b w:val="0"/>
                <w:bCs/>
                <w:color w:val="auto"/>
                <w:kern w:val="2"/>
                <w:sz w:val="24"/>
                <w:szCs w:val="21"/>
                <w:highlight w:val="none"/>
                <w:lang w:val="en-US" w:eastAsia="zh-CN" w:bidi="ar-SA"/>
              </w:rPr>
              <w:t>t/a</w:t>
            </w:r>
            <w:r>
              <w:rPr>
                <w:rFonts w:hint="eastAsia" w:cs="Times New Roman"/>
                <w:b w:val="0"/>
                <w:bCs/>
                <w:color w:val="auto"/>
                <w:kern w:val="2"/>
                <w:sz w:val="24"/>
                <w:szCs w:val="21"/>
                <w:highlight w:val="none"/>
                <w:lang w:val="en-US" w:eastAsia="zh-CN" w:bidi="ar-SA"/>
              </w:rPr>
              <w:t>。</w:t>
            </w:r>
          </w:p>
        </w:tc>
      </w:tr>
    </w:tbl>
    <w:p>
      <w:pPr>
        <w:pStyle w:val="25"/>
        <w:jc w:val="center"/>
        <w:outlineLvl w:val="0"/>
        <w:rPr>
          <w:rFonts w:hint="default" w:ascii="Times New Roman" w:hAnsi="Times New Roman" w:eastAsia="黑体" w:cs="Times New Roman"/>
          <w:b/>
          <w:bCs/>
          <w:color w:val="auto"/>
          <w:kern w:val="44"/>
          <w:sz w:val="30"/>
          <w:szCs w:val="30"/>
          <w:highlight w:val="none"/>
          <w:lang w:val="en-US" w:eastAsia="zh-CN" w:bidi="ar-SA"/>
        </w:rPr>
      </w:pPr>
      <w:r>
        <w:rPr>
          <w:rFonts w:hint="default" w:ascii="Times New Roman" w:hAnsi="Times New Roman" w:eastAsia="黑体" w:cs="Times New Roman"/>
          <w:snapToGrid w:val="0"/>
          <w:color w:val="auto"/>
          <w:sz w:val="36"/>
          <w:szCs w:val="36"/>
          <w:highlight w:val="none"/>
        </w:rPr>
        <w:br w:type="page"/>
      </w:r>
      <w:bookmarkStart w:id="8" w:name="_Toc10754"/>
      <w:r>
        <w:rPr>
          <w:rFonts w:hint="default" w:ascii="Times New Roman" w:hAnsi="Times New Roman" w:eastAsia="黑体" w:cs="Times New Roman"/>
          <w:b/>
          <w:bCs/>
          <w:color w:val="auto"/>
          <w:kern w:val="44"/>
          <w:sz w:val="30"/>
          <w:szCs w:val="30"/>
          <w:highlight w:val="none"/>
          <w:lang w:val="en-US" w:eastAsia="zh-CN" w:bidi="ar-SA"/>
        </w:rPr>
        <w:t>四、主要环境影响和保护措施</w:t>
      </w:r>
      <w:bookmarkEnd w:id="8"/>
    </w:p>
    <w:tbl>
      <w:tblPr>
        <w:tblStyle w:val="29"/>
        <w:tblW w:w="96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91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4" w:type="dxa"/>
            <w:noWrap w:val="0"/>
            <w:tcMar>
              <w:left w:w="28" w:type="dxa"/>
              <w:right w:w="28" w:type="dxa"/>
            </w:tcMar>
            <w:vAlign w:val="center"/>
          </w:tcPr>
          <w:p>
            <w:pPr>
              <w:pStyle w:val="25"/>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施工</w:t>
            </w:r>
          </w:p>
          <w:p>
            <w:pPr>
              <w:pStyle w:val="25"/>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期环</w:t>
            </w:r>
          </w:p>
          <w:p>
            <w:pPr>
              <w:pStyle w:val="25"/>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境保</w:t>
            </w:r>
          </w:p>
          <w:p>
            <w:pPr>
              <w:pStyle w:val="25"/>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护措</w:t>
            </w:r>
          </w:p>
          <w:p>
            <w:pPr>
              <w:pStyle w:val="25"/>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施</w:t>
            </w:r>
          </w:p>
        </w:tc>
        <w:tc>
          <w:tcPr>
            <w:tcW w:w="9102" w:type="dxa"/>
            <w:noWrap w:val="0"/>
            <w:vAlign w:val="center"/>
          </w:tcPr>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施工期主要以2台锅炉设备及配套除尘器安装为主，不涉及土建工程。施工期产生的污染物主要是运输车辆尾气、施工器械燃油废气、施工人员生活污水、施工器械及运输车辆噪声、设备包装废料等垃圾。本项目施工期短，只要在施工过程采取合理的污染防治措施，随着施工期的结束环境影响也将消除。</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1、施工期大气环境保护措施</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施工机械、运输车辆消耗油料排放燃油烟气、车辆尾气。这些燃油产生的废气中主要的污染物为NOx、CO和THC等，主要集中在施工现场及运输途中，属于无组织排放。施工机械废气属低架点源无组织排放性质，具有间断性产生、产生量较小、产生点相对分散、易被稀释扩散等特点，一般情况下，施工机械和运输车辆所产生污染在空气中经自然扩散和稀释后，对项目周边的环境保护目标影响小。且施工期结束后，不利影响将随之消失。</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2、施工期水环境保护措施</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施工期产生的废水主要为施工人员的生活污水。施工人员不在项目区食宿，施工人员如厕利用服务企业现有卫生间，产生的生活污水依托服务企业内现有化粪池处理，项目施工期生活污水得到合理、有效的处置。</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3、施工期声环境保护措施</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设备安装过程中，将会产生一定的噪声污染。电锯、电钻、电锤、切割机等施工机械的噪声源强达到95dB（A）以上；施工运输车辆的噪声源强度也超过90dB（A）。施工噪声的特点是突发性和间歇性，随着施工期结束而结束。为降低施工噪声对所在区域环境的影响，环评建议采取适当的措施来减轻噪声的影响。</w:t>
            </w:r>
          </w:p>
          <w:p>
            <w:pPr>
              <w:keepNext w:val="0"/>
              <w:keepLines w:val="0"/>
              <w:pageBreakBefore w:val="0"/>
              <w:numPr>
                <w:ilvl w:val="0"/>
                <w:numId w:val="0"/>
              </w:numPr>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（1）</w:t>
            </w:r>
            <w:r>
              <w:rPr>
                <w:rFonts w:hint="eastAsia" w:cs="Times New Roman"/>
                <w:color w:val="auto"/>
                <w:sz w:val="24"/>
                <w:szCs w:val="24"/>
                <w:highlight w:val="none"/>
                <w:lang w:val="en-US" w:eastAsia="zh-CN"/>
              </w:rPr>
              <w:t>从声源上控制：使用低噪声机械设备，场地墙体隔声；</w:t>
            </w:r>
          </w:p>
          <w:p>
            <w:pPr>
              <w:keepNext w:val="0"/>
              <w:keepLines w:val="0"/>
              <w:pageBreakBefore w:val="0"/>
              <w:numPr>
                <w:ilvl w:val="0"/>
                <w:numId w:val="0"/>
              </w:numPr>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（2）</w:t>
            </w:r>
            <w:r>
              <w:rPr>
                <w:rFonts w:hint="eastAsia" w:cs="Times New Roman"/>
                <w:color w:val="auto"/>
                <w:sz w:val="24"/>
                <w:szCs w:val="24"/>
                <w:highlight w:val="none"/>
                <w:lang w:val="en-US" w:eastAsia="zh-CN"/>
              </w:rPr>
              <w:t>在施工机械的设备与基础或连接部位之间采用减振降噪，降低噪声；</w:t>
            </w:r>
          </w:p>
          <w:p>
            <w:pPr>
              <w:keepNext w:val="0"/>
              <w:keepLines w:val="0"/>
              <w:pageBreakBefore w:val="0"/>
              <w:numPr>
                <w:ilvl w:val="0"/>
                <w:numId w:val="0"/>
              </w:numPr>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（3）施工材料运输车辆经过村庄时低速、禁鸣。</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4、施工期固体废物环境保护措施</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本项目施工阶段会产生少量建筑垃圾和施工人员生活垃圾。</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建筑垃圾主要是废金属、废弃包装袋，建筑垃圾可进行回收利用。施工人员产生的生活垃圾经分类收集后统一由环卫部门清运处置。</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default"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4" w:type="dxa"/>
            <w:tcBorders>
              <w:left w:val="single" w:color="auto" w:sz="4" w:space="0"/>
              <w:bottom w:val="single" w:color="auto" w:sz="4" w:space="0"/>
            </w:tcBorders>
            <w:noWrap w:val="0"/>
            <w:tcMar>
              <w:left w:w="28" w:type="dxa"/>
              <w:right w:w="28" w:type="dxa"/>
            </w:tcMar>
            <w:vAlign w:val="center"/>
          </w:tcPr>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运营</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期环</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境影</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响和</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保护</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措施</w:t>
            </w:r>
          </w:p>
        </w:tc>
        <w:tc>
          <w:tcPr>
            <w:tcW w:w="9102" w:type="dxa"/>
            <w:tcBorders>
              <w:bottom w:val="single" w:color="auto" w:sz="4" w:space="0"/>
              <w:right w:val="single" w:color="auto" w:sz="4" w:space="0"/>
            </w:tcBorders>
            <w:noWrap w:val="0"/>
            <w:vAlign w:val="center"/>
          </w:tcPr>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一、运营期大气环境影响</w:t>
            </w:r>
            <w:r>
              <w:rPr>
                <w:rFonts w:hint="eastAsia" w:eastAsia="宋体" w:cs="Times New Roman"/>
                <w:b/>
                <w:bCs/>
                <w:color w:val="auto"/>
                <w:highlight w:val="none"/>
                <w:lang w:val="en-US" w:eastAsia="zh-CN"/>
              </w:rPr>
              <w:t>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项目运营期产生的废气主要为锅炉烟气，堆渣间产生的少量粉尘。</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1、锅炉烟气</w:t>
            </w:r>
          </w:p>
          <w:p>
            <w:pPr>
              <w:autoSpaceDE w:val="0"/>
              <w:autoSpaceDN w:val="0"/>
              <w:adjustRightInd w:val="0"/>
              <w:spacing w:line="360" w:lineRule="auto"/>
              <w:ind w:firstLine="474" w:firstLineChars="197"/>
              <w:rPr>
                <w:rFonts w:hint="default" w:hAnsi="宋体" w:cs="Times New Roman"/>
                <w:b/>
                <w:bCs/>
                <w:color w:val="auto"/>
                <w:sz w:val="24"/>
                <w:highlight w:val="none"/>
                <w:lang w:val="en-US" w:eastAsia="zh-CN"/>
              </w:rPr>
            </w:pPr>
            <w:r>
              <w:rPr>
                <w:rFonts w:hint="eastAsia" w:hAnsi="宋体" w:cs="Times New Roman"/>
                <w:b/>
                <w:bCs/>
                <w:color w:val="auto"/>
                <w:sz w:val="24"/>
                <w:highlight w:val="none"/>
                <w:lang w:val="en-US" w:eastAsia="zh-CN"/>
              </w:rPr>
              <w:t>（1）生物质燃料消耗量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firstLineChars="200"/>
              <w:textAlignment w:val="auto"/>
              <w:outlineLvl w:val="3"/>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sz w:val="24"/>
                <w:szCs w:val="24"/>
                <w:highlight w:val="none"/>
                <w:lang w:val="en-US" w:eastAsia="zh-CN"/>
              </w:rPr>
              <w:t>海大供热点生物质燃料消耗量</w:t>
            </w:r>
          </w:p>
          <w:p>
            <w:pPr>
              <w:autoSpaceDE w:val="0"/>
              <w:autoSpaceDN w:val="0"/>
              <w:adjustRightIn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海大供热点建设3台锅炉，分别为4t/h一台、6t/h一台、15t/h一台，3台锅炉共用一根排气筒DA001，装机总容量为25t/h，即海大供热点锅炉总蒸发量为25t/h。锅炉额定出蒸汽温度为194℃，生产运行时间每天24h，330d/a，7920h/a。</w:t>
            </w:r>
          </w:p>
          <w:p>
            <w:pPr>
              <w:autoSpaceDE w:val="0"/>
              <w:autoSpaceDN w:val="0"/>
              <w:adjustRightIn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根据建设单位使用的生物质颗粒成分检验结果，本项目生物质燃料热值为17.108MJ/kg。根据Q</w:t>
            </w:r>
            <w:r>
              <w:rPr>
                <w:rFonts w:hint="eastAsia" w:ascii="Times New Roman" w:hAnsi="Times New Roman" w:eastAsia="宋体" w:cs="Times New Roman"/>
                <w:b w:val="0"/>
                <w:bCs w:val="0"/>
                <w:color w:val="auto"/>
                <w:sz w:val="24"/>
                <w:szCs w:val="24"/>
                <w:highlight w:val="none"/>
                <w:vertAlign w:val="subscript"/>
                <w:lang w:val="en-US" w:eastAsia="zh-CN"/>
              </w:rPr>
              <w:t>放</w:t>
            </w:r>
            <w:r>
              <w:rPr>
                <w:rFonts w:hint="eastAsia" w:ascii="Times New Roman" w:hAnsi="Times New Roman" w:eastAsia="宋体" w:cs="Times New Roman"/>
                <w:b w:val="0"/>
                <w:bCs w:val="0"/>
                <w:color w:val="auto"/>
                <w:sz w:val="24"/>
                <w:szCs w:val="24"/>
                <w:highlight w:val="none"/>
                <w:lang w:val="en-US" w:eastAsia="zh-CN"/>
              </w:rPr>
              <w:t>=Q</w:t>
            </w:r>
            <w:r>
              <w:rPr>
                <w:rFonts w:hint="eastAsia" w:ascii="Times New Roman" w:hAnsi="Times New Roman" w:eastAsia="宋体" w:cs="Times New Roman"/>
                <w:b w:val="0"/>
                <w:bCs w:val="0"/>
                <w:color w:val="auto"/>
                <w:sz w:val="24"/>
                <w:szCs w:val="24"/>
                <w:highlight w:val="none"/>
                <w:vertAlign w:val="subscript"/>
                <w:lang w:val="en-US" w:eastAsia="zh-CN"/>
              </w:rPr>
              <w:t>吸</w:t>
            </w:r>
            <w:r>
              <w:rPr>
                <w:rFonts w:hint="eastAsia" w:ascii="Times New Roman" w:hAnsi="Times New Roman" w:eastAsia="宋体" w:cs="Times New Roman"/>
                <w:b w:val="0"/>
                <w:bCs w:val="0"/>
                <w:color w:val="auto"/>
                <w:sz w:val="24"/>
                <w:szCs w:val="24"/>
                <w:highlight w:val="none"/>
                <w:lang w:val="en-US" w:eastAsia="zh-CN"/>
              </w:rPr>
              <w:t>公式，以水蒸汽吸热量反推出生物质颗粒释放热量，本项目所需水蒸气的热量值公式如下：</w:t>
            </w:r>
          </w:p>
          <w:p>
            <w:pPr>
              <w:autoSpaceDE w:val="0"/>
              <w:autoSpaceDN w:val="0"/>
              <w:adjustRightInd w:val="0"/>
              <w:spacing w:line="360" w:lineRule="auto"/>
              <w:ind w:firstLine="472" w:firstLineChars="197"/>
              <w:jc w:val="center"/>
              <w:rPr>
                <w:rFonts w:hint="default"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Q=C×m×Δt</w:t>
            </w:r>
          </w:p>
          <w:p>
            <w:pPr>
              <w:autoSpaceDE w:val="0"/>
              <w:autoSpaceDN w:val="0"/>
              <w:adjustRightInd w:val="0"/>
              <w:spacing w:line="360" w:lineRule="auto"/>
              <w:ind w:firstLine="472" w:firstLineChars="1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式中：Q—热量，J；</w:t>
            </w:r>
          </w:p>
          <w:p>
            <w:pPr>
              <w:autoSpaceDE w:val="0"/>
              <w:autoSpaceDN w:val="0"/>
              <w:adjustRightInd w:val="0"/>
              <w:spacing w:line="360" w:lineRule="auto"/>
              <w:ind w:firstLine="1192" w:firstLineChars="4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C一比热容，J/(kg•℃)；</w:t>
            </w:r>
          </w:p>
          <w:p>
            <w:pPr>
              <w:autoSpaceDE w:val="0"/>
              <w:autoSpaceDN w:val="0"/>
              <w:adjustRightInd w:val="0"/>
              <w:spacing w:line="360" w:lineRule="auto"/>
              <w:ind w:firstLine="1192" w:firstLineChars="4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m—物体的质量，kg；</w:t>
            </w:r>
          </w:p>
          <w:p>
            <w:pPr>
              <w:autoSpaceDE w:val="0"/>
              <w:autoSpaceDN w:val="0"/>
              <w:adjustRightInd w:val="0"/>
              <w:spacing w:line="360" w:lineRule="auto"/>
              <w:ind w:firstLine="1192" w:firstLineChars="4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Δt—吸热前后的温度差，℃。</w:t>
            </w:r>
          </w:p>
          <w:p>
            <w:pPr>
              <w:autoSpaceDE w:val="0"/>
              <w:autoSpaceDN w:val="0"/>
              <w:adjustRightInd w:val="0"/>
              <w:spacing w:line="360" w:lineRule="auto"/>
              <w:ind w:firstLine="472" w:firstLineChars="1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①25℃常温水加热至100℃水：Δt=75℃；100℃水的比热容C=4.2×10</w:t>
            </w:r>
            <w:r>
              <w:rPr>
                <w:rFonts w:hint="eastAsia" w:hAnsi="宋体" w:cs="Times New Roman"/>
                <w:b w:val="0"/>
                <w:bCs w:val="0"/>
                <w:color w:val="auto"/>
                <w:sz w:val="24"/>
                <w:highlight w:val="none"/>
                <w:vertAlign w:val="superscript"/>
                <w:lang w:val="en-US" w:eastAsia="zh-CN"/>
              </w:rPr>
              <w:t>3</w:t>
            </w:r>
            <w:r>
              <w:rPr>
                <w:rFonts w:hint="eastAsia" w:hAnsi="宋体" w:cs="Times New Roman"/>
                <w:b w:val="0"/>
                <w:bCs w:val="0"/>
                <w:color w:val="auto"/>
                <w:sz w:val="24"/>
                <w:highlight w:val="none"/>
                <w:lang w:val="en-US" w:eastAsia="zh-CN"/>
              </w:rPr>
              <w:t>J/(kg•℃)；锅炉的总蒸发量为25t/h，生产过程，3台锅炉运行1h所需的热量Q</w:t>
            </w:r>
            <w:r>
              <w:rPr>
                <w:rFonts w:hint="eastAsia" w:hAnsi="宋体" w:cs="Times New Roman"/>
                <w:b w:val="0"/>
                <w:bCs w:val="0"/>
                <w:color w:val="auto"/>
                <w:sz w:val="24"/>
                <w:highlight w:val="none"/>
                <w:vertAlign w:val="subscript"/>
                <w:lang w:val="en-US" w:eastAsia="zh-CN"/>
              </w:rPr>
              <w:t>水吸</w:t>
            </w:r>
            <w:r>
              <w:rPr>
                <w:rFonts w:hint="eastAsia" w:hAnsi="宋体" w:cs="Times New Roman"/>
                <w:b w:val="0"/>
                <w:bCs w:val="0"/>
                <w:color w:val="auto"/>
                <w:sz w:val="24"/>
                <w:highlight w:val="none"/>
                <w:lang w:val="en-US" w:eastAsia="zh-CN"/>
              </w:rPr>
              <w:t>=Q</w:t>
            </w:r>
            <w:r>
              <w:rPr>
                <w:rFonts w:hint="eastAsia" w:hAnsi="宋体" w:cs="Times New Roman"/>
                <w:b w:val="0"/>
                <w:bCs w:val="0"/>
                <w:color w:val="auto"/>
                <w:sz w:val="24"/>
                <w:highlight w:val="none"/>
                <w:vertAlign w:val="subscript"/>
                <w:lang w:val="en-US" w:eastAsia="zh-CN"/>
              </w:rPr>
              <w:t>生物质放</w:t>
            </w:r>
            <w:r>
              <w:rPr>
                <w:rFonts w:hint="eastAsia" w:hAnsi="宋体" w:cs="Times New Roman"/>
                <w:b w:val="0"/>
                <w:bCs w:val="0"/>
                <w:color w:val="auto"/>
                <w:sz w:val="24"/>
                <w:highlight w:val="none"/>
                <w:lang w:val="en-US" w:eastAsia="zh-CN"/>
              </w:rPr>
              <w:t>=7.875×10</w:t>
            </w:r>
            <w:r>
              <w:rPr>
                <w:rFonts w:hint="eastAsia" w:hAnsi="宋体" w:cs="Times New Roman"/>
                <w:b w:val="0"/>
                <w:bCs w:val="0"/>
                <w:color w:val="auto"/>
                <w:sz w:val="24"/>
                <w:highlight w:val="none"/>
                <w:vertAlign w:val="superscript"/>
                <w:lang w:val="en-US" w:eastAsia="zh-CN"/>
              </w:rPr>
              <w:t>9</w:t>
            </w:r>
            <w:r>
              <w:rPr>
                <w:rFonts w:hint="eastAsia" w:hAnsi="宋体" w:cs="Times New Roman"/>
                <w:b w:val="0"/>
                <w:bCs w:val="0"/>
                <w:color w:val="auto"/>
                <w:sz w:val="24"/>
                <w:highlight w:val="none"/>
                <w:lang w:val="en-US" w:eastAsia="zh-CN"/>
              </w:rPr>
              <w:t>J；则锅炉运行1h的生物质消耗量=(7.875×10</w:t>
            </w:r>
            <w:r>
              <w:rPr>
                <w:rFonts w:hint="eastAsia" w:hAnsi="宋体" w:cs="Times New Roman"/>
                <w:b w:val="0"/>
                <w:bCs w:val="0"/>
                <w:color w:val="auto"/>
                <w:sz w:val="24"/>
                <w:highlight w:val="none"/>
                <w:vertAlign w:val="superscript"/>
                <w:lang w:val="en-US" w:eastAsia="zh-CN"/>
              </w:rPr>
              <w:t>9</w:t>
            </w:r>
            <w:r>
              <w:rPr>
                <w:rFonts w:hint="eastAsia" w:hAnsi="宋体" w:cs="Times New Roman"/>
                <w:b w:val="0"/>
                <w:bCs w:val="0"/>
                <w:color w:val="auto"/>
                <w:sz w:val="24"/>
                <w:highlight w:val="none"/>
                <w:lang w:val="en-US" w:eastAsia="zh-CN"/>
              </w:rPr>
              <w:t>J)/(17.108MJ/kg)=460kg。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②经查询，100℃水加热变成194℃水蒸汽：吸收汽化热大约是2788.4kJ/kg。锅炉的总蒸发量为25t/h，则生产过程锅炉运行1h所需的热量Q</w:t>
            </w:r>
            <w:r>
              <w:rPr>
                <w:rFonts w:hint="eastAsia" w:ascii="Times New Roman" w:hAnsi="Times New Roman" w:eastAsia="宋体" w:cs="Times New Roman"/>
                <w:b w:val="0"/>
                <w:bCs w:val="0"/>
                <w:color w:val="auto"/>
                <w:sz w:val="24"/>
                <w:szCs w:val="24"/>
                <w:highlight w:val="none"/>
                <w:vertAlign w:val="subscript"/>
                <w:lang w:val="en-US" w:eastAsia="zh-CN"/>
              </w:rPr>
              <w:t>水吸</w:t>
            </w:r>
            <w:r>
              <w:rPr>
                <w:rFonts w:hint="eastAsia" w:ascii="Times New Roman" w:hAnsi="Times New Roman" w:eastAsia="宋体" w:cs="Times New Roman"/>
                <w:b w:val="0"/>
                <w:bCs w:val="0"/>
                <w:color w:val="auto"/>
                <w:sz w:val="24"/>
                <w:szCs w:val="24"/>
                <w:highlight w:val="none"/>
                <w:lang w:val="en-US" w:eastAsia="zh-CN"/>
              </w:rPr>
              <w:t>=Q</w:t>
            </w:r>
            <w:r>
              <w:rPr>
                <w:rFonts w:hint="eastAsia" w:ascii="Times New Roman" w:hAnsi="Times New Roman" w:eastAsia="宋体" w:cs="Times New Roman"/>
                <w:b w:val="0"/>
                <w:bCs w:val="0"/>
                <w:color w:val="auto"/>
                <w:sz w:val="24"/>
                <w:szCs w:val="24"/>
                <w:highlight w:val="none"/>
                <w:vertAlign w:val="subscript"/>
                <w:lang w:val="en-US" w:eastAsia="zh-CN"/>
              </w:rPr>
              <w:t>生物质放</w:t>
            </w:r>
            <w:r>
              <w:rPr>
                <w:rFonts w:hint="eastAsia" w:ascii="Times New Roman" w:hAnsi="Times New Roman" w:eastAsia="宋体" w:cs="Times New Roman"/>
                <w:b w:val="0"/>
                <w:bCs w:val="0"/>
                <w:color w:val="auto"/>
                <w:sz w:val="24"/>
                <w:szCs w:val="24"/>
                <w:highlight w:val="none"/>
                <w:lang w:val="en-US" w:eastAsia="zh-CN"/>
              </w:rPr>
              <w:t>=25000kg×2788.4kJ/kg=6.97×10</w:t>
            </w:r>
            <w:r>
              <w:rPr>
                <w:rFonts w:hint="eastAsia" w:ascii="Times New Roman" w:hAnsi="Times New Roman" w:eastAsia="宋体" w:cs="Times New Roman"/>
                <w:b w:val="0"/>
                <w:bCs w:val="0"/>
                <w:color w:val="auto"/>
                <w:sz w:val="24"/>
                <w:szCs w:val="24"/>
                <w:highlight w:val="none"/>
                <w:vertAlign w:val="superscript"/>
                <w:lang w:val="en-US" w:eastAsia="zh-CN"/>
              </w:rPr>
              <w:t>7</w:t>
            </w:r>
            <w:r>
              <w:rPr>
                <w:rFonts w:hint="eastAsia" w:ascii="Times New Roman" w:hAnsi="Times New Roman" w:eastAsia="宋体" w:cs="Times New Roman"/>
                <w:b w:val="0"/>
                <w:bCs w:val="0"/>
                <w:color w:val="auto"/>
                <w:sz w:val="24"/>
                <w:szCs w:val="24"/>
                <w:highlight w:val="none"/>
                <w:lang w:val="en-US" w:eastAsia="zh-CN"/>
              </w:rPr>
              <w:t>kJ；1h生物质消耗量=(6.97×10</w:t>
            </w:r>
            <w:r>
              <w:rPr>
                <w:rFonts w:hint="eastAsia" w:ascii="Times New Roman" w:hAnsi="Times New Roman" w:eastAsia="宋体" w:cs="Times New Roman"/>
                <w:b w:val="0"/>
                <w:bCs w:val="0"/>
                <w:color w:val="auto"/>
                <w:sz w:val="24"/>
                <w:szCs w:val="24"/>
                <w:highlight w:val="none"/>
                <w:vertAlign w:val="superscript"/>
                <w:lang w:val="en-US" w:eastAsia="zh-CN"/>
              </w:rPr>
              <w:t>7</w:t>
            </w:r>
            <w:r>
              <w:rPr>
                <w:rFonts w:hint="eastAsia" w:ascii="Times New Roman" w:hAnsi="Times New Roman" w:eastAsia="宋体" w:cs="Times New Roman"/>
                <w:b w:val="0"/>
                <w:bCs w:val="0"/>
                <w:color w:val="auto"/>
                <w:sz w:val="24"/>
                <w:szCs w:val="24"/>
                <w:highlight w:val="none"/>
                <w:lang w:val="en-US" w:eastAsia="zh-CN"/>
              </w:rPr>
              <w:t>kJ)/(17.108MJ/kg）=4074kg。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w:t>
            </w:r>
            <w:r>
              <w:rPr>
                <w:rFonts w:hint="default" w:ascii="Times New Roman" w:hAnsi="Times New Roman" w:eastAsia="宋体" w:cs="Times New Roman"/>
                <w:b w:val="0"/>
                <w:bCs w:val="0"/>
                <w:color w:val="auto"/>
                <w:sz w:val="24"/>
                <w:szCs w:val="24"/>
                <w:highlight w:val="none"/>
                <w:lang w:val="en-US" w:eastAsia="zh-CN"/>
              </w:rPr>
              <w:t>综上，25℃常温水变成</w:t>
            </w:r>
            <w:r>
              <w:rPr>
                <w:rFonts w:hint="eastAsia" w:ascii="Times New Roman" w:hAnsi="Times New Roman" w:eastAsia="宋体" w:cs="Times New Roman"/>
                <w:b w:val="0"/>
                <w:bCs w:val="0"/>
                <w:color w:val="auto"/>
                <w:sz w:val="24"/>
                <w:szCs w:val="24"/>
                <w:highlight w:val="none"/>
                <w:lang w:val="en-US" w:eastAsia="zh-CN"/>
              </w:rPr>
              <w:t>194℃的</w:t>
            </w:r>
            <w:r>
              <w:rPr>
                <w:rFonts w:hint="default" w:ascii="Times New Roman" w:hAnsi="Times New Roman" w:eastAsia="宋体" w:cs="Times New Roman"/>
                <w:b w:val="0"/>
                <w:bCs w:val="0"/>
                <w:color w:val="auto"/>
                <w:sz w:val="24"/>
                <w:szCs w:val="24"/>
                <w:highlight w:val="none"/>
                <w:lang w:val="en-US" w:eastAsia="zh-CN"/>
              </w:rPr>
              <w:t>蒸汽</w:t>
            </w:r>
            <w:r>
              <w:rPr>
                <w:rFonts w:hint="eastAsia" w:ascii="Times New Roman" w:hAnsi="Times New Roman" w:eastAsia="宋体" w:cs="Times New Roman"/>
                <w:b w:val="0"/>
                <w:bCs w:val="0"/>
                <w:color w:val="auto"/>
                <w:sz w:val="24"/>
                <w:szCs w:val="24"/>
                <w:highlight w:val="none"/>
                <w:lang w:val="en-US" w:eastAsia="zh-CN"/>
              </w:rPr>
              <w:t>：锅炉</w:t>
            </w:r>
            <w:r>
              <w:rPr>
                <w:rFonts w:hint="default" w:ascii="Times New Roman" w:hAnsi="Times New Roman" w:eastAsia="宋体" w:cs="Times New Roman"/>
                <w:b w:val="0"/>
                <w:bCs w:val="0"/>
                <w:color w:val="auto"/>
                <w:sz w:val="24"/>
                <w:szCs w:val="24"/>
                <w:highlight w:val="none"/>
                <w:lang w:val="en-US" w:eastAsia="zh-CN"/>
              </w:rPr>
              <w:t>1h需要消耗生物质量为</w:t>
            </w:r>
            <w:r>
              <w:rPr>
                <w:rFonts w:hint="eastAsia" w:ascii="Times New Roman" w:hAnsi="Times New Roman" w:eastAsia="宋体" w:cs="Times New Roman"/>
                <w:b w:val="0"/>
                <w:bCs w:val="0"/>
                <w:color w:val="auto"/>
                <w:sz w:val="24"/>
                <w:szCs w:val="24"/>
                <w:highlight w:val="none"/>
                <w:lang w:val="en-US" w:eastAsia="zh-CN"/>
              </w:rPr>
              <w:t>460kg+4074kg=4534kg</w:t>
            </w:r>
            <w:r>
              <w:rPr>
                <w:rFonts w:hint="default" w:ascii="Times New Roman" w:hAnsi="Times New Roman" w:eastAsia="宋体" w:cs="Times New Roman"/>
                <w:b w:val="0"/>
                <w:bCs w:val="0"/>
                <w:color w:val="auto"/>
                <w:sz w:val="24"/>
                <w:szCs w:val="24"/>
                <w:highlight w:val="none"/>
                <w:lang w:val="en-US" w:eastAsia="zh-CN"/>
              </w:rPr>
              <w:t>，考虑热量的损耗，</w:t>
            </w:r>
            <w:r>
              <w:rPr>
                <w:rFonts w:hint="eastAsia" w:ascii="Times New Roman" w:hAnsi="Times New Roman" w:eastAsia="宋体" w:cs="Times New Roman"/>
                <w:b w:val="0"/>
                <w:bCs w:val="0"/>
                <w:color w:val="auto"/>
                <w:sz w:val="24"/>
                <w:szCs w:val="24"/>
                <w:highlight w:val="none"/>
                <w:lang w:val="en-US" w:eastAsia="zh-CN"/>
              </w:rPr>
              <w:t>锅炉</w:t>
            </w:r>
            <w:r>
              <w:rPr>
                <w:rFonts w:hint="default" w:ascii="Times New Roman" w:hAnsi="Times New Roman" w:eastAsia="宋体" w:cs="Times New Roman"/>
                <w:b w:val="0"/>
                <w:bCs w:val="0"/>
                <w:color w:val="auto"/>
                <w:sz w:val="24"/>
                <w:szCs w:val="24"/>
                <w:highlight w:val="none"/>
                <w:lang w:val="en-US" w:eastAsia="zh-CN"/>
              </w:rPr>
              <w:t>热效率</w:t>
            </w:r>
            <w:r>
              <w:rPr>
                <w:rFonts w:hint="eastAsia" w:ascii="Times New Roman" w:hAnsi="Times New Roman" w:eastAsia="宋体" w:cs="Times New Roman"/>
                <w:b w:val="0"/>
                <w:bCs w:val="0"/>
                <w:color w:val="auto"/>
                <w:sz w:val="24"/>
                <w:szCs w:val="24"/>
                <w:highlight w:val="none"/>
                <w:lang w:val="en-US" w:eastAsia="zh-CN"/>
              </w:rPr>
              <w:t>以83.8</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计</w:t>
            </w:r>
            <w:r>
              <w:rPr>
                <w:rFonts w:hint="default" w:ascii="Times New Roman" w:hAnsi="Times New Roman" w:eastAsia="宋体" w:cs="Times New Roman"/>
                <w:b w:val="0"/>
                <w:bCs w:val="0"/>
                <w:color w:val="auto"/>
                <w:sz w:val="24"/>
                <w:szCs w:val="24"/>
                <w:highlight w:val="none"/>
                <w:lang w:val="en-US" w:eastAsia="zh-CN"/>
              </w:rPr>
              <w:t>，则</w:t>
            </w:r>
            <w:r>
              <w:rPr>
                <w:rFonts w:hint="eastAsia" w:ascii="Times New Roman" w:hAnsi="Times New Roman" w:eastAsia="宋体" w:cs="Times New Roman"/>
                <w:b w:val="0"/>
                <w:bCs w:val="0"/>
                <w:color w:val="auto"/>
                <w:sz w:val="24"/>
                <w:szCs w:val="24"/>
                <w:highlight w:val="none"/>
                <w:lang w:val="en-US" w:eastAsia="zh-CN"/>
              </w:rPr>
              <w:t>锅炉的</w:t>
            </w:r>
            <w:r>
              <w:rPr>
                <w:rFonts w:hint="default" w:ascii="Times New Roman" w:hAnsi="Times New Roman" w:eastAsia="宋体" w:cs="Times New Roman"/>
                <w:b w:val="0"/>
                <w:bCs w:val="0"/>
                <w:color w:val="auto"/>
                <w:sz w:val="24"/>
                <w:szCs w:val="24"/>
                <w:highlight w:val="none"/>
                <w:lang w:val="en-US" w:eastAsia="zh-CN"/>
              </w:rPr>
              <w:t>生物质消耗量为</w:t>
            </w:r>
            <w:r>
              <w:rPr>
                <w:rFonts w:hint="eastAsia" w:ascii="Times New Roman" w:hAnsi="Times New Roman" w:eastAsia="宋体" w:cs="Times New Roman"/>
                <w:b w:val="0"/>
                <w:bCs w:val="0"/>
                <w:color w:val="auto"/>
                <w:sz w:val="24"/>
                <w:szCs w:val="24"/>
                <w:highlight w:val="none"/>
                <w:lang w:val="en-US" w:eastAsia="zh-CN"/>
              </w:rPr>
              <w:t>5410</w:t>
            </w:r>
            <w:r>
              <w:rPr>
                <w:rFonts w:hint="default" w:ascii="Times New Roman" w:hAnsi="Times New Roman" w:eastAsia="宋体" w:cs="Times New Roman"/>
                <w:b w:val="0"/>
                <w:bCs w:val="0"/>
                <w:color w:val="auto"/>
                <w:sz w:val="24"/>
                <w:szCs w:val="24"/>
                <w:highlight w:val="none"/>
                <w:lang w:val="en-US" w:eastAsia="zh-CN"/>
              </w:rPr>
              <w:t>kg</w:t>
            </w:r>
            <w:r>
              <w:rPr>
                <w:rFonts w:hint="eastAsia" w:ascii="Times New Roman" w:hAnsi="Times New Roman" w:eastAsia="宋体" w:cs="Times New Roman"/>
                <w:b w:val="0"/>
                <w:bCs w:val="0"/>
                <w:color w:val="auto"/>
                <w:sz w:val="24"/>
                <w:szCs w:val="24"/>
                <w:highlight w:val="none"/>
                <w:lang w:val="en-US" w:eastAsia="zh-CN"/>
              </w:rPr>
              <w:t>/h，42847.2</w:t>
            </w:r>
            <w:r>
              <w:rPr>
                <w:rFonts w:hint="default" w:ascii="Times New Roman" w:hAnsi="Times New Roman" w:eastAsia="宋体" w:cs="Times New Roman"/>
                <w:b w:val="0"/>
                <w:bCs w:val="0"/>
                <w:color w:val="auto"/>
                <w:sz w:val="24"/>
                <w:szCs w:val="24"/>
                <w:highlight w:val="none"/>
                <w:lang w:val="en-US" w:eastAsia="zh-CN"/>
              </w:rPr>
              <w:t>t</w:t>
            </w:r>
            <w:r>
              <w:rPr>
                <w:rFonts w:hint="eastAsia"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firstLineChars="200"/>
              <w:textAlignment w:val="auto"/>
              <w:outlineLvl w:val="3"/>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2）特驱供热点</w:t>
            </w:r>
            <w:r>
              <w:rPr>
                <w:rFonts w:hint="eastAsia" w:ascii="Times New Roman" w:hAnsi="Times New Roman" w:eastAsia="宋体" w:cs="Times New Roman"/>
                <w:b/>
                <w:bCs/>
                <w:color w:val="auto"/>
                <w:sz w:val="24"/>
                <w:szCs w:val="24"/>
                <w:highlight w:val="none"/>
                <w:lang w:val="en-US" w:eastAsia="zh-CN"/>
              </w:rPr>
              <w:t>生物质燃料消耗量</w:t>
            </w:r>
          </w:p>
          <w:p>
            <w:pPr>
              <w:autoSpaceDE w:val="0"/>
              <w:autoSpaceDN w:val="0"/>
              <w:adjustRightIn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特驱供热点建设2台锅炉（6t/h、20t/h），2台锅炉共用一根排气筒DA002，装机总容量为26t/h</w:t>
            </w:r>
            <w:r>
              <w:rPr>
                <w:rFonts w:hint="eastAsia" w:cs="Times New Roman"/>
                <w:b w:val="0"/>
                <w:bCs w:val="0"/>
                <w:color w:val="auto"/>
                <w:sz w:val="24"/>
                <w:szCs w:val="24"/>
                <w:highlight w:val="none"/>
                <w:lang w:val="en-US" w:eastAsia="zh-CN"/>
              </w:rPr>
              <w:t>，即特驱供热点锅炉总蒸发量为26t/h。锅炉额定出蒸汽温度为194℃，生产运行时间每天24h，330d/a，7920h/a</w:t>
            </w:r>
            <w:r>
              <w:rPr>
                <w:rFonts w:hint="eastAsia" w:ascii="Times New Roman" w:hAnsi="Times New Roman" w:eastAsia="宋体" w:cs="Times New Roman"/>
                <w:b w:val="0"/>
                <w:bCs w:val="0"/>
                <w:color w:val="auto"/>
                <w:sz w:val="24"/>
                <w:szCs w:val="24"/>
                <w:highlight w:val="none"/>
                <w:lang w:val="en-US" w:eastAsia="zh-CN"/>
              </w:rPr>
              <w:t>。</w:t>
            </w:r>
            <w:r>
              <w:rPr>
                <w:rFonts w:hint="eastAsia" w:hAnsi="宋体" w:cs="Times New Roman"/>
                <w:color w:val="auto"/>
                <w:sz w:val="24"/>
                <w:highlight w:val="none"/>
                <w:lang w:val="en-US" w:eastAsia="zh-CN"/>
              </w:rPr>
              <w:t>根据上述核算方法，核算出：特驱供热点</w:t>
            </w:r>
            <w:r>
              <w:rPr>
                <w:rFonts w:hint="eastAsia" w:ascii="Times New Roman" w:hAnsi="Times New Roman" w:eastAsia="宋体" w:cs="Times New Roman"/>
                <w:b w:val="0"/>
                <w:bCs w:val="0"/>
                <w:color w:val="auto"/>
                <w:sz w:val="24"/>
                <w:szCs w:val="24"/>
                <w:highlight w:val="none"/>
                <w:lang w:val="en-US" w:eastAsia="zh-CN"/>
              </w:rPr>
              <w:t>锅炉的</w:t>
            </w:r>
            <w:r>
              <w:rPr>
                <w:rFonts w:hint="default" w:ascii="Times New Roman" w:hAnsi="Times New Roman" w:eastAsia="宋体" w:cs="Times New Roman"/>
                <w:b w:val="0"/>
                <w:bCs w:val="0"/>
                <w:color w:val="auto"/>
                <w:sz w:val="24"/>
                <w:szCs w:val="24"/>
                <w:highlight w:val="none"/>
                <w:lang w:val="en-US" w:eastAsia="zh-CN"/>
              </w:rPr>
              <w:t>生物质消耗量为</w:t>
            </w:r>
            <w:r>
              <w:rPr>
                <w:rFonts w:hint="eastAsia" w:ascii="Times New Roman" w:hAnsi="Times New Roman" w:eastAsia="宋体" w:cs="Times New Roman"/>
                <w:b w:val="0"/>
                <w:bCs w:val="0"/>
                <w:color w:val="auto"/>
                <w:sz w:val="24"/>
                <w:szCs w:val="24"/>
                <w:highlight w:val="none"/>
                <w:lang w:val="en-US" w:eastAsia="zh-CN"/>
              </w:rPr>
              <w:t>5591.9</w:t>
            </w:r>
            <w:r>
              <w:rPr>
                <w:rFonts w:hint="default" w:ascii="Times New Roman" w:hAnsi="Times New Roman" w:eastAsia="宋体" w:cs="Times New Roman"/>
                <w:b w:val="0"/>
                <w:bCs w:val="0"/>
                <w:color w:val="auto"/>
                <w:sz w:val="24"/>
                <w:szCs w:val="24"/>
                <w:highlight w:val="none"/>
                <w:lang w:val="en-US" w:eastAsia="zh-CN"/>
              </w:rPr>
              <w:t>kg</w:t>
            </w:r>
            <w:r>
              <w:rPr>
                <w:rFonts w:hint="eastAsia" w:ascii="Times New Roman" w:hAnsi="Times New Roman" w:eastAsia="宋体" w:cs="Times New Roman"/>
                <w:b w:val="0"/>
                <w:bCs w:val="0"/>
                <w:color w:val="auto"/>
                <w:sz w:val="24"/>
                <w:szCs w:val="24"/>
                <w:highlight w:val="none"/>
                <w:lang w:val="en-US" w:eastAsia="zh-CN"/>
              </w:rPr>
              <w:t>/h，44287.7</w:t>
            </w:r>
            <w:r>
              <w:rPr>
                <w:rFonts w:hint="default" w:ascii="Times New Roman" w:hAnsi="Times New Roman" w:eastAsia="宋体" w:cs="Times New Roman"/>
                <w:b w:val="0"/>
                <w:bCs w:val="0"/>
                <w:color w:val="auto"/>
                <w:sz w:val="24"/>
                <w:szCs w:val="24"/>
                <w:highlight w:val="none"/>
                <w:lang w:val="en-US" w:eastAsia="zh-CN"/>
              </w:rPr>
              <w:t>t</w:t>
            </w:r>
            <w:r>
              <w:rPr>
                <w:rFonts w:hint="eastAsia" w:ascii="Times New Roman" w:hAnsi="Times New Roman" w:eastAsia="宋体" w:cs="Times New Roman"/>
                <w:b w:val="0"/>
                <w:bCs w:val="0"/>
                <w:color w:val="auto"/>
                <w:sz w:val="24"/>
                <w:szCs w:val="24"/>
                <w:highlight w:val="none"/>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firstLineChars="200"/>
              <w:textAlignment w:val="auto"/>
              <w:outlineLvl w:val="3"/>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3）漓源供热点</w:t>
            </w:r>
            <w:r>
              <w:rPr>
                <w:rFonts w:hint="eastAsia" w:ascii="Times New Roman" w:hAnsi="Times New Roman" w:eastAsia="宋体" w:cs="Times New Roman"/>
                <w:b/>
                <w:bCs/>
                <w:color w:val="auto"/>
                <w:sz w:val="24"/>
                <w:szCs w:val="24"/>
                <w:highlight w:val="none"/>
                <w:lang w:val="en-US" w:eastAsia="zh-CN"/>
              </w:rPr>
              <w:t>生物质燃料消耗量</w:t>
            </w:r>
          </w:p>
          <w:p>
            <w:pPr>
              <w:autoSpaceDE w:val="0"/>
              <w:autoSpaceDN w:val="0"/>
              <w:adjustRightInd w:val="0"/>
              <w:spacing w:line="360" w:lineRule="auto"/>
              <w:ind w:firstLine="480" w:firstLineChars="200"/>
              <w:rPr>
                <w:rFonts w:hint="default" w:hAnsi="宋体" w:cs="Times New Roman"/>
                <w:color w:val="auto"/>
                <w:sz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漓源供热点建设1台4t/h锅炉，排气筒编号DA003</w:t>
            </w:r>
            <w:r>
              <w:rPr>
                <w:rFonts w:hint="eastAsia" w:cs="Times New Roman"/>
                <w:b w:val="0"/>
                <w:bCs w:val="0"/>
                <w:color w:val="auto"/>
                <w:sz w:val="24"/>
                <w:szCs w:val="24"/>
                <w:highlight w:val="none"/>
                <w:lang w:val="en-US" w:eastAsia="zh-CN"/>
              </w:rPr>
              <w:t>。锅炉额定出蒸汽温度为194℃，生产运行时间每天12h，330d/a，3960h/a</w:t>
            </w:r>
            <w:r>
              <w:rPr>
                <w:rFonts w:hint="eastAsia" w:ascii="Times New Roman" w:hAnsi="Times New Roman" w:eastAsia="宋体" w:cs="Times New Roman"/>
                <w:b w:val="0"/>
                <w:bCs w:val="0"/>
                <w:color w:val="auto"/>
                <w:sz w:val="24"/>
                <w:szCs w:val="24"/>
                <w:highlight w:val="none"/>
                <w:lang w:val="en-US" w:eastAsia="zh-CN"/>
              </w:rPr>
              <w:t>。</w:t>
            </w:r>
            <w:r>
              <w:rPr>
                <w:rFonts w:hint="eastAsia" w:hAnsi="宋体" w:cs="Times New Roman"/>
                <w:color w:val="auto"/>
                <w:sz w:val="24"/>
                <w:highlight w:val="none"/>
                <w:lang w:val="en-US" w:eastAsia="zh-CN"/>
              </w:rPr>
              <w:t>根据上述核算方法，核算出：漓源供热点</w:t>
            </w:r>
            <w:r>
              <w:rPr>
                <w:rFonts w:hint="default" w:ascii="Times New Roman" w:hAnsi="Times New Roman" w:eastAsia="宋体" w:cs="Times New Roman"/>
                <w:b w:val="0"/>
                <w:bCs w:val="0"/>
                <w:color w:val="auto"/>
                <w:sz w:val="24"/>
                <w:szCs w:val="24"/>
                <w:highlight w:val="none"/>
                <w:lang w:val="en-US" w:eastAsia="zh-CN"/>
              </w:rPr>
              <w:t>生物质消耗量为</w:t>
            </w:r>
            <w:r>
              <w:rPr>
                <w:rFonts w:hint="eastAsia" w:ascii="Times New Roman" w:hAnsi="Times New Roman" w:eastAsia="宋体" w:cs="Times New Roman"/>
                <w:b w:val="0"/>
                <w:bCs w:val="0"/>
                <w:color w:val="auto"/>
                <w:sz w:val="24"/>
                <w:szCs w:val="24"/>
                <w:highlight w:val="none"/>
                <w:lang w:val="en-US" w:eastAsia="zh-CN"/>
              </w:rPr>
              <w:t>854.4</w:t>
            </w:r>
            <w:r>
              <w:rPr>
                <w:rFonts w:hint="default" w:ascii="Times New Roman" w:hAnsi="Times New Roman" w:eastAsia="宋体" w:cs="Times New Roman"/>
                <w:b w:val="0"/>
                <w:bCs w:val="0"/>
                <w:color w:val="auto"/>
                <w:sz w:val="24"/>
                <w:szCs w:val="24"/>
                <w:highlight w:val="none"/>
                <w:lang w:val="en-US" w:eastAsia="zh-CN"/>
              </w:rPr>
              <w:t>kg</w:t>
            </w:r>
            <w:r>
              <w:rPr>
                <w:rFonts w:hint="eastAsia" w:ascii="Times New Roman" w:hAnsi="Times New Roman" w:eastAsia="宋体" w:cs="Times New Roman"/>
                <w:b w:val="0"/>
                <w:bCs w:val="0"/>
                <w:color w:val="auto"/>
                <w:sz w:val="24"/>
                <w:szCs w:val="24"/>
                <w:highlight w:val="none"/>
                <w:lang w:val="en-US" w:eastAsia="zh-CN"/>
              </w:rPr>
              <w:t>/h，6766.9</w:t>
            </w:r>
            <w:r>
              <w:rPr>
                <w:rFonts w:hint="default" w:ascii="Times New Roman" w:hAnsi="Times New Roman" w:eastAsia="宋体" w:cs="Times New Roman"/>
                <w:b w:val="0"/>
                <w:bCs w:val="0"/>
                <w:color w:val="auto"/>
                <w:sz w:val="24"/>
                <w:szCs w:val="24"/>
                <w:highlight w:val="none"/>
                <w:lang w:val="en-US" w:eastAsia="zh-CN"/>
              </w:rPr>
              <w:t>t</w:t>
            </w:r>
            <w:r>
              <w:rPr>
                <w:rFonts w:hint="eastAsia" w:ascii="Times New Roman" w:hAnsi="Times New Roman" w:eastAsia="宋体" w:cs="Times New Roman"/>
                <w:b w:val="0"/>
                <w:bCs w:val="0"/>
                <w:color w:val="auto"/>
                <w:sz w:val="24"/>
                <w:szCs w:val="24"/>
                <w:highlight w:val="none"/>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锅炉废气源强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根据《排放源统计调查产排污核算方法和系数手册》（生态环境部公告2021第24号）中</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锅炉产排污量核算系数手册，4430工业锅炉（热力生产和供应行业）产污系数表-生物质工业锅炉</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及《排污许可证申请与核发技术规范 锅炉》（HJ953-2018）中</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表F.4燃生物质工业锅炉的废气产排污系数</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，生物质锅炉产污系数下表所示。</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4-1生物质工业锅炉层燃炉-生物质散烧的废气产排污系数</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975"/>
              <w:gridCol w:w="1781"/>
              <w:gridCol w:w="1797"/>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污染因子</w:t>
                  </w:r>
                </w:p>
              </w:tc>
              <w:tc>
                <w:tcPr>
                  <w:tcW w:w="11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工业废气量（Nm</w:t>
                  </w:r>
                  <w:r>
                    <w:rPr>
                      <w:rFonts w:hint="default" w:ascii="Times New Roman" w:hAnsi="Times New Roman"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/t-燃料）</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颗粒物（kg/t-燃料）</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（kg/t-燃料）</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NOx（kg/t-燃料）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产污系数</w:t>
                  </w:r>
                </w:p>
              </w:tc>
              <w:tc>
                <w:tcPr>
                  <w:tcW w:w="11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6240</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37.6</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17S</w:t>
                  </w:r>
                  <w:r>
                    <w:rPr>
                      <w:rFonts w:hint="eastAsia" w:cs="Times New Roman"/>
                      <w:b w:val="0"/>
                      <w:bCs w:val="0"/>
                      <w:color w:val="auto"/>
                      <w:kern w:val="0"/>
                      <w:sz w:val="21"/>
                      <w:szCs w:val="21"/>
                      <w:highlight w:val="none"/>
                      <w:vertAlign w:val="superscript"/>
                      <w:lang w:val="en-US" w:eastAsia="zh-CN"/>
                    </w:rPr>
                    <w:t>①</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注：①二氧化硫的产污系数是以含硫量（S％）的形式表示的，其中含硫量（S％）是指生物质收到基硫分含量，以质量百分数的形式表示。根据建设单位提供的生物质燃料检测报告，本次生物质中含硫量（S％）为0.02％，则</w:t>
                  </w:r>
                  <w:r>
                    <w:rPr>
                      <w:rFonts w:hint="eastAsia" w:cs="Times New Roman"/>
                      <w:b/>
                      <w:bCs/>
                      <w:color w:val="auto"/>
                      <w:kern w:val="0"/>
                      <w:sz w:val="21"/>
                      <w:szCs w:val="21"/>
                      <w:highlight w:val="none"/>
                      <w:lang w:val="en-US" w:eastAsia="zh-CN"/>
                    </w:rPr>
                    <w:t>S=0.02</w:t>
                  </w:r>
                  <w:r>
                    <w:rPr>
                      <w:rFonts w:hint="eastAsia" w:cs="Times New Roman"/>
                      <w:b w:val="0"/>
                      <w:bCs w:val="0"/>
                      <w:color w:val="auto"/>
                      <w:kern w:val="0"/>
                      <w:sz w:val="21"/>
                      <w:szCs w:val="21"/>
                      <w:highlight w:val="no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项目采取“旋风除尘器+布袋除尘器”的串联除尘系统，用于处理锅炉含尘气体，锅炉烟气经除尘系统处理后排放。根据《排放源统计调查产排污核算方法和系数手册》（生态环境部公告2021第24号）生物质锅炉烟尘末端治理技术中：多管旋风除尘的除尘效率为52.0%，布袋除尘器的除尘效率为98.4%，则项目采取的“多管旋风除尘器+布袋除尘器”两级除尘设施的综合除尘效率为99.232%。采取以上措施后，本项目锅炉污染物的产排情况见如下表所示。</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4-2系数法核算锅炉废气污染物产排污量一览表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558"/>
              <w:gridCol w:w="1452"/>
              <w:gridCol w:w="969"/>
              <w:gridCol w:w="1446"/>
              <w:gridCol w:w="1347"/>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bCs/>
                      <w:color w:val="auto"/>
                      <w:kern w:val="0"/>
                      <w:sz w:val="21"/>
                      <w:szCs w:val="21"/>
                      <w:highlight w:val="none"/>
                      <w:lang w:val="en-US" w:eastAsia="zh-CN"/>
                    </w:rPr>
                    <w:t>海大供热点生物质锅炉废气产生及排放情况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燃料消耗量</w:t>
                  </w:r>
                </w:p>
              </w:tc>
              <w:tc>
                <w:tcPr>
                  <w:tcW w:w="4460"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42847.2t/a（4t/h、6t/h、15t/h，3台锅炉总消耗量）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污染物</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产生量</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产生浓度</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去除率</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排放量</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排放浓度</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烟气量</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26736</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33758</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26736</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33758</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1611.05</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6025.64</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99.232</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12.37</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46.28</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1.56</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14.57</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color w:val="auto"/>
                      <w:kern w:val="0"/>
                      <w:highlight w:val="none"/>
                      <w:lang w:val="en-US" w:bidi="ar"/>
                    </w:rPr>
                    <w:t>14.57</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1.84</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43.7</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color w:val="auto"/>
                      <w:kern w:val="0"/>
                      <w:highlight w:val="none"/>
                      <w:lang w:val="en-US" w:bidi="ar"/>
                    </w:rPr>
                    <w:t>43.7</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5.52</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bCs/>
                      <w:color w:val="auto"/>
                      <w:kern w:val="0"/>
                      <w:sz w:val="21"/>
                      <w:szCs w:val="21"/>
                      <w:highlight w:val="none"/>
                      <w:lang w:val="en-US" w:eastAsia="zh-CN"/>
                    </w:rPr>
                    <w:t>特驱供热点生物质锅炉废气产生及排放情况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燃料消耗量</w:t>
                  </w:r>
                </w:p>
              </w:tc>
              <w:tc>
                <w:tcPr>
                  <w:tcW w:w="4460"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44287.7t/a（6t/h、20t/h，2台锅炉总消耗量）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污染物</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产生量</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产生浓度</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去除率</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排放量</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排放浓度</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烟气量</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27635</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34893</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27635</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34893</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eastAsia="宋体"/>
                      <w:color w:val="auto"/>
                      <w:kern w:val="0"/>
                      <w:highlight w:val="none"/>
                      <w:lang w:val="en-US" w:bidi="ar"/>
                    </w:rPr>
                    <w:t>1665.22</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6025.64</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99.232%</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12.79</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46.28</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1.61</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eastAsia="宋体"/>
                      <w:color w:val="auto"/>
                      <w:kern w:val="0"/>
                      <w:highlight w:val="none"/>
                      <w:lang w:val="en-US" w:bidi="ar"/>
                    </w:rPr>
                    <w:t>15.06</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eastAsia="宋体"/>
                      <w:color w:val="auto"/>
                      <w:kern w:val="0"/>
                      <w:highlight w:val="none"/>
                      <w:lang w:val="en-US" w:bidi="ar"/>
                    </w:rPr>
                    <w:t>15.06</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1.9</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45.17</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color w:val="auto"/>
                      <w:kern w:val="0"/>
                      <w:highlight w:val="none"/>
                      <w:lang w:val="en-US" w:bidi="ar"/>
                    </w:rPr>
                    <w:t>45.17</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5.7</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bCs/>
                      <w:color w:val="auto"/>
                      <w:kern w:val="0"/>
                      <w:sz w:val="21"/>
                      <w:szCs w:val="21"/>
                      <w:highlight w:val="none"/>
                      <w:lang w:val="en-US" w:eastAsia="zh-CN"/>
                    </w:rPr>
                    <w:t>漓源供热点生物质锅炉废气产生及排放情况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燃料消耗量</w:t>
                  </w:r>
                </w:p>
              </w:tc>
              <w:tc>
                <w:tcPr>
                  <w:tcW w:w="4460"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6766.9t/a（1台4t/h锅炉）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污染物</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产生量</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产生浓度</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去除率</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排放量</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排放浓度</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烟气量</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4222</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5331</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4222</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5331</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eastAsia="宋体"/>
                      <w:color w:val="auto"/>
                      <w:kern w:val="0"/>
                      <w:highlight w:val="none"/>
                      <w:lang w:val="en-US" w:bidi="ar"/>
                    </w:rPr>
                    <w:t>254.43</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6025.64</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99.232%</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1.95</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46.28</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0.49</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eastAsia="宋体"/>
                      <w:color w:val="auto"/>
                      <w:kern w:val="0"/>
                      <w:highlight w:val="none"/>
                      <w:lang w:val="en-US" w:bidi="ar"/>
                    </w:rPr>
                    <w:t>2.3</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eastAsia="宋体"/>
                      <w:color w:val="auto"/>
                      <w:kern w:val="0"/>
                      <w:highlight w:val="none"/>
                      <w:lang w:val="en-US" w:bidi="ar"/>
                    </w:rPr>
                    <w:t>2.3</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58</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6.9</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color w:val="auto"/>
                      <w:kern w:val="0"/>
                      <w:highlight w:val="none"/>
                      <w:lang w:val="en-US" w:bidi="ar"/>
                    </w:rPr>
                    <w:t>6.9</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1.74</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bl>
          <w:p>
            <w:pPr>
              <w:autoSpaceDE w:val="0"/>
              <w:autoSpaceDN w:val="0"/>
              <w:adjustRightInd w:val="0"/>
              <w:spacing w:line="360" w:lineRule="auto"/>
              <w:ind w:firstLine="474" w:firstLineChars="197"/>
              <w:rPr>
                <w:rFonts w:hint="default" w:ascii="Times New Roman" w:hAnsi="宋体" w:eastAsia="宋体" w:cs="Times New Roman"/>
                <w:b/>
                <w:bCs/>
                <w:color w:val="auto"/>
                <w:sz w:val="24"/>
                <w:highlight w:val="none"/>
                <w:lang w:val="en-US" w:eastAsia="zh-CN"/>
              </w:rPr>
            </w:pPr>
            <w:r>
              <w:rPr>
                <w:rFonts w:hint="eastAsia" w:ascii="Times New Roman" w:hAnsi="宋体" w:eastAsia="宋体" w:cs="Times New Roman"/>
                <w:b/>
                <w:bCs/>
                <w:color w:val="auto"/>
                <w:sz w:val="24"/>
                <w:highlight w:val="none"/>
                <w:lang w:val="en-US" w:eastAsia="zh-CN"/>
              </w:rPr>
              <w:t>（3）非正常排放影响分析</w:t>
            </w:r>
          </w:p>
          <w:p>
            <w:pPr>
              <w:spacing w:line="360" w:lineRule="auto"/>
              <w:ind w:firstLine="504" w:firstLineChars="200"/>
              <w:rPr>
                <w:rFonts w:hint="eastAsia" w:ascii="Times New Roman" w:hAnsi="宋体" w:eastAsia="宋体" w:cs="Times New Roman"/>
                <w:color w:val="auto"/>
                <w:spacing w:val="6"/>
                <w:sz w:val="24"/>
                <w:highlight w:val="none"/>
                <w:lang w:val="en-US" w:eastAsia="zh-CN"/>
              </w:rPr>
            </w:pPr>
            <w:r>
              <w:rPr>
                <w:rFonts w:hint="eastAsia" w:ascii="Times New Roman" w:hAnsi="宋体" w:eastAsia="宋体" w:cs="Times New Roman"/>
                <w:color w:val="auto"/>
                <w:spacing w:val="6"/>
                <w:sz w:val="24"/>
                <w:highlight w:val="none"/>
                <w:lang w:val="en-US" w:eastAsia="zh-CN"/>
              </w:rPr>
              <w:t>本项目废气产生源主要来源于生物质锅炉废气，本次评价非正常排放假设为锅炉房除尘设施出现破损和故障，除尘效率下降至99%，废气非正常排放情况见下表。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3项目非正常排放条件下废气排放情况一览表</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1"/>
              <w:gridCol w:w="711"/>
              <w:gridCol w:w="1189"/>
              <w:gridCol w:w="1189"/>
              <w:gridCol w:w="1334"/>
              <w:gridCol w:w="828"/>
              <w:gridCol w:w="879"/>
              <w:gridCol w:w="1015"/>
              <w:gridCol w:w="1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16"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供热点</w:t>
                  </w:r>
                </w:p>
              </w:tc>
              <w:tc>
                <w:tcPr>
                  <w:tcW w:w="416"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污染物种类</w:t>
                  </w:r>
                </w:p>
              </w:tc>
              <w:tc>
                <w:tcPr>
                  <w:tcW w:w="615"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排放限制（</w:t>
                  </w:r>
                  <w:r>
                    <w:rPr>
                      <w:rFonts w:hint="eastAsia" w:ascii="Times New Roman" w:hAnsi="Times New Roman" w:eastAsia="宋体" w:cs="Times New Roman"/>
                      <w:b w:val="0"/>
                      <w:bCs/>
                      <w:color w:val="auto"/>
                      <w:kern w:val="1"/>
                      <w:szCs w:val="21"/>
                      <w:highlight w:val="none"/>
                      <w:lang w:val="en-US" w:eastAsia="zh-CN"/>
                    </w:rPr>
                    <w:t>mg/</w:t>
                  </w:r>
                  <w:r>
                    <w:rPr>
                      <w:rFonts w:hint="eastAsia" w:cs="Times New Roman"/>
                      <w:b w:val="0"/>
                      <w:bCs/>
                      <w:color w:val="auto"/>
                      <w:kern w:val="1"/>
                      <w:szCs w:val="21"/>
                      <w:highlight w:val="none"/>
                      <w:lang w:val="en-US" w:eastAsia="zh-CN"/>
                    </w:rPr>
                    <w:t>m</w:t>
                  </w:r>
                  <w:r>
                    <w:rPr>
                      <w:rFonts w:hint="default" w:ascii="Times New Roman" w:hAnsi="Times New Roman" w:cs="Times New Roman"/>
                      <w:b w:val="0"/>
                      <w:bCs/>
                      <w:color w:val="auto"/>
                      <w:kern w:val="1"/>
                      <w:szCs w:val="21"/>
                      <w:highlight w:val="none"/>
                      <w:lang w:val="en-US" w:eastAsia="zh-CN"/>
                    </w:rPr>
                    <w:t>³</w:t>
                  </w:r>
                  <w:r>
                    <w:rPr>
                      <w:rFonts w:hint="eastAsia" w:cs="Times New Roman"/>
                      <w:b w:val="0"/>
                      <w:bCs/>
                      <w:color w:val="auto"/>
                      <w:kern w:val="1"/>
                      <w:szCs w:val="21"/>
                      <w:highlight w:val="none"/>
                      <w:lang w:val="en-US" w:eastAsia="zh-CN"/>
                    </w:rPr>
                    <w:t>）</w:t>
                  </w:r>
                </w:p>
              </w:tc>
              <w:tc>
                <w:tcPr>
                  <w:tcW w:w="61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非正常排放浓度（</w:t>
                  </w:r>
                  <w:r>
                    <w:rPr>
                      <w:rFonts w:hint="eastAsia" w:ascii="Times New Roman" w:hAnsi="Times New Roman" w:eastAsia="宋体" w:cs="Times New Roman"/>
                      <w:b w:val="0"/>
                      <w:bCs/>
                      <w:color w:val="auto"/>
                      <w:kern w:val="1"/>
                      <w:szCs w:val="21"/>
                      <w:highlight w:val="none"/>
                      <w:lang w:val="en-US" w:eastAsia="zh-CN"/>
                    </w:rPr>
                    <w:t>mg/</w:t>
                  </w:r>
                  <w:r>
                    <w:rPr>
                      <w:rFonts w:hint="eastAsia" w:cs="Times New Roman"/>
                      <w:b w:val="0"/>
                      <w:bCs/>
                      <w:color w:val="auto"/>
                      <w:kern w:val="1"/>
                      <w:szCs w:val="21"/>
                      <w:highlight w:val="none"/>
                      <w:lang w:val="en-US" w:eastAsia="zh-CN"/>
                    </w:rPr>
                    <w:t>m</w:t>
                  </w:r>
                  <w:r>
                    <w:rPr>
                      <w:rFonts w:hint="default" w:ascii="Times New Roman" w:hAnsi="Times New Roman" w:cs="Times New Roman"/>
                      <w:b w:val="0"/>
                      <w:bCs/>
                      <w:color w:val="auto"/>
                      <w:kern w:val="1"/>
                      <w:szCs w:val="21"/>
                      <w:highlight w:val="none"/>
                      <w:lang w:val="en-US" w:eastAsia="zh-CN"/>
                    </w:rPr>
                    <w:t>³</w:t>
                  </w:r>
                  <w:r>
                    <w:rPr>
                      <w:rFonts w:hint="eastAsia" w:cs="Times New Roman"/>
                      <w:b w:val="0"/>
                      <w:bCs/>
                      <w:color w:val="auto"/>
                      <w:kern w:val="1"/>
                      <w:szCs w:val="21"/>
                      <w:highlight w:val="none"/>
                      <w:lang w:val="en-US" w:eastAsia="zh-CN"/>
                    </w:rPr>
                    <w:t>）</w:t>
                  </w:r>
                </w:p>
              </w:tc>
              <w:tc>
                <w:tcPr>
                  <w:tcW w:w="76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非正常排放速率（kg/h）</w:t>
                  </w:r>
                </w:p>
              </w:tc>
              <w:tc>
                <w:tcPr>
                  <w:tcW w:w="482"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事故频次（次/年）</w:t>
                  </w:r>
                </w:p>
              </w:tc>
              <w:tc>
                <w:tcPr>
                  <w:tcW w:w="51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持续时间（h/次）</w:t>
                  </w:r>
                </w:p>
              </w:tc>
              <w:tc>
                <w:tcPr>
                  <w:tcW w:w="58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非正常排放量（kg/a）</w:t>
                  </w:r>
                </w:p>
              </w:tc>
              <w:tc>
                <w:tcPr>
                  <w:tcW w:w="587"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应对措施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海大供热点</w:t>
                  </w:r>
                </w:p>
              </w:tc>
              <w:tc>
                <w:tcPr>
                  <w:tcW w:w="416"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颗粒物</w:t>
                  </w:r>
                </w:p>
              </w:tc>
              <w:tc>
                <w:tcPr>
                  <w:tcW w:w="615"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50</w:t>
                  </w:r>
                </w:p>
              </w:tc>
              <w:tc>
                <w:tcPr>
                  <w:tcW w:w="61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60.26</w:t>
                  </w:r>
                </w:p>
              </w:tc>
              <w:tc>
                <w:tcPr>
                  <w:tcW w:w="76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2.03</w:t>
                  </w:r>
                </w:p>
              </w:tc>
              <w:tc>
                <w:tcPr>
                  <w:tcW w:w="48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51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1015"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2.03</w:t>
                  </w:r>
                </w:p>
              </w:tc>
              <w:tc>
                <w:tcPr>
                  <w:tcW w:w="58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default" w:cs="Times New Roman"/>
                      <w:b w:val="0"/>
                      <w:bCs/>
                      <w:color w:val="auto"/>
                      <w:kern w:val="1"/>
                      <w:szCs w:val="21"/>
                      <w:highlight w:val="none"/>
                      <w:lang w:val="en-US" w:eastAsia="zh-CN"/>
                    </w:rPr>
                    <w:t>立即停</w:t>
                  </w:r>
                  <w:r>
                    <w:rPr>
                      <w:rFonts w:hint="eastAsia" w:cs="Times New Roman"/>
                      <w:b w:val="0"/>
                      <w:bCs/>
                      <w:color w:val="auto"/>
                      <w:kern w:val="1"/>
                      <w:szCs w:val="21"/>
                      <w:highlight w:val="none"/>
                      <w:lang w:val="en-US" w:eastAsia="zh-CN"/>
                    </w:rPr>
                    <w:t>炉</w:t>
                  </w:r>
                  <w:r>
                    <w:rPr>
                      <w:rFonts w:hint="default" w:cs="Times New Roman"/>
                      <w:b w:val="0"/>
                      <w:bCs/>
                      <w:color w:val="auto"/>
                      <w:kern w:val="1"/>
                      <w:szCs w:val="21"/>
                      <w:highlight w:val="none"/>
                      <w:lang w:val="en-US" w:eastAsia="zh-CN"/>
                    </w:rPr>
                    <w:t>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特驱供热点</w:t>
                  </w:r>
                </w:p>
              </w:tc>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颗粒物</w:t>
                  </w:r>
                </w:p>
              </w:tc>
              <w:tc>
                <w:tcPr>
                  <w:tcW w:w="615"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50</w:t>
                  </w:r>
                </w:p>
              </w:tc>
              <w:tc>
                <w:tcPr>
                  <w:tcW w:w="615" w:type="pct"/>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color w:val="auto"/>
                      <w:kern w:val="1"/>
                      <w:szCs w:val="21"/>
                      <w:highlight w:val="none"/>
                      <w:lang w:val="en-US" w:eastAsia="zh-CN"/>
                    </w:rPr>
                    <w:t>60.26</w:t>
                  </w:r>
                </w:p>
              </w:tc>
              <w:tc>
                <w:tcPr>
                  <w:tcW w:w="76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2.10</w:t>
                  </w:r>
                </w:p>
              </w:tc>
              <w:tc>
                <w:tcPr>
                  <w:tcW w:w="482"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511"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1015" w:type="dxa"/>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2.10</w:t>
                  </w:r>
                </w:p>
              </w:tc>
              <w:tc>
                <w:tcPr>
                  <w:tcW w:w="587"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default" w:cs="Times New Roman"/>
                      <w:b w:val="0"/>
                      <w:bCs/>
                      <w:color w:val="auto"/>
                      <w:kern w:val="1"/>
                      <w:szCs w:val="21"/>
                      <w:highlight w:val="none"/>
                      <w:lang w:val="en-US" w:eastAsia="zh-CN"/>
                    </w:rPr>
                    <w:t>立即停</w:t>
                  </w:r>
                  <w:r>
                    <w:rPr>
                      <w:rFonts w:hint="eastAsia" w:cs="Times New Roman"/>
                      <w:b w:val="0"/>
                      <w:bCs/>
                      <w:color w:val="auto"/>
                      <w:kern w:val="1"/>
                      <w:szCs w:val="21"/>
                      <w:highlight w:val="none"/>
                      <w:lang w:val="en-US" w:eastAsia="zh-CN"/>
                    </w:rPr>
                    <w:t>炉</w:t>
                  </w:r>
                  <w:r>
                    <w:rPr>
                      <w:rFonts w:hint="default" w:cs="Times New Roman"/>
                      <w:b w:val="0"/>
                      <w:bCs/>
                      <w:color w:val="auto"/>
                      <w:kern w:val="1"/>
                      <w:szCs w:val="21"/>
                      <w:highlight w:val="none"/>
                      <w:lang w:val="en-US" w:eastAsia="zh-CN"/>
                    </w:rPr>
                    <w:t>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漓源供热点</w:t>
                  </w:r>
                </w:p>
              </w:tc>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颗粒物</w:t>
                  </w:r>
                </w:p>
              </w:tc>
              <w:tc>
                <w:tcPr>
                  <w:tcW w:w="615"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50</w:t>
                  </w:r>
                </w:p>
              </w:tc>
              <w:tc>
                <w:tcPr>
                  <w:tcW w:w="615" w:type="pct"/>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color w:val="auto"/>
                      <w:kern w:val="1"/>
                      <w:szCs w:val="21"/>
                      <w:highlight w:val="none"/>
                      <w:lang w:val="en-US" w:eastAsia="zh-CN"/>
                    </w:rPr>
                    <w:t>60.26</w:t>
                  </w:r>
                </w:p>
              </w:tc>
              <w:tc>
                <w:tcPr>
                  <w:tcW w:w="76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0.64</w:t>
                  </w:r>
                </w:p>
              </w:tc>
              <w:tc>
                <w:tcPr>
                  <w:tcW w:w="482"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511"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1015" w:type="dxa"/>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0.64</w:t>
                  </w:r>
                </w:p>
              </w:tc>
              <w:tc>
                <w:tcPr>
                  <w:tcW w:w="587"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default" w:cs="Times New Roman"/>
                      <w:b w:val="0"/>
                      <w:bCs/>
                      <w:color w:val="auto"/>
                      <w:kern w:val="1"/>
                      <w:szCs w:val="21"/>
                      <w:highlight w:val="none"/>
                      <w:lang w:val="en-US" w:eastAsia="zh-CN"/>
                    </w:rPr>
                    <w:t>立即停</w:t>
                  </w:r>
                  <w:r>
                    <w:rPr>
                      <w:rFonts w:hint="eastAsia" w:cs="Times New Roman"/>
                      <w:b w:val="0"/>
                      <w:bCs/>
                      <w:color w:val="auto"/>
                      <w:kern w:val="1"/>
                      <w:szCs w:val="21"/>
                      <w:highlight w:val="none"/>
                      <w:lang w:val="en-US" w:eastAsia="zh-CN"/>
                    </w:rPr>
                    <w:t>炉</w:t>
                  </w:r>
                  <w:r>
                    <w:rPr>
                      <w:rFonts w:hint="default" w:cs="Times New Roman"/>
                      <w:b w:val="0"/>
                      <w:bCs/>
                      <w:color w:val="auto"/>
                      <w:kern w:val="1"/>
                      <w:szCs w:val="21"/>
                      <w:highlight w:val="none"/>
                      <w:lang w:val="en-US" w:eastAsia="zh-CN"/>
                    </w:rPr>
                    <w:t>检修</w:t>
                  </w:r>
                </w:p>
              </w:tc>
            </w:tr>
          </w:tbl>
          <w:p>
            <w:pPr>
              <w:spacing w:line="360" w:lineRule="auto"/>
              <w:ind w:firstLine="504" w:firstLineChars="200"/>
              <w:rPr>
                <w:rFonts w:hint="eastAsia" w:ascii="Times New Roman" w:hAnsi="宋体" w:eastAsia="宋体" w:cs="Times New Roman"/>
                <w:color w:val="auto"/>
                <w:spacing w:val="6"/>
                <w:sz w:val="24"/>
                <w:highlight w:val="none"/>
                <w:lang w:val="en-US" w:eastAsia="zh-CN"/>
              </w:rPr>
            </w:pPr>
            <w:r>
              <w:rPr>
                <w:rFonts w:hint="eastAsia" w:hAnsi="宋体" w:cs="Times New Roman"/>
                <w:color w:val="auto"/>
                <w:spacing w:val="6"/>
                <w:sz w:val="24"/>
                <w:highlight w:val="none"/>
                <w:lang w:val="en-US" w:eastAsia="zh-CN"/>
              </w:rPr>
              <w:t>由上可知，锅炉废气非正常排放情况下，除尘效率降为99%，颗粒物排放浓度超过《锅炉大气污染物排放标准》(GB13271-2014)燃煤锅炉标准。非正常排放对区域环境会产生一定影响，为避免废气对厂内员工及周围大气环境造成影响，除尘设施安装气压表，监控气压变化反映设施运行状态，日常运行期间应对除尘器进行维护和管理，杜绝非正常排放。若发生非正常排放，立即停产检修，找出非正常排放的来源。</w:t>
            </w:r>
            <w:r>
              <w:rPr>
                <w:rFonts w:hint="eastAsia" w:ascii="Times New Roman" w:hAnsi="宋体" w:eastAsia="宋体" w:cs="Times New Roman"/>
                <w:color w:val="auto"/>
                <w:spacing w:val="6"/>
                <w:sz w:val="24"/>
                <w:highlight w:val="none"/>
                <w:lang w:val="en-US" w:eastAsia="zh-CN"/>
              </w:rPr>
              <w:t>本项目非正常排放是可控的，对周围环境影响较小。</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2、无组织废气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运营期无组织粉尘主要来自生物质燃料装卸及储存产生的少量粉尘，生物质燃烧后产生的灰渣装卸运输过程产生的少量粉尘，为无组织排放。根据《环境影响评价实用技术指南》（机械工业出版社2008年4月第一版），无组织排放源的确定采用估算法，按照原料年使用量的0.1‰~0.4‰计算，本次环评按照0.3‰计算。项目生物质原料堆场、灰渣堆场地面进行硬化处理，采用三面围挡+顶棚遮盖，且生物质燃料、灰渣主要以袋装的方式堆放在场内，抑尘效率可达90%以上。则本项目无组织粉尘产生量如下：海大供热点产生量12.85t/a，排放量为1.28t/a；特驱供热点产生量13.29t/a，排放量为1.33t/a；漓源供热点产生量2.03t/a，排放量为0.2t/a。</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3、项目废气产排污情况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通过上述核算结果，本项目运营期废气产排污情况如下</w:t>
            </w:r>
            <w:r>
              <w:rPr>
                <w:rFonts w:hint="eastAsia" w:ascii="Times New Roman" w:hAnsi="Times New Roman" w:eastAsia="宋体" w:cs="Times New Roman"/>
                <w:b w:val="0"/>
                <w:bCs/>
                <w:color w:val="auto"/>
                <w:sz w:val="24"/>
                <w:szCs w:val="24"/>
                <w:highlight w:val="none"/>
                <w:lang w:val="en-US" w:eastAsia="zh-CN"/>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4海大供热点运营期废气产排污情况一览表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2073"/>
              <w:gridCol w:w="1387"/>
              <w:gridCol w:w="1284"/>
              <w:gridCol w:w="1090"/>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产污排污环节</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锅炉废气量（万</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/a）</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26736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污染物种类</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1611.05</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14.57</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43.7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6025.64</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排放形式</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有组织</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锅炉烟气</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1"/>
                      <w:szCs w:val="21"/>
                      <w:highlight w:val="none"/>
                      <w:lang w:val="en-US" w:eastAsia="zh-CN"/>
                    </w:rPr>
                    <w:t>旋风除尘+袋式除尘技术</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装袋后暂存堆渣间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治理工艺去除率</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99.232%</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是否为可行技术</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b w:val="0"/>
                      <w:bCs w:val="0"/>
                      <w:color w:val="auto"/>
                      <w:highlight w:val="none"/>
                      <w:lang w:val="en-US" w:eastAsia="zh-CN"/>
                    </w:rPr>
                  </w:pPr>
                  <w:r>
                    <w:rPr>
                      <w:rFonts w:hint="eastAsia" w:cs="Times New Roman"/>
                      <w:b w:val="0"/>
                      <w:bCs w:val="0"/>
                      <w:i w:val="0"/>
                      <w:iCs w:val="0"/>
                      <w:color w:val="auto"/>
                      <w:kern w:val="0"/>
                      <w:sz w:val="21"/>
                      <w:szCs w:val="21"/>
                      <w:highlight w:val="none"/>
                      <w:u w:val="none"/>
                      <w:lang w:val="en-US" w:eastAsia="zh-CN" w:bidi="ar"/>
                    </w:rPr>
                    <w:t>12.37</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14.57</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43.7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速率</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kg/h</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1.56</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1.84</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5.52</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46.28</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排放口基本情况</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排气筒高度（m）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排气筒内径（m）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温度</w:t>
                  </w:r>
                  <w:r>
                    <w:rPr>
                      <w:rFonts w:hint="default" w:cs="Times New Roman"/>
                      <w:b w:val="0"/>
                      <w:bCs w:val="0"/>
                      <w:color w:val="auto"/>
                      <w:kern w:val="0"/>
                      <w:sz w:val="21"/>
                      <w:szCs w:val="21"/>
                      <w:highlight w:val="none"/>
                      <w:lang w:val="en-US" w:eastAsia="zh-CN"/>
                    </w:rPr>
                    <w:t>℃</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6</w:t>
                  </w:r>
                  <w:r>
                    <w:rPr>
                      <w:rFonts w:hint="eastAsia" w:cs="Times New Roman"/>
                      <w:b w:val="0"/>
                      <w:bCs w:val="0"/>
                      <w:color w:val="auto"/>
                      <w:kern w:val="0"/>
                      <w:sz w:val="21"/>
                      <w:szCs w:val="21"/>
                      <w:highlight w:val="none"/>
                      <w:lang w:val="en-US" w:eastAsia="zh-CN"/>
                    </w:rPr>
                    <w:t>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编号</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DA001</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类型</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主要排放口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地理坐标</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103°11′47.006″</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24°59′56.994″</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排放标准</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标准名称</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《锅炉大气污染物排放标准》（GB13271-2014）表2新建锅炉大气污染物排放浓度限值中的燃煤锅炉限值。</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《大气污染物综合排放标准》（GB16297-1996）表2无组织排放监控浓度限值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标准限值（mg/m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50</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监测要求</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监测点位</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DA001烟囱排放口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厂界上风向一个点，下风向三个点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监测因子</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、NOx、烟气黑度（林格曼黑度）</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监测频次</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w:t>
                  </w:r>
                  <w:r>
                    <w:rPr>
                      <w:rFonts w:hint="eastAsia" w:cs="Times New Roman"/>
                      <w:b w:val="0"/>
                      <w:bCs w:val="0"/>
                      <w:color w:val="auto"/>
                      <w:kern w:val="0"/>
                      <w:sz w:val="21"/>
                      <w:szCs w:val="21"/>
                      <w:highlight w:val="none"/>
                      <w:lang w:val="en-US" w:eastAsia="zh-CN"/>
                    </w:rPr>
                    <w:t>2</w:t>
                  </w:r>
                  <w:r>
                    <w:rPr>
                      <w:rFonts w:hint="default" w:cs="Times New Roman"/>
                      <w:b w:val="0"/>
                      <w:bCs w:val="0"/>
                      <w:color w:val="auto"/>
                      <w:kern w:val="0"/>
                      <w:sz w:val="21"/>
                      <w:szCs w:val="21"/>
                      <w:highlight w:val="none"/>
                      <w:lang w:val="en-US" w:eastAsia="zh-CN"/>
                    </w:rPr>
                    <w:t>天，每天监测3次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自行监测计划</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、NOx：自动监测</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烟气黑度（林格曼黑度）：每季度1次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每季度1次</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5特驱供热点运营期废气产排污情况一览表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2073"/>
              <w:gridCol w:w="1387"/>
              <w:gridCol w:w="1284"/>
              <w:gridCol w:w="1090"/>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产污排污环节</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锅炉废气量（万</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/a）</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27635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污染物种类</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1665.22</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15.06</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45.17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6025.64</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排放形式</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有组织</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锅炉烟气</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1"/>
                      <w:szCs w:val="21"/>
                      <w:highlight w:val="none"/>
                      <w:lang w:val="en-US" w:eastAsia="zh-CN"/>
                    </w:rPr>
                    <w:t>旋风除尘+袋式除尘技术</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装袋后暂存堆渣间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治理工艺去除率</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99.232%</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是否为可行技术</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b w:val="0"/>
                      <w:bCs w:val="0"/>
                      <w:color w:val="auto"/>
                      <w:highlight w:val="none"/>
                      <w:lang w:val="en-US" w:eastAsia="zh-CN"/>
                    </w:rPr>
                  </w:pPr>
                  <w:r>
                    <w:rPr>
                      <w:rFonts w:hint="eastAsia" w:cs="Times New Roman"/>
                      <w:b w:val="0"/>
                      <w:bCs w:val="0"/>
                      <w:i w:val="0"/>
                      <w:iCs w:val="0"/>
                      <w:color w:val="auto"/>
                      <w:kern w:val="0"/>
                      <w:sz w:val="21"/>
                      <w:szCs w:val="21"/>
                      <w:highlight w:val="none"/>
                      <w:u w:val="none"/>
                      <w:lang w:val="en-US" w:eastAsia="zh-CN" w:bidi="ar"/>
                    </w:rPr>
                    <w:t>12.79</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15.06</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45.17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速率</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kg/h</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1.61</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5.7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46.28</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排放口基本情况</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排气筒高度（m）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排气筒内径（m）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温度</w:t>
                  </w:r>
                  <w:r>
                    <w:rPr>
                      <w:rFonts w:hint="default" w:cs="Times New Roman"/>
                      <w:b w:val="0"/>
                      <w:bCs w:val="0"/>
                      <w:color w:val="auto"/>
                      <w:kern w:val="0"/>
                      <w:sz w:val="21"/>
                      <w:szCs w:val="21"/>
                      <w:highlight w:val="none"/>
                      <w:lang w:val="en-US" w:eastAsia="zh-CN"/>
                    </w:rPr>
                    <w:t>℃</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6</w:t>
                  </w:r>
                  <w:r>
                    <w:rPr>
                      <w:rFonts w:hint="eastAsia" w:cs="Times New Roman"/>
                      <w:b w:val="0"/>
                      <w:bCs w:val="0"/>
                      <w:color w:val="auto"/>
                      <w:kern w:val="0"/>
                      <w:sz w:val="21"/>
                      <w:szCs w:val="21"/>
                      <w:highlight w:val="none"/>
                      <w:lang w:val="en-US" w:eastAsia="zh-CN"/>
                    </w:rPr>
                    <w:t>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编号</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DA002</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类型</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主要排放口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地理坐标</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103°11′50.053″，25°0′7.071″</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排放标准</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标准名称</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《锅炉大气污染物排放标准》（GB13271-2014）表2新建锅炉大气污染物排放浓度限值中的燃煤锅炉限值。</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《大气污染物综合排放标准》（GB16297-1996）表2无组织排放监控浓度限值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标准限值（mg/m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50</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监测要求</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监测点位</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DA002烟囱排放口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厂界上风向一个点，下风向三个点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监测因子</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、NOx、烟气黑度（林格曼黑度）</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监测频次</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w:t>
                  </w:r>
                  <w:r>
                    <w:rPr>
                      <w:rFonts w:hint="eastAsia" w:cs="Times New Roman"/>
                      <w:b w:val="0"/>
                      <w:bCs w:val="0"/>
                      <w:color w:val="auto"/>
                      <w:kern w:val="0"/>
                      <w:sz w:val="21"/>
                      <w:szCs w:val="21"/>
                      <w:highlight w:val="none"/>
                      <w:lang w:val="en-US" w:eastAsia="zh-CN"/>
                    </w:rPr>
                    <w:t>2</w:t>
                  </w:r>
                  <w:r>
                    <w:rPr>
                      <w:rFonts w:hint="default" w:cs="Times New Roman"/>
                      <w:b w:val="0"/>
                      <w:bCs w:val="0"/>
                      <w:color w:val="auto"/>
                      <w:kern w:val="0"/>
                      <w:sz w:val="21"/>
                      <w:szCs w:val="21"/>
                      <w:highlight w:val="none"/>
                      <w:lang w:val="en-US" w:eastAsia="zh-CN"/>
                    </w:rPr>
                    <w:t>天，每天监测3次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自行监测计划</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、NOx：自动监测</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烟气黑度（林格曼黑度）：每季度1次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每季度1次</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6漓源供热点运营期废气产排污情况一览表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2073"/>
              <w:gridCol w:w="1387"/>
              <w:gridCol w:w="1284"/>
              <w:gridCol w:w="1090"/>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产污排污环节</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锅炉废气量（万</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/a）</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4222</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污染物种类</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254.43</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2.3</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6.9</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6025.64</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排放形式</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有组织</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锅炉烟气</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1"/>
                      <w:szCs w:val="21"/>
                      <w:highlight w:val="none"/>
                      <w:lang w:val="en-US" w:eastAsia="zh-CN"/>
                    </w:rPr>
                    <w:t>旋风除尘+袋式除尘技术</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装袋后暂存堆渣间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治理工艺去除率</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99.232%</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是否为可行技术</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b w:val="0"/>
                      <w:bCs w:val="0"/>
                      <w:color w:val="auto"/>
                      <w:highlight w:val="none"/>
                      <w:lang w:val="en-US" w:eastAsia="zh-CN"/>
                    </w:rPr>
                  </w:pPr>
                  <w:r>
                    <w:rPr>
                      <w:rFonts w:hint="eastAsia" w:cs="Times New Roman"/>
                      <w:b w:val="0"/>
                      <w:bCs w:val="0"/>
                      <w:i w:val="0"/>
                      <w:iCs w:val="0"/>
                      <w:color w:val="auto"/>
                      <w:kern w:val="0"/>
                      <w:sz w:val="21"/>
                      <w:szCs w:val="21"/>
                      <w:highlight w:val="none"/>
                      <w:u w:val="none"/>
                      <w:lang w:val="en-US" w:eastAsia="zh-CN" w:bidi="ar"/>
                    </w:rPr>
                    <w:t>1.95</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2.3</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6.9</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速率</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kg/h</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0.49</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0.58</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1.74</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46.28</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排放口基本情况</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排气筒高度（m）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排气筒内径（m）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温度</w:t>
                  </w:r>
                  <w:r>
                    <w:rPr>
                      <w:rFonts w:hint="default" w:cs="Times New Roman"/>
                      <w:b w:val="0"/>
                      <w:bCs w:val="0"/>
                      <w:color w:val="auto"/>
                      <w:kern w:val="0"/>
                      <w:sz w:val="21"/>
                      <w:szCs w:val="21"/>
                      <w:highlight w:val="none"/>
                      <w:lang w:val="en-US" w:eastAsia="zh-CN"/>
                    </w:rPr>
                    <w:t>℃</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6</w:t>
                  </w:r>
                  <w:r>
                    <w:rPr>
                      <w:rFonts w:hint="eastAsia" w:cs="Times New Roman"/>
                      <w:b w:val="0"/>
                      <w:bCs w:val="0"/>
                      <w:color w:val="auto"/>
                      <w:kern w:val="0"/>
                      <w:sz w:val="21"/>
                      <w:szCs w:val="21"/>
                      <w:highlight w:val="none"/>
                      <w:lang w:val="en-US" w:eastAsia="zh-CN"/>
                    </w:rPr>
                    <w:t>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编号</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DA003</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类型</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主要排放口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地理坐标</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103°11′35.332″</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25°0′11.561″</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排放标准</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标准名称</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《锅炉大气污染物排放标准》（GB13271-2014）表2新建锅炉大气污染物排放浓度限值中的燃煤锅炉限值。</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《大气污染物综合排放标准》（GB16297-1996）表2无组织排放监控浓度限值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标准限值（mg/m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50</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监测要求</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监测点位</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DA003烟囱排放口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厂界上风向一个点，下风向三个点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监测因子</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、NOx、烟气黑度（林格曼黑度）</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监测频次</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w:t>
                  </w:r>
                  <w:r>
                    <w:rPr>
                      <w:rFonts w:hint="eastAsia" w:cs="Times New Roman"/>
                      <w:b w:val="0"/>
                      <w:bCs w:val="0"/>
                      <w:color w:val="auto"/>
                      <w:kern w:val="0"/>
                      <w:sz w:val="21"/>
                      <w:szCs w:val="21"/>
                      <w:highlight w:val="none"/>
                      <w:lang w:val="en-US" w:eastAsia="zh-CN"/>
                    </w:rPr>
                    <w:t>2</w:t>
                  </w:r>
                  <w:r>
                    <w:rPr>
                      <w:rFonts w:hint="default" w:cs="Times New Roman"/>
                      <w:b w:val="0"/>
                      <w:bCs w:val="0"/>
                      <w:color w:val="auto"/>
                      <w:kern w:val="0"/>
                      <w:sz w:val="21"/>
                      <w:szCs w:val="21"/>
                      <w:highlight w:val="none"/>
                      <w:lang w:val="en-US" w:eastAsia="zh-CN"/>
                    </w:rPr>
                    <w:t>天，每天监测3次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自行监测计划</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、NOx：自动监测</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烟气黑度（林格曼黑度）：每季度1次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每季度1次</w:t>
                  </w: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4、废气污染防治技术可行性分析</w:t>
            </w:r>
          </w:p>
          <w:p>
            <w:pPr>
              <w:spacing w:line="360" w:lineRule="auto"/>
              <w:ind w:firstLine="504" w:firstLineChars="200"/>
              <w:rPr>
                <w:rFonts w:hint="eastAsia" w:ascii="Times New Roman" w:hAnsi="宋体" w:eastAsia="宋体" w:cs="Times New Roman"/>
                <w:color w:val="auto"/>
                <w:spacing w:val="6"/>
                <w:sz w:val="24"/>
                <w:highlight w:val="none"/>
                <w:lang w:val="en-US" w:eastAsia="zh-CN"/>
              </w:rPr>
            </w:pPr>
            <w:r>
              <w:rPr>
                <w:rFonts w:hint="eastAsia" w:hAnsi="宋体" w:cs="Times New Roman"/>
                <w:color w:val="auto"/>
                <w:spacing w:val="6"/>
                <w:sz w:val="24"/>
                <w:highlight w:val="none"/>
                <w:lang w:val="en-US" w:eastAsia="zh-CN"/>
              </w:rPr>
              <w:t>根据《排污许可证申请与核发技术规范 锅炉》（HJ953-2018）等技术规范中“废气污染防治可行技术”，可知本项目采取的污染防治措施均为可行技术，具体对照分析如下表。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本项目拟建锅炉废气污染防治可行技术的符合性分析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998"/>
              <w:gridCol w:w="2779"/>
              <w:gridCol w:w="1325"/>
              <w:gridCol w:w="1394"/>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443"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类型</w:t>
                  </w:r>
                </w:p>
              </w:tc>
              <w:tc>
                <w:tcPr>
                  <w:tcW w:w="562"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污染物</w:t>
                  </w:r>
                </w:p>
              </w:tc>
              <w:tc>
                <w:tcPr>
                  <w:tcW w:w="156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《排污许可证申请与核发技术规范 锅炉》（HJ953-2018）中推荐</w:t>
                  </w:r>
                  <w:r>
                    <w:rPr>
                      <w:rFonts w:hint="default" w:ascii="Times New Roman" w:hAnsi="Times New Roman" w:eastAsia="宋体" w:cs="Times New Roman"/>
                      <w:b w:val="0"/>
                      <w:bCs/>
                      <w:color w:val="auto"/>
                      <w:kern w:val="1"/>
                      <w:szCs w:val="21"/>
                      <w:highlight w:val="none"/>
                      <w:lang w:val="en-US" w:eastAsia="zh-CN"/>
                    </w:rPr>
                    <w:t>的防治措施</w:t>
                  </w:r>
                </w:p>
              </w:tc>
              <w:tc>
                <w:tcPr>
                  <w:tcW w:w="746"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本项目采取的防治措施</w:t>
                  </w:r>
                </w:p>
              </w:tc>
              <w:tc>
                <w:tcPr>
                  <w:tcW w:w="78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是否为技术规范可行措施</w:t>
                  </w:r>
                </w:p>
              </w:tc>
              <w:tc>
                <w:tcPr>
                  <w:tcW w:w="89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采取措施后的排放情况（影响）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443"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锅炉烟气</w:t>
                  </w:r>
                </w:p>
              </w:tc>
              <w:tc>
                <w:tcPr>
                  <w:tcW w:w="56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颗粒物</w:t>
                  </w:r>
                </w:p>
              </w:tc>
              <w:tc>
                <w:tcPr>
                  <w:tcW w:w="156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default" w:ascii="Times New Roman" w:hAnsi="Times New Roman" w:eastAsia="宋体" w:cs="Times New Roman"/>
                      <w:b w:val="0"/>
                      <w:bCs/>
                      <w:color w:val="auto"/>
                      <w:kern w:val="1"/>
                      <w:szCs w:val="21"/>
                      <w:highlight w:val="none"/>
                      <w:lang w:val="en-US" w:eastAsia="zh-CN"/>
                    </w:rPr>
                    <w:t>旋风除尘+袋式除尘</w:t>
                  </w:r>
                  <w:r>
                    <w:rPr>
                      <w:rFonts w:hint="eastAsia" w:cs="Times New Roman"/>
                      <w:b w:val="0"/>
                      <w:bCs/>
                      <w:color w:val="auto"/>
                      <w:kern w:val="1"/>
                      <w:szCs w:val="21"/>
                      <w:highlight w:val="none"/>
                      <w:lang w:val="en-US" w:eastAsia="zh-CN"/>
                    </w:rPr>
                    <w:t>组合技术</w:t>
                  </w:r>
                </w:p>
              </w:tc>
              <w:tc>
                <w:tcPr>
                  <w:tcW w:w="746"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ascii="Times New Roman" w:hAnsi="Times New Roman" w:eastAsia="宋体" w:cs="Times New Roman"/>
                      <w:b w:val="0"/>
                      <w:bCs/>
                      <w:color w:val="auto"/>
                      <w:kern w:val="1"/>
                      <w:szCs w:val="21"/>
                      <w:highlight w:val="none"/>
                      <w:lang w:val="en-US" w:eastAsia="zh-CN"/>
                    </w:rPr>
                    <w:t>旋风除尘+袋式除尘</w:t>
                  </w:r>
                  <w:r>
                    <w:rPr>
                      <w:rFonts w:hint="eastAsia" w:cs="Times New Roman"/>
                      <w:b w:val="0"/>
                      <w:bCs/>
                      <w:color w:val="auto"/>
                      <w:kern w:val="1"/>
                      <w:szCs w:val="21"/>
                      <w:highlight w:val="none"/>
                      <w:lang w:val="en-US" w:eastAsia="zh-CN"/>
                    </w:rPr>
                    <w:t>组合技术</w:t>
                  </w:r>
                </w:p>
              </w:tc>
              <w:tc>
                <w:tcPr>
                  <w:tcW w:w="78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是</w:t>
                  </w:r>
                </w:p>
              </w:tc>
              <w:tc>
                <w:tcPr>
                  <w:tcW w:w="897"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采取措施后锅炉烟气</w:t>
                  </w:r>
                  <w:r>
                    <w:rPr>
                      <w:rFonts w:hint="eastAsia" w:ascii="Times New Roman" w:hAnsi="Times New Roman" w:eastAsia="宋体" w:cs="Times New Roman"/>
                      <w:b w:val="0"/>
                      <w:bCs/>
                      <w:color w:val="auto"/>
                      <w:kern w:val="1"/>
                      <w:szCs w:val="21"/>
                      <w:highlight w:val="none"/>
                      <w:lang w:val="en-US" w:eastAsia="zh-CN"/>
                    </w:rPr>
                    <w:t>达标排放，对周围环境影响较小。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44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粉尘</w:t>
                  </w:r>
                </w:p>
              </w:tc>
              <w:tc>
                <w:tcPr>
                  <w:tcW w:w="562"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粉尘</w:t>
                  </w:r>
                </w:p>
              </w:tc>
              <w:tc>
                <w:tcPr>
                  <w:tcW w:w="156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灰场、渣场应及时覆盖并定期洒水。设有灰仓的应采用密闭措施，卸灰管道出口应有防尘措施。设有渣库的应采用挡尘卷帘、围挡等形式的防尘措施。</w:t>
                  </w:r>
                </w:p>
              </w:tc>
              <w:tc>
                <w:tcPr>
                  <w:tcW w:w="746"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料场、堆渣间采取</w:t>
                  </w:r>
                  <w:r>
                    <w:rPr>
                      <w:rFonts w:hint="eastAsia" w:ascii="Times New Roman" w:hAnsi="Times New Roman" w:eastAsia="宋体" w:cs="Times New Roman"/>
                      <w:b w:val="0"/>
                      <w:bCs/>
                      <w:color w:val="auto"/>
                      <w:kern w:val="1"/>
                      <w:szCs w:val="21"/>
                      <w:highlight w:val="none"/>
                      <w:lang w:val="en-US" w:eastAsia="zh-CN"/>
                    </w:rPr>
                    <w:t>堆场三面围挡结构，加装顶棚等措施</w:t>
                  </w:r>
                </w:p>
              </w:tc>
              <w:tc>
                <w:tcPr>
                  <w:tcW w:w="78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是</w:t>
                  </w:r>
                </w:p>
              </w:tc>
              <w:tc>
                <w:tcPr>
                  <w:tcW w:w="897"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采取措施后无组织粉尘</w:t>
                  </w:r>
                  <w:r>
                    <w:rPr>
                      <w:rFonts w:hint="eastAsia" w:ascii="Times New Roman" w:hAnsi="Times New Roman" w:eastAsia="宋体" w:cs="Times New Roman"/>
                      <w:b w:val="0"/>
                      <w:bCs/>
                      <w:color w:val="auto"/>
                      <w:kern w:val="1"/>
                      <w:szCs w:val="21"/>
                      <w:highlight w:val="none"/>
                      <w:lang w:val="en-US" w:eastAsia="zh-CN"/>
                    </w:rPr>
                    <w:t>达标排放，对周围环境影响较小。</w:t>
                  </w: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eastAsia="宋体" w:cs="Times New Roman"/>
                <w:b/>
                <w:bCs/>
                <w:color w:val="auto"/>
                <w:highlight w:val="none"/>
                <w:lang w:val="en-US" w:eastAsia="zh-CN"/>
              </w:rPr>
            </w:pPr>
            <w:r>
              <w:rPr>
                <w:rFonts w:hint="eastAsia" w:eastAsia="宋体" w:cs="Times New Roman"/>
                <w:b/>
                <w:bCs/>
                <w:color w:val="auto"/>
                <w:highlight w:val="none"/>
                <w:lang w:val="en-US" w:eastAsia="zh-CN"/>
              </w:rPr>
              <w:t>5、大气环境影响分析结论</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hint="default" w:hAnsi="宋体" w:cs="Times New Roman"/>
                <w:color w:val="auto"/>
                <w:spacing w:val="6"/>
                <w:sz w:val="24"/>
                <w:highlight w:val="none"/>
                <w:lang w:val="en-US" w:eastAsia="zh-CN"/>
              </w:rPr>
            </w:pPr>
            <w:r>
              <w:rPr>
                <w:rFonts w:hint="eastAsia" w:hAnsi="宋体" w:cs="Times New Roman"/>
                <w:color w:val="auto"/>
                <w:spacing w:val="6"/>
                <w:sz w:val="24"/>
                <w:highlight w:val="none"/>
                <w:lang w:val="en-US" w:eastAsia="zh-CN"/>
              </w:rPr>
              <w:t>根据昆明市生态环境局发布的《2022年度昆明市生态环境状况公报》及引用现状监测情况，判定本项目所在区域属于环境空气质量达标区。</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hint="eastAsia" w:ascii="Times New Roman" w:hAnsi="宋体" w:eastAsia="宋体" w:cs="Times New Roman"/>
                <w:color w:val="auto"/>
                <w:spacing w:val="6"/>
                <w:sz w:val="24"/>
                <w:highlight w:val="none"/>
                <w:lang w:val="en-US" w:eastAsia="zh-CN"/>
              </w:rPr>
            </w:pPr>
            <w:r>
              <w:rPr>
                <w:rFonts w:hint="eastAsia" w:ascii="Times New Roman" w:hAnsi="宋体" w:eastAsia="宋体" w:cs="Times New Roman"/>
                <w:color w:val="auto"/>
                <w:spacing w:val="6"/>
                <w:sz w:val="24"/>
                <w:highlight w:val="none"/>
                <w:lang w:val="en-US" w:eastAsia="zh-CN"/>
              </w:rPr>
              <w:t>项目生物质锅炉</w:t>
            </w:r>
            <w:r>
              <w:rPr>
                <w:rFonts w:hint="eastAsia" w:hAnsi="宋体" w:cs="Times New Roman"/>
                <w:color w:val="auto"/>
                <w:spacing w:val="6"/>
                <w:sz w:val="24"/>
                <w:highlight w:val="none"/>
                <w:lang w:val="en-US" w:eastAsia="zh-CN"/>
              </w:rPr>
              <w:t>烟</w:t>
            </w:r>
            <w:r>
              <w:rPr>
                <w:rFonts w:hint="eastAsia" w:ascii="Times New Roman" w:hAnsi="宋体" w:eastAsia="宋体" w:cs="Times New Roman"/>
                <w:color w:val="auto"/>
                <w:spacing w:val="6"/>
                <w:sz w:val="24"/>
                <w:highlight w:val="none"/>
                <w:lang w:val="en-US" w:eastAsia="zh-CN"/>
              </w:rPr>
              <w:t>气经“多管旋风除尘器+布袋除尘器”两级除尘设施处理后</w:t>
            </w:r>
            <w:r>
              <w:rPr>
                <w:rFonts w:hint="eastAsia" w:hAnsi="宋体" w:cs="Times New Roman"/>
                <w:color w:val="auto"/>
                <w:spacing w:val="6"/>
                <w:sz w:val="24"/>
                <w:highlight w:val="none"/>
                <w:lang w:val="en-US" w:eastAsia="zh-CN"/>
              </w:rPr>
              <w:t>经</w:t>
            </w:r>
            <w:r>
              <w:rPr>
                <w:rFonts w:hint="eastAsia" w:ascii="Times New Roman" w:hAnsi="宋体" w:eastAsia="宋体" w:cs="Times New Roman"/>
                <w:color w:val="auto"/>
                <w:spacing w:val="6"/>
                <w:sz w:val="24"/>
                <w:highlight w:val="none"/>
                <w:lang w:val="en-US" w:eastAsia="zh-CN"/>
              </w:rPr>
              <w:t>排气筒排放</w:t>
            </w:r>
            <w:r>
              <w:rPr>
                <w:rFonts w:hint="eastAsia" w:hAnsi="宋体" w:cs="Times New Roman"/>
                <w:color w:val="auto"/>
                <w:spacing w:val="6"/>
                <w:sz w:val="24"/>
                <w:highlight w:val="none"/>
                <w:lang w:val="en-US" w:eastAsia="zh-CN"/>
              </w:rPr>
              <w:t>。</w:t>
            </w:r>
            <w:r>
              <w:rPr>
                <w:rFonts w:hint="eastAsia" w:ascii="Times New Roman" w:hAnsi="宋体" w:eastAsia="宋体" w:cs="Times New Roman"/>
                <w:color w:val="auto"/>
                <w:spacing w:val="6"/>
                <w:sz w:val="24"/>
                <w:highlight w:val="none"/>
                <w:lang w:val="en-US" w:eastAsia="zh-CN"/>
              </w:rPr>
              <w:t>项目运营期</w:t>
            </w:r>
            <w:r>
              <w:rPr>
                <w:rFonts w:hint="eastAsia" w:hAnsi="宋体" w:cs="Times New Roman"/>
                <w:color w:val="auto"/>
                <w:spacing w:val="6"/>
                <w:sz w:val="24"/>
                <w:highlight w:val="none"/>
                <w:lang w:val="en-US" w:eastAsia="zh-CN"/>
              </w:rPr>
              <w:t>正常工况下，</w:t>
            </w:r>
            <w:r>
              <w:rPr>
                <w:rFonts w:hint="eastAsia" w:ascii="Times New Roman" w:hAnsi="宋体" w:eastAsia="宋体" w:cs="Times New Roman"/>
                <w:color w:val="auto"/>
                <w:spacing w:val="6"/>
                <w:sz w:val="24"/>
                <w:highlight w:val="none"/>
                <w:lang w:val="en-US" w:eastAsia="zh-CN"/>
              </w:rPr>
              <w:t>各污染物的排放浓度均满足《锅炉大气污染物排放标准》（GB13271-2014）表2新建锅炉大气污染物排放浓度限值</w:t>
            </w:r>
            <w:r>
              <w:rPr>
                <w:rFonts w:hint="eastAsia" w:hAnsi="宋体" w:cs="Times New Roman"/>
                <w:color w:val="auto"/>
                <w:spacing w:val="6"/>
                <w:sz w:val="24"/>
                <w:highlight w:val="none"/>
                <w:lang w:val="en-US" w:eastAsia="zh-CN"/>
              </w:rPr>
              <w:t>：</w:t>
            </w:r>
            <w:r>
              <w:rPr>
                <w:rFonts w:hint="eastAsia" w:ascii="Times New Roman" w:hAnsi="宋体" w:eastAsia="宋体" w:cs="Times New Roman"/>
                <w:color w:val="auto"/>
                <w:spacing w:val="6"/>
                <w:sz w:val="24"/>
                <w:highlight w:val="none"/>
                <w:lang w:val="en-US" w:eastAsia="zh-CN"/>
              </w:rPr>
              <w:t>颗粒物≤50mg/m</w:t>
            </w:r>
            <w:r>
              <w:rPr>
                <w:rFonts w:hint="default" w:ascii="Times New Roman" w:hAnsi="Times New Roman" w:eastAsia="宋体" w:cs="Times New Roman"/>
                <w:color w:val="auto"/>
                <w:spacing w:val="6"/>
                <w:sz w:val="24"/>
                <w:highlight w:val="none"/>
                <w:lang w:val="en-US" w:eastAsia="zh-CN"/>
              </w:rPr>
              <w:t>³</w:t>
            </w:r>
            <w:r>
              <w:rPr>
                <w:rFonts w:hint="eastAsia" w:ascii="Times New Roman" w:hAnsi="宋体" w:eastAsia="宋体" w:cs="Times New Roman"/>
                <w:color w:val="auto"/>
                <w:spacing w:val="6"/>
                <w:sz w:val="24"/>
                <w:highlight w:val="none"/>
                <w:lang w:val="en-US" w:eastAsia="zh-CN"/>
              </w:rPr>
              <w:t>、二氧化硫≤300mg/m</w:t>
            </w:r>
            <w:r>
              <w:rPr>
                <w:rFonts w:hint="default" w:ascii="Times New Roman" w:hAnsi="Times New Roman" w:eastAsia="宋体" w:cs="Times New Roman"/>
                <w:color w:val="auto"/>
                <w:spacing w:val="6"/>
                <w:sz w:val="24"/>
                <w:highlight w:val="none"/>
                <w:lang w:val="en-US" w:eastAsia="zh-CN"/>
              </w:rPr>
              <w:t>³</w:t>
            </w:r>
            <w:r>
              <w:rPr>
                <w:rFonts w:hint="eastAsia" w:ascii="Times New Roman" w:hAnsi="宋体" w:eastAsia="宋体" w:cs="Times New Roman"/>
                <w:color w:val="auto"/>
                <w:spacing w:val="6"/>
                <w:sz w:val="24"/>
                <w:highlight w:val="none"/>
                <w:lang w:val="en-US" w:eastAsia="zh-CN"/>
              </w:rPr>
              <w:t>、氮氧化物≤300mg/m</w:t>
            </w:r>
            <w:r>
              <w:rPr>
                <w:rFonts w:hint="default" w:ascii="Times New Roman" w:hAnsi="Times New Roman" w:eastAsia="宋体" w:cs="Times New Roman"/>
                <w:color w:val="auto"/>
                <w:spacing w:val="6"/>
                <w:sz w:val="24"/>
                <w:highlight w:val="none"/>
                <w:lang w:val="en-US" w:eastAsia="zh-CN"/>
              </w:rPr>
              <w:t>³，对周围环境影响较小</w:t>
            </w:r>
            <w:r>
              <w:rPr>
                <w:rFonts w:hint="eastAsia" w:ascii="Times New Roman" w:hAnsi="宋体" w:eastAsia="宋体" w:cs="Times New Roman"/>
                <w:color w:val="auto"/>
                <w:spacing w:val="6"/>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hint="eastAsia" w:ascii="Times New Roman" w:hAnsi="宋体" w:eastAsia="宋体" w:cs="Times New Roman"/>
                <w:color w:val="auto"/>
                <w:spacing w:val="6"/>
                <w:sz w:val="24"/>
                <w:highlight w:val="none"/>
                <w:lang w:val="en-US" w:eastAsia="zh-CN"/>
              </w:rPr>
            </w:pPr>
            <w:r>
              <w:rPr>
                <w:rFonts w:hint="eastAsia" w:ascii="Times New Roman" w:hAnsi="宋体" w:eastAsia="宋体" w:cs="Times New Roman"/>
                <w:color w:val="auto"/>
                <w:spacing w:val="6"/>
                <w:sz w:val="24"/>
                <w:highlight w:val="none"/>
                <w:lang w:val="en-US" w:eastAsia="zh-CN"/>
              </w:rPr>
              <w:t>非正常排放情况下，除尘效率降为</w:t>
            </w:r>
            <w:r>
              <w:rPr>
                <w:rFonts w:hint="eastAsia" w:hAnsi="宋体" w:cs="Times New Roman"/>
                <w:color w:val="auto"/>
                <w:spacing w:val="6"/>
                <w:sz w:val="24"/>
                <w:highlight w:val="none"/>
                <w:lang w:val="en-US" w:eastAsia="zh-CN"/>
              </w:rPr>
              <w:t>99</w:t>
            </w:r>
            <w:r>
              <w:rPr>
                <w:rFonts w:hint="eastAsia" w:ascii="Times New Roman" w:hAnsi="宋体" w:eastAsia="宋体" w:cs="Times New Roman"/>
                <w:color w:val="auto"/>
                <w:spacing w:val="6"/>
                <w:sz w:val="24"/>
                <w:highlight w:val="none"/>
                <w:lang w:val="en-US" w:eastAsia="zh-CN"/>
              </w:rPr>
              <w:t>%，颗粒物排放浓度超过《锅炉大气污染物排放标准》(GB13271-2014)燃煤锅炉标准。非正常排放对区域环境会产生一定影响，建设单位日常运行期间对除尘器进行维护和管理，杜绝非正常排放。若发生非正常排放，采取立即停</w:t>
            </w:r>
            <w:r>
              <w:rPr>
                <w:rFonts w:hint="eastAsia" w:hAnsi="宋体" w:cs="Times New Roman"/>
                <w:color w:val="auto"/>
                <w:spacing w:val="6"/>
                <w:sz w:val="24"/>
                <w:highlight w:val="none"/>
                <w:lang w:val="en-US" w:eastAsia="zh-CN"/>
              </w:rPr>
              <w:t>炉</w:t>
            </w:r>
            <w:r>
              <w:rPr>
                <w:rFonts w:hint="eastAsia" w:ascii="Times New Roman" w:hAnsi="宋体" w:eastAsia="宋体" w:cs="Times New Roman"/>
                <w:color w:val="auto"/>
                <w:spacing w:val="6"/>
                <w:sz w:val="24"/>
                <w:highlight w:val="none"/>
                <w:lang w:val="en-US" w:eastAsia="zh-CN"/>
              </w:rPr>
              <w:t>检修方式处理，可避免废气污染对厂内员工</w:t>
            </w:r>
            <w:r>
              <w:rPr>
                <w:rFonts w:hint="eastAsia" w:hAnsi="宋体" w:cs="Times New Roman"/>
                <w:color w:val="auto"/>
                <w:spacing w:val="6"/>
                <w:sz w:val="24"/>
                <w:highlight w:val="none"/>
                <w:lang w:val="en-US" w:eastAsia="zh-CN"/>
              </w:rPr>
              <w:t>和</w:t>
            </w:r>
            <w:r>
              <w:rPr>
                <w:rFonts w:hint="eastAsia" w:ascii="Times New Roman" w:hAnsi="宋体" w:eastAsia="宋体" w:cs="Times New Roman"/>
                <w:color w:val="auto"/>
                <w:spacing w:val="6"/>
                <w:sz w:val="24"/>
                <w:highlight w:val="none"/>
                <w:lang w:val="en-US" w:eastAsia="zh-CN"/>
              </w:rPr>
              <w:t>大气环境造成较大影响的情况。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pacing w:val="6"/>
                <w:sz w:val="24"/>
                <w:highlight w:val="none"/>
                <w:lang w:val="en-US" w:eastAsia="zh-CN"/>
              </w:rPr>
            </w:pPr>
            <w:r>
              <w:rPr>
                <w:rFonts w:hint="eastAsia" w:cs="Times New Roman"/>
                <w:b w:val="0"/>
                <w:bCs/>
                <w:color w:val="auto"/>
                <w:sz w:val="24"/>
                <w:szCs w:val="24"/>
                <w:highlight w:val="none"/>
                <w:lang w:val="en-US" w:eastAsia="zh-CN"/>
              </w:rPr>
              <w:t>项目运营期无组织粉尘主要来自生物质燃料装卸及储存产生的少量粉尘，生物质燃烧后产生的灰渣装卸运输过程产生的少量粉尘。项目生物质原料堆场、灰渣堆场地面进行硬化处理，采用三面围挡+顶棚遮盖，且生物质燃料、灰渣主要以袋装的方式堆放在场内，抑尘效率可达90%以上。</w:t>
            </w:r>
            <w:r>
              <w:rPr>
                <w:rFonts w:hint="eastAsia" w:ascii="Times New Roman" w:hAnsi="宋体" w:eastAsia="宋体" w:cs="Times New Roman"/>
                <w:color w:val="auto"/>
                <w:spacing w:val="6"/>
                <w:sz w:val="24"/>
                <w:highlight w:val="none"/>
                <w:lang w:val="en-US" w:eastAsia="zh-CN"/>
              </w:rPr>
              <w:t>采取</w:t>
            </w:r>
            <w:r>
              <w:rPr>
                <w:rFonts w:hint="eastAsia" w:hAnsi="宋体" w:cs="Times New Roman"/>
                <w:color w:val="auto"/>
                <w:spacing w:val="6"/>
                <w:sz w:val="24"/>
                <w:highlight w:val="none"/>
                <w:lang w:val="en-US" w:eastAsia="zh-CN"/>
              </w:rPr>
              <w:t>以上防治</w:t>
            </w:r>
            <w:r>
              <w:rPr>
                <w:rFonts w:hint="eastAsia" w:ascii="Times New Roman" w:hAnsi="宋体" w:eastAsia="宋体" w:cs="Times New Roman"/>
                <w:color w:val="auto"/>
                <w:spacing w:val="6"/>
                <w:sz w:val="24"/>
                <w:highlight w:val="none"/>
                <w:lang w:val="en-US" w:eastAsia="zh-CN"/>
              </w:rPr>
              <w:t>措施</w:t>
            </w:r>
            <w:r>
              <w:rPr>
                <w:rFonts w:hint="eastAsia" w:hAnsi="宋体" w:cs="Times New Roman"/>
                <w:color w:val="auto"/>
                <w:spacing w:val="6"/>
                <w:sz w:val="24"/>
                <w:highlight w:val="none"/>
                <w:lang w:val="en-US" w:eastAsia="zh-CN"/>
              </w:rPr>
              <w:t>后</w:t>
            </w:r>
            <w:r>
              <w:rPr>
                <w:rFonts w:hint="eastAsia" w:ascii="Times New Roman" w:hAnsi="宋体" w:eastAsia="宋体" w:cs="Times New Roman"/>
                <w:color w:val="auto"/>
                <w:spacing w:val="6"/>
                <w:sz w:val="24"/>
                <w:highlight w:val="none"/>
                <w:lang w:val="en-US" w:eastAsia="zh-CN"/>
              </w:rPr>
              <w:t>，项目无组织排放的废气对周边大气环境影响较小。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综上所述，在采取适当的废气治理措施后，项目废气均能达标排放，对周边区域环境空气的影响在可接受范围内。</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二、运营期水环境影响</w:t>
            </w:r>
            <w:r>
              <w:rPr>
                <w:rFonts w:hint="eastAsia" w:eastAsia="宋体" w:cs="Times New Roman"/>
                <w:b/>
                <w:bCs/>
                <w:color w:val="auto"/>
                <w:highlight w:val="none"/>
                <w:lang w:val="en-US" w:eastAsia="zh-CN"/>
              </w:rPr>
              <w:t>分析</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项目运营期产生的废水主要为锅炉排污水+软化处理废水，员工生活污水。</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废水</w:t>
            </w:r>
            <w:r>
              <w:rPr>
                <w:rFonts w:hint="eastAsia" w:eastAsia="宋体" w:cs="Times New Roman"/>
                <w:b/>
                <w:bCs/>
                <w:color w:val="auto"/>
                <w:highlight w:val="none"/>
                <w:lang w:val="en-US" w:eastAsia="zh-CN"/>
              </w:rPr>
              <w:t>污染物源强核算</w:t>
            </w:r>
          </w:p>
          <w:p>
            <w:pPr>
              <w:autoSpaceDE w:val="0"/>
              <w:autoSpaceDN w:val="0"/>
              <w:adjustRightInd w:val="0"/>
              <w:spacing w:line="360" w:lineRule="auto"/>
              <w:ind w:firstLine="474" w:firstLineChars="197"/>
              <w:rPr>
                <w:rFonts w:hint="default" w:ascii="Times New Roman" w:hAnsi="宋体" w:eastAsia="宋体" w:cs="Times New Roman"/>
                <w:b/>
                <w:bCs/>
                <w:color w:val="auto"/>
                <w:sz w:val="24"/>
                <w:highlight w:val="none"/>
                <w:lang w:val="en-US" w:eastAsia="zh-CN"/>
              </w:rPr>
            </w:pPr>
            <w:r>
              <w:rPr>
                <w:rFonts w:hint="eastAsia" w:hAnsi="宋体" w:cs="Times New Roman"/>
                <w:b/>
                <w:bCs/>
                <w:color w:val="auto"/>
                <w:sz w:val="24"/>
                <w:highlight w:val="none"/>
                <w:lang w:val="en-US" w:eastAsia="zh-CN"/>
              </w:rPr>
              <w:t>（1）锅炉排污水+软化处理废水</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项目生物质锅炉采用</w:t>
            </w:r>
            <w:r>
              <w:rPr>
                <w:rFonts w:hint="eastAsia" w:hAnsi="宋体" w:cs="Times New Roman"/>
                <w:color w:val="auto"/>
                <w:sz w:val="24"/>
                <w:highlight w:val="none"/>
                <w:lang w:val="en-US" w:eastAsia="zh-CN"/>
              </w:rPr>
              <w:t>离子交换树脂设备</w:t>
            </w:r>
            <w:r>
              <w:rPr>
                <w:rFonts w:hint="eastAsia" w:ascii="Times New Roman" w:hAnsi="宋体" w:eastAsia="宋体" w:cs="Times New Roman"/>
                <w:color w:val="auto"/>
                <w:sz w:val="24"/>
                <w:highlight w:val="none"/>
                <w:lang w:val="en-US" w:eastAsia="zh-CN"/>
              </w:rPr>
              <w:t>制</w:t>
            </w:r>
            <w:r>
              <w:rPr>
                <w:rFonts w:hint="eastAsia" w:hAnsi="宋体" w:cs="Times New Roman"/>
                <w:color w:val="auto"/>
                <w:sz w:val="24"/>
                <w:highlight w:val="none"/>
                <w:lang w:val="en-US" w:eastAsia="zh-CN"/>
              </w:rPr>
              <w:t>软</w:t>
            </w:r>
            <w:r>
              <w:rPr>
                <w:rFonts w:hint="eastAsia" w:ascii="Times New Roman" w:hAnsi="宋体" w:eastAsia="宋体" w:cs="Times New Roman"/>
                <w:color w:val="auto"/>
                <w:sz w:val="24"/>
                <w:highlight w:val="none"/>
                <w:lang w:val="en-US" w:eastAsia="zh-CN"/>
              </w:rPr>
              <w:t>水，炉内软水经加热成蒸汽经管道送至企业使用。为了控制锅水品质，必须进行锅炉排污，以排出部分被盐质和水渣污染的锅水，因此会产生一定量的锅炉排污水</w:t>
            </w:r>
            <w:r>
              <w:rPr>
                <w:rFonts w:hint="eastAsia" w:hAnsi="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锅炉排污水主要污染物为pH、COD。</w:t>
            </w:r>
          </w:p>
          <w:p>
            <w:pPr>
              <w:autoSpaceDE w:val="0"/>
              <w:autoSpaceDN w:val="0"/>
              <w:adjustRightInd w:val="0"/>
              <w:spacing w:line="360" w:lineRule="auto"/>
              <w:ind w:firstLine="472" w:firstLineChars="197"/>
              <w:rPr>
                <w:rFonts w:hint="eastAsia"/>
                <w:color w:val="auto"/>
                <w:sz w:val="24"/>
                <w:highlight w:val="none"/>
                <w:lang w:val="en-US" w:eastAsia="zh-CN"/>
              </w:rPr>
            </w:pPr>
            <w:r>
              <w:rPr>
                <w:rFonts w:hint="eastAsia" w:ascii="Times New Roman" w:hAnsi="宋体" w:eastAsia="宋体" w:cs="Times New Roman"/>
                <w:color w:val="auto"/>
                <w:sz w:val="24"/>
                <w:highlight w:val="none"/>
                <w:lang w:val="en-US" w:eastAsia="zh-CN"/>
              </w:rPr>
              <w:t>项目制软水设备需定期添加清水至制盐液罐中配制盐液，并用清水及盐液先后对已饱和的离子交换树脂进行冲洗再生，会产生一定量的软化处理废水</w:t>
            </w:r>
            <w:r>
              <w:rPr>
                <w:rFonts w:hint="eastAsia" w:hAnsi="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软化处理废水主要污染物为全盐量，</w:t>
            </w:r>
            <w:r>
              <w:rPr>
                <w:rFonts w:hint="eastAsia"/>
                <w:color w:val="auto"/>
                <w:sz w:val="24"/>
                <w:highlight w:val="none"/>
                <w:lang w:val="en-US" w:eastAsia="zh-CN"/>
              </w:rPr>
              <w:t>参照《环境影响评价工程师职业资格登记培训教材社会区域》中水质参数，溶解性总固体（全盐量）产生浓度约为1800mg/L。</w:t>
            </w:r>
          </w:p>
          <w:p>
            <w:pPr>
              <w:autoSpaceDE w:val="0"/>
              <w:autoSpaceDN w:val="0"/>
              <w:adjustRightInd w:val="0"/>
              <w:spacing w:line="360" w:lineRule="auto"/>
              <w:ind w:firstLine="472" w:firstLineChars="197"/>
              <w:rPr>
                <w:rFonts w:hint="eastAsia" w:hAnsi="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根据《第二次全国污染源普查工业污染源产排污系数手册》</w:t>
            </w:r>
            <w:r>
              <w:rPr>
                <w:rFonts w:hint="eastAsia" w:hAnsi="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4430工业锅炉（热力生产和供应行业）产污系数表-工业废水量和化学需氧量</w:t>
            </w:r>
            <w:r>
              <w:rPr>
                <w:rFonts w:hint="eastAsia" w:hAnsi="宋体" w:cs="Times New Roman"/>
                <w:color w:val="auto"/>
                <w:sz w:val="24"/>
                <w:highlight w:val="none"/>
                <w:lang w:val="en-US" w:eastAsia="zh-CN"/>
              </w:rPr>
              <w:t>”表</w:t>
            </w:r>
            <w:r>
              <w:rPr>
                <w:rFonts w:hint="eastAsia" w:ascii="Times New Roman" w:hAnsi="宋体" w:eastAsia="宋体" w:cs="Times New Roman"/>
                <w:color w:val="auto"/>
                <w:sz w:val="24"/>
                <w:highlight w:val="none"/>
                <w:lang w:val="en-US" w:eastAsia="zh-CN"/>
              </w:rPr>
              <w:t>中燃生物质燃料热水锅炉（锅外水处理）工业废水量产污系数为0.356吨/吨-原料（锅炉排污水</w:t>
            </w:r>
            <w:r>
              <w:rPr>
                <w:rFonts w:hint="eastAsia" w:hAnsi="宋体" w:cs="Times New Roman"/>
                <w:color w:val="auto"/>
                <w:sz w:val="24"/>
                <w:highlight w:val="none"/>
                <w:lang w:val="en-US" w:eastAsia="zh-CN"/>
              </w:rPr>
              <w:t>0.259</w:t>
            </w:r>
            <w:r>
              <w:rPr>
                <w:rFonts w:hint="eastAsia" w:ascii="Times New Roman" w:hAnsi="宋体" w:eastAsia="宋体" w:cs="Times New Roman"/>
                <w:color w:val="auto"/>
                <w:sz w:val="24"/>
                <w:highlight w:val="none"/>
                <w:lang w:val="en-US" w:eastAsia="zh-CN"/>
              </w:rPr>
              <w:t>+软化处理废水</w:t>
            </w:r>
            <w:r>
              <w:rPr>
                <w:rFonts w:hint="eastAsia" w:hAnsi="宋体" w:cs="Times New Roman"/>
                <w:color w:val="auto"/>
                <w:sz w:val="24"/>
                <w:highlight w:val="none"/>
                <w:lang w:val="en-US" w:eastAsia="zh-CN"/>
              </w:rPr>
              <w:t>0.097</w:t>
            </w:r>
            <w:r>
              <w:rPr>
                <w:rFonts w:hint="eastAsia" w:ascii="Times New Roman" w:hAnsi="宋体" w:eastAsia="宋体" w:cs="Times New Roman"/>
                <w:color w:val="auto"/>
                <w:sz w:val="24"/>
                <w:highlight w:val="none"/>
                <w:lang w:val="en-US" w:eastAsia="zh-CN"/>
              </w:rPr>
              <w:t>），化学需氧量产污系数为</w:t>
            </w:r>
            <w:r>
              <w:rPr>
                <w:rFonts w:hint="eastAsia" w:hAnsi="宋体" w:cs="Times New Roman"/>
                <w:color w:val="auto"/>
                <w:sz w:val="24"/>
                <w:highlight w:val="none"/>
                <w:lang w:val="en-US" w:eastAsia="zh-CN"/>
              </w:rPr>
              <w:t>30克/</w:t>
            </w:r>
            <w:r>
              <w:rPr>
                <w:rFonts w:hint="eastAsia" w:ascii="Times New Roman" w:hAnsi="宋体" w:eastAsia="宋体" w:cs="Times New Roman"/>
                <w:color w:val="auto"/>
                <w:sz w:val="24"/>
                <w:highlight w:val="none"/>
                <w:lang w:val="en-US" w:eastAsia="zh-CN"/>
              </w:rPr>
              <w:t>吨-原料</w:t>
            </w:r>
            <w:r>
              <w:rPr>
                <w:rFonts w:hint="eastAsia" w:hAnsi="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根据建设单位提供资料，每个供热点配置一台烟气蒸发器，锅炉排污水</w:t>
            </w:r>
            <w:r>
              <w:rPr>
                <w:rFonts w:hint="eastAsia" w:hAnsi="宋体" w:cs="Times New Roman"/>
                <w:color w:val="auto"/>
                <w:sz w:val="24"/>
                <w:highlight w:val="none"/>
                <w:lang w:val="en-US" w:eastAsia="zh-CN"/>
              </w:rPr>
              <w:t>及软化处理废水</w:t>
            </w:r>
            <w:r>
              <w:rPr>
                <w:rFonts w:hint="eastAsia" w:ascii="Times New Roman" w:hAnsi="宋体" w:eastAsia="宋体" w:cs="Times New Roman"/>
                <w:color w:val="auto"/>
                <w:sz w:val="24"/>
                <w:highlight w:val="none"/>
                <w:lang w:val="en-US" w:eastAsia="zh-CN"/>
              </w:rPr>
              <w:t>经过管道接入烟气蒸器用于烟气降温，随烟气蒸发，不外排。</w:t>
            </w:r>
          </w:p>
          <w:p>
            <w:pPr>
              <w:autoSpaceDE w:val="0"/>
              <w:autoSpaceDN w:val="0"/>
              <w:adjustRightInd w:val="0"/>
              <w:spacing w:line="360" w:lineRule="auto"/>
              <w:ind w:firstLine="472" w:firstLineChars="197"/>
              <w:rPr>
                <w:rFonts w:hint="default" w:hAnsi="宋体" w:cs="Times New Roman"/>
                <w:color w:val="auto"/>
                <w:sz w:val="24"/>
                <w:highlight w:val="none"/>
                <w:lang w:val="en-US" w:eastAsia="zh-CN"/>
              </w:rPr>
            </w:pPr>
            <w:r>
              <w:rPr>
                <w:rFonts w:hint="eastAsia" w:hAnsi="宋体" w:cs="Times New Roman"/>
                <w:color w:val="auto"/>
                <w:sz w:val="24"/>
                <w:highlight w:val="none"/>
                <w:lang w:val="en-US" w:eastAsia="zh-CN"/>
              </w:rPr>
              <w:t>本项目3个供热点锅炉排污水+软化处理废水产生情况如下：</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项目运营期锅炉排污水+软化处理废水产排污情况一览表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2"/>
              <w:gridCol w:w="1009"/>
              <w:gridCol w:w="1101"/>
              <w:gridCol w:w="1168"/>
              <w:gridCol w:w="1115"/>
              <w:gridCol w:w="902"/>
              <w:gridCol w:w="955"/>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供热点</w:t>
                  </w:r>
                </w:p>
              </w:tc>
              <w:tc>
                <w:tcPr>
                  <w:tcW w:w="56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生物质燃料使用量</w:t>
                  </w:r>
                </w:p>
              </w:tc>
              <w:tc>
                <w:tcPr>
                  <w:tcW w:w="620"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新鲜水用水量</w:t>
                  </w:r>
                </w:p>
              </w:tc>
              <w:tc>
                <w:tcPr>
                  <w:tcW w:w="65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ascii="Times New Roman" w:hAnsi="Times New Roman" w:eastAsia="宋体" w:cs="Times New Roman"/>
                      <w:b w:val="0"/>
                      <w:bCs/>
                      <w:color w:val="auto"/>
                      <w:kern w:val="1"/>
                      <w:sz w:val="21"/>
                      <w:szCs w:val="21"/>
                      <w:highlight w:val="none"/>
                      <w:lang w:val="en-US" w:eastAsia="zh-CN" w:bidi="ar-SA"/>
                    </w:rPr>
                    <w:t>软化处理废水</w:t>
                  </w:r>
                </w:p>
              </w:tc>
              <w:tc>
                <w:tcPr>
                  <w:tcW w:w="62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锅炉</w:t>
                  </w:r>
                  <w:r>
                    <w:rPr>
                      <w:rFonts w:hint="eastAsia" w:ascii="Times New Roman" w:hAnsi="Times New Roman" w:eastAsia="宋体" w:cs="Times New Roman"/>
                      <w:b w:val="0"/>
                      <w:bCs/>
                      <w:color w:val="auto"/>
                      <w:kern w:val="1"/>
                      <w:szCs w:val="21"/>
                      <w:highlight w:val="none"/>
                      <w:lang w:val="en-US" w:eastAsia="zh-CN"/>
                    </w:rPr>
                    <w:t>排污水</w:t>
                  </w:r>
                </w:p>
              </w:tc>
              <w:tc>
                <w:tcPr>
                  <w:tcW w:w="50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 w:val="21"/>
                      <w:szCs w:val="21"/>
                      <w:highlight w:val="none"/>
                      <w:lang w:val="en-US" w:eastAsia="zh-CN" w:bidi="ar-SA"/>
                    </w:rPr>
                    <w:t>化学需氧量</w:t>
                  </w:r>
                </w:p>
              </w:tc>
              <w:tc>
                <w:tcPr>
                  <w:tcW w:w="53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 w:val="21"/>
                      <w:szCs w:val="21"/>
                      <w:highlight w:val="none"/>
                      <w:lang w:val="en-US" w:eastAsia="zh-CN" w:bidi="ar-SA"/>
                    </w:rPr>
                    <w:t>产</w:t>
                  </w:r>
                  <w:r>
                    <w:rPr>
                      <w:rFonts w:hint="default" w:ascii="Times New Roman" w:hAnsi="Times New Roman" w:eastAsia="宋体" w:cs="Times New Roman"/>
                      <w:b w:val="0"/>
                      <w:bCs/>
                      <w:color w:val="auto"/>
                      <w:kern w:val="1"/>
                      <w:sz w:val="21"/>
                      <w:szCs w:val="21"/>
                      <w:highlight w:val="none"/>
                      <w:lang w:val="en-US" w:eastAsia="zh-CN" w:bidi="ar-SA"/>
                    </w:rPr>
                    <w:t>蒸汽</w:t>
                  </w:r>
                  <w:r>
                    <w:rPr>
                      <w:rFonts w:hint="eastAsia" w:cs="Times New Roman"/>
                      <w:b w:val="0"/>
                      <w:bCs/>
                      <w:color w:val="auto"/>
                      <w:kern w:val="1"/>
                      <w:sz w:val="21"/>
                      <w:szCs w:val="21"/>
                      <w:highlight w:val="none"/>
                      <w:lang w:val="en-US" w:eastAsia="zh-CN" w:bidi="ar-SA"/>
                    </w:rPr>
                    <w:t>量</w:t>
                  </w:r>
                </w:p>
              </w:tc>
              <w:tc>
                <w:tcPr>
                  <w:tcW w:w="1041" w:type="pct"/>
                  <w:tcBorders>
                    <w:tl2br w:val="nil"/>
                    <w:tr2bl w:val="nil"/>
                  </w:tcBorders>
                  <w:noWrap w:val="0"/>
                  <w:vAlign w:val="center"/>
                </w:tcPr>
                <w:p>
                  <w:pPr>
                    <w:adjustRightInd w:val="0"/>
                    <w:snapToGrid w:val="0"/>
                    <w:jc w:val="center"/>
                    <w:rPr>
                      <w:rFonts w:hint="default" w:cs="Times New Roman"/>
                      <w:b w:val="0"/>
                      <w:bCs/>
                      <w:color w:val="auto"/>
                      <w:kern w:val="1"/>
                      <w:sz w:val="21"/>
                      <w:szCs w:val="21"/>
                      <w:highlight w:val="none"/>
                      <w:lang w:val="en-US" w:eastAsia="zh-CN" w:bidi="ar-SA"/>
                    </w:rPr>
                  </w:pPr>
                  <w:r>
                    <w:rPr>
                      <w:rFonts w:hint="eastAsia" w:cs="Times New Roman"/>
                      <w:b w:val="0"/>
                      <w:bCs/>
                      <w:color w:val="auto"/>
                      <w:kern w:val="1"/>
                      <w:sz w:val="21"/>
                      <w:szCs w:val="21"/>
                      <w:highlight w:val="none"/>
                      <w:lang w:val="en-US" w:eastAsia="zh-CN" w:bidi="ar-SA"/>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海大供热点</w:t>
                  </w:r>
                </w:p>
              </w:tc>
              <w:tc>
                <w:tcPr>
                  <w:tcW w:w="56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default" w:cs="Times New Roman"/>
                      <w:b w:val="0"/>
                      <w:bCs/>
                      <w:color w:val="auto"/>
                      <w:kern w:val="1"/>
                      <w:szCs w:val="21"/>
                      <w:highlight w:val="none"/>
                      <w:lang w:val="en-US" w:eastAsia="zh-CN"/>
                    </w:rPr>
                    <w:t>42847.2t/a</w:t>
                  </w:r>
                </w:p>
              </w:tc>
              <w:tc>
                <w:tcPr>
                  <w:tcW w:w="620"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213246</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646.2</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5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4156.2</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12.6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2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11097.4</w:t>
                  </w:r>
                  <w:r>
                    <w:rPr>
                      <w:rFonts w:hint="default" w:cs="Times New Roman"/>
                      <w:b w:val="0"/>
                      <w:bCs/>
                      <w:color w:val="auto"/>
                      <w:kern w:val="1"/>
                      <w:szCs w:val="21"/>
                      <w:highlight w:val="none"/>
                      <w:lang w:val="en-US" w:eastAsia="zh-CN"/>
                    </w:rPr>
                    <w:t>t/a</w:t>
                  </w:r>
                </w:p>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33.6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0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1.29</w:t>
                  </w:r>
                  <w:r>
                    <w:rPr>
                      <w:rFonts w:hint="default" w:cs="Times New Roman"/>
                      <w:b w:val="0"/>
                      <w:bCs/>
                      <w:color w:val="auto"/>
                      <w:kern w:val="1"/>
                      <w:szCs w:val="21"/>
                      <w:highlight w:val="none"/>
                      <w:lang w:val="en-US" w:eastAsia="zh-CN"/>
                    </w:rPr>
                    <w:t>t/a</w:t>
                  </w:r>
                </w:p>
              </w:tc>
              <w:tc>
                <w:tcPr>
                  <w:tcW w:w="53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Cs w:val="21"/>
                      <w:highlight w:val="none"/>
                      <w:lang w:val="en-US" w:eastAsia="zh-CN"/>
                    </w:rPr>
                    <w:t>198000t/a</w:t>
                  </w:r>
                </w:p>
              </w:tc>
              <w:tc>
                <w:tcPr>
                  <w:tcW w:w="1041" w:type="pct"/>
                  <w:vMerge w:val="restar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 w:val="21"/>
                      <w:szCs w:val="21"/>
                      <w:highlight w:val="none"/>
                      <w:lang w:val="en-US" w:eastAsia="zh-CN" w:bidi="ar-SA"/>
                    </w:rPr>
                    <w:t>软化处理废水</w:t>
                  </w:r>
                  <w:r>
                    <w:rPr>
                      <w:rFonts w:hint="eastAsia" w:ascii="Times New Roman" w:hAnsi="Times New Roman" w:eastAsia="宋体" w:cs="Times New Roman"/>
                      <w:b w:val="0"/>
                      <w:bCs/>
                      <w:color w:val="auto"/>
                      <w:kern w:val="1"/>
                      <w:sz w:val="21"/>
                      <w:szCs w:val="21"/>
                      <w:highlight w:val="none"/>
                      <w:lang w:val="en-US" w:eastAsia="zh-CN" w:bidi="ar-SA"/>
                    </w:rPr>
                    <w:t>、</w:t>
                  </w:r>
                  <w:r>
                    <w:rPr>
                      <w:rFonts w:hint="eastAsia" w:ascii="Times New Roman" w:hAnsi="Times New Roman" w:eastAsia="宋体" w:cs="Times New Roman"/>
                      <w:b w:val="0"/>
                      <w:bCs/>
                      <w:color w:val="auto"/>
                      <w:kern w:val="1"/>
                      <w:szCs w:val="21"/>
                      <w:highlight w:val="none"/>
                      <w:lang w:val="en-US" w:eastAsia="zh-CN"/>
                    </w:rPr>
                    <w:t>锅炉排污水经过管道接入烟气蒸器用于烟气降温，随烟气蒸发，不外排。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特驱供热点</w:t>
                  </w:r>
                </w:p>
              </w:tc>
              <w:tc>
                <w:tcPr>
                  <w:tcW w:w="56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cs="Times New Roman"/>
                      <w:b w:val="0"/>
                      <w:bCs/>
                      <w:color w:val="auto"/>
                      <w:kern w:val="1"/>
                      <w:szCs w:val="21"/>
                      <w:highlight w:val="none"/>
                      <w:lang w:val="en-US" w:eastAsia="zh-CN"/>
                    </w:rPr>
                    <w:t>44287.7t/a</w:t>
                  </w:r>
                </w:p>
              </w:tc>
              <w:tc>
                <w:tcPr>
                  <w:tcW w:w="620"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221694</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671.8</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5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4295.9</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13</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2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11470.5</w:t>
                  </w:r>
                  <w:r>
                    <w:rPr>
                      <w:rFonts w:hint="default" w:cs="Times New Roman"/>
                      <w:b w:val="0"/>
                      <w:bCs/>
                      <w:color w:val="auto"/>
                      <w:kern w:val="1"/>
                      <w:szCs w:val="21"/>
                      <w:highlight w:val="none"/>
                      <w:lang w:val="en-US" w:eastAsia="zh-CN"/>
                    </w:rPr>
                    <w:t>t/a</w:t>
                  </w:r>
                </w:p>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34.8</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0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1.33</w:t>
                  </w:r>
                  <w:r>
                    <w:rPr>
                      <w:rFonts w:hint="default" w:cs="Times New Roman"/>
                      <w:b w:val="0"/>
                      <w:bCs/>
                      <w:color w:val="auto"/>
                      <w:kern w:val="1"/>
                      <w:szCs w:val="21"/>
                      <w:highlight w:val="none"/>
                      <w:lang w:val="en-US" w:eastAsia="zh-CN"/>
                    </w:rPr>
                    <w:t>t/a</w:t>
                  </w:r>
                </w:p>
              </w:tc>
              <w:tc>
                <w:tcPr>
                  <w:tcW w:w="53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205920</w:t>
                  </w:r>
                  <w:r>
                    <w:rPr>
                      <w:rFonts w:hint="eastAsia" w:ascii="Times New Roman" w:hAnsi="Times New Roman" w:eastAsia="宋体" w:cs="Times New Roman"/>
                      <w:b w:val="0"/>
                      <w:bCs/>
                      <w:color w:val="auto"/>
                      <w:kern w:val="1"/>
                      <w:szCs w:val="21"/>
                      <w:highlight w:val="none"/>
                      <w:lang w:val="en-US" w:eastAsia="zh-CN"/>
                    </w:rPr>
                    <w:t>t/a</w:t>
                  </w:r>
                </w:p>
              </w:tc>
              <w:tc>
                <w:tcPr>
                  <w:tcW w:w="1041" w:type="pct"/>
                  <w:vMerge w:val="continue"/>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漓源供热点</w:t>
                  </w:r>
                </w:p>
              </w:tc>
              <w:tc>
                <w:tcPr>
                  <w:tcW w:w="56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cs="Times New Roman"/>
                      <w:b w:val="0"/>
                      <w:bCs/>
                      <w:color w:val="auto"/>
                      <w:kern w:val="1"/>
                      <w:szCs w:val="21"/>
                      <w:highlight w:val="none"/>
                      <w:lang w:val="en-US" w:eastAsia="zh-CN"/>
                    </w:rPr>
                    <w:t>6766.9t/a</w:t>
                  </w:r>
                </w:p>
              </w:tc>
              <w:tc>
                <w:tcPr>
                  <w:tcW w:w="620"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17028</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51.6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5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656.4</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1.0</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2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1752.6</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2.6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0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0.2</w:t>
                  </w:r>
                  <w:r>
                    <w:rPr>
                      <w:rFonts w:hint="default" w:cs="Times New Roman"/>
                      <w:b w:val="0"/>
                      <w:bCs/>
                      <w:color w:val="auto"/>
                      <w:kern w:val="1"/>
                      <w:szCs w:val="21"/>
                      <w:highlight w:val="none"/>
                      <w:lang w:val="en-US" w:eastAsia="zh-CN"/>
                    </w:rPr>
                    <w:t>t/a</w:t>
                  </w:r>
                </w:p>
              </w:tc>
              <w:tc>
                <w:tcPr>
                  <w:tcW w:w="53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15840t/a</w:t>
                  </w:r>
                </w:p>
              </w:tc>
              <w:tc>
                <w:tcPr>
                  <w:tcW w:w="1041"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合计</w:t>
                  </w:r>
                </w:p>
              </w:tc>
              <w:tc>
                <w:tcPr>
                  <w:tcW w:w="56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93901.8</w:t>
                  </w:r>
                  <w:r>
                    <w:rPr>
                      <w:rFonts w:hint="default" w:cs="Times New Roman"/>
                      <w:b w:val="0"/>
                      <w:bCs/>
                      <w:color w:val="auto"/>
                      <w:kern w:val="1"/>
                      <w:szCs w:val="21"/>
                      <w:highlight w:val="none"/>
                      <w:lang w:val="en-US" w:eastAsia="zh-CN"/>
                    </w:rPr>
                    <w:t>t/a</w:t>
                  </w:r>
                </w:p>
              </w:tc>
              <w:tc>
                <w:tcPr>
                  <w:tcW w:w="620"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451968</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1369.6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58"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w:t>
                  </w:r>
                </w:p>
              </w:tc>
              <w:tc>
                <w:tcPr>
                  <w:tcW w:w="628"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w:t>
                  </w:r>
                </w:p>
              </w:tc>
              <w:tc>
                <w:tcPr>
                  <w:tcW w:w="50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w:t>
                  </w:r>
                </w:p>
              </w:tc>
              <w:tc>
                <w:tcPr>
                  <w:tcW w:w="53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419760t/a</w:t>
                  </w:r>
                </w:p>
              </w:tc>
              <w:tc>
                <w:tcPr>
                  <w:tcW w:w="1041"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bl>
          <w:p>
            <w:pPr>
              <w:autoSpaceDE w:val="0"/>
              <w:autoSpaceDN w:val="0"/>
              <w:adjustRightInd w:val="0"/>
              <w:spacing w:line="360" w:lineRule="auto"/>
              <w:ind w:firstLine="474" w:firstLineChars="197"/>
              <w:rPr>
                <w:rFonts w:hint="eastAsia" w:hAnsi="宋体" w:cs="Times New Roman"/>
                <w:b/>
                <w:bCs/>
                <w:color w:val="auto"/>
                <w:sz w:val="24"/>
                <w:highlight w:val="none"/>
                <w:lang w:val="en-US" w:eastAsia="zh-CN"/>
              </w:rPr>
            </w:pPr>
            <w:r>
              <w:rPr>
                <w:rFonts w:hint="eastAsia" w:hAnsi="宋体" w:cs="Times New Roman"/>
                <w:b/>
                <w:bCs/>
                <w:color w:val="auto"/>
                <w:sz w:val="24"/>
                <w:highlight w:val="none"/>
                <w:lang w:val="en-US" w:eastAsia="zh-CN"/>
              </w:rPr>
              <w:t>（2）生活污水</w:t>
            </w:r>
          </w:p>
          <w:p>
            <w:pPr>
              <w:autoSpaceDE w:val="0"/>
              <w:autoSpaceDN w:val="0"/>
              <w:adjustRightInd w:val="0"/>
              <w:spacing w:line="360" w:lineRule="auto"/>
              <w:ind w:firstLine="472" w:firstLineChars="197"/>
              <w:rPr>
                <w:rFonts w:hint="eastAsia" w:hAnsi="宋体" w:cs="Times New Roman"/>
                <w:color w:val="auto"/>
                <w:sz w:val="24"/>
                <w:highlight w:val="none"/>
                <w:lang w:val="en-US" w:eastAsia="zh-CN"/>
              </w:rPr>
            </w:pPr>
            <w:r>
              <w:rPr>
                <w:rFonts w:hint="eastAsia" w:hAnsi="宋体" w:cs="Times New Roman"/>
                <w:color w:val="auto"/>
                <w:sz w:val="24"/>
                <w:highlight w:val="none"/>
                <w:lang w:val="en-US" w:eastAsia="zh-CN"/>
              </w:rPr>
              <w:t>项目区内不设生活设施，项目员工均不在项目区内食宿，员工吃饭住宿均自行解决，如厕依托服务企业现有卫生间，产生的生活污水主要为洗手废水及冲厕废水，主要污染物为：pH值、COD、BOD</w:t>
            </w:r>
            <w:r>
              <w:rPr>
                <w:rFonts w:hint="eastAsia" w:hAnsi="宋体" w:cs="Times New Roman"/>
                <w:color w:val="auto"/>
                <w:sz w:val="24"/>
                <w:highlight w:val="none"/>
                <w:vertAlign w:val="subscript"/>
                <w:lang w:val="en-US" w:eastAsia="zh-CN"/>
              </w:rPr>
              <w:t>5</w:t>
            </w:r>
            <w:r>
              <w:rPr>
                <w:rFonts w:hint="eastAsia" w:hAnsi="宋体" w:cs="Times New Roman"/>
                <w:color w:val="auto"/>
                <w:sz w:val="24"/>
                <w:highlight w:val="none"/>
                <w:lang w:val="en-US" w:eastAsia="zh-CN"/>
              </w:rPr>
              <w:t>、氨氮、总氮、SS、总磷、动植物油。</w:t>
            </w:r>
          </w:p>
          <w:p>
            <w:pPr>
              <w:autoSpaceDE w:val="0"/>
              <w:autoSpaceDN w:val="0"/>
              <w:adjustRightInd w:val="0"/>
              <w:spacing w:line="360" w:lineRule="auto"/>
              <w:ind w:firstLine="472" w:firstLineChars="197"/>
              <w:rPr>
                <w:rFonts w:hint="eastAsia" w:hAnsi="宋体" w:cs="Times New Roman"/>
                <w:color w:val="auto"/>
                <w:sz w:val="24"/>
                <w:highlight w:val="none"/>
                <w:lang w:val="en-US" w:eastAsia="zh-CN"/>
              </w:rPr>
            </w:pPr>
            <w:r>
              <w:rPr>
                <w:rFonts w:hint="eastAsia" w:hAnsi="宋体" w:cs="Times New Roman"/>
                <w:color w:val="auto"/>
                <w:sz w:val="24"/>
                <w:highlight w:val="none"/>
                <w:lang w:val="en-US" w:eastAsia="zh-CN"/>
              </w:rPr>
              <w:t>海大供热点及特驱供热点生活设施依托昆明特驱饲料有限公司已建成的生活设施，产生的生活污水由昆明特驱饲料有限公司已建成并通过验收的一座5</w:t>
            </w:r>
            <w:r>
              <w:rPr>
                <w:rFonts w:hint="default" w:ascii="Times New Roman" w:hAnsi="Times New Roman" w:cs="Times New Roman"/>
                <w:color w:val="auto"/>
                <w:sz w:val="24"/>
                <w:highlight w:val="none"/>
                <w:lang w:val="en-US" w:eastAsia="zh-CN"/>
              </w:rPr>
              <w:t>m³/d</w:t>
            </w:r>
            <w:r>
              <w:rPr>
                <w:rFonts w:hint="eastAsia" w:hAnsi="宋体" w:cs="Times New Roman"/>
                <w:color w:val="auto"/>
                <w:sz w:val="24"/>
                <w:highlight w:val="none"/>
                <w:lang w:val="en-US" w:eastAsia="zh-CN"/>
              </w:rPr>
              <w:t>的一体化膜生物反应器处理。漓源供热点员工生活设施依托昆明漓源饲料有限公司已建成的生活设施，产生的生活污水由昆明漓源饲料有限公司已建成并通过验收的一座15</w:t>
            </w:r>
            <w:r>
              <w:rPr>
                <w:rFonts w:hint="default" w:ascii="Times New Roman" w:hAnsi="Times New Roman" w:cs="Times New Roman"/>
                <w:color w:val="auto"/>
                <w:sz w:val="24"/>
                <w:highlight w:val="none"/>
                <w:lang w:val="en-US" w:eastAsia="zh-CN"/>
              </w:rPr>
              <w:t>m³/d</w:t>
            </w:r>
            <w:r>
              <w:rPr>
                <w:rFonts w:hint="eastAsia" w:hAnsi="宋体" w:cs="Times New Roman"/>
                <w:color w:val="auto"/>
                <w:sz w:val="24"/>
                <w:highlight w:val="none"/>
                <w:lang w:val="en-US" w:eastAsia="zh-CN"/>
              </w:rPr>
              <w:t>一体化污水处理设施处理。</w:t>
            </w:r>
          </w:p>
          <w:p>
            <w:pPr>
              <w:autoSpaceDE w:val="0"/>
              <w:autoSpaceDN w:val="0"/>
              <w:adjustRightInd w:val="0"/>
              <w:spacing w:line="360" w:lineRule="auto"/>
              <w:ind w:firstLine="472" w:firstLineChars="197"/>
              <w:rPr>
                <w:rFonts w:hint="default" w:hAnsi="宋体" w:cs="Times New Roman"/>
                <w:color w:val="auto"/>
                <w:sz w:val="24"/>
                <w:highlight w:val="none"/>
                <w:lang w:val="en-US" w:eastAsia="zh-CN"/>
              </w:rPr>
            </w:pPr>
            <w:r>
              <w:rPr>
                <w:rFonts w:hint="eastAsia" w:hAnsi="宋体" w:cs="Times New Roman"/>
                <w:color w:val="auto"/>
                <w:sz w:val="24"/>
                <w:highlight w:val="none"/>
                <w:lang w:val="en-US" w:eastAsia="zh-CN"/>
              </w:rPr>
              <w:t>参考《云南省地方标准用水定额》（DB53/T168-2019）并结合生产实际，生活用水量按30L/（人·d）计，产污系数按80%计。经核算，项目3个供热点生活污水产排情况见下表。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项目运营期生活污水产排污情况一览表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09"/>
              <w:gridCol w:w="717"/>
              <w:gridCol w:w="1246"/>
              <w:gridCol w:w="890"/>
              <w:gridCol w:w="955"/>
              <w:gridCol w:w="1035"/>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1"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供热点</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用水人数</w:t>
                  </w:r>
                </w:p>
              </w:tc>
              <w:tc>
                <w:tcPr>
                  <w:tcW w:w="70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ascii="Times New Roman" w:hAnsi="Times New Roman" w:eastAsia="宋体" w:cs="Times New Roman"/>
                      <w:b w:val="0"/>
                      <w:bCs/>
                      <w:color w:val="auto"/>
                      <w:kern w:val="1"/>
                      <w:sz w:val="21"/>
                      <w:szCs w:val="21"/>
                      <w:highlight w:val="none"/>
                      <w:lang w:val="en-US" w:eastAsia="zh-CN" w:bidi="ar-SA"/>
                    </w:rPr>
                    <w:t>用水定额</w:t>
                  </w:r>
                </w:p>
              </w:tc>
              <w:tc>
                <w:tcPr>
                  <w:tcW w:w="50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用水量</w:t>
                  </w:r>
                </w:p>
              </w:tc>
              <w:tc>
                <w:tcPr>
                  <w:tcW w:w="53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排污系数</w:t>
                  </w:r>
                </w:p>
              </w:tc>
              <w:tc>
                <w:tcPr>
                  <w:tcW w:w="583"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污水量</w:t>
                  </w:r>
                </w:p>
              </w:tc>
              <w:tc>
                <w:tcPr>
                  <w:tcW w:w="158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 w:val="21"/>
                      <w:szCs w:val="21"/>
                      <w:highlight w:val="none"/>
                      <w:lang w:val="en-US" w:eastAsia="zh-CN" w:bidi="ar-SA"/>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海大供热点</w:t>
                  </w:r>
                </w:p>
              </w:tc>
              <w:tc>
                <w:tcPr>
                  <w:tcW w:w="404"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4人</w:t>
                  </w:r>
                </w:p>
              </w:tc>
              <w:tc>
                <w:tcPr>
                  <w:tcW w:w="702"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30L/（人·d）</w:t>
                  </w:r>
                </w:p>
              </w:tc>
              <w:tc>
                <w:tcPr>
                  <w:tcW w:w="501"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39.6</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0.12</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3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0.8</w:t>
                  </w:r>
                </w:p>
              </w:tc>
              <w:tc>
                <w:tcPr>
                  <w:tcW w:w="58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31.68</w:t>
                  </w:r>
                  <w:r>
                    <w:rPr>
                      <w:rFonts w:hint="default" w:cs="Times New Roman"/>
                      <w:b w:val="0"/>
                      <w:bCs/>
                      <w:color w:val="auto"/>
                      <w:kern w:val="1"/>
                      <w:szCs w:val="21"/>
                      <w:highlight w:val="none"/>
                      <w:lang w:val="en-US" w:eastAsia="zh-CN"/>
                    </w:rPr>
                    <w:t>t/a</w:t>
                  </w:r>
                </w:p>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0.096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158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经</w:t>
                  </w:r>
                  <w:r>
                    <w:rPr>
                      <w:rFonts w:hint="default" w:ascii="Times New Roman" w:hAnsi="Times New Roman" w:eastAsia="宋体" w:cs="Times New Roman"/>
                      <w:b w:val="0"/>
                      <w:bCs/>
                      <w:color w:val="auto"/>
                      <w:kern w:val="1"/>
                      <w:sz w:val="21"/>
                      <w:szCs w:val="21"/>
                      <w:highlight w:val="none"/>
                      <w:lang w:val="en-US" w:eastAsia="zh-CN" w:bidi="ar-SA"/>
                    </w:rPr>
                    <w:t>昆明特驱饲料有限公司一体化生活</w:t>
                  </w:r>
                  <w:r>
                    <w:rPr>
                      <w:rFonts w:hint="eastAsia" w:ascii="Times New Roman" w:hAnsi="Times New Roman" w:eastAsia="宋体" w:cs="Times New Roman"/>
                      <w:b w:val="0"/>
                      <w:bCs/>
                      <w:color w:val="auto"/>
                      <w:kern w:val="1"/>
                      <w:sz w:val="21"/>
                      <w:szCs w:val="21"/>
                      <w:highlight w:val="none"/>
                      <w:lang w:val="en-US" w:eastAsia="zh-CN" w:bidi="ar-SA"/>
                    </w:rPr>
                    <w:t>污水处理</w:t>
                  </w:r>
                  <w:r>
                    <w:rPr>
                      <w:rFonts w:hint="default" w:ascii="Times New Roman" w:hAnsi="Times New Roman" w:eastAsia="宋体" w:cs="Times New Roman"/>
                      <w:b w:val="0"/>
                      <w:bCs/>
                      <w:color w:val="auto"/>
                      <w:kern w:val="1"/>
                      <w:sz w:val="21"/>
                      <w:szCs w:val="21"/>
                      <w:highlight w:val="none"/>
                      <w:lang w:val="en-US" w:eastAsia="zh-CN" w:bidi="ar-SA"/>
                    </w:rPr>
                    <w:t>设施</w:t>
                  </w:r>
                  <w:r>
                    <w:rPr>
                      <w:rFonts w:hint="eastAsia" w:ascii="Times New Roman" w:hAnsi="Times New Roman" w:eastAsia="宋体" w:cs="Times New Roman"/>
                      <w:b w:val="0"/>
                      <w:bCs/>
                      <w:color w:val="auto"/>
                      <w:kern w:val="1"/>
                      <w:sz w:val="21"/>
                      <w:szCs w:val="21"/>
                      <w:highlight w:val="none"/>
                      <w:lang w:val="en-US" w:eastAsia="zh-CN" w:bidi="ar-SA"/>
                    </w:rPr>
                    <w:t>处理后，达到《城镇污水处理厂污染物排放标准》GB18918-2002表1中一级A标准后外排至园区污水管网，进入园区160</w:t>
                  </w:r>
                  <w:r>
                    <w:rPr>
                      <w:rFonts w:hint="default" w:ascii="Times New Roman" w:hAnsi="Times New Roman" w:cs="Times New Roman"/>
                      <w:b w:val="0"/>
                      <w:bCs/>
                      <w:color w:val="auto"/>
                      <w:kern w:val="1"/>
                      <w:szCs w:val="21"/>
                      <w:highlight w:val="none"/>
                      <w:lang w:val="en-US" w:eastAsia="zh-CN"/>
                    </w:rPr>
                    <w:t>m³</w:t>
                  </w:r>
                  <w:r>
                    <w:rPr>
                      <w:rFonts w:hint="eastAsia" w:ascii="Times New Roman" w:hAnsi="Times New Roman" w:eastAsia="宋体" w:cs="Times New Roman"/>
                      <w:b w:val="0"/>
                      <w:bCs/>
                      <w:color w:val="auto"/>
                      <w:kern w:val="1"/>
                      <w:sz w:val="21"/>
                      <w:szCs w:val="21"/>
                      <w:highlight w:val="none"/>
                      <w:lang w:val="en-US" w:eastAsia="zh-CN" w:bidi="ar-SA"/>
                    </w:rPr>
                    <w:t>污水收集池，用于园区绿化。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特驱供热点</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4人</w:t>
                  </w:r>
                </w:p>
              </w:tc>
              <w:tc>
                <w:tcPr>
                  <w:tcW w:w="702"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30L/（人·d）</w:t>
                  </w:r>
                </w:p>
              </w:tc>
              <w:tc>
                <w:tcPr>
                  <w:tcW w:w="501"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39.6</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0.12</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38"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0.8</w:t>
                  </w:r>
                </w:p>
              </w:tc>
              <w:tc>
                <w:tcPr>
                  <w:tcW w:w="58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31.68</w:t>
                  </w:r>
                  <w:r>
                    <w:rPr>
                      <w:rFonts w:hint="default" w:cs="Times New Roman"/>
                      <w:b w:val="0"/>
                      <w:bCs/>
                      <w:color w:val="auto"/>
                      <w:kern w:val="1"/>
                      <w:szCs w:val="21"/>
                      <w:highlight w:val="none"/>
                      <w:lang w:val="en-US" w:eastAsia="zh-CN"/>
                    </w:rPr>
                    <w:t>t/a</w:t>
                  </w:r>
                </w:p>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0.096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1587" w:type="pct"/>
                  <w:vMerge w:val="continue"/>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8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漓源供热点</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2人</w:t>
                  </w:r>
                </w:p>
              </w:tc>
              <w:tc>
                <w:tcPr>
                  <w:tcW w:w="702"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30L/（人·d）</w:t>
                  </w:r>
                </w:p>
              </w:tc>
              <w:tc>
                <w:tcPr>
                  <w:tcW w:w="501"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19.8</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0.06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38" w:type="pct"/>
                  <w:tcBorders>
                    <w:tl2br w:val="nil"/>
                    <w:tr2bl w:val="nil"/>
                  </w:tcBorders>
                  <w:noWrap w:val="0"/>
                  <w:vAlign w:val="center"/>
                </w:tcPr>
                <w:p>
                  <w:pPr>
                    <w:adjustRightInd w:val="0"/>
                    <w:snapToGrid w:val="0"/>
                    <w:jc w:val="center"/>
                    <w:rPr>
                      <w:rFonts w:hint="eastAsia" w:ascii="Times New Roman" w:hAnsi="Times New Roman"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0.8</w:t>
                  </w:r>
                </w:p>
              </w:tc>
              <w:tc>
                <w:tcPr>
                  <w:tcW w:w="58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15.84</w:t>
                  </w:r>
                  <w:r>
                    <w:rPr>
                      <w:rFonts w:hint="default" w:cs="Times New Roman"/>
                      <w:b w:val="0"/>
                      <w:bCs/>
                      <w:color w:val="auto"/>
                      <w:kern w:val="1"/>
                      <w:szCs w:val="21"/>
                      <w:highlight w:val="none"/>
                      <w:lang w:val="en-US" w:eastAsia="zh-CN"/>
                    </w:rPr>
                    <w:t>t/a</w:t>
                  </w:r>
                </w:p>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0.048</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158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经</w:t>
                  </w:r>
                  <w:r>
                    <w:rPr>
                      <w:rFonts w:hint="default" w:cs="Times New Roman"/>
                      <w:b w:val="0"/>
                      <w:bCs/>
                      <w:color w:val="auto"/>
                      <w:kern w:val="1"/>
                      <w:szCs w:val="21"/>
                      <w:highlight w:val="none"/>
                      <w:lang w:val="en-US" w:eastAsia="zh-CN"/>
                    </w:rPr>
                    <w:t>昆明漓源饲料有限公司一体化污水处理设施</w:t>
                  </w:r>
                  <w:r>
                    <w:rPr>
                      <w:rFonts w:hint="eastAsia" w:cs="Times New Roman"/>
                      <w:b w:val="0"/>
                      <w:bCs/>
                      <w:color w:val="auto"/>
                      <w:kern w:val="1"/>
                      <w:szCs w:val="21"/>
                      <w:highlight w:val="none"/>
                      <w:lang w:val="en-US" w:eastAsia="zh-CN"/>
                    </w:rPr>
                    <w:t>处理后，</w:t>
                  </w:r>
                  <w:r>
                    <w:rPr>
                      <w:rFonts w:hint="eastAsia" w:ascii="Times New Roman" w:hAnsi="Times New Roman" w:eastAsia="宋体" w:cs="Times New Roman"/>
                      <w:b w:val="0"/>
                      <w:bCs/>
                      <w:color w:val="auto"/>
                      <w:kern w:val="1"/>
                      <w:sz w:val="21"/>
                      <w:szCs w:val="21"/>
                      <w:highlight w:val="none"/>
                      <w:lang w:val="en-US" w:eastAsia="zh-CN" w:bidi="ar-SA"/>
                    </w:rPr>
                    <w:t>达到《城镇污水处理厂污染物排放标准》GB18918-2002表1中一级A标准后外排至园区污水管网，进入园区160</w:t>
                  </w:r>
                  <w:r>
                    <w:rPr>
                      <w:rFonts w:hint="default" w:ascii="Times New Roman" w:hAnsi="Times New Roman" w:cs="Times New Roman"/>
                      <w:b w:val="0"/>
                      <w:bCs/>
                      <w:color w:val="auto"/>
                      <w:kern w:val="1"/>
                      <w:szCs w:val="21"/>
                      <w:highlight w:val="none"/>
                      <w:lang w:val="en-US" w:eastAsia="zh-CN"/>
                    </w:rPr>
                    <w:t>m³</w:t>
                  </w:r>
                  <w:r>
                    <w:rPr>
                      <w:rFonts w:hint="eastAsia" w:ascii="Times New Roman" w:hAnsi="Times New Roman" w:eastAsia="宋体" w:cs="Times New Roman"/>
                      <w:b w:val="0"/>
                      <w:bCs/>
                      <w:color w:val="auto"/>
                      <w:kern w:val="1"/>
                      <w:sz w:val="21"/>
                      <w:szCs w:val="21"/>
                      <w:highlight w:val="none"/>
                      <w:lang w:val="en-US" w:eastAsia="zh-CN" w:bidi="ar-SA"/>
                    </w:rPr>
                    <w:t>污水收集池，用于园区绿化。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合计</w:t>
                  </w:r>
                </w:p>
              </w:tc>
              <w:tc>
                <w:tcPr>
                  <w:tcW w:w="404"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w:t>
                  </w:r>
                </w:p>
              </w:tc>
              <w:tc>
                <w:tcPr>
                  <w:tcW w:w="702"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w:t>
                  </w:r>
                </w:p>
              </w:tc>
              <w:tc>
                <w:tcPr>
                  <w:tcW w:w="501"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99</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0.3</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38"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w:t>
                  </w:r>
                </w:p>
              </w:tc>
              <w:tc>
                <w:tcPr>
                  <w:tcW w:w="58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w:t>
                  </w:r>
                </w:p>
              </w:tc>
              <w:tc>
                <w:tcPr>
                  <w:tcW w:w="158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2、废水治理措施及影响分析</w:t>
            </w:r>
          </w:p>
          <w:p>
            <w:pPr>
              <w:spacing w:line="360" w:lineRule="auto"/>
              <w:ind w:firstLine="481" w:firstLineChars="200"/>
              <w:rPr>
                <w:rFonts w:hint="default"/>
                <w:b/>
                <w:bCs/>
                <w:color w:val="auto"/>
                <w:sz w:val="24"/>
                <w:highlight w:val="none"/>
                <w:lang w:val="en-US" w:eastAsia="zh-CN"/>
              </w:rPr>
            </w:pPr>
            <w:r>
              <w:rPr>
                <w:rFonts w:hint="eastAsia"/>
                <w:b/>
                <w:bCs/>
                <w:color w:val="auto"/>
                <w:sz w:val="24"/>
                <w:highlight w:val="none"/>
                <w:lang w:val="en-US" w:eastAsia="zh-CN"/>
              </w:rPr>
              <w:t>（1）锅炉排污水、软化处理废水处置的可行性分析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软化处理废水、锅炉排污水经过管道接入烟气蒸器用于烟气降温，随烟气蒸发，不外排。烟气蒸发器的工作原理为：废水通过管道进入烟气蒸发器后，通过水泵加压，形成雾化小水滴，小水滴和锅炉燃烧产生的高温烟气（约130℃）接触，废水吸热变成水蒸汽，生物质锅炉燃烧产生的高温烟气变成低温饱和烟气（约60℃），废水就成水蒸汽随烟气排出了，实现废水零排。</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根据锅炉厂家及业主提供的资料，锅炉烟气温度为130℃，喷淋降温至60℃饱和烟气后排放，1N</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烟气需要喷淋0.194kg水。经核算，海大供热点需要喷淋水量为157.2</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/d，漓源供热点需要喷淋水量为162.5</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/d，特驱供热点需要喷淋水量为24.8</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根据上文废水源强核算：海大供热点软化处理废水、锅炉排污水产生量为46.2</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/d；特驱供热点软化处理废水、锅炉排污水产生量为47.8</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/d；漓源供热点软化处理废水、锅炉排污水产生量为3.6</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/d。项目各供热点排放的锅炉烟气从130℃喷淋至60℃需要的喷淋水量大于产生的软化处理废水及排污水量。</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综上，项目软化处理废水及锅炉排污水采用烟气蒸发器蒸发处理可以将软化处理废水、锅炉排污水全部消纳，处置方法是可行的。</w:t>
            </w:r>
          </w:p>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（2）生活污水处置的可行性分析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区内不设生活设施，项目员工均不在项目区内食宿，员工吃饭住宿均自行解决，如厕依托服务企业现有卫生间，产生的生活污水主要为洗手废水及冲厕废水。海大供热点及特驱供热点生活设施依托昆明特驱饲料有限公司已建成的生活设施，产生的生活污水由昆明特驱饲料有限公司已建成并通过验收的一座5m³/d的一体化生活污水处理设施处理。漓源供热点员工生活设施依托昆明漓源饲料有限公司已建成的生活设施，产生的生活污水由昆明漓源饲料有限公司已建成并通过验收的一座15m³/d一体化污水处理设施处理。</w:t>
            </w:r>
          </w:p>
          <w:p>
            <w:pPr>
              <w:numPr>
                <w:ilvl w:val="0"/>
                <w:numId w:val="0"/>
              </w:num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kern w:val="2"/>
                <w:sz w:val="24"/>
                <w:szCs w:val="21"/>
                <w:highlight w:val="none"/>
                <w:lang w:val="en-US" w:eastAsia="zh-CN" w:bidi="ar-SA"/>
              </w:rPr>
              <w:t>1）</w:t>
            </w:r>
            <w:r>
              <w:rPr>
                <w:rFonts w:hint="eastAsia" w:ascii="Times New Roman" w:hAnsi="Times New Roman" w:eastAsia="宋体" w:cs="Times New Roman"/>
                <w:b/>
                <w:bCs/>
                <w:color w:val="auto"/>
                <w:sz w:val="24"/>
                <w:highlight w:val="none"/>
                <w:lang w:val="en-US" w:eastAsia="zh-CN"/>
              </w:rPr>
              <w:t>海大供热点及特驱供热点生活污水处置的可行性分析</w:t>
            </w:r>
          </w:p>
          <w:p>
            <w:pPr>
              <w:numPr>
                <w:ilvl w:val="0"/>
                <w:numId w:val="0"/>
              </w:num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昆明特驱饲料有限公司饲料加工一期项目竣工环境保护验收监测表》，昆明特驱饲料有限公司建设有一座5m³/d的一体化生活污水处理设施（膜生物反应器），昆明特驱饲料有限公司废水量为4.6m³/d，经一体化生活污水处理设施处理后旱季部分达《城市污水再生利用城市杂用水水质》（GB/T18920-2020）后回用于厂区绿化，剩余部分达到《城镇污水处理厂污染物排放标准》（GB18918-2002）表1中一级A标准后外排至园区污水管网，进入园区160m³污水收集池，用于园区绿化；雨季全部达到《城镇污水处理厂污染物排放标准》GB18918-2002表1中一级A标准后外排至园区污水管网，进入园区160m³污水收集池，用于园区绿化。</w:t>
            </w:r>
          </w:p>
          <w:p>
            <w:pPr>
              <w:numPr>
                <w:ilvl w:val="0"/>
                <w:numId w:val="0"/>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文核算，本项目海大供热点及特驱供热点生活污水排放量为0.192m³/d。因此，昆明特驱饲料有限公司的一体化生活污水处理设施尚有处理余量，能满足本项目海大供热点及特驱供热点生活污水处理水量需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且根据《昆明特驱饲料有限公司饲料加工一期项目竣工环境保护验收监测表》及《昆明特驱饲料有限公司2022年年检检测报告》中对污水处理站废水总排口水质进行检测，检测结果为：化学需氧量：18mg/L、氨氮：0.582mg/L（均采用检测数据中最大值），经处理后的水质指标能够满足《城市污水再生利用城市杂用水水质》（GB/T18920-2020）绿化标准限值要求和《城镇污水处理厂污染物排放标准》GB18918-2002表1一级A标标准限值要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综上，海大供热点及特驱供热点的生活设施依托昆明特驱饲料有限公司建成的生活设施，产生的污水由昆明特驱饲料有限公司已建成的污水处理设施处理是可行的。</w:t>
            </w:r>
          </w:p>
          <w:p>
            <w:pPr>
              <w:numPr>
                <w:ilvl w:val="0"/>
                <w:numId w:val="0"/>
              </w:num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kern w:val="2"/>
                <w:sz w:val="24"/>
                <w:szCs w:val="21"/>
                <w:highlight w:val="none"/>
                <w:lang w:val="en-US" w:eastAsia="zh-CN" w:bidi="ar-SA"/>
              </w:rPr>
              <w:t>2）漓源供热点</w:t>
            </w:r>
            <w:r>
              <w:rPr>
                <w:rFonts w:hint="eastAsia" w:ascii="Times New Roman" w:hAnsi="Times New Roman" w:eastAsia="宋体" w:cs="Times New Roman"/>
                <w:b/>
                <w:bCs/>
                <w:color w:val="auto"/>
                <w:sz w:val="24"/>
                <w:highlight w:val="none"/>
                <w:lang w:val="en-US" w:eastAsia="zh-CN"/>
              </w:rPr>
              <w:t>生活污水处置的可行性分析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昆明漓源饲料有限公司微生态禽畜配合饲料生产线项目一期竣工环境保护验收监测表》，昆明漓源饲料有限公司建设有一座5.52m³/d的污水处理站，2020年扩建了一体化污水处理设施并办理了环保手续，扩建后污水处理能力为15m³/d，昆明漓源饲料有限公司废水量为8m³/d，废水经处理后旱季达《城市污水再生利用城市杂用水水质》（GB/T18920-2020）后全部回用于厂区绿化，雨季达到《城镇污水处理厂污染物排放标准》（GB18918-2002）表1中一级A标准后外排至园区污水管网，进入园区160m³污水收集池，用于园区绿化。</w:t>
            </w:r>
          </w:p>
          <w:p>
            <w:pPr>
              <w:numPr>
                <w:ilvl w:val="0"/>
                <w:numId w:val="0"/>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根据上文核算，本项目漓源供热点生活污水排放量为0.048m³/d。因此，昆明漓源饲料有限公司的一体化生活污水处理设施尚有处理余量，能满足本项目漓源供热点生活污水处理水量需求。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且根据《昆明漓源饲料有限公司自行监测检测报告》，污水处理站废水总排口水质检测结果为：pH：7.62、化学需氧量：42mg/L、悬浮物：8mg/L、磷酸盐：0.11mg/L、氨氮：2.46mg/L（均采用检测数据最大值），经处理后的水质指标能够满足《城市污水再生利用城市杂用水水质》（GB/T18920-2020）绿化标准限值要求和《城镇污水处理厂污染物排放标准》GB18918-2002表1一级A标标准限值要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综上，漓源供热点生活设施依托昆明漓源饲料有限公司已建成的生活设施，产生的生活污水由</w:t>
            </w:r>
            <w:r>
              <w:rPr>
                <w:rFonts w:hint="eastAsia" w:ascii="Times New Roman" w:hAnsi="Times New Roman" w:eastAsia="宋体" w:cs="Times New Roman"/>
                <w:color w:val="auto"/>
                <w:sz w:val="24"/>
                <w:highlight w:val="none"/>
                <w:lang w:val="en-US" w:eastAsia="zh-CN"/>
              </w:rPr>
              <w:fldChar w:fldCharType="begin"/>
            </w:r>
            <w:r>
              <w:rPr>
                <w:rFonts w:hint="eastAsia" w:ascii="Times New Roman" w:hAnsi="Times New Roman" w:eastAsia="宋体" w:cs="Times New Roman"/>
                <w:color w:val="auto"/>
                <w:sz w:val="24"/>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color w:val="auto"/>
                <w:sz w:val="24"/>
                <w:highlight w:val="none"/>
                <w:lang w:val="en-US" w:eastAsia="zh-CN"/>
              </w:rPr>
              <w:fldChar w:fldCharType="separate"/>
            </w:r>
            <w:r>
              <w:rPr>
                <w:rFonts w:hint="eastAsia" w:ascii="Times New Roman" w:hAnsi="Times New Roman" w:eastAsia="宋体" w:cs="Times New Roman"/>
                <w:color w:val="auto"/>
                <w:sz w:val="24"/>
                <w:highlight w:val="none"/>
                <w:lang w:val="en-US" w:eastAsia="zh-CN"/>
              </w:rPr>
              <w:t>昆明漓源饲料有限公司</w:t>
            </w:r>
            <w:r>
              <w:rPr>
                <w:rFonts w:hint="eastAsia" w:ascii="Times New Roman" w:hAnsi="Times New Roman" w:eastAsia="宋体" w:cs="Times New Roman"/>
                <w:color w:val="auto"/>
                <w:sz w:val="24"/>
                <w:highlight w:val="none"/>
                <w:lang w:val="en-US" w:eastAsia="zh-CN"/>
              </w:rPr>
              <w:fldChar w:fldCharType="end"/>
            </w:r>
            <w:r>
              <w:rPr>
                <w:rFonts w:hint="eastAsia" w:ascii="Times New Roman" w:hAnsi="Times New Roman" w:eastAsia="宋体" w:cs="Times New Roman"/>
                <w:color w:val="auto"/>
                <w:sz w:val="24"/>
                <w:highlight w:val="none"/>
                <w:lang w:val="en-US" w:eastAsia="zh-CN"/>
              </w:rPr>
              <w:t>已建成的生活污水处理设施处理是可行的。</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水环境影响分析</w:t>
            </w:r>
            <w:r>
              <w:rPr>
                <w:rFonts w:hint="eastAsia" w:eastAsia="宋体" w:cs="Times New Roman"/>
                <w:b/>
                <w:bCs/>
                <w:color w:val="auto"/>
                <w:highlight w:val="none"/>
                <w:lang w:val="en-US" w:eastAsia="zh-CN"/>
              </w:rPr>
              <w:t>结论</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采用雨污分流制。项目区内不设生活设施，项目员工均不在项目区内食宿，员工吃饭住宿均自行解决，如厕依托供汽企业现有卫生间，产生的洗手、冲厕废水依托供汽企业已建成的生活污水处理设施处理后用于厂区绿化或者排入园区污水收集池，用于园区绿化。项目产生的软化处理废水及锅炉排污水采用烟气蒸发器蒸发处理可以将软化处理废水、锅炉排污水全部消纳。</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因此，</w:t>
            </w:r>
            <w:r>
              <w:rPr>
                <w:rFonts w:hint="eastAsia" w:cs="Times New Roman"/>
                <w:b w:val="0"/>
                <w:bCs w:val="0"/>
                <w:color w:val="auto"/>
                <w:sz w:val="24"/>
                <w:highlight w:val="none"/>
                <w:lang w:val="en-US" w:eastAsia="zh-CN"/>
              </w:rPr>
              <w:t>项目运营期废水均不直接排入周边地表水体，</w:t>
            </w:r>
            <w:r>
              <w:rPr>
                <w:rFonts w:hint="eastAsia" w:cs="Times New Roman"/>
                <w:color w:val="auto"/>
                <w:sz w:val="24"/>
                <w:highlight w:val="none"/>
                <w:lang w:val="en-US" w:eastAsia="zh-CN"/>
              </w:rPr>
              <w:t>对周边地表水环境影响较小。</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1" w:firstLineChars="200"/>
              <w:jc w:val="both"/>
              <w:textAlignment w:val="auto"/>
              <w:rPr>
                <w:rFonts w:hint="default"/>
                <w:color w:val="auto"/>
                <w:highlight w:val="none"/>
                <w:lang w:val="en-US" w:eastAsia="zh-CN"/>
              </w:rPr>
            </w:pPr>
            <w:r>
              <w:rPr>
                <w:rFonts w:hint="eastAsia" w:cs="Times New Roman"/>
                <w:b/>
                <w:bCs/>
                <w:color w:val="auto"/>
                <w:sz w:val="24"/>
                <w:highlight w:val="none"/>
                <w:lang w:val="en-US" w:eastAsia="zh-CN"/>
              </w:rPr>
              <w:t>三、运营期声环境影响分析</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1、噪声源强分析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本项目噪声源强主要为设备运行过程中产生的噪声，其噪声值约为65~</w:t>
            </w:r>
            <w:r>
              <w:rPr>
                <w:rFonts w:hint="eastAsia" w:cs="Times New Roman"/>
                <w:color w:val="auto"/>
                <w:sz w:val="24"/>
                <w:highlight w:val="none"/>
                <w:lang w:val="en-US" w:eastAsia="zh-CN"/>
              </w:rPr>
              <w:t>85</w:t>
            </w:r>
            <w:r>
              <w:rPr>
                <w:rFonts w:hint="eastAsia" w:ascii="Times New Roman" w:hAnsi="Times New Roman" w:eastAsia="宋体" w:cs="Times New Roman"/>
                <w:color w:val="auto"/>
                <w:sz w:val="24"/>
                <w:highlight w:val="none"/>
                <w:lang w:val="en-US" w:eastAsia="zh-CN"/>
              </w:rPr>
              <w:t>dB（A）之间。噪声污染源源强核算结果及相关参数见下表。</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p>
          <w:p>
            <w:pPr>
              <w:pStyle w:val="68"/>
              <w:ind w:left="0" w:leftChars="0" w:firstLine="0" w:firstLineChars="0"/>
              <w:rPr>
                <w:rFonts w:hint="default" w:ascii="Times New Roman" w:hAnsi="Times New Roman" w:eastAsia="宋体" w:cs="Times New Roman"/>
                <w:color w:val="auto"/>
                <w:sz w:val="24"/>
                <w:highlight w:val="none"/>
                <w:lang w:val="en-US" w:eastAsia="zh-CN"/>
              </w:rPr>
            </w:pPr>
          </w:p>
        </w:tc>
      </w:tr>
    </w:tbl>
    <w:p>
      <w:pPr>
        <w:pStyle w:val="68"/>
        <w:rPr>
          <w:rFonts w:hint="eastAsia" w:ascii="Times New Roman" w:hAnsi="Times New Roman" w:eastAsia="宋体" w:cs="Times New Roman"/>
          <w:color w:val="auto"/>
          <w:sz w:val="24"/>
          <w:highlight w:val="none"/>
          <w:lang w:val="en-US" w:eastAsia="zh-CN"/>
        </w:rPr>
        <w:sectPr>
          <w:pgSz w:w="11907" w:h="16840"/>
          <w:pgMar w:top="1304" w:right="1134" w:bottom="1304"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表4-10海大供热点工业企业噪声源强调查清单（室内声源）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727"/>
        <w:gridCol w:w="695"/>
        <w:gridCol w:w="825"/>
        <w:gridCol w:w="747"/>
        <w:gridCol w:w="747"/>
        <w:gridCol w:w="769"/>
        <w:gridCol w:w="623"/>
        <w:gridCol w:w="623"/>
        <w:gridCol w:w="623"/>
        <w:gridCol w:w="636"/>
        <w:gridCol w:w="608"/>
        <w:gridCol w:w="608"/>
        <w:gridCol w:w="608"/>
        <w:gridCol w:w="652"/>
        <w:gridCol w:w="589"/>
        <w:gridCol w:w="589"/>
        <w:gridCol w:w="589"/>
        <w:gridCol w:w="617"/>
        <w:gridCol w:w="630"/>
        <w:gridCol w:w="630"/>
        <w:gridCol w:w="630"/>
        <w:gridCol w:w="63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60" w:type="pct"/>
            <w:vMerge w:val="restart"/>
            <w:vAlign w:val="center"/>
          </w:tcPr>
          <w:p>
            <w:pPr>
              <w:jc w:val="center"/>
              <w:rPr>
                <w:rFonts w:ascii="Times New Roman" w:hAnsi="Times New Roman" w:eastAsia="宋体" w:cs="Times New Roman"/>
                <w:b w:val="0"/>
                <w:bCs/>
                <w:color w:val="auto"/>
                <w:sz w:val="21"/>
                <w:szCs w:val="21"/>
                <w:highlight w:val="none"/>
              </w:rPr>
            </w:pPr>
            <w:bookmarkStart w:id="9" w:name="PT_6"/>
            <w:r>
              <w:rPr>
                <w:rFonts w:ascii="Times New Roman" w:hAnsi="Times New Roman" w:eastAsia="宋体" w:cs="Times New Roman"/>
                <w:b w:val="0"/>
                <w:bCs/>
                <w:color w:val="auto"/>
                <w:sz w:val="21"/>
                <w:szCs w:val="21"/>
                <w:highlight w:val="none"/>
              </w:rPr>
              <w:t>序号</w:t>
            </w:r>
          </w:p>
        </w:tc>
        <w:tc>
          <w:tcPr>
            <w:tcW w:w="230"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建筑物名称</w:t>
            </w:r>
          </w:p>
        </w:tc>
        <w:tc>
          <w:tcPr>
            <w:tcW w:w="220"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声源名称</w:t>
            </w:r>
          </w:p>
        </w:tc>
        <w:tc>
          <w:tcPr>
            <w:tcW w:w="261" w:type="pct"/>
            <w:vAlign w:val="center"/>
          </w:tcPr>
          <w:p>
            <w:pPr>
              <w:jc w:val="center"/>
              <w:rPr>
                <w:rFonts w:ascii="Times New Roman" w:hAnsi="Times New Roman" w:eastAsia="宋体" w:cs="Times New Roman"/>
                <w:b w:val="0"/>
                <w:bCs/>
                <w:color w:val="auto"/>
                <w:sz w:val="21"/>
                <w:szCs w:val="21"/>
                <w:highlight w:val="none"/>
                <w:lang w:eastAsia="zh-CN"/>
              </w:rPr>
            </w:pPr>
            <w:r>
              <w:rPr>
                <w:rFonts w:ascii="Times New Roman" w:hAnsi="Times New Roman" w:eastAsia="宋体" w:cs="Times New Roman"/>
                <w:b w:val="0"/>
                <w:bCs/>
                <w:color w:val="auto"/>
                <w:sz w:val="21"/>
                <w:szCs w:val="21"/>
                <w:highlight w:val="none"/>
                <w:lang w:eastAsia="zh-CN"/>
              </w:rPr>
              <w:t>声源源强</w:t>
            </w:r>
          </w:p>
        </w:tc>
        <w:tc>
          <w:tcPr>
            <w:tcW w:w="715" w:type="pct"/>
            <w:gridSpan w:val="3"/>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空间相对位置/m</w:t>
            </w:r>
          </w:p>
        </w:tc>
        <w:tc>
          <w:tcPr>
            <w:tcW w:w="792"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距室内边界距离/m</w:t>
            </w:r>
          </w:p>
        </w:tc>
        <w:tc>
          <w:tcPr>
            <w:tcW w:w="782"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室内边界声级/dB(A)</w:t>
            </w:r>
          </w:p>
        </w:tc>
        <w:tc>
          <w:tcPr>
            <w:tcW w:w="753"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建筑物插入损失 / dB(A)</w:t>
            </w:r>
            <w:bookmarkStart w:id="10" w:name="PT_10"/>
            <w:bookmarkEnd w:id="10"/>
          </w:p>
        </w:tc>
        <w:tc>
          <w:tcPr>
            <w:tcW w:w="1081" w:type="pct"/>
            <w:gridSpan w:val="5"/>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230"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20"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6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声功率级/dB(A)</w:t>
            </w:r>
          </w:p>
        </w:tc>
        <w:tc>
          <w:tcPr>
            <w:tcW w:w="23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23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19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28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-2.8</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-3.9</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18.1</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6.5</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14.6</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75.2</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75.0</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49.2</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-7.2</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11.9</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18.3</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75.4</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49.4</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8.3</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5.0</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2.3</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19.5</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17.7</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75.5</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49.5</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-2.2</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-2.2</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18.7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5.9</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13.9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-0.7</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-3.4</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16.8</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5.1</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7.8</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15.8</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1.9</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13.7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10.8</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16.2</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3.2</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-6.3</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11.9</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12.6</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16.6</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8.3</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-8.3</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6.6</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17.8</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15.5</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9</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10.5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-9.7</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4.0</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20.4</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15.4</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10</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水泵</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0.9</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12.4</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12.8</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11.8</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水泵</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11.9</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-1.9</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7.6</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12.1</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16.6</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空压机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-4.2</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-3.4</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19.5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5.1</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13.3</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75.2</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75.0</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49.2</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13</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空压机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0.7</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-6.2</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0.3</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14.0</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10.6</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17.9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75.2</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49.2</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14</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空压机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-9.7</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0.3</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6.4</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3.1</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18.1</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17.1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75.3</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49.3</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bookmarkEnd w:id="9"/>
    </w:tbl>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11特驱</w:t>
      </w:r>
      <w:r>
        <w:rPr>
          <w:rFonts w:hint="eastAsia" w:ascii="Times New Roman" w:hAnsi="Times New Roman" w:eastAsia="宋体" w:cs="Times New Roman"/>
          <w:b/>
          <w:bCs/>
          <w:color w:val="auto"/>
          <w:sz w:val="21"/>
          <w:szCs w:val="21"/>
          <w:highlight w:val="none"/>
          <w:lang w:val="en-US" w:eastAsia="zh-CN"/>
        </w:rPr>
        <w:t>供热点工业企业噪声源强调查清单（室内声源）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712"/>
        <w:gridCol w:w="680"/>
        <w:gridCol w:w="816"/>
        <w:gridCol w:w="750"/>
        <w:gridCol w:w="750"/>
        <w:gridCol w:w="772"/>
        <w:gridCol w:w="620"/>
        <w:gridCol w:w="620"/>
        <w:gridCol w:w="620"/>
        <w:gridCol w:w="658"/>
        <w:gridCol w:w="610"/>
        <w:gridCol w:w="610"/>
        <w:gridCol w:w="610"/>
        <w:gridCol w:w="648"/>
        <w:gridCol w:w="591"/>
        <w:gridCol w:w="591"/>
        <w:gridCol w:w="591"/>
        <w:gridCol w:w="623"/>
        <w:gridCol w:w="629"/>
        <w:gridCol w:w="633"/>
        <w:gridCol w:w="633"/>
        <w:gridCol w:w="633"/>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55"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序号</w:t>
            </w:r>
          </w:p>
        </w:tc>
        <w:tc>
          <w:tcPr>
            <w:tcW w:w="225"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建筑物名称</w:t>
            </w:r>
          </w:p>
        </w:tc>
        <w:tc>
          <w:tcPr>
            <w:tcW w:w="215"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声源名称</w:t>
            </w:r>
          </w:p>
        </w:tc>
        <w:tc>
          <w:tcPr>
            <w:tcW w:w="258" w:type="pct"/>
            <w:vAlign w:val="center"/>
          </w:tcPr>
          <w:p>
            <w:pPr>
              <w:jc w:val="center"/>
              <w:rPr>
                <w:rFonts w:ascii="Times New Roman" w:hAnsi="Times New Roman" w:eastAsia="宋体" w:cs="Times New Roman"/>
                <w:b w:val="0"/>
                <w:bCs/>
                <w:color w:val="auto"/>
                <w:sz w:val="21"/>
                <w:szCs w:val="21"/>
                <w:highlight w:val="none"/>
                <w:lang w:eastAsia="zh-CN"/>
              </w:rPr>
            </w:pPr>
            <w:r>
              <w:rPr>
                <w:rFonts w:ascii="Times New Roman" w:hAnsi="Times New Roman" w:eastAsia="宋体" w:cs="Times New Roman"/>
                <w:b w:val="0"/>
                <w:bCs/>
                <w:color w:val="auto"/>
                <w:sz w:val="21"/>
                <w:szCs w:val="21"/>
                <w:highlight w:val="none"/>
                <w:lang w:eastAsia="zh-CN"/>
              </w:rPr>
              <w:t>声源源强</w:t>
            </w:r>
          </w:p>
        </w:tc>
        <w:tc>
          <w:tcPr>
            <w:tcW w:w="718" w:type="pct"/>
            <w:gridSpan w:val="3"/>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空间相对位置/m</w:t>
            </w:r>
          </w:p>
        </w:tc>
        <w:tc>
          <w:tcPr>
            <w:tcW w:w="796"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距室内边界距离/m</w:t>
            </w:r>
          </w:p>
        </w:tc>
        <w:tc>
          <w:tcPr>
            <w:tcW w:w="784"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室内边界声级/dB(A)</w:t>
            </w:r>
          </w:p>
        </w:tc>
        <w:tc>
          <w:tcPr>
            <w:tcW w:w="758"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建筑物插入损失 / dB(A)</w:t>
            </w:r>
          </w:p>
        </w:tc>
        <w:tc>
          <w:tcPr>
            <w:tcW w:w="1087" w:type="pct"/>
            <w:gridSpan w:val="5"/>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225"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15"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声功率级/dB(A)</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-0.6</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4.9</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8.3</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12.7</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2.5</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9.6</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8.7</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风机</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-0.4</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-1.8</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8.9</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13.3</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风机</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2.3</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1.6</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4.6</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8.7</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9.1</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水泵</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3.1</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3.9</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11.0</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8.4</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6.6</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水泵</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6.8</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10.9</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7.0</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6.6</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空压机</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85</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-1.5</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5.8</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4.0</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13.6</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空压机</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85</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2.3</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5.7</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8.7</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8.9</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bl>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12漓源</w:t>
      </w:r>
      <w:r>
        <w:rPr>
          <w:rFonts w:hint="eastAsia" w:ascii="Times New Roman" w:hAnsi="Times New Roman" w:eastAsia="宋体" w:cs="Times New Roman"/>
          <w:b/>
          <w:bCs/>
          <w:color w:val="auto"/>
          <w:sz w:val="21"/>
          <w:szCs w:val="21"/>
          <w:highlight w:val="none"/>
          <w:lang w:val="en-US" w:eastAsia="zh-CN"/>
        </w:rPr>
        <w:t>供热点工业企业噪声源强调查清单（室内声源）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718"/>
        <w:gridCol w:w="683"/>
        <w:gridCol w:w="819"/>
        <w:gridCol w:w="756"/>
        <w:gridCol w:w="756"/>
        <w:gridCol w:w="759"/>
        <w:gridCol w:w="626"/>
        <w:gridCol w:w="626"/>
        <w:gridCol w:w="626"/>
        <w:gridCol w:w="636"/>
        <w:gridCol w:w="617"/>
        <w:gridCol w:w="617"/>
        <w:gridCol w:w="617"/>
        <w:gridCol w:w="630"/>
        <w:gridCol w:w="598"/>
        <w:gridCol w:w="598"/>
        <w:gridCol w:w="598"/>
        <w:gridCol w:w="598"/>
        <w:gridCol w:w="636"/>
        <w:gridCol w:w="636"/>
        <w:gridCol w:w="636"/>
        <w:gridCol w:w="63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5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序号</w:t>
            </w:r>
          </w:p>
        </w:tc>
        <w:tc>
          <w:tcPr>
            <w:tcW w:w="227"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建筑物名称</w:t>
            </w:r>
          </w:p>
        </w:tc>
        <w:tc>
          <w:tcPr>
            <w:tcW w:w="21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声源名称</w:t>
            </w:r>
          </w:p>
        </w:tc>
        <w:tc>
          <w:tcPr>
            <w:tcW w:w="259" w:type="pct"/>
            <w:vAlign w:val="center"/>
          </w:tcPr>
          <w:p>
            <w:pPr>
              <w:jc w:val="center"/>
              <w:rPr>
                <w:rFonts w:ascii="Times New Roman" w:hAnsi="Times New Roman" w:eastAsia="宋体" w:cs="Times New Roman"/>
                <w:b w:val="0"/>
                <w:bCs/>
                <w:color w:val="auto"/>
                <w:sz w:val="21"/>
                <w:szCs w:val="21"/>
                <w:highlight w:val="none"/>
                <w:lang w:eastAsia="zh-CN"/>
              </w:rPr>
            </w:pPr>
            <w:r>
              <w:rPr>
                <w:rFonts w:ascii="Times New Roman" w:hAnsi="Times New Roman" w:eastAsia="宋体" w:cs="Times New Roman"/>
                <w:b w:val="0"/>
                <w:bCs/>
                <w:color w:val="auto"/>
                <w:sz w:val="21"/>
                <w:szCs w:val="21"/>
                <w:highlight w:val="none"/>
                <w:lang w:eastAsia="zh-CN"/>
              </w:rPr>
              <w:t>声源源强</w:t>
            </w:r>
          </w:p>
        </w:tc>
        <w:tc>
          <w:tcPr>
            <w:tcW w:w="718" w:type="pct"/>
            <w:gridSpan w:val="3"/>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空间相对位置/m</w:t>
            </w:r>
          </w:p>
        </w:tc>
        <w:tc>
          <w:tcPr>
            <w:tcW w:w="795"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距室内边界距离/m</w:t>
            </w:r>
          </w:p>
        </w:tc>
        <w:tc>
          <w:tcPr>
            <w:tcW w:w="784"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室内边界声级/dB(A)</w:t>
            </w:r>
          </w:p>
        </w:tc>
        <w:tc>
          <w:tcPr>
            <w:tcW w:w="756"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建筑物插入损失 / dB(A)</w:t>
            </w:r>
          </w:p>
        </w:tc>
        <w:tc>
          <w:tcPr>
            <w:tcW w:w="1084" w:type="pct"/>
            <w:gridSpan w:val="5"/>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227"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16"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声功率级/dB(A)</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-2.8</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-3.3</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9.0</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6.7</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3.7</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3.8</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风机</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-2.2</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-0.9</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9.0</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3.7</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75.0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49.0</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风机</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-1.6</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-1.1</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8.4</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9.1</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4.4</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75.0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49.0</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水泵</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-1.5</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-1.8</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8.1</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8.4</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4.6</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2.1</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74.6</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48.6</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水泵</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6.8</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75.0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49.0</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空压机</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85</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-0.9</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-1.1</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7.7</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79.4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79.4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79.4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54.0</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bl>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sectPr>
          <w:pgSz w:w="16840" w:h="11907" w:orient="landscape"/>
          <w:pgMar w:top="1531" w:right="624" w:bottom="1134" w:left="62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96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91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4" w:type="dxa"/>
            <w:tcBorders>
              <w:left w:val="single" w:color="auto" w:sz="4" w:space="0"/>
              <w:bottom w:val="single" w:color="auto" w:sz="4" w:space="0"/>
            </w:tcBorders>
            <w:noWrap w:val="0"/>
            <w:tcMar>
              <w:left w:w="28" w:type="dxa"/>
              <w:right w:w="28" w:type="dxa"/>
            </w:tcMar>
            <w:vAlign w:val="center"/>
          </w:tcPr>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运营</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期环</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境影</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响和</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保护</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措施</w:t>
            </w:r>
          </w:p>
        </w:tc>
        <w:tc>
          <w:tcPr>
            <w:tcW w:w="9102" w:type="dxa"/>
            <w:tcBorders>
              <w:bottom w:val="single" w:color="auto" w:sz="4" w:space="0"/>
              <w:right w:val="single" w:color="auto" w:sz="4" w:space="0"/>
            </w:tcBorders>
            <w:noWrap w:val="0"/>
            <w:vAlign w:val="center"/>
          </w:tcPr>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2、预测范围、点位与评价因子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（1）噪声预测范围为：厂界外1m。</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（2）预测点位：厂界噪声，在东、南、西、北厂界各设置一个。</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（3）厂界噪声预测因子：昼夜等效连续A声级。</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（4）基础数据</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项目噪声环境影响预测基础数据见表4-</w:t>
            </w:r>
            <w:r>
              <w:rPr>
                <w:rFonts w:hint="eastAsia" w:cs="Times New Roman"/>
                <w:color w:val="auto"/>
                <w:sz w:val="24"/>
                <w:highlight w:val="none"/>
                <w:lang w:val="en-US" w:eastAsia="zh-CN"/>
              </w:rPr>
              <w:t>13</w:t>
            </w:r>
            <w:r>
              <w:rPr>
                <w:rFonts w:hint="eastAsia" w:ascii="Times New Roman" w:hAnsi="Times New Roman" w:eastAsia="宋体" w:cs="Times New Roman"/>
                <w:color w:val="auto"/>
                <w:sz w:val="24"/>
                <w:highlight w:val="none"/>
                <w:lang w:val="en-US" w:eastAsia="zh-CN"/>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4-13</w:t>
            </w:r>
            <w:r>
              <w:rPr>
                <w:rFonts w:hint="eastAsia" w:ascii="Times New Roman" w:hAnsi="Times New Roman" w:eastAsia="宋体" w:cs="Times New Roman"/>
                <w:b/>
                <w:bCs/>
                <w:color w:val="auto"/>
                <w:sz w:val="21"/>
                <w:szCs w:val="21"/>
                <w:highlight w:val="none"/>
                <w:lang w:val="en-US" w:eastAsia="zh-CN"/>
              </w:rPr>
              <w:t>项目噪声环境影响预测基础数据表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908"/>
              <w:gridCol w:w="2219"/>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9" w:type="pct"/>
                  <w:vAlign w:val="center"/>
                </w:tcPr>
                <w:p>
                  <w:pPr>
                    <w:jc w:val="center"/>
                    <w:rPr>
                      <w:rFonts w:ascii="Times New Roman" w:hAnsi="Times New Roman" w:eastAsia="宋体" w:cs="Times New Roman"/>
                      <w:b w:val="0"/>
                      <w:bCs/>
                      <w:color w:val="auto"/>
                      <w:sz w:val="21"/>
                      <w:szCs w:val="21"/>
                      <w:highlight w:val="none"/>
                    </w:rPr>
                  </w:pPr>
                  <w:bookmarkStart w:id="11" w:name="PT_4"/>
                  <w:r>
                    <w:rPr>
                      <w:rFonts w:ascii="Times New Roman" w:hAnsi="Times New Roman" w:eastAsia="宋体" w:cs="Times New Roman"/>
                      <w:b w:val="0"/>
                      <w:bCs/>
                      <w:color w:val="auto"/>
                      <w:sz w:val="21"/>
                      <w:szCs w:val="21"/>
                      <w:highlight w:val="none"/>
                    </w:rPr>
                    <w:t>序号</w:t>
                  </w:r>
                </w:p>
              </w:tc>
              <w:tc>
                <w:tcPr>
                  <w:tcW w:w="1638" w:type="pc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名称</w:t>
                  </w:r>
                </w:p>
              </w:tc>
              <w:tc>
                <w:tcPr>
                  <w:tcW w:w="1250" w:type="pc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单位</w:t>
                  </w:r>
                </w:p>
              </w:tc>
              <w:tc>
                <w:tcPr>
                  <w:tcW w:w="1250" w:type="pc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数据</w:t>
                  </w:r>
                </w:p>
                <w:bookmarkEnd w:id="11"/>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年平均风速</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m/s</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主导风向</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年平均气温</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年平均相对湿度</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大气压强</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atm</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bl>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3、声环境影响预测</w:t>
            </w:r>
          </w:p>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（1）预测方法</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噪声传播过程中有三个要素：即声源、传播途径和接受者。根据项目采取的治理措施及降噪效果，采用《环境影响评价技术导则 声环境》(HJ2.4-2021)推荐的工业噪声预测模式，本评价只考虑几何发散引起的衰减量来预测项目对厂界的贡献点的影响。</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（2）预测模式</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采用《环境影响评价技术 声环境》(HJ2.4-2021)中的噪声预测模式预测本项目的主要噪声设备对周围声环境的影响。预测模式如下：</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A、本项目只考虑几何发散衰减，公式按照：</w:t>
            </w:r>
          </w:p>
          <w:p>
            <w:pPr>
              <w:spacing w:line="360" w:lineRule="auto"/>
              <w:ind w:firstLine="480" w:firstLineChars="200"/>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A</w:t>
            </w:r>
            <w:r>
              <w:rPr>
                <w:rFonts w:hint="eastAsia" w:ascii="Times New Roman" w:hAnsi="Times New Roman" w:eastAsia="宋体" w:cs="Times New Roman"/>
                <w:color w:val="auto"/>
                <w:sz w:val="24"/>
                <w:highlight w:val="none"/>
                <w:lang w:val="en-US" w:eastAsia="zh-CN"/>
              </w:rPr>
              <w:t>(r)=L</w:t>
            </w:r>
            <w:r>
              <w:rPr>
                <w:rFonts w:hint="eastAsia" w:ascii="Times New Roman" w:hAnsi="Times New Roman" w:eastAsia="宋体" w:cs="Times New Roman"/>
                <w:color w:val="auto"/>
                <w:sz w:val="24"/>
                <w:highlight w:val="none"/>
                <w:vertAlign w:val="subscript"/>
                <w:lang w:val="en-US" w:eastAsia="zh-CN"/>
              </w:rPr>
              <w:t>A</w:t>
            </w:r>
            <w:r>
              <w:rPr>
                <w:rFonts w:hint="eastAsia" w:ascii="Times New Roman" w:hAnsi="Times New Roman" w:eastAsia="宋体" w:cs="Times New Roman"/>
                <w:color w:val="auto"/>
                <w:sz w:val="24"/>
                <w:highlight w:val="none"/>
                <w:lang w:val="en-US" w:eastAsia="zh-CN"/>
              </w:rPr>
              <w:t>（r0）－A</w:t>
            </w:r>
            <w:r>
              <w:rPr>
                <w:rFonts w:hint="eastAsia" w:ascii="Times New Roman" w:hAnsi="Times New Roman" w:eastAsia="宋体" w:cs="Times New Roman"/>
                <w:color w:val="auto"/>
                <w:sz w:val="24"/>
                <w:highlight w:val="none"/>
                <w:vertAlign w:val="subscript"/>
                <w:lang w:val="en-US" w:eastAsia="zh-CN"/>
              </w:rPr>
              <w:t>div</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式中：L</w:t>
            </w:r>
            <w:r>
              <w:rPr>
                <w:rFonts w:hint="eastAsia" w:ascii="Times New Roman" w:hAnsi="Times New Roman" w:eastAsia="宋体" w:cs="Times New Roman"/>
                <w:color w:val="auto"/>
                <w:sz w:val="24"/>
                <w:highlight w:val="none"/>
                <w:vertAlign w:val="subscript"/>
                <w:lang w:val="en-US" w:eastAsia="zh-CN"/>
              </w:rPr>
              <w:t>A</w:t>
            </w:r>
            <w:r>
              <w:rPr>
                <w:rFonts w:hint="eastAsia" w:ascii="Times New Roman" w:hAnsi="Times New Roman" w:eastAsia="宋体" w:cs="Times New Roman"/>
                <w:color w:val="auto"/>
                <w:sz w:val="24"/>
                <w:highlight w:val="none"/>
                <w:lang w:val="en-US" w:eastAsia="zh-CN"/>
              </w:rPr>
              <w:t>(r)——距声源r处的A声级，dB（A）；</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A</w:t>
            </w:r>
            <w:r>
              <w:rPr>
                <w:rFonts w:hint="eastAsia" w:ascii="Times New Roman" w:hAnsi="Times New Roman" w:eastAsia="宋体" w:cs="Times New Roman"/>
                <w:color w:val="auto"/>
                <w:sz w:val="24"/>
                <w:highlight w:val="none"/>
                <w:lang w:val="en-US" w:eastAsia="zh-CN"/>
              </w:rPr>
              <w:t>(r0)——参考位置r0处的A声级，dB（A）；</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vertAlign w:val="subscript"/>
                <w:lang w:val="en-US" w:eastAsia="zh-CN"/>
              </w:rPr>
              <w:t>div</w:t>
            </w:r>
            <w:r>
              <w:rPr>
                <w:rFonts w:hint="eastAsia" w:ascii="Times New Roman" w:hAnsi="Times New Roman" w:eastAsia="宋体" w:cs="Times New Roman"/>
                <w:color w:val="auto"/>
                <w:sz w:val="24"/>
                <w:highlight w:val="none"/>
                <w:lang w:val="en-US" w:eastAsia="zh-CN"/>
              </w:rPr>
              <w:t>——几何发散引起的衰减，dB；</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B、声源的几何发散衰减公式：</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vertAlign w:val="subscript"/>
                <w:lang w:val="en-US" w:eastAsia="zh-CN"/>
              </w:rPr>
              <w:t>div</w:t>
            </w:r>
            <w:r>
              <w:rPr>
                <w:rFonts w:hint="eastAsia" w:ascii="Times New Roman" w:hAnsi="Times New Roman" w:eastAsia="宋体" w:cs="Times New Roman"/>
                <w:color w:val="auto"/>
                <w:sz w:val="24"/>
                <w:highlight w:val="none"/>
                <w:lang w:val="en-US" w:eastAsia="zh-CN"/>
              </w:rPr>
              <w:t>=20lg（r/r0）</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式中：A</w:t>
            </w:r>
            <w:r>
              <w:rPr>
                <w:rFonts w:hint="eastAsia" w:ascii="Times New Roman" w:hAnsi="Times New Roman" w:eastAsia="宋体" w:cs="Times New Roman"/>
                <w:color w:val="auto"/>
                <w:sz w:val="24"/>
                <w:highlight w:val="none"/>
                <w:vertAlign w:val="subscript"/>
                <w:lang w:val="en-US" w:eastAsia="zh-CN"/>
              </w:rPr>
              <w:t>div</w:t>
            </w:r>
            <w:r>
              <w:rPr>
                <w:rFonts w:hint="eastAsia" w:ascii="Times New Roman" w:hAnsi="Times New Roman" w:eastAsia="宋体" w:cs="Times New Roman"/>
                <w:color w:val="auto"/>
                <w:sz w:val="24"/>
                <w:highlight w:val="none"/>
                <w:lang w:val="en-US" w:eastAsia="zh-CN"/>
              </w:rPr>
              <w:t>——几何发散引起的衰减，dB；</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r——预测点距声源的距离；</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r0——参考位置距声源的距离；</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C、工业企业噪声计算公式：</w:t>
            </w:r>
          </w:p>
          <w:p>
            <w:pPr>
              <w:spacing w:line="360" w:lineRule="auto"/>
              <w:ind w:firstLine="480" w:firstLineChars="200"/>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object>
                <v:shape id="_x0000_i1028" o:spt="75" type="#_x0000_t75" style="height:40pt;width:203pt;" o:ole="t" filled="f" o:preferrelative="t" stroked="f" coordsize="21600,21600">
                  <v:path/>
                  <v:fill on="f" focussize="0,0"/>
                  <v:stroke on="f"/>
                  <v:imagedata r:id="rId41" o:title=""/>
                  <o:lock v:ext="edit" aspectratio="t"/>
                  <w10:wrap type="none"/>
                  <w10:anchorlock/>
                </v:shape>
                <o:OLEObject Type="Embed" ProgID="Equation.KSEE3" ShapeID="_x0000_i1028" DrawAspect="Content" ObjectID="_1468075728" r:id="rId40">
                  <o:LockedField>false</o:LockedField>
                </o:OLEObject>
              </w:objec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式中：L</w:t>
            </w:r>
            <w:r>
              <w:rPr>
                <w:rFonts w:hint="eastAsia" w:ascii="Times New Roman" w:hAnsi="Times New Roman" w:eastAsia="宋体" w:cs="Times New Roman"/>
                <w:color w:val="auto"/>
                <w:sz w:val="24"/>
                <w:highlight w:val="none"/>
                <w:vertAlign w:val="subscript"/>
                <w:lang w:val="en-US" w:eastAsia="zh-CN"/>
              </w:rPr>
              <w:t>eqg</w:t>
            </w:r>
            <w:r>
              <w:rPr>
                <w:rFonts w:hint="eastAsia" w:ascii="Times New Roman" w:hAnsi="Times New Roman" w:eastAsia="宋体" w:cs="Times New Roman"/>
                <w:color w:val="auto"/>
                <w:sz w:val="24"/>
                <w:highlight w:val="none"/>
                <w:lang w:val="en-US" w:eastAsia="zh-CN"/>
              </w:rPr>
              <w:t>——建设项目声源在预测点产生的噪声贡献值，dB；</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T——用于计算等效声级的时间，s；</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N——室外声源个数；</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t</w:t>
            </w:r>
            <w:r>
              <w:rPr>
                <w:rFonts w:hint="eastAsia" w:ascii="Times New Roman" w:hAnsi="Times New Roman" w:eastAsia="宋体" w:cs="Times New Roman"/>
                <w:color w:val="auto"/>
                <w:sz w:val="24"/>
                <w:highlight w:val="none"/>
                <w:vertAlign w:val="subscript"/>
                <w:lang w:val="en-US" w:eastAsia="zh-CN"/>
              </w:rPr>
              <w:t>i</w:t>
            </w:r>
            <w:r>
              <w:rPr>
                <w:rFonts w:hint="eastAsia" w:ascii="Times New Roman" w:hAnsi="Times New Roman" w:eastAsia="宋体" w:cs="Times New Roman"/>
                <w:color w:val="auto"/>
                <w:sz w:val="24"/>
                <w:highlight w:val="none"/>
                <w:lang w:val="en-US" w:eastAsia="zh-CN"/>
              </w:rPr>
              <w:t>——在T时间内i声源工作时间，s；</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M——等效室外声源个数；</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t</w:t>
            </w:r>
            <w:r>
              <w:rPr>
                <w:rFonts w:hint="eastAsia" w:ascii="Times New Roman" w:hAnsi="Times New Roman" w:eastAsia="宋体" w:cs="Times New Roman"/>
                <w:color w:val="auto"/>
                <w:sz w:val="24"/>
                <w:highlight w:val="none"/>
                <w:vertAlign w:val="subscript"/>
                <w:lang w:val="en-US" w:eastAsia="zh-CN"/>
              </w:rPr>
              <w:t>j</w:t>
            </w:r>
            <w:r>
              <w:rPr>
                <w:rFonts w:hint="eastAsia" w:ascii="Times New Roman" w:hAnsi="Times New Roman" w:eastAsia="宋体" w:cs="Times New Roman"/>
                <w:color w:val="auto"/>
                <w:sz w:val="24"/>
                <w:highlight w:val="none"/>
                <w:lang w:val="en-US" w:eastAsia="zh-CN"/>
              </w:rPr>
              <w:t>——在T时间内j声源工作时间，s。</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（3）预测结果</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通过预测模型计算，项目厂界噪声预测结果与达标分析见</w:t>
            </w:r>
            <w:r>
              <w:rPr>
                <w:rFonts w:hint="eastAsia" w:cs="Times New Roman"/>
                <w:color w:val="auto"/>
                <w:sz w:val="24"/>
                <w:highlight w:val="none"/>
                <w:lang w:val="en-US" w:eastAsia="zh-CN"/>
              </w:rPr>
              <w:t>下表</w:t>
            </w:r>
            <w:r>
              <w:rPr>
                <w:rFonts w:hint="eastAsia" w:ascii="Times New Roman" w:hAnsi="Times New Roman" w:eastAsia="宋体" w:cs="Times New Roman"/>
                <w:color w:val="auto"/>
                <w:sz w:val="24"/>
                <w:highlight w:val="none"/>
                <w:lang w:val="en-US" w:eastAsia="zh-CN"/>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4-14海大供热点</w:t>
            </w:r>
            <w:r>
              <w:rPr>
                <w:rFonts w:hint="eastAsia" w:ascii="Times New Roman" w:hAnsi="Times New Roman" w:eastAsia="宋体" w:cs="Times New Roman"/>
                <w:b/>
                <w:bCs/>
                <w:color w:val="auto"/>
                <w:sz w:val="21"/>
                <w:szCs w:val="21"/>
                <w:highlight w:val="none"/>
                <w:lang w:val="en-US" w:eastAsia="zh-CN"/>
              </w:rPr>
              <w:t>厂界噪声预测结果与达标分析表</w:t>
            </w:r>
            <w:bookmarkStart w:id="12" w:name="PT_7"/>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823"/>
              <w:gridCol w:w="823"/>
              <w:gridCol w:w="1035"/>
              <w:gridCol w:w="1190"/>
              <w:gridCol w:w="1174"/>
              <w:gridCol w:w="1465"/>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645"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预测方位</w:t>
                  </w:r>
                </w:p>
              </w:tc>
              <w:tc>
                <w:tcPr>
                  <w:tcW w:w="1529" w:type="pct"/>
                  <w:gridSpan w:val="3"/>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最大值点</w:t>
                  </w:r>
                  <w:r>
                    <w:rPr>
                      <w:rFonts w:ascii="Times New Roman" w:hAnsi="Times New Roman" w:eastAsia="宋体" w:cs="Times New Roman"/>
                      <w:b w:val="0"/>
                      <w:bCs/>
                      <w:color w:val="auto"/>
                      <w:sz w:val="21"/>
                      <w:szCs w:val="21"/>
                      <w:highlight w:val="none"/>
                    </w:rPr>
                    <w:t>空间相对位置/m</w:t>
                  </w:r>
                </w:p>
              </w:tc>
              <w:tc>
                <w:tcPr>
                  <w:tcW w:w="67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时段</w:t>
                  </w:r>
                </w:p>
              </w:tc>
              <w:tc>
                <w:tcPr>
                  <w:tcW w:w="619" w:type="pct"/>
                  <w:vMerge w:val="restart"/>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rPr>
                    <w:t>贡献值</w:t>
                  </w:r>
                  <w:r>
                    <w:rPr>
                      <w:rFonts w:ascii="Times New Roman" w:hAnsi="Times New Roman" w:eastAsia="宋体" w:cs="Times New Roman"/>
                      <w:b w:val="0"/>
                      <w:bCs/>
                      <w:color w:val="auto"/>
                      <w:sz w:val="21"/>
                      <w:szCs w:val="21"/>
                      <w:highlight w:val="none"/>
                    </w:rPr>
                    <w:t>（dB(A)）</w:t>
                  </w:r>
                </w:p>
              </w:tc>
              <w:tc>
                <w:tcPr>
                  <w:tcW w:w="831"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标准限值（dB(A)）</w:t>
                  </w:r>
                </w:p>
              </w:tc>
              <w:tc>
                <w:tcPr>
                  <w:tcW w:w="697"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676"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619"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1"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bookmarkEnd w:id="12"/>
              </w:tc>
              <w:tc>
                <w:tcPr>
                  <w:tcW w:w="697"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19.2</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19.2</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-6.6</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-27.6</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52.5</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-6.6</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-27.6</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52.5</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-26.2</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51.3</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-26.2</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51.3</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-15.8</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16.3</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37.7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-15.8</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16.3</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37.7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bl>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4-15特驱供热点</w:t>
            </w:r>
            <w:r>
              <w:rPr>
                <w:rFonts w:hint="eastAsia" w:ascii="Times New Roman" w:hAnsi="Times New Roman" w:eastAsia="宋体" w:cs="Times New Roman"/>
                <w:b/>
                <w:bCs/>
                <w:color w:val="auto"/>
                <w:sz w:val="21"/>
                <w:szCs w:val="21"/>
                <w:highlight w:val="none"/>
                <w:lang w:val="en-US" w:eastAsia="zh-CN"/>
              </w:rPr>
              <w:t>厂界噪声预测结果与达标分析表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835"/>
              <w:gridCol w:w="835"/>
              <w:gridCol w:w="1134"/>
              <w:gridCol w:w="739"/>
              <w:gridCol w:w="1475"/>
              <w:gridCol w:w="1477"/>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644"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预测方位</w:t>
                  </w:r>
                </w:p>
              </w:tc>
              <w:tc>
                <w:tcPr>
                  <w:tcW w:w="1578" w:type="pct"/>
                  <w:gridSpan w:val="3"/>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最大值点</w:t>
                  </w:r>
                  <w:r>
                    <w:rPr>
                      <w:rFonts w:ascii="Times New Roman" w:hAnsi="Times New Roman" w:eastAsia="宋体" w:cs="Times New Roman"/>
                      <w:b w:val="0"/>
                      <w:bCs/>
                      <w:color w:val="auto"/>
                      <w:sz w:val="21"/>
                      <w:szCs w:val="21"/>
                      <w:highlight w:val="none"/>
                    </w:rPr>
                    <w:t>空间相对位置/m</w:t>
                  </w:r>
                </w:p>
              </w:tc>
              <w:tc>
                <w:tcPr>
                  <w:tcW w:w="41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时段</w:t>
                  </w:r>
                </w:p>
              </w:tc>
              <w:tc>
                <w:tcPr>
                  <w:tcW w:w="830" w:type="pct"/>
                  <w:vMerge w:val="restart"/>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rPr>
                    <w:t>贡献值</w:t>
                  </w:r>
                  <w:r>
                    <w:rPr>
                      <w:rFonts w:ascii="Times New Roman" w:hAnsi="Times New Roman" w:eastAsia="宋体" w:cs="Times New Roman"/>
                      <w:b w:val="0"/>
                      <w:bCs/>
                      <w:color w:val="auto"/>
                      <w:sz w:val="21"/>
                      <w:szCs w:val="21"/>
                      <w:highlight w:val="none"/>
                    </w:rPr>
                    <w:t>（dB(A)）</w:t>
                  </w:r>
                </w:p>
              </w:tc>
              <w:tc>
                <w:tcPr>
                  <w:tcW w:w="831"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标准限值（dB(A)）</w:t>
                  </w:r>
                </w:p>
              </w:tc>
              <w:tc>
                <w:tcPr>
                  <w:tcW w:w="69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416"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0"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1"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696"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18.6</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-9.9</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39.7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18.6</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-9.9</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39.7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-12.9</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-21.6</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54.8</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-12.9</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-21.6</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54.8</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-20.7</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53.5</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-20.7</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53.5</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-14.3</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38.6</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-14.3</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38.6</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bl>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4-16漓源供热点</w:t>
            </w:r>
            <w:r>
              <w:rPr>
                <w:rFonts w:hint="eastAsia" w:ascii="Times New Roman" w:hAnsi="Times New Roman" w:eastAsia="宋体" w:cs="Times New Roman"/>
                <w:b/>
                <w:bCs/>
                <w:color w:val="auto"/>
                <w:sz w:val="21"/>
                <w:szCs w:val="21"/>
                <w:highlight w:val="none"/>
                <w:lang w:val="en-US" w:eastAsia="zh-CN"/>
              </w:rPr>
              <w:t>厂界噪声预测结果与达标分析表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835"/>
              <w:gridCol w:w="835"/>
              <w:gridCol w:w="1034"/>
              <w:gridCol w:w="840"/>
              <w:gridCol w:w="1475"/>
              <w:gridCol w:w="1476"/>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644"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预测方位</w:t>
                  </w:r>
                </w:p>
              </w:tc>
              <w:tc>
                <w:tcPr>
                  <w:tcW w:w="1522" w:type="pct"/>
                  <w:gridSpan w:val="3"/>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最大值点</w:t>
                  </w:r>
                  <w:r>
                    <w:rPr>
                      <w:rFonts w:ascii="Times New Roman" w:hAnsi="Times New Roman" w:eastAsia="宋体" w:cs="Times New Roman"/>
                      <w:b w:val="0"/>
                      <w:bCs/>
                      <w:color w:val="auto"/>
                      <w:sz w:val="21"/>
                      <w:szCs w:val="21"/>
                      <w:highlight w:val="none"/>
                    </w:rPr>
                    <w:t>空间相对位置/m</w:t>
                  </w:r>
                </w:p>
              </w:tc>
              <w:tc>
                <w:tcPr>
                  <w:tcW w:w="473"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时段</w:t>
                  </w:r>
                </w:p>
              </w:tc>
              <w:tc>
                <w:tcPr>
                  <w:tcW w:w="830" w:type="pct"/>
                  <w:vMerge w:val="restart"/>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rPr>
                    <w:t>贡献值</w:t>
                  </w:r>
                  <w:r>
                    <w:rPr>
                      <w:rFonts w:ascii="Times New Roman" w:hAnsi="Times New Roman" w:eastAsia="宋体" w:cs="Times New Roman"/>
                      <w:b w:val="0"/>
                      <w:bCs/>
                      <w:color w:val="auto"/>
                      <w:sz w:val="21"/>
                      <w:szCs w:val="21"/>
                      <w:highlight w:val="none"/>
                    </w:rPr>
                    <w:t>（dB(A)）</w:t>
                  </w:r>
                </w:p>
              </w:tc>
              <w:tc>
                <w:tcPr>
                  <w:tcW w:w="831"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标准限值（dB(A)）</w:t>
                  </w:r>
                </w:p>
              </w:tc>
              <w:tc>
                <w:tcPr>
                  <w:tcW w:w="69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473"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0"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1"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696"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-3.2</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53.3</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-3.2</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53.3</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13.1</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-20.7</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35.7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13.1</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-20.7</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35.7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-22.9</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4.2</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54.6</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-22.9</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4.2</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54.6</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-20.5</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51.2</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-20.5</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51.2</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bl>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根据预测，各个供热点四周厂界处昼间、夜间噪声能达到《工业企业厂界环境噪声排放标准》（GB12348-2008）中3类标准。项目周围50m范围内</w:t>
            </w:r>
            <w:r>
              <w:rPr>
                <w:rFonts w:hint="eastAsia" w:cs="Times New Roman"/>
                <w:color w:val="auto"/>
                <w:sz w:val="24"/>
                <w:highlight w:val="none"/>
                <w:lang w:val="en-US" w:eastAsia="zh-CN"/>
              </w:rPr>
              <w:t>无</w:t>
            </w:r>
            <w:r>
              <w:rPr>
                <w:rFonts w:hint="eastAsia" w:ascii="Times New Roman" w:hAnsi="Times New Roman" w:eastAsia="宋体" w:cs="Times New Roman"/>
                <w:color w:val="auto"/>
                <w:sz w:val="24"/>
                <w:highlight w:val="none"/>
                <w:lang w:val="en-US" w:eastAsia="zh-CN"/>
              </w:rPr>
              <w:t>声环境保护目标</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项目建设后</w:t>
            </w:r>
            <w:r>
              <w:rPr>
                <w:rFonts w:hint="eastAsia" w:cs="Times New Roman"/>
                <w:color w:val="auto"/>
                <w:sz w:val="24"/>
                <w:highlight w:val="none"/>
                <w:lang w:val="en-US" w:eastAsia="zh-CN"/>
              </w:rPr>
              <w:t>运营期产生</w:t>
            </w:r>
            <w:r>
              <w:rPr>
                <w:rFonts w:hint="eastAsia" w:ascii="Times New Roman" w:hAnsi="Times New Roman" w:eastAsia="宋体" w:cs="Times New Roman"/>
                <w:color w:val="auto"/>
                <w:sz w:val="24"/>
                <w:highlight w:val="none"/>
                <w:lang w:val="en-US" w:eastAsia="zh-CN"/>
              </w:rPr>
              <w:t>的噪声对</w:t>
            </w:r>
            <w:r>
              <w:rPr>
                <w:rFonts w:hint="eastAsia" w:cs="Times New Roman"/>
                <w:color w:val="auto"/>
                <w:sz w:val="24"/>
                <w:highlight w:val="none"/>
                <w:lang w:val="en-US" w:eastAsia="zh-CN"/>
              </w:rPr>
              <w:t>周边</w:t>
            </w:r>
            <w:r>
              <w:rPr>
                <w:rFonts w:hint="eastAsia" w:ascii="Times New Roman" w:hAnsi="Times New Roman" w:eastAsia="宋体" w:cs="Times New Roman"/>
                <w:color w:val="auto"/>
                <w:sz w:val="24"/>
                <w:highlight w:val="none"/>
                <w:lang w:val="en-US" w:eastAsia="zh-CN"/>
              </w:rPr>
              <w:t>环境的影响不大。</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b/>
                <w:bCs/>
                <w:color w:val="auto"/>
                <w:sz w:val="24"/>
                <w:highlight w:val="none"/>
                <w:lang w:val="en-US" w:eastAsia="zh-CN"/>
              </w:rPr>
              <w:t>4、项目噪声污染防治措施</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项目运营期采取以下措施，以减少对周围环境的影响：</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①通过合理布置生产设备、采取设备减振，经距离衰减、墙体隔声减小噪声对外环境的影响；</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②选用性能良好的低噪声设备，加强生产设备的维修、管理，保证生产设备处于低噪声、高效率的良好工作状态。</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2"/>
                <w:highlight w:val="none"/>
                <w:lang w:val="en-US" w:eastAsia="zh-CN"/>
              </w:rPr>
            </w:pPr>
            <w:r>
              <w:rPr>
                <w:rFonts w:hint="eastAsia" w:hAnsi="宋体"/>
                <w:color w:val="auto"/>
                <w:sz w:val="24"/>
                <w:szCs w:val="22"/>
                <w:highlight w:val="none"/>
                <w:lang w:val="en-US" w:eastAsia="zh-CN"/>
              </w:rPr>
              <w:t>监测点位：海大供热点厂界四周、特驱供热点厂界四周、漓源供热点厂界四周；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2"/>
                <w:highlight w:val="none"/>
                <w:lang w:val="en-US" w:eastAsia="zh-CN"/>
              </w:rPr>
            </w:pPr>
            <w:r>
              <w:rPr>
                <w:rFonts w:hint="eastAsia" w:hAnsi="宋体"/>
                <w:color w:val="auto"/>
                <w:sz w:val="24"/>
                <w:szCs w:val="22"/>
                <w:highlight w:val="none"/>
                <w:lang w:val="en-US" w:eastAsia="zh-CN"/>
              </w:rPr>
              <w:t>监测因子：连续等效A声级；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2"/>
                <w:highlight w:val="none"/>
                <w:lang w:val="en-US" w:eastAsia="zh-CN"/>
              </w:rPr>
            </w:pPr>
            <w:r>
              <w:rPr>
                <w:rFonts w:hint="eastAsia" w:hAnsi="宋体"/>
                <w:color w:val="auto"/>
                <w:sz w:val="24"/>
                <w:szCs w:val="22"/>
                <w:highlight w:val="none"/>
                <w:lang w:val="en-US" w:eastAsia="zh-CN"/>
              </w:rPr>
              <w:t>监测频次：验收时监测一次，监测两天，昼间夜间各测1次，以后每季度监测1次。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color w:val="auto"/>
                <w:sz w:val="24"/>
                <w:szCs w:val="22"/>
                <w:highlight w:val="none"/>
                <w:lang w:val="en-US" w:eastAsia="zh-CN"/>
              </w:rPr>
            </w:pPr>
            <w:r>
              <w:rPr>
                <w:rFonts w:hint="eastAsia" w:hAnsi="宋体"/>
                <w:color w:val="auto"/>
                <w:sz w:val="24"/>
                <w:szCs w:val="22"/>
                <w:highlight w:val="none"/>
                <w:lang w:val="en-US" w:eastAsia="zh-CN"/>
              </w:rPr>
              <w:t>执行标准：《工业企业厂界环境噪声排放标准》（GB12348-2008）3类标准。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1" w:firstLineChars="200"/>
              <w:jc w:val="both"/>
              <w:textAlignment w:val="auto"/>
              <w:rPr>
                <w:rFonts w:hint="default"/>
                <w:color w:val="auto"/>
                <w:highlight w:val="none"/>
                <w:lang w:val="en-US" w:eastAsia="zh-CN"/>
              </w:rPr>
            </w:pPr>
            <w:r>
              <w:rPr>
                <w:rFonts w:hint="eastAsia" w:cs="Times New Roman"/>
                <w:b/>
                <w:bCs/>
                <w:color w:val="auto"/>
                <w:sz w:val="24"/>
                <w:highlight w:val="none"/>
                <w:lang w:val="en-US" w:eastAsia="zh-CN"/>
              </w:rPr>
              <w:t>四、运营期</w:t>
            </w:r>
            <w:r>
              <w:rPr>
                <w:rFonts w:hint="eastAsia" w:ascii="Times New Roman" w:hAnsi="Times New Roman" w:cs="Times New Roman"/>
                <w:b/>
                <w:bCs/>
                <w:color w:val="auto"/>
                <w:sz w:val="24"/>
                <w:highlight w:val="none"/>
                <w:lang w:val="en-US" w:eastAsia="zh-CN"/>
              </w:rPr>
              <w:t>固体废物</w:t>
            </w:r>
            <w:r>
              <w:rPr>
                <w:rFonts w:hint="eastAsia" w:cs="Times New Roman"/>
                <w:b/>
                <w:bCs/>
                <w:color w:val="auto"/>
                <w:sz w:val="24"/>
                <w:highlight w:val="none"/>
                <w:lang w:val="en-US" w:eastAsia="zh-CN"/>
              </w:rPr>
              <w:t>影响和处置措施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cs="Times New Roman"/>
                <w:b w:val="0"/>
                <w:bCs w:val="0"/>
                <w:color w:val="auto"/>
                <w:sz w:val="24"/>
                <w:szCs w:val="22"/>
                <w:highlight w:val="none"/>
                <w:lang w:val="en-US" w:eastAsia="zh-CN"/>
              </w:rPr>
            </w:pPr>
            <w:r>
              <w:rPr>
                <w:rFonts w:hint="default" w:hAnsi="宋体" w:cs="Times New Roman"/>
                <w:b w:val="0"/>
                <w:bCs w:val="0"/>
                <w:color w:val="auto"/>
                <w:sz w:val="24"/>
                <w:szCs w:val="22"/>
                <w:highlight w:val="none"/>
                <w:lang w:val="en-US" w:eastAsia="zh-CN"/>
              </w:rPr>
              <w:t>本项目运营期产生的固体废物为生物质燃烧灰渣、废离子交换树脂、除尘器收集的粉尘、工作人员生活垃圾以及设备维修废机油。</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宋体" w:eastAsia="宋体" w:cs="Times New Roman"/>
                <w:b/>
                <w:bCs/>
                <w:color w:val="auto"/>
                <w:sz w:val="24"/>
                <w:szCs w:val="22"/>
                <w:highlight w:val="none"/>
                <w:lang w:val="en-US" w:eastAsia="zh-CN"/>
              </w:rPr>
            </w:pPr>
            <w:r>
              <w:rPr>
                <w:rFonts w:hint="eastAsia" w:hAnsi="宋体" w:cs="Times New Roman"/>
                <w:b/>
                <w:bCs/>
                <w:color w:val="auto"/>
                <w:sz w:val="24"/>
                <w:szCs w:val="22"/>
                <w:highlight w:val="none"/>
                <w:lang w:val="en-US" w:eastAsia="zh-CN"/>
              </w:rPr>
              <w:t>1、锅炉灰渣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根据《污染源源强核算技术指南锅炉》（HJ991-2018）中固体废物源强核算方法，生物质锅炉灰渣产生量可根据灰渣平衡计算公式计算：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drawing>
                <wp:inline distT="0" distB="0" distL="0" distR="0">
                  <wp:extent cx="2362200" cy="542925"/>
                  <wp:effectExtent l="0" t="0" r="0" b="9525"/>
                  <wp:docPr id="3" name="图片 81"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81" descr="1"/>
                          <pic:cNvPicPr>
                            <a:picLocks noChangeAspect="true" noChangeArrowheads="true"/>
                          </pic:cNvPicPr>
                        </pic:nvPicPr>
                        <pic:blipFill>
                          <a:blip r:embed="rId42"/>
                          <a:srcRect/>
                          <a:stretch>
                            <a:fillRect/>
                          </a:stretch>
                        </pic:blipFill>
                        <pic:spPr>
                          <a:xfrm>
                            <a:off x="0" y="0"/>
                            <a:ext cx="2362200" cy="54292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E</w:t>
            </w:r>
            <w:r>
              <w:rPr>
                <w:rFonts w:hint="eastAsia" w:hAnsi="宋体" w:cs="Times New Roman"/>
                <w:color w:val="auto"/>
                <w:sz w:val="24"/>
                <w:szCs w:val="22"/>
                <w:highlight w:val="none"/>
                <w:vertAlign w:val="subscript"/>
                <w:lang w:val="en-US" w:eastAsia="zh-CN"/>
              </w:rPr>
              <w:t>hz</w:t>
            </w:r>
            <w:r>
              <w:rPr>
                <w:rFonts w:hint="eastAsia" w:hAnsi="宋体" w:cs="Times New Roman"/>
                <w:color w:val="auto"/>
                <w:sz w:val="24"/>
                <w:szCs w:val="22"/>
                <w:highlight w:val="none"/>
                <w:lang w:val="en-US" w:eastAsia="zh-CN"/>
              </w:rPr>
              <w:t>—核算时段内灰渣产生量，t；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R—核算时段内锅炉燃料耗量，t；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A</w:t>
            </w:r>
            <w:r>
              <w:rPr>
                <w:rFonts w:hint="eastAsia" w:hAnsi="宋体" w:cs="Times New Roman"/>
                <w:color w:val="auto"/>
                <w:sz w:val="24"/>
                <w:szCs w:val="22"/>
                <w:highlight w:val="none"/>
                <w:vertAlign w:val="subscript"/>
                <w:lang w:val="en-US" w:eastAsia="zh-CN"/>
              </w:rPr>
              <w:t>ar</w:t>
            </w:r>
            <w:r>
              <w:rPr>
                <w:rFonts w:hint="eastAsia" w:hAnsi="宋体" w:cs="Times New Roman"/>
                <w:color w:val="auto"/>
                <w:sz w:val="24"/>
                <w:szCs w:val="22"/>
                <w:highlight w:val="none"/>
                <w:lang w:val="en-US" w:eastAsia="zh-CN"/>
              </w:rPr>
              <w:t>—收到基灰分的质量分数，%，本项目使用燃料为1.73%；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q</w:t>
            </w:r>
            <w:r>
              <w:rPr>
                <w:rFonts w:hint="eastAsia" w:hAnsi="宋体" w:cs="Times New Roman"/>
                <w:color w:val="auto"/>
                <w:sz w:val="24"/>
                <w:szCs w:val="22"/>
                <w:highlight w:val="none"/>
                <w:vertAlign w:val="subscript"/>
                <w:lang w:val="en-US" w:eastAsia="zh-CN"/>
              </w:rPr>
              <w:t>4</w:t>
            </w:r>
            <w:r>
              <w:rPr>
                <w:rFonts w:hint="eastAsia" w:hAnsi="宋体" w:cs="Times New Roman"/>
                <w:color w:val="auto"/>
                <w:sz w:val="24"/>
                <w:szCs w:val="22"/>
                <w:highlight w:val="none"/>
                <w:lang w:val="en-US" w:eastAsia="zh-CN"/>
              </w:rPr>
              <w:t>—锅炉机械不完全燃烧热损失，%，取2%；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Q</w:t>
            </w:r>
            <w:r>
              <w:rPr>
                <w:rFonts w:hint="eastAsia" w:hAnsi="宋体" w:cs="Times New Roman"/>
                <w:color w:val="auto"/>
                <w:sz w:val="24"/>
                <w:szCs w:val="22"/>
                <w:highlight w:val="none"/>
                <w:vertAlign w:val="subscript"/>
                <w:lang w:val="en-US" w:eastAsia="zh-CN"/>
              </w:rPr>
              <w:t>net,ar</w:t>
            </w:r>
            <w:r>
              <w:rPr>
                <w:rFonts w:hint="eastAsia" w:hAnsi="宋体" w:cs="Times New Roman"/>
                <w:color w:val="auto"/>
                <w:sz w:val="24"/>
                <w:szCs w:val="22"/>
                <w:highlight w:val="none"/>
                <w:lang w:val="en-US" w:eastAsia="zh-CN"/>
              </w:rPr>
              <w:t>—收到基低位发热量（MJ/kg），本项目使用燃料为17.108MJ/kg。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经计算，海大供热点产生的灰渣约为：741.7t/a；特驱供热点产生的灰渣约为766.6t/a；漓源供热点产生的灰渣约为117.1t/a。项目灰渣合计产生量为1625.4t/a。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项目运营期产生的灰渣集中收集暂存堆渣间，外售用于农业生产有机肥。</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宋体" w:eastAsia="宋体" w:cs="Times New Roman"/>
                <w:b/>
                <w:bCs/>
                <w:color w:val="auto"/>
                <w:sz w:val="24"/>
                <w:szCs w:val="22"/>
                <w:highlight w:val="none"/>
                <w:lang w:val="en-US" w:eastAsia="zh-CN"/>
              </w:rPr>
            </w:pPr>
            <w:r>
              <w:rPr>
                <w:rFonts w:hint="eastAsia" w:hAnsi="宋体" w:cs="Times New Roman"/>
                <w:b/>
                <w:bCs/>
                <w:color w:val="auto"/>
                <w:sz w:val="24"/>
                <w:szCs w:val="22"/>
                <w:highlight w:val="none"/>
                <w:lang w:val="en-US" w:eastAsia="zh-CN"/>
              </w:rPr>
              <w:t>2、废弃离子交换树脂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锅炉所需的软水在制备过程中，所使用的树脂交换位置均被水中的钙和镁占据后，会产生饱和离子交换树脂，属一般固废。海大供热点约为：0.5t/a，特驱供热点约为</w:t>
            </w:r>
            <w:r>
              <w:rPr>
                <w:rFonts w:hint="eastAsia" w:hAnsi="宋体" w:cs="Times New Roman"/>
                <w:color w:val="auto"/>
                <w:sz w:val="24"/>
                <w:szCs w:val="22"/>
                <w:highlight w:val="none"/>
                <w:lang w:val="en-US" w:eastAsia="zh-CN"/>
              </w:rPr>
              <w:t>0.5</w:t>
            </w:r>
            <w:r>
              <w:rPr>
                <w:rFonts w:hint="eastAsia" w:ascii="Times New Roman" w:hAnsi="宋体" w:eastAsia="宋体" w:cs="Times New Roman"/>
                <w:color w:val="auto"/>
                <w:sz w:val="24"/>
                <w:szCs w:val="22"/>
                <w:highlight w:val="none"/>
                <w:lang w:val="en-US" w:eastAsia="zh-CN"/>
              </w:rPr>
              <w:t>t/a，漓源供热点约为0.1t/a，合计</w:t>
            </w:r>
            <w:r>
              <w:rPr>
                <w:rFonts w:hint="eastAsia" w:hAnsi="宋体" w:cs="Times New Roman"/>
                <w:color w:val="auto"/>
                <w:sz w:val="24"/>
                <w:szCs w:val="22"/>
                <w:highlight w:val="none"/>
                <w:lang w:val="en-US" w:eastAsia="zh-CN"/>
              </w:rPr>
              <w:t>1.1</w:t>
            </w:r>
            <w:r>
              <w:rPr>
                <w:rFonts w:hint="eastAsia" w:ascii="Times New Roman" w:hAnsi="宋体" w:eastAsia="宋体" w:cs="Times New Roman"/>
                <w:color w:val="auto"/>
                <w:sz w:val="24"/>
                <w:szCs w:val="22"/>
                <w:highlight w:val="none"/>
                <w:lang w:val="en-US" w:eastAsia="zh-CN"/>
              </w:rPr>
              <w:t>t/a。该部分饱和离子交换树脂由厂家来更换，更换后直接由厂家回收，不在项目区内暂存。</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宋体" w:eastAsia="宋体" w:cs="Times New Roman"/>
                <w:b/>
                <w:bCs/>
                <w:color w:val="auto"/>
                <w:sz w:val="24"/>
                <w:szCs w:val="22"/>
                <w:highlight w:val="none"/>
                <w:lang w:val="en-US" w:eastAsia="zh-CN"/>
              </w:rPr>
            </w:pPr>
            <w:r>
              <w:rPr>
                <w:rFonts w:hint="eastAsia" w:ascii="Times New Roman" w:hAnsi="宋体" w:eastAsia="宋体" w:cs="Times New Roman"/>
                <w:b/>
                <w:bCs/>
                <w:color w:val="auto"/>
                <w:sz w:val="24"/>
                <w:szCs w:val="22"/>
                <w:highlight w:val="none"/>
                <w:lang w:val="en-US" w:eastAsia="zh-CN"/>
              </w:rPr>
              <w:t>3、除尘器收集的粉尘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锅炉烟气采用多管旋风除尘器+布袋除尘器处理后排放，大部分烟尘被除尘器收集，形成灰渣，除尘器收集的除尘灰量为：海大供热点约为：1598.7t/a，特驱供热点约为1652.4t/a，漓源供热点约为252.5t/a，合计3503.6t/a。除尘灰为生物质燃料中未燃尽部分与燃料在高温下气化的杂质，主要成分为农林废弃物灰烬，含有碳、钠、硅、钾、镁等元素，为一般工业固废，可用于制作有机肥，因此，本项目产生的除尘灰经袋装收集后外售有机肥制作单位制作有机肥。</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宋体" w:eastAsia="宋体" w:cs="Times New Roman"/>
                <w:b/>
                <w:bCs/>
                <w:color w:val="auto"/>
                <w:sz w:val="24"/>
                <w:szCs w:val="22"/>
                <w:highlight w:val="none"/>
                <w:lang w:val="en-US" w:eastAsia="zh-CN"/>
              </w:rPr>
            </w:pPr>
            <w:r>
              <w:rPr>
                <w:rFonts w:hint="eastAsia" w:ascii="Times New Roman" w:hAnsi="宋体" w:eastAsia="宋体" w:cs="Times New Roman"/>
                <w:b/>
                <w:bCs/>
                <w:color w:val="auto"/>
                <w:sz w:val="24"/>
                <w:szCs w:val="22"/>
                <w:highlight w:val="none"/>
                <w:lang w:val="en-US" w:eastAsia="zh-CN"/>
              </w:rPr>
              <w:t>4、生活垃圾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项目配备锅炉工10人，海大供热点4人，特驱供热点4人，漓源供热点2人，生活垃圾的产生量按照0.5kg/人*d计算，则生活垃圾的产生量为海大供热点0.66t/a，特驱供热点0.66t/a，漓源供热点0.33t/a，项目合计共产生1.65t/a。生活垃圾统一收集后，送至园区指定地点，由园区统一处置。</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宋体" w:eastAsia="宋体" w:cs="Times New Roman"/>
                <w:b/>
                <w:bCs/>
                <w:color w:val="auto"/>
                <w:sz w:val="24"/>
                <w:szCs w:val="22"/>
                <w:highlight w:val="none"/>
                <w:lang w:val="en-US" w:eastAsia="zh-CN"/>
              </w:rPr>
            </w:pPr>
            <w:r>
              <w:rPr>
                <w:rFonts w:hint="eastAsia" w:hAnsi="宋体" w:cs="Times New Roman"/>
                <w:b/>
                <w:bCs/>
                <w:color w:val="auto"/>
                <w:sz w:val="24"/>
                <w:szCs w:val="22"/>
                <w:highlight w:val="none"/>
                <w:lang w:val="en-US" w:eastAsia="zh-CN"/>
              </w:rPr>
              <w:t>5、</w:t>
            </w:r>
            <w:r>
              <w:rPr>
                <w:rFonts w:hint="eastAsia" w:ascii="Times New Roman" w:hAnsi="宋体" w:eastAsia="宋体" w:cs="Times New Roman"/>
                <w:b/>
                <w:bCs/>
                <w:color w:val="auto"/>
                <w:sz w:val="24"/>
                <w:szCs w:val="22"/>
                <w:highlight w:val="none"/>
                <w:lang w:val="en-US" w:eastAsia="zh-CN"/>
              </w:rPr>
              <w:t>生物质燃料废包装袋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项目使用的生物质燃料为1吨一袋，每个袋子约为2kg，海大供热点需要生物质燃料42847.2t/a，特驱供热点需要生物质燃料44287.7t/a，漓源供热点需要生物质燃料6766.9t/a，</w:t>
            </w:r>
            <w:r>
              <w:rPr>
                <w:rFonts w:hint="eastAsia" w:hAnsi="宋体" w:cs="Times New Roman"/>
                <w:color w:val="auto"/>
                <w:sz w:val="24"/>
                <w:szCs w:val="22"/>
                <w:highlight w:val="none"/>
                <w:lang w:val="en-US" w:eastAsia="zh-CN"/>
              </w:rPr>
              <w:t>生物质燃料使用总量93901.8</w:t>
            </w:r>
            <w:r>
              <w:rPr>
                <w:rFonts w:hint="eastAsia" w:ascii="Times New Roman" w:hAnsi="宋体" w:eastAsia="宋体" w:cs="Times New Roman"/>
                <w:color w:val="auto"/>
                <w:sz w:val="24"/>
                <w:szCs w:val="22"/>
                <w:highlight w:val="none"/>
                <w:lang w:val="en-US" w:eastAsia="zh-CN"/>
              </w:rPr>
              <w:t>t/a，则产生物质燃料废包装袋</w:t>
            </w:r>
            <w:r>
              <w:rPr>
                <w:rFonts w:hint="eastAsia" w:hAnsi="宋体" w:cs="Times New Roman"/>
                <w:color w:val="auto"/>
                <w:sz w:val="24"/>
                <w:szCs w:val="22"/>
                <w:highlight w:val="none"/>
                <w:lang w:val="en-US" w:eastAsia="zh-CN"/>
              </w:rPr>
              <w:t>产生量</w:t>
            </w:r>
            <w:r>
              <w:rPr>
                <w:rFonts w:hint="eastAsia" w:ascii="Times New Roman" w:hAnsi="宋体" w:eastAsia="宋体" w:cs="Times New Roman"/>
                <w:color w:val="auto"/>
                <w:sz w:val="24"/>
                <w:szCs w:val="22"/>
                <w:highlight w:val="none"/>
                <w:lang w:val="en-US" w:eastAsia="zh-CN"/>
              </w:rPr>
              <w:t>为：</w:t>
            </w:r>
            <w:r>
              <w:rPr>
                <w:rFonts w:hint="eastAsia" w:hAnsi="宋体" w:cs="Times New Roman"/>
                <w:color w:val="auto"/>
                <w:sz w:val="24"/>
                <w:szCs w:val="22"/>
                <w:highlight w:val="none"/>
                <w:lang w:val="en-US" w:eastAsia="zh-CN"/>
              </w:rPr>
              <w:t>187</w:t>
            </w:r>
            <w:r>
              <w:rPr>
                <w:rFonts w:hint="eastAsia" w:ascii="Times New Roman" w:hAnsi="宋体" w:eastAsia="宋体" w:cs="Times New Roman"/>
                <w:color w:val="auto"/>
                <w:sz w:val="24"/>
                <w:szCs w:val="22"/>
                <w:highlight w:val="none"/>
                <w:lang w:val="en-US" w:eastAsia="zh-CN"/>
              </w:rPr>
              <w:t>t/a</w:t>
            </w:r>
            <w:r>
              <w:rPr>
                <w:rFonts w:hint="eastAsia" w:hAnsi="宋体" w:cs="Times New Roman"/>
                <w:color w:val="auto"/>
                <w:sz w:val="24"/>
                <w:szCs w:val="22"/>
                <w:highlight w:val="none"/>
                <w:lang w:val="en-US" w:eastAsia="zh-CN"/>
              </w:rPr>
              <w:t>。</w:t>
            </w:r>
            <w:r>
              <w:rPr>
                <w:rFonts w:hint="eastAsia" w:ascii="Times New Roman" w:hAnsi="宋体" w:eastAsia="宋体" w:cs="Times New Roman"/>
                <w:color w:val="auto"/>
                <w:sz w:val="24"/>
                <w:szCs w:val="22"/>
                <w:highlight w:val="none"/>
                <w:lang w:val="en-US" w:eastAsia="zh-CN"/>
              </w:rPr>
              <w:t>生物质燃料使用完毕后，废包装袋由昆明腾元禾农林科技有限公司回收利用。</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宋体" w:eastAsia="宋体" w:cs="Times New Roman"/>
                <w:b/>
                <w:bCs/>
                <w:color w:val="auto"/>
                <w:sz w:val="24"/>
                <w:szCs w:val="22"/>
                <w:highlight w:val="none"/>
                <w:lang w:val="en-US" w:eastAsia="zh-CN"/>
              </w:rPr>
            </w:pPr>
            <w:r>
              <w:rPr>
                <w:rFonts w:hint="eastAsia" w:ascii="Times New Roman" w:hAnsi="宋体" w:eastAsia="宋体" w:cs="Times New Roman"/>
                <w:b/>
                <w:bCs/>
                <w:color w:val="auto"/>
                <w:sz w:val="24"/>
                <w:szCs w:val="22"/>
                <w:highlight w:val="none"/>
                <w:lang w:val="en-US" w:eastAsia="zh-CN"/>
              </w:rPr>
              <w:t>5、废机油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项目设备维修会产生一定量的废机油，根据《国家危险废物名录（2021年版）》，废机油属于危险废物，废物类别为：HW08废矿物油与含矿物油废物，废物代码为：900-249-08。项目机修废物产生量约为：海大供热点约为：0.13t/a，特驱供热点约为0.14t/a，漓源供热点约为0.03t/a，项目合计产生废机油0.3t/a。各供热点产生的废机油收集后暂存于危险废物贮存库，委托有资质单位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本项目运营期固体废物产排情况见下表：</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17项目固体废物产排情况一览表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822"/>
              <w:gridCol w:w="1028"/>
              <w:gridCol w:w="800"/>
              <w:gridCol w:w="800"/>
              <w:gridCol w:w="1134"/>
              <w:gridCol w:w="806"/>
              <w:gridCol w:w="1601"/>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产生环节</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名称</w:t>
                  </w:r>
                </w:p>
              </w:tc>
              <w:tc>
                <w:tcPr>
                  <w:tcW w:w="57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属性</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物理性状</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环境危险特性</w:t>
                  </w:r>
                </w:p>
              </w:tc>
              <w:tc>
                <w:tcPr>
                  <w:tcW w:w="63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年度产生量</w:t>
                  </w:r>
                </w:p>
              </w:tc>
              <w:tc>
                <w:tcPr>
                  <w:tcW w:w="454"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贮存方式</w:t>
                  </w:r>
                </w:p>
              </w:tc>
              <w:tc>
                <w:tcPr>
                  <w:tcW w:w="902"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利用处置方式和去向</w:t>
                  </w:r>
                </w:p>
              </w:tc>
              <w:tc>
                <w:tcPr>
                  <w:tcW w:w="465"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烟气除尘设施</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除尘灰</w:t>
                  </w:r>
                </w:p>
              </w:tc>
              <w:tc>
                <w:tcPr>
                  <w:tcW w:w="57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一般工业固废</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固态</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63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3503.6t/a</w:t>
                  </w:r>
                </w:p>
              </w:tc>
              <w:tc>
                <w:tcPr>
                  <w:tcW w:w="454"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902"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经袋装收集后外售有机肥制作单位制作有机肥</w:t>
                  </w:r>
                </w:p>
              </w:tc>
              <w:tc>
                <w:tcPr>
                  <w:tcW w:w="465" w:type="pct"/>
                  <w:vMerge w:val="restar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100%处置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生物质锅炉</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炉渣</w:t>
                  </w:r>
                </w:p>
              </w:tc>
              <w:tc>
                <w:tcPr>
                  <w:tcW w:w="57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一般工业固废</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固态</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63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1625.4t/a</w:t>
                  </w:r>
                </w:p>
              </w:tc>
              <w:tc>
                <w:tcPr>
                  <w:tcW w:w="454"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902"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经袋装收集后外售有机肥制作单位制作有机肥</w:t>
                  </w:r>
                </w:p>
              </w:tc>
              <w:tc>
                <w:tcPr>
                  <w:tcW w:w="465" w:type="pct"/>
                  <w:vMerge w:val="continue"/>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软水制备系统</w:t>
                  </w:r>
                </w:p>
              </w:tc>
              <w:tc>
                <w:tcPr>
                  <w:tcW w:w="463"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饱和离子交换树脂</w:t>
                  </w:r>
                </w:p>
              </w:tc>
              <w:tc>
                <w:tcPr>
                  <w:tcW w:w="57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一般工业固废</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固态</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63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1.1t/a</w:t>
                  </w:r>
                </w:p>
              </w:tc>
              <w:tc>
                <w:tcPr>
                  <w:tcW w:w="454"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902"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更换后直接由厂家回收</w:t>
                  </w:r>
                </w:p>
              </w:tc>
              <w:tc>
                <w:tcPr>
                  <w:tcW w:w="465" w:type="pct"/>
                  <w:vMerge w:val="continue"/>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生物质燃料包装</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废包装袋</w:t>
                  </w:r>
                </w:p>
              </w:tc>
              <w:tc>
                <w:tcPr>
                  <w:tcW w:w="1028" w:type="dxa"/>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一般工业固废</w:t>
                  </w:r>
                </w:p>
              </w:tc>
              <w:tc>
                <w:tcPr>
                  <w:tcW w:w="800" w:type="dxa"/>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固态</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w:t>
                  </w:r>
                </w:p>
              </w:tc>
              <w:tc>
                <w:tcPr>
                  <w:tcW w:w="63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187</w:t>
                  </w:r>
                  <w:r>
                    <w:rPr>
                      <w:rFonts w:hint="eastAsia" w:ascii="Times New Roman" w:hAnsi="Times New Roman" w:eastAsia="宋体" w:cs="Times New Roman"/>
                      <w:b w:val="0"/>
                      <w:bCs/>
                      <w:color w:val="auto"/>
                      <w:kern w:val="1"/>
                      <w:szCs w:val="21"/>
                      <w:highlight w:val="none"/>
                      <w:lang w:val="en-US" w:eastAsia="zh-CN"/>
                    </w:rPr>
                    <w:t>t/a</w:t>
                  </w:r>
                </w:p>
              </w:tc>
              <w:tc>
                <w:tcPr>
                  <w:tcW w:w="454"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w:t>
                  </w:r>
                </w:p>
              </w:tc>
              <w:tc>
                <w:tcPr>
                  <w:tcW w:w="902"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由昆明腾元禾农林科技有限公司回收利用</w:t>
                  </w:r>
                </w:p>
              </w:tc>
              <w:tc>
                <w:tcPr>
                  <w:tcW w:w="465" w:type="pct"/>
                  <w:vMerge w:val="continue"/>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员工</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生活垃圾</w:t>
                  </w:r>
                </w:p>
              </w:tc>
              <w:tc>
                <w:tcPr>
                  <w:tcW w:w="57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一般固废</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固态</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63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1.65t/a</w:t>
                  </w:r>
                </w:p>
              </w:tc>
              <w:tc>
                <w:tcPr>
                  <w:tcW w:w="454"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902"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统一收集后由环卫部门统一清运</w:t>
                  </w:r>
                </w:p>
              </w:tc>
              <w:tc>
                <w:tcPr>
                  <w:tcW w:w="465" w:type="pct"/>
                  <w:vMerge w:val="continue"/>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废机油</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设备维修</w:t>
                  </w:r>
                </w:p>
              </w:tc>
              <w:tc>
                <w:tcPr>
                  <w:tcW w:w="57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危险废物</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液态</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T，I</w:t>
                  </w:r>
                </w:p>
              </w:tc>
              <w:tc>
                <w:tcPr>
                  <w:tcW w:w="63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0.3t/a</w:t>
                  </w:r>
                </w:p>
              </w:tc>
              <w:tc>
                <w:tcPr>
                  <w:tcW w:w="454"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暂存于危险废物贮存库</w:t>
                  </w:r>
                </w:p>
              </w:tc>
              <w:tc>
                <w:tcPr>
                  <w:tcW w:w="902"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委托有资质单位清运处置</w:t>
                  </w:r>
                </w:p>
              </w:tc>
              <w:tc>
                <w:tcPr>
                  <w:tcW w:w="465" w:type="pct"/>
                  <w:vMerge w:val="continue"/>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eastAsia="宋体" w:cs="Times New Roman"/>
                <w:b/>
                <w:bCs/>
                <w:color w:val="auto"/>
                <w:highlight w:val="none"/>
                <w:lang w:val="en-US" w:eastAsia="zh-CN"/>
              </w:rPr>
            </w:pPr>
            <w:r>
              <w:rPr>
                <w:rFonts w:hint="eastAsia" w:eastAsia="宋体" w:cs="Times New Roman"/>
                <w:b/>
                <w:bCs/>
                <w:color w:val="auto"/>
                <w:highlight w:val="none"/>
                <w:lang w:val="en-US" w:eastAsia="zh-CN"/>
              </w:rPr>
              <w:t>5、危险废物贮存库建设及管理要求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①废物贮存库应采取必要的防风、防晒、防雨、防漏、防渗、防腐等环境污染防治措施，不应露天堆放危险废物。</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②库区内地面、墙面裙脚、堵截泄漏的围堰、接触危险废物的隔板和墙体等应采用坚固的材料建造，表面无裂缝。</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所贮存的危险废物不得直接接触地面，库内地面与裙脚应采取表面防渗措施，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auto"/>
                <w:sz w:val="24"/>
                <w:highlight w:val="none"/>
                <w:vertAlign w:val="superscript"/>
                <w:lang w:val="en-US" w:eastAsia="zh-CN"/>
              </w:rPr>
              <w:t>-7</w:t>
            </w:r>
            <w:r>
              <w:rPr>
                <w:rFonts w:hint="eastAsia" w:ascii="Times New Roman" w:hAnsi="Times New Roman" w:eastAsia="宋体" w:cs="Times New Roman"/>
                <w:color w:val="auto"/>
                <w:sz w:val="24"/>
                <w:highlight w:val="none"/>
                <w:lang w:val="en-US" w:eastAsia="zh-CN"/>
              </w:rPr>
              <w:t>cm/s），或至少2mm厚高密度聚乙烯膜等人工防渗材料（渗透系数不大于10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lang w:val="en-US" w:eastAsia="zh-CN"/>
              </w:rPr>
              <w:t>cm/s），或其他防渗性能等效的材料。</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④贮存设施应采取技术（日常关闭）和管理措施防止无关人员进入。</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⑤不同贮存分区之间应采取隔离措施。</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⑥设置收集池、托盘等液体泄漏堵截设施，堵截设施最小容积不应低于液态废物总储量1/10。</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⑦在常温常压下不易水解、不易挥发的固态危险废物可分类堆放贮存，其他固态危险废物应装入容器或包装物内贮存。液态危险废物应装入容器内贮存，半固态危险废物应装入容器或包装袋内贮存，具有热塑性的危险废物应装入容器或包装袋内进行贮存。易产生刺激性气味气体的危险废物应装入闭口容器或包装物内贮存。</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⑧</w:t>
            </w:r>
            <w:r>
              <w:rPr>
                <w:rFonts w:hint="eastAsia" w:ascii="Times New Roman" w:hAnsi="Times New Roman" w:eastAsia="宋体" w:cs="Times New Roman"/>
                <w:color w:val="auto"/>
                <w:sz w:val="24"/>
                <w:highlight w:val="none"/>
                <w:lang w:val="en-US" w:eastAsia="zh-CN"/>
              </w:rPr>
              <w:t>贮存设施运行环境管理要求</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规范化管理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按照《危险废物识别标志设置技术规范》（HJ1276-2022）要求设置危险废物标签、危险废物贮存设施、危险废物分区标志等危险废物识别标识，制定的危险废物管理制度并上墙，落实危险废物申报、危险废物管理计划、危险废物转移联单等制度，按要求在云南省固体废物和化学品管理信息系统申报危废废物产生、处置情况。</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6、除尘灰、炉渣一般工业固体废物环境管理要求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为降低固体废物收集、贮存、处置、转移过程中对周围环境的影响，本次评价要求建设单位做好以下防治措施：</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一般工业固体废物贮存场所设置应符合《一般工业固体废物贮存和填埋污染控制标准》（GB18599-2020）中的相关要求；为加强监督管理，贮存场所应按照《环境保护图形标志固体废物贮存（处置）场》(GB15562.2-1995)修改单的要求设置环保图形标志；</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②除尘灰不得直接卸落到地面，卸灰区域密闭，采用密闭方式运输等。</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7、固体废物</w:t>
            </w:r>
            <w:r>
              <w:rPr>
                <w:rFonts w:hint="eastAsia" w:ascii="Times New Roman" w:hAnsi="Times New Roman" w:eastAsia="宋体" w:cs="Times New Roman"/>
                <w:b/>
                <w:bCs/>
                <w:color w:val="auto"/>
                <w:highlight w:val="none"/>
                <w:lang w:val="en-US" w:eastAsia="zh-CN"/>
              </w:rPr>
              <w:t>环境影响分析</w:t>
            </w:r>
            <w:r>
              <w:rPr>
                <w:rFonts w:hint="eastAsia" w:eastAsia="宋体" w:cs="Times New Roman"/>
                <w:b/>
                <w:bCs/>
                <w:color w:val="auto"/>
                <w:highlight w:val="none"/>
                <w:lang w:val="en-US" w:eastAsia="zh-CN"/>
              </w:rPr>
              <w:t>结论</w:t>
            </w:r>
          </w:p>
          <w:p>
            <w:pPr>
              <w:spacing w:line="360" w:lineRule="auto"/>
              <w:ind w:firstLine="476"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1"/>
                <w:kern w:val="2"/>
                <w:sz w:val="24"/>
                <w:szCs w:val="24"/>
                <w:highlight w:val="none"/>
                <w:lang w:val="en-US" w:eastAsia="zh-CN" w:bidi="ar-SA"/>
              </w:rPr>
              <w:t>本项目</w:t>
            </w:r>
            <w:r>
              <w:rPr>
                <w:rFonts w:hint="eastAsia" w:cs="Times New Roman"/>
                <w:color w:val="auto"/>
                <w:spacing w:val="-1"/>
                <w:kern w:val="2"/>
                <w:sz w:val="24"/>
                <w:szCs w:val="24"/>
                <w:highlight w:val="none"/>
                <w:lang w:val="en-US" w:eastAsia="zh-CN" w:bidi="ar-SA"/>
              </w:rPr>
              <w:t>运营期间</w:t>
            </w:r>
            <w:r>
              <w:rPr>
                <w:rFonts w:hint="default" w:ascii="Times New Roman" w:hAnsi="Times New Roman" w:eastAsia="宋体" w:cs="Times New Roman"/>
                <w:color w:val="auto"/>
                <w:spacing w:val="-1"/>
                <w:kern w:val="2"/>
                <w:sz w:val="24"/>
                <w:szCs w:val="24"/>
                <w:highlight w:val="none"/>
                <w:lang w:val="en-US" w:eastAsia="zh-CN" w:bidi="ar-SA"/>
              </w:rPr>
              <w:t>产生的固</w:t>
            </w:r>
            <w:r>
              <w:rPr>
                <w:rFonts w:hint="eastAsia" w:cs="Times New Roman"/>
                <w:color w:val="auto"/>
                <w:spacing w:val="-1"/>
                <w:kern w:val="2"/>
                <w:sz w:val="24"/>
                <w:szCs w:val="24"/>
                <w:highlight w:val="none"/>
                <w:lang w:val="en-US" w:eastAsia="zh-CN" w:bidi="ar-SA"/>
              </w:rPr>
              <w:t>体废物</w:t>
            </w:r>
            <w:r>
              <w:rPr>
                <w:rFonts w:hint="default" w:ascii="Times New Roman" w:hAnsi="Times New Roman" w:eastAsia="宋体" w:cs="Times New Roman"/>
                <w:color w:val="auto"/>
                <w:spacing w:val="-1"/>
                <w:kern w:val="2"/>
                <w:sz w:val="24"/>
                <w:szCs w:val="24"/>
                <w:highlight w:val="none"/>
                <w:lang w:val="en-US" w:eastAsia="zh-CN" w:bidi="ar-SA"/>
              </w:rPr>
              <w:t>均得到合理有效处置，处置方式均可行，对周边环境影响较小</w:t>
            </w:r>
            <w:r>
              <w:rPr>
                <w:rFonts w:hint="eastAsia" w:cs="Times New Roman"/>
                <w:color w:val="auto"/>
                <w:spacing w:val="-1"/>
                <w:kern w:val="2"/>
                <w:sz w:val="24"/>
                <w:szCs w:val="24"/>
                <w:highlight w:val="none"/>
                <w:lang w:val="en-US" w:eastAsia="zh-CN" w:bidi="ar-SA"/>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五</w:t>
            </w:r>
            <w:r>
              <w:rPr>
                <w:rFonts w:hint="default" w:ascii="Times New Roman" w:hAnsi="Times New Roman" w:eastAsia="宋体" w:cs="Times New Roman"/>
                <w:b/>
                <w:bCs/>
                <w:color w:val="auto"/>
                <w:sz w:val="24"/>
                <w:highlight w:val="none"/>
                <w:lang w:val="en-US" w:eastAsia="zh-CN"/>
              </w:rPr>
              <w:t>、地下水</w:t>
            </w:r>
            <w:r>
              <w:rPr>
                <w:rFonts w:hint="eastAsia" w:ascii="Times New Roman" w:hAnsi="Times New Roman" w:eastAsia="宋体" w:cs="Times New Roman"/>
                <w:b/>
                <w:bCs/>
                <w:color w:val="auto"/>
                <w:sz w:val="24"/>
                <w:highlight w:val="none"/>
                <w:lang w:val="en-US" w:eastAsia="zh-CN"/>
              </w:rPr>
              <w:t>、土壤环境</w:t>
            </w:r>
            <w:r>
              <w:rPr>
                <w:rFonts w:hint="default" w:ascii="Times New Roman" w:hAnsi="Times New Roman" w:eastAsia="宋体" w:cs="Times New Roman"/>
                <w:b/>
                <w:bCs/>
                <w:color w:val="auto"/>
                <w:sz w:val="24"/>
                <w:highlight w:val="none"/>
                <w:lang w:val="en-US" w:eastAsia="zh-CN"/>
              </w:rPr>
              <w:t>影响分析</w:t>
            </w:r>
          </w:p>
          <w:p>
            <w:pPr>
              <w:spacing w:line="360" w:lineRule="auto"/>
              <w:ind w:firstLine="480" w:firstLineChars="200"/>
              <w:rPr>
                <w:rFonts w:hint="default" w:ascii="Times New Roman" w:hAnsi="Times New Roman" w:eastAsia="宋体" w:cs="Times New Roman"/>
                <w:color w:val="auto"/>
                <w:spacing w:val="-1"/>
                <w:kern w:val="2"/>
                <w:sz w:val="24"/>
                <w:szCs w:val="24"/>
                <w:highlight w:val="none"/>
                <w:lang w:val="en-US" w:eastAsia="zh-CN" w:bidi="ar-SA"/>
              </w:rPr>
            </w:pPr>
            <w:r>
              <w:rPr>
                <w:rFonts w:hint="eastAsia"/>
                <w:color w:val="auto"/>
                <w:sz w:val="24"/>
                <w:highlight w:val="none"/>
                <w:lang w:val="en-US" w:eastAsia="zh-CN"/>
              </w:rPr>
              <w:t>根</w:t>
            </w:r>
            <w:r>
              <w:rPr>
                <w:rFonts w:hint="eastAsia" w:ascii="Times New Roman" w:hAnsi="Times New Roman" w:eastAsia="宋体" w:cs="Times New Roman"/>
                <w:color w:val="auto"/>
                <w:spacing w:val="-1"/>
                <w:kern w:val="2"/>
                <w:sz w:val="24"/>
                <w:szCs w:val="24"/>
                <w:highlight w:val="none"/>
                <w:lang w:val="en-US" w:eastAsia="zh-CN" w:bidi="ar-SA"/>
              </w:rPr>
              <w:t>据《环境影响技术导则地下水环境》（HJ610-2016），并结合《建设项目环境影响评价分类管理名录》将建设项目分为四类，</w:t>
            </w:r>
            <w:r>
              <w:rPr>
                <w:rFonts w:hint="default" w:ascii="Times New Roman" w:hAnsi="Times New Roman" w:eastAsia="宋体" w:cs="Times New Roman"/>
                <w:color w:val="auto"/>
                <w:spacing w:val="-1"/>
                <w:kern w:val="2"/>
                <w:sz w:val="24"/>
                <w:szCs w:val="24"/>
                <w:highlight w:val="none"/>
                <w:lang w:val="en-US" w:eastAsia="zh-CN" w:bidi="ar-SA"/>
              </w:rPr>
              <w:t>Ⅰ类、Ⅱ类、Ⅲ类</w:t>
            </w:r>
            <w:r>
              <w:rPr>
                <w:rFonts w:hint="eastAsia" w:ascii="Times New Roman" w:hAnsi="Times New Roman" w:eastAsia="宋体" w:cs="Times New Roman"/>
                <w:color w:val="auto"/>
                <w:spacing w:val="-1"/>
                <w:kern w:val="2"/>
                <w:sz w:val="24"/>
                <w:szCs w:val="24"/>
                <w:highlight w:val="none"/>
                <w:lang w:val="en-US" w:eastAsia="zh-CN" w:bidi="ar-SA"/>
              </w:rPr>
              <w:t>建设项目的地下水环境影响评价应执行本标准，</w:t>
            </w:r>
            <w:r>
              <w:rPr>
                <w:rFonts w:hint="default" w:ascii="Times New Roman" w:hAnsi="Times New Roman" w:eastAsia="宋体" w:cs="Times New Roman"/>
                <w:color w:val="auto"/>
                <w:spacing w:val="-1"/>
                <w:kern w:val="2"/>
                <w:sz w:val="24"/>
                <w:szCs w:val="24"/>
                <w:highlight w:val="none"/>
                <w:lang w:val="en-US" w:eastAsia="zh-CN" w:bidi="ar-SA"/>
              </w:rPr>
              <w:t>Ⅳ类</w:t>
            </w:r>
            <w:r>
              <w:rPr>
                <w:rFonts w:hint="eastAsia" w:ascii="Times New Roman" w:hAnsi="Times New Roman" w:eastAsia="宋体" w:cs="Times New Roman"/>
                <w:color w:val="auto"/>
                <w:spacing w:val="-1"/>
                <w:kern w:val="2"/>
                <w:sz w:val="24"/>
                <w:szCs w:val="24"/>
                <w:highlight w:val="none"/>
                <w:lang w:val="en-US" w:eastAsia="zh-CN" w:bidi="ar-SA"/>
              </w:rPr>
              <w:t>建设项目不开展地下水环境影响评价。根据《环境影响技术导则 地下水环境》（HJ61</w:t>
            </w:r>
            <w:r>
              <w:rPr>
                <w:rFonts w:hint="default" w:ascii="Times New Roman" w:hAnsi="Times New Roman" w:eastAsia="宋体" w:cs="Times New Roman"/>
                <w:color w:val="auto"/>
                <w:spacing w:val="-1"/>
                <w:kern w:val="2"/>
                <w:sz w:val="24"/>
                <w:szCs w:val="24"/>
                <w:highlight w:val="none"/>
                <w:lang w:val="en-US" w:eastAsia="zh-CN" w:bidi="ar-SA"/>
              </w:rPr>
              <w:t>0-2016）附录A</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地下水环境影响评价分类表</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，本项目属于</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U城镇基础设施及房地产</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142、热力生产和供应工程</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，环评类别均为报告表，故地下水环境影响评价项目类别为Ⅳ类，故本项目不开展地下水环境影响评价。</w:t>
            </w:r>
          </w:p>
          <w:p>
            <w:pPr>
              <w:spacing w:line="360" w:lineRule="auto"/>
              <w:ind w:firstLine="476" w:firstLineChars="200"/>
              <w:rPr>
                <w:rFonts w:hint="default" w:ascii="Times New Roman" w:hAnsi="Times New Roman" w:eastAsia="宋体" w:cs="Times New Roman"/>
                <w:color w:val="auto"/>
                <w:spacing w:val="-1"/>
                <w:kern w:val="2"/>
                <w:sz w:val="24"/>
                <w:szCs w:val="24"/>
                <w:highlight w:val="none"/>
                <w:lang w:val="en-US" w:eastAsia="zh-CN" w:bidi="ar-SA"/>
              </w:rPr>
            </w:pPr>
            <w:r>
              <w:rPr>
                <w:rFonts w:hint="default" w:ascii="Times New Roman" w:hAnsi="Times New Roman" w:eastAsia="宋体" w:cs="Times New Roman"/>
                <w:color w:val="auto"/>
                <w:spacing w:val="-1"/>
                <w:kern w:val="2"/>
                <w:sz w:val="24"/>
                <w:szCs w:val="24"/>
                <w:highlight w:val="none"/>
                <w:lang w:val="en-US" w:eastAsia="zh-CN" w:bidi="ar-SA"/>
              </w:rPr>
              <w:t>根据《环境影响评价技术导则土壤环境（试行）》（HJ964-2018）附录A</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土壤环境影响评价项目类别</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，本项目属于</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电力热力燃气及水生产和供应业</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其他类</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，本项目土壤环境影响评价项目类别为Ⅳ类项目，根据要求可不开展土壤环境影响评价。</w:t>
            </w:r>
          </w:p>
          <w:p>
            <w:pPr>
              <w:numPr>
                <w:ilvl w:val="0"/>
                <w:numId w:val="0"/>
              </w:numPr>
              <w:adjustRightInd w:val="0"/>
              <w:snapToGrid w:val="0"/>
              <w:spacing w:line="360" w:lineRule="auto"/>
              <w:ind w:firstLine="441" w:firstLineChars="200"/>
              <w:rPr>
                <w:rFonts w:hint="default" w:ascii="Times New Roman" w:hAnsi="Times New Roman"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六、环境</w:t>
            </w:r>
            <w:r>
              <w:rPr>
                <w:rFonts w:hint="default" w:ascii="Times New Roman" w:hAnsi="Times New Roman" w:cs="Times New Roman"/>
                <w:b/>
                <w:bCs w:val="0"/>
                <w:color w:val="auto"/>
                <w:spacing w:val="-10"/>
                <w:sz w:val="24"/>
                <w:szCs w:val="24"/>
                <w:highlight w:val="none"/>
                <w:lang w:val="en-US" w:eastAsia="zh-CN"/>
              </w:rPr>
              <w:t>风险</w:t>
            </w:r>
            <w:r>
              <w:rPr>
                <w:rFonts w:hint="eastAsia" w:cs="Times New Roman"/>
                <w:b/>
                <w:bCs w:val="0"/>
                <w:color w:val="auto"/>
                <w:spacing w:val="-10"/>
                <w:sz w:val="24"/>
                <w:szCs w:val="24"/>
                <w:highlight w:val="none"/>
                <w:lang w:val="en-US" w:eastAsia="zh-CN"/>
              </w:rPr>
              <w:t>分析</w:t>
            </w:r>
          </w:p>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1、评价依据</w:t>
            </w:r>
          </w:p>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（1）评价目的</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建设项目环境风险评价技术导则》（HJ169-2018）的要求，对于涉及有毒有害和易燃易爆物质的生产、使用、储存的建设项目可能发生突发性事故的应进行环境风险评价。本次环境风险评价的目的在于识别、分析、评估项目生产运行及物料储运中的风险所造成对人身安全与环境的影响和损害，并针对潜在的环境风险，提出相应的预防措施，力求将项目建设中潜在的风险危害程度降至最低。</w:t>
            </w:r>
          </w:p>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（2）风险调查</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本项目燃料为生物质燃料，不属于风险物质，不存在重大危险源。项目生产设施风险主要为生物质燃料燃烧意外发生火灾，锅炉爆炸，蒸汽管道泄漏。</w:t>
            </w:r>
          </w:p>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（3）评价等级</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生物质燃料不属于有毒、易燃、爆炸和危险化学品物质。因此，本项目非重大危险源。按照《建设项目环境风险评价技术导则》（HJ169-2018），环境风险潜势为Ⅰ。根据风险潜势判定，确定项目环境风险评价等级为简单分析。项目环境风险评价等级划分如表4-</w:t>
            </w:r>
            <w:r>
              <w:rPr>
                <w:rFonts w:hint="eastAsia" w:cs="Times New Roman"/>
                <w:color w:val="auto"/>
                <w:sz w:val="24"/>
                <w:highlight w:val="none"/>
                <w:lang w:val="en-US" w:eastAsia="zh-CN"/>
              </w:rPr>
              <w:t>18</w:t>
            </w:r>
            <w:r>
              <w:rPr>
                <w:rFonts w:hint="eastAsia" w:ascii="Times New Roman" w:hAnsi="Times New Roman" w:eastAsia="宋体" w:cs="Times New Roman"/>
                <w:color w:val="auto"/>
                <w:sz w:val="24"/>
                <w:highlight w:val="none"/>
                <w:lang w:val="en-US" w:eastAsia="zh-CN"/>
              </w:rPr>
              <w:t>所示：</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18</w:t>
            </w:r>
            <w:r>
              <w:rPr>
                <w:rFonts w:hint="default" w:ascii="Times New Roman" w:hAnsi="Times New Roman" w:eastAsia="宋体" w:cs="Times New Roman"/>
                <w:b/>
                <w:bCs/>
                <w:color w:val="auto"/>
                <w:sz w:val="21"/>
                <w:szCs w:val="21"/>
                <w:highlight w:val="none"/>
                <w:lang w:val="en-US" w:eastAsia="zh-CN"/>
              </w:rPr>
              <w:t>环境风险评价等级划分表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1955"/>
              <w:gridCol w:w="1804"/>
              <w:gridCol w:w="164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02" w:type="pct"/>
                  <w:shd w:val="clear" w:color="auto" w:fill="D9D9D9"/>
                  <w:noWrap w:val="0"/>
                  <w:vAlign w:val="center"/>
                </w:tcPr>
                <w:p>
                  <w:pPr>
                    <w:snapToGrid w:val="0"/>
                    <w:jc w:val="center"/>
                    <w:rPr>
                      <w:b w:val="0"/>
                      <w:bCs/>
                      <w:color w:val="auto"/>
                      <w:szCs w:val="21"/>
                      <w:highlight w:val="none"/>
                    </w:rPr>
                  </w:pPr>
                  <w:r>
                    <w:rPr>
                      <w:b w:val="0"/>
                      <w:bCs/>
                      <w:color w:val="auto"/>
                      <w:szCs w:val="21"/>
                      <w:highlight w:val="none"/>
                    </w:rPr>
                    <w:t>环境风险潜势</w:t>
                  </w:r>
                </w:p>
              </w:tc>
              <w:tc>
                <w:tcPr>
                  <w:tcW w:w="1101" w:type="pct"/>
                  <w:shd w:val="clear" w:color="auto" w:fill="D9D9D9"/>
                  <w:noWrap w:val="0"/>
                  <w:vAlign w:val="center"/>
                </w:tcPr>
                <w:p>
                  <w:pPr>
                    <w:snapToGrid w:val="0"/>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Ⅳ、Ⅳ</w:t>
                  </w:r>
                  <w:r>
                    <w:rPr>
                      <w:rFonts w:hint="default" w:ascii="Times New Roman" w:hAnsi="Times New Roman" w:cs="Times New Roman"/>
                      <w:b w:val="0"/>
                      <w:bCs/>
                      <w:color w:val="auto"/>
                      <w:szCs w:val="21"/>
                      <w:highlight w:val="none"/>
                      <w:vertAlign w:val="superscript"/>
                    </w:rPr>
                    <w:t>+</w:t>
                  </w:r>
                </w:p>
              </w:tc>
              <w:tc>
                <w:tcPr>
                  <w:tcW w:w="1016" w:type="pct"/>
                  <w:shd w:val="clear" w:color="auto" w:fill="D9D9D9"/>
                  <w:noWrap w:val="0"/>
                  <w:vAlign w:val="center"/>
                </w:tcPr>
                <w:p>
                  <w:pPr>
                    <w:snapToGrid w:val="0"/>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Ⅲ</w:t>
                  </w:r>
                </w:p>
              </w:tc>
              <w:tc>
                <w:tcPr>
                  <w:tcW w:w="927" w:type="pct"/>
                  <w:shd w:val="clear" w:color="auto" w:fill="D9D9D9"/>
                  <w:noWrap w:val="0"/>
                  <w:vAlign w:val="center"/>
                </w:tcPr>
                <w:p>
                  <w:pPr>
                    <w:snapToGrid w:val="0"/>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Ⅱ</w:t>
                  </w:r>
                </w:p>
              </w:tc>
              <w:tc>
                <w:tcPr>
                  <w:tcW w:w="752" w:type="pct"/>
                  <w:shd w:val="clear" w:color="auto" w:fill="D9D9D9"/>
                  <w:noWrap w:val="0"/>
                  <w:vAlign w:val="center"/>
                </w:tcPr>
                <w:p>
                  <w:pPr>
                    <w:snapToGrid w:val="0"/>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02" w:type="pct"/>
                  <w:shd w:val="clear" w:color="auto" w:fill="auto"/>
                  <w:noWrap w:val="0"/>
                  <w:vAlign w:val="center"/>
                </w:tcPr>
                <w:p>
                  <w:pPr>
                    <w:snapToGrid w:val="0"/>
                    <w:jc w:val="center"/>
                    <w:rPr>
                      <w:b w:val="0"/>
                      <w:bCs/>
                      <w:color w:val="auto"/>
                      <w:szCs w:val="21"/>
                      <w:highlight w:val="none"/>
                    </w:rPr>
                  </w:pPr>
                  <w:r>
                    <w:rPr>
                      <w:b w:val="0"/>
                      <w:bCs/>
                      <w:color w:val="auto"/>
                      <w:szCs w:val="21"/>
                      <w:highlight w:val="none"/>
                    </w:rPr>
                    <w:t>评价工作等级</w:t>
                  </w:r>
                </w:p>
              </w:tc>
              <w:tc>
                <w:tcPr>
                  <w:tcW w:w="1101" w:type="pct"/>
                  <w:shd w:val="clear" w:color="auto" w:fill="auto"/>
                  <w:noWrap w:val="0"/>
                  <w:vAlign w:val="center"/>
                </w:tcPr>
                <w:p>
                  <w:pPr>
                    <w:snapToGrid w:val="0"/>
                    <w:jc w:val="center"/>
                    <w:rPr>
                      <w:b w:val="0"/>
                      <w:bCs/>
                      <w:color w:val="auto"/>
                      <w:szCs w:val="21"/>
                      <w:highlight w:val="none"/>
                    </w:rPr>
                  </w:pPr>
                  <w:r>
                    <w:rPr>
                      <w:b w:val="0"/>
                      <w:bCs/>
                      <w:color w:val="auto"/>
                      <w:szCs w:val="21"/>
                      <w:highlight w:val="none"/>
                    </w:rPr>
                    <w:t>一</w:t>
                  </w:r>
                </w:p>
              </w:tc>
              <w:tc>
                <w:tcPr>
                  <w:tcW w:w="1016" w:type="pct"/>
                  <w:shd w:val="clear" w:color="auto" w:fill="auto"/>
                  <w:noWrap w:val="0"/>
                  <w:vAlign w:val="center"/>
                </w:tcPr>
                <w:p>
                  <w:pPr>
                    <w:snapToGrid w:val="0"/>
                    <w:jc w:val="center"/>
                    <w:rPr>
                      <w:b w:val="0"/>
                      <w:bCs/>
                      <w:color w:val="auto"/>
                      <w:szCs w:val="21"/>
                      <w:highlight w:val="none"/>
                    </w:rPr>
                  </w:pPr>
                  <w:r>
                    <w:rPr>
                      <w:b w:val="0"/>
                      <w:bCs/>
                      <w:color w:val="auto"/>
                      <w:szCs w:val="21"/>
                      <w:highlight w:val="none"/>
                    </w:rPr>
                    <w:t>二</w:t>
                  </w:r>
                </w:p>
              </w:tc>
              <w:tc>
                <w:tcPr>
                  <w:tcW w:w="927" w:type="pct"/>
                  <w:shd w:val="clear" w:color="auto" w:fill="auto"/>
                  <w:noWrap w:val="0"/>
                  <w:vAlign w:val="center"/>
                </w:tcPr>
                <w:p>
                  <w:pPr>
                    <w:snapToGrid w:val="0"/>
                    <w:jc w:val="center"/>
                    <w:rPr>
                      <w:b w:val="0"/>
                      <w:bCs/>
                      <w:color w:val="auto"/>
                      <w:szCs w:val="21"/>
                      <w:highlight w:val="none"/>
                    </w:rPr>
                  </w:pPr>
                  <w:r>
                    <w:rPr>
                      <w:b w:val="0"/>
                      <w:bCs/>
                      <w:color w:val="auto"/>
                      <w:szCs w:val="21"/>
                      <w:highlight w:val="none"/>
                    </w:rPr>
                    <w:t>三</w:t>
                  </w:r>
                </w:p>
              </w:tc>
              <w:tc>
                <w:tcPr>
                  <w:tcW w:w="752" w:type="pct"/>
                  <w:shd w:val="clear" w:color="auto" w:fill="A6A6A6"/>
                  <w:noWrap w:val="0"/>
                  <w:vAlign w:val="center"/>
                </w:tcPr>
                <w:p>
                  <w:pPr>
                    <w:snapToGrid w:val="0"/>
                    <w:jc w:val="center"/>
                    <w:rPr>
                      <w:b w:val="0"/>
                      <w:bCs/>
                      <w:color w:val="auto"/>
                      <w:szCs w:val="21"/>
                      <w:highlight w:val="none"/>
                    </w:rPr>
                  </w:pPr>
                  <w:r>
                    <w:rPr>
                      <w:b w:val="0"/>
                      <w:bCs/>
                      <w:color w:val="auto"/>
                      <w:szCs w:val="21"/>
                      <w:highlight w:val="none"/>
                    </w:rPr>
                    <w:t>简单分析</w:t>
                  </w:r>
                </w:p>
              </w:tc>
            </w:tr>
          </w:tbl>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2、环境风险识别及分析</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生物质燃料锅炉燃烧过程如发生误操作，设备故障，工艺失控等原因发生火灾、爆炸，发生火灾爆炸时产生的环境危害主要是震荡作用、冲击波、碎片冲击和造成火灾等影响，不仅会造成财产损失、停产等，而且有可能造成人员伤亡。爆炸起火后将通过热辐射方式影响周围环境，在近距离范围内将对建筑物和人员造成严重伤害。</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本项目涉及到生物质燃料燃烧过程操作失误或工艺失控就可引发火灾、爆炸。</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通过提高装置和库区的本质安全度，落实各项安全措施后，可使火灾、爆炸危险性下降。但值得注意的是，一旦某设备或装置发生火灾、爆炸，很可能会造成“多米诺效应”。因此，要强化管理、措施到位，要防微杜渐。</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蒸汽管道发生泄漏时，有大量的白色蒸汽冒出，伴随有强烈的噪音，管道阀门、弯头由于压力过大会导致发生崩裂。管道蒸汽发生泄漏产生的环境危害主要是人员烫伤，不仅会造成财产损失、停产等，而且有可能造成人员伤亡而且有可能造成人员伤亡，在近距离范围内将对建筑物和人员造成严重伤害。</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19</w:t>
            </w:r>
            <w:r>
              <w:rPr>
                <w:rFonts w:hint="default" w:ascii="Times New Roman" w:hAnsi="Times New Roman" w:eastAsia="宋体" w:cs="Times New Roman"/>
                <w:b/>
                <w:bCs/>
                <w:color w:val="auto"/>
                <w:sz w:val="21"/>
                <w:szCs w:val="21"/>
                <w:highlight w:val="none"/>
                <w:lang w:val="en-US" w:eastAsia="zh-CN"/>
              </w:rPr>
              <w:t>建设项目环境风险简单分析内容表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791"/>
              <w:gridCol w:w="2314"/>
              <w:gridCol w:w="874"/>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建设项目名称</w:t>
                  </w:r>
                </w:p>
              </w:tc>
              <w:tc>
                <w:tcPr>
                  <w:tcW w:w="3963" w:type="pct"/>
                  <w:gridSpan w:val="4"/>
                  <w:noWrap w:val="0"/>
                  <w:vAlign w:val="center"/>
                </w:tcPr>
                <w:p>
                  <w:pPr>
                    <w:adjustRightInd w:val="0"/>
                    <w:snapToGrid w:val="0"/>
                    <w:jc w:val="center"/>
                    <w:textAlignment w:val="baseline"/>
                    <w:rPr>
                      <w:b w:val="0"/>
                      <w:bCs/>
                      <w:color w:val="auto"/>
                      <w:kern w:val="0"/>
                      <w:szCs w:val="21"/>
                      <w:highlight w:val="none"/>
                    </w:rPr>
                  </w:pPr>
                  <w:r>
                    <w:rPr>
                      <w:rFonts w:hint="eastAsia"/>
                      <w:b w:val="0"/>
                      <w:bCs/>
                      <w:color w:val="auto"/>
                      <w:kern w:val="0"/>
                      <w:szCs w:val="21"/>
                      <w:highlight w:val="none"/>
                      <w:lang w:eastAsia="zh-CN"/>
                    </w:rPr>
                    <w:t>宜良工业园区生物质绿色可再生能源分布式集中供热项目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建设地点</w:t>
                  </w:r>
                </w:p>
              </w:tc>
              <w:tc>
                <w:tcPr>
                  <w:tcW w:w="3963" w:type="pct"/>
                  <w:gridSpan w:val="4"/>
                  <w:noWrap w:val="0"/>
                  <w:vAlign w:val="center"/>
                </w:tcPr>
                <w:p>
                  <w:pPr>
                    <w:adjustRightInd w:val="0"/>
                    <w:snapToGrid w:val="0"/>
                    <w:jc w:val="center"/>
                    <w:textAlignment w:val="baseline"/>
                    <w:rPr>
                      <w:b w:val="0"/>
                      <w:bCs/>
                      <w:color w:val="auto"/>
                      <w:kern w:val="0"/>
                      <w:szCs w:val="21"/>
                      <w:highlight w:val="none"/>
                    </w:rPr>
                  </w:pPr>
                  <w:r>
                    <w:rPr>
                      <w:rFonts w:hint="eastAsia"/>
                      <w:b w:val="0"/>
                      <w:bCs/>
                      <w:color w:val="auto"/>
                      <w:kern w:val="0"/>
                      <w:szCs w:val="21"/>
                      <w:highlight w:val="none"/>
                      <w:lang w:val="en-US" w:eastAsia="zh-CN"/>
                    </w:rPr>
                    <w:t>宜良工业园北古城片区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rFonts w:hint="default"/>
                      <w:b w:val="0"/>
                      <w:bCs/>
                      <w:color w:val="auto"/>
                      <w:kern w:val="0"/>
                      <w:szCs w:val="21"/>
                      <w:highlight w:val="none"/>
                      <w:lang w:val="en-US" w:eastAsia="zh-CN"/>
                    </w:rPr>
                    <w:t>海大供热点</w:t>
                  </w:r>
                  <w:r>
                    <w:rPr>
                      <w:b w:val="0"/>
                      <w:bCs/>
                      <w:color w:val="auto"/>
                      <w:kern w:val="0"/>
                      <w:szCs w:val="21"/>
                      <w:highlight w:val="none"/>
                    </w:rPr>
                    <w:t>地理坐标</w:t>
                  </w:r>
                </w:p>
              </w:tc>
              <w:tc>
                <w:tcPr>
                  <w:tcW w:w="44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经度</w:t>
                  </w:r>
                </w:p>
              </w:tc>
              <w:tc>
                <w:tcPr>
                  <w:tcW w:w="1303" w:type="pct"/>
                  <w:noWrap w:val="0"/>
                  <w:vAlign w:val="center"/>
                </w:tcPr>
                <w:p>
                  <w:pPr>
                    <w:adjustRightInd w:val="0"/>
                    <w:snapToGrid w:val="0"/>
                    <w:jc w:val="center"/>
                    <w:textAlignment w:val="baseline"/>
                    <w:rPr>
                      <w:b w:val="0"/>
                      <w:bCs/>
                      <w:color w:val="auto"/>
                      <w:kern w:val="0"/>
                      <w:szCs w:val="21"/>
                      <w:highlight w:val="none"/>
                    </w:rPr>
                  </w:pPr>
                  <w:r>
                    <w:rPr>
                      <w:b w:val="0"/>
                      <w:bCs/>
                      <w:color w:val="auto"/>
                      <w:szCs w:val="21"/>
                      <w:highlight w:val="none"/>
                    </w:rPr>
                    <w:t>东经</w:t>
                  </w:r>
                  <w:r>
                    <w:rPr>
                      <w:rFonts w:hint="default"/>
                      <w:b w:val="0"/>
                      <w:bCs/>
                      <w:color w:val="auto"/>
                      <w:szCs w:val="21"/>
                      <w:highlight w:val="none"/>
                      <w:lang w:val="en-US" w:eastAsia="zh-CN"/>
                    </w:rPr>
                    <w:t>103°11′46.937″</w:t>
                  </w:r>
                </w:p>
              </w:tc>
              <w:tc>
                <w:tcPr>
                  <w:tcW w:w="492"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纬度</w:t>
                  </w:r>
                </w:p>
              </w:tc>
              <w:tc>
                <w:tcPr>
                  <w:tcW w:w="1722" w:type="pct"/>
                  <w:noWrap w:val="0"/>
                  <w:vAlign w:val="center"/>
                </w:tcPr>
                <w:p>
                  <w:pPr>
                    <w:adjustRightInd w:val="0"/>
                    <w:snapToGrid w:val="0"/>
                    <w:jc w:val="center"/>
                    <w:textAlignment w:val="baseline"/>
                    <w:rPr>
                      <w:b w:val="0"/>
                      <w:bCs/>
                      <w:color w:val="auto"/>
                      <w:kern w:val="0"/>
                      <w:szCs w:val="21"/>
                      <w:highlight w:val="none"/>
                    </w:rPr>
                  </w:pPr>
                  <w:r>
                    <w:rPr>
                      <w:b w:val="0"/>
                      <w:bCs/>
                      <w:color w:val="auto"/>
                      <w:szCs w:val="21"/>
                      <w:highlight w:val="none"/>
                    </w:rPr>
                    <w:t>北纬</w:t>
                  </w:r>
                  <w:r>
                    <w:rPr>
                      <w:rFonts w:hint="default"/>
                      <w:b w:val="0"/>
                      <w:bCs/>
                      <w:color w:val="auto"/>
                      <w:szCs w:val="21"/>
                      <w:highlight w:val="none"/>
                      <w:lang w:val="en-US" w:eastAsia="zh-CN"/>
                    </w:rPr>
                    <w:t>24°59′56.640″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rFonts w:hint="default"/>
                      <w:b w:val="0"/>
                      <w:bCs/>
                      <w:color w:val="auto"/>
                      <w:kern w:val="0"/>
                      <w:szCs w:val="21"/>
                      <w:highlight w:val="none"/>
                      <w:lang w:val="en-US" w:eastAsia="zh-CN"/>
                    </w:rPr>
                    <w:t>特驱供热点</w:t>
                  </w:r>
                  <w:r>
                    <w:rPr>
                      <w:b w:val="0"/>
                      <w:bCs/>
                      <w:color w:val="auto"/>
                      <w:kern w:val="0"/>
                      <w:szCs w:val="21"/>
                      <w:highlight w:val="none"/>
                    </w:rPr>
                    <w:t>地理坐标</w:t>
                  </w:r>
                </w:p>
              </w:tc>
              <w:tc>
                <w:tcPr>
                  <w:tcW w:w="44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经度</w:t>
                  </w:r>
                </w:p>
              </w:tc>
              <w:tc>
                <w:tcPr>
                  <w:tcW w:w="1303" w:type="pct"/>
                  <w:noWrap w:val="0"/>
                  <w:vAlign w:val="center"/>
                </w:tcPr>
                <w:p>
                  <w:pPr>
                    <w:adjustRightInd w:val="0"/>
                    <w:snapToGrid w:val="0"/>
                    <w:jc w:val="center"/>
                    <w:textAlignment w:val="baseline"/>
                    <w:rPr>
                      <w:b w:val="0"/>
                      <w:bCs/>
                      <w:color w:val="auto"/>
                      <w:szCs w:val="21"/>
                      <w:highlight w:val="none"/>
                    </w:rPr>
                  </w:pPr>
                  <w:r>
                    <w:rPr>
                      <w:b w:val="0"/>
                      <w:bCs/>
                      <w:color w:val="auto"/>
                      <w:szCs w:val="21"/>
                      <w:highlight w:val="none"/>
                    </w:rPr>
                    <w:t>东经</w:t>
                  </w:r>
                  <w:r>
                    <w:rPr>
                      <w:rFonts w:hint="default"/>
                      <w:b w:val="0"/>
                      <w:bCs/>
                      <w:color w:val="auto"/>
                      <w:szCs w:val="21"/>
                      <w:highlight w:val="none"/>
                      <w:lang w:val="en-US" w:eastAsia="zh-CN"/>
                    </w:rPr>
                    <w:t>103°11′50.490″</w:t>
                  </w:r>
                </w:p>
              </w:tc>
              <w:tc>
                <w:tcPr>
                  <w:tcW w:w="492"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纬度</w:t>
                  </w:r>
                </w:p>
              </w:tc>
              <w:tc>
                <w:tcPr>
                  <w:tcW w:w="1722" w:type="pct"/>
                  <w:noWrap w:val="0"/>
                  <w:vAlign w:val="center"/>
                </w:tcPr>
                <w:p>
                  <w:pPr>
                    <w:adjustRightInd w:val="0"/>
                    <w:snapToGrid w:val="0"/>
                    <w:jc w:val="center"/>
                    <w:textAlignment w:val="baseline"/>
                    <w:rPr>
                      <w:b w:val="0"/>
                      <w:bCs/>
                      <w:color w:val="auto"/>
                      <w:szCs w:val="21"/>
                      <w:highlight w:val="none"/>
                    </w:rPr>
                  </w:pPr>
                  <w:r>
                    <w:rPr>
                      <w:b w:val="0"/>
                      <w:bCs/>
                      <w:color w:val="auto"/>
                      <w:szCs w:val="21"/>
                      <w:highlight w:val="none"/>
                    </w:rPr>
                    <w:t>北纬</w:t>
                  </w:r>
                  <w:r>
                    <w:rPr>
                      <w:rFonts w:hint="default"/>
                      <w:b w:val="0"/>
                      <w:bCs/>
                      <w:color w:val="auto"/>
                      <w:szCs w:val="21"/>
                      <w:highlight w:val="none"/>
                      <w:lang w:val="en-US" w:eastAsia="zh-CN"/>
                    </w:rPr>
                    <w:t>25°0′7.358″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rFonts w:hint="default"/>
                      <w:b w:val="0"/>
                      <w:bCs/>
                      <w:color w:val="auto"/>
                      <w:kern w:val="0"/>
                      <w:szCs w:val="21"/>
                      <w:highlight w:val="none"/>
                      <w:lang w:val="en-US" w:eastAsia="zh-CN"/>
                    </w:rPr>
                    <w:t>漓源供热点</w:t>
                  </w:r>
                  <w:r>
                    <w:rPr>
                      <w:b w:val="0"/>
                      <w:bCs/>
                      <w:color w:val="auto"/>
                      <w:kern w:val="0"/>
                      <w:szCs w:val="21"/>
                      <w:highlight w:val="none"/>
                    </w:rPr>
                    <w:t>地理坐标</w:t>
                  </w:r>
                </w:p>
              </w:tc>
              <w:tc>
                <w:tcPr>
                  <w:tcW w:w="44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经度</w:t>
                  </w:r>
                </w:p>
              </w:tc>
              <w:tc>
                <w:tcPr>
                  <w:tcW w:w="1303" w:type="pct"/>
                  <w:noWrap w:val="0"/>
                  <w:vAlign w:val="center"/>
                </w:tcPr>
                <w:p>
                  <w:pPr>
                    <w:adjustRightInd w:val="0"/>
                    <w:snapToGrid w:val="0"/>
                    <w:jc w:val="center"/>
                    <w:textAlignment w:val="baseline"/>
                    <w:rPr>
                      <w:b w:val="0"/>
                      <w:bCs/>
                      <w:color w:val="auto"/>
                      <w:szCs w:val="21"/>
                      <w:highlight w:val="none"/>
                    </w:rPr>
                  </w:pPr>
                  <w:r>
                    <w:rPr>
                      <w:b w:val="0"/>
                      <w:bCs/>
                      <w:color w:val="auto"/>
                      <w:szCs w:val="21"/>
                      <w:highlight w:val="none"/>
                    </w:rPr>
                    <w:t>东经</w:t>
                  </w:r>
                  <w:r>
                    <w:rPr>
                      <w:rFonts w:hint="default"/>
                      <w:b w:val="0"/>
                      <w:bCs/>
                      <w:color w:val="auto"/>
                      <w:szCs w:val="21"/>
                      <w:highlight w:val="none"/>
                      <w:lang w:val="en-US" w:eastAsia="zh-CN"/>
                    </w:rPr>
                    <w:t>103°11′32.897″</w:t>
                  </w:r>
                </w:p>
              </w:tc>
              <w:tc>
                <w:tcPr>
                  <w:tcW w:w="492"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纬度</w:t>
                  </w:r>
                </w:p>
              </w:tc>
              <w:tc>
                <w:tcPr>
                  <w:tcW w:w="1722" w:type="pct"/>
                  <w:noWrap w:val="0"/>
                  <w:vAlign w:val="center"/>
                </w:tcPr>
                <w:p>
                  <w:pPr>
                    <w:adjustRightInd w:val="0"/>
                    <w:snapToGrid w:val="0"/>
                    <w:jc w:val="center"/>
                    <w:textAlignment w:val="baseline"/>
                    <w:rPr>
                      <w:b w:val="0"/>
                      <w:bCs/>
                      <w:color w:val="auto"/>
                      <w:szCs w:val="21"/>
                      <w:highlight w:val="none"/>
                    </w:rPr>
                  </w:pPr>
                  <w:r>
                    <w:rPr>
                      <w:b w:val="0"/>
                      <w:bCs/>
                      <w:color w:val="auto"/>
                      <w:szCs w:val="21"/>
                      <w:highlight w:val="none"/>
                    </w:rPr>
                    <w:t>北纬</w:t>
                  </w:r>
                  <w:r>
                    <w:rPr>
                      <w:rFonts w:hint="default"/>
                      <w:b w:val="0"/>
                      <w:bCs/>
                      <w:color w:val="auto"/>
                      <w:szCs w:val="21"/>
                      <w:highlight w:val="none"/>
                      <w:lang w:val="en-US" w:eastAsia="zh-CN"/>
                    </w:rPr>
                    <w:t>25°0′12.746″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主要危险物质分布</w:t>
                  </w:r>
                </w:p>
              </w:tc>
              <w:tc>
                <w:tcPr>
                  <w:tcW w:w="3963" w:type="pct"/>
                  <w:gridSpan w:val="4"/>
                  <w:noWrap w:val="0"/>
                  <w:vAlign w:val="center"/>
                </w:tcPr>
                <w:p>
                  <w:pPr>
                    <w:adjustRightInd w:val="0"/>
                    <w:snapToGrid w:val="0"/>
                    <w:jc w:val="center"/>
                    <w:textAlignment w:val="baseline"/>
                    <w:rPr>
                      <w:b w:val="0"/>
                      <w:bCs/>
                      <w:color w:val="auto"/>
                      <w:kern w:val="0"/>
                      <w:szCs w:val="21"/>
                      <w:highlight w:val="none"/>
                    </w:rPr>
                  </w:pPr>
                  <w:r>
                    <w:rPr>
                      <w:rFonts w:hint="eastAsia"/>
                      <w:b w:val="0"/>
                      <w:bCs/>
                      <w:color w:val="auto"/>
                      <w:kern w:val="0"/>
                      <w:szCs w:val="21"/>
                      <w:highlight w:val="none"/>
                    </w:rPr>
                    <w:t>本项目燃料为生物质燃料，不属于风险物质，不存在重大危险源。项目生产设施风险主要为生物质燃料燃烧意外发生火灾，锅炉爆炸，蒸汽管道泄漏。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环境影响途径及危害后果（大气、地表水、地下水等）</w:t>
                  </w:r>
                </w:p>
              </w:tc>
              <w:tc>
                <w:tcPr>
                  <w:tcW w:w="3963" w:type="pct"/>
                  <w:gridSpan w:val="4"/>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生物质燃料燃烧意外发生火灾，锅炉爆炸，蒸汽管道泄漏引发的伴生/次生污染物排放对大气、地表水、地下水的影响。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8" w:hRule="atLeast"/>
                <w:jc w:val="center"/>
              </w:trPr>
              <w:tc>
                <w:tcPr>
                  <w:tcW w:w="1036" w:type="pct"/>
                  <w:vMerge w:val="restar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风险防范措施要求</w:t>
                  </w:r>
                </w:p>
              </w:tc>
              <w:tc>
                <w:tcPr>
                  <w:tcW w:w="3963" w:type="pct"/>
                  <w:gridSpan w:val="4"/>
                  <w:noWrap w:val="0"/>
                  <w:vAlign w:val="center"/>
                </w:tcPr>
                <w:p>
                  <w:pPr>
                    <w:adjustRightInd w:val="0"/>
                    <w:snapToGrid w:val="0"/>
                    <w:jc w:val="left"/>
                    <w:textAlignment w:val="baseline"/>
                    <w:rPr>
                      <w:b w:val="0"/>
                      <w:bCs/>
                      <w:color w:val="auto"/>
                      <w:kern w:val="0"/>
                      <w:szCs w:val="21"/>
                      <w:highlight w:val="none"/>
                    </w:rPr>
                  </w:pPr>
                  <w:r>
                    <w:rPr>
                      <w:b w:val="0"/>
                      <w:bCs/>
                      <w:color w:val="auto"/>
                      <w:kern w:val="0"/>
                      <w:szCs w:val="21"/>
                      <w:highlight w:val="none"/>
                    </w:rPr>
                    <w:t>工艺技术设计安全防范措施：厂内设计中严格执行国家、行业有关劳动安全卫生的法规和标准规范；定期对蒸汽锅炉设备进行检查、维修、更换，防止因腐蚀、磨损、密封不严导致生产过程中蒸汽泄漏；锅炉房配</w:t>
                  </w:r>
                  <w:r>
                    <w:rPr>
                      <w:rFonts w:hint="eastAsia"/>
                      <w:b w:val="0"/>
                      <w:bCs/>
                      <w:color w:val="auto"/>
                      <w:kern w:val="0"/>
                      <w:szCs w:val="21"/>
                      <w:highlight w:val="none"/>
                    </w:rPr>
                    <w:t>1</w:t>
                  </w:r>
                  <w:r>
                    <w:rPr>
                      <w:b w:val="0"/>
                      <w:bCs/>
                      <w:color w:val="auto"/>
                      <w:kern w:val="0"/>
                      <w:szCs w:val="21"/>
                      <w:highlight w:val="none"/>
                    </w:rPr>
                    <w:t>套废气处理装置，实时掌控废气治理措施运作情况，一旦出现事故性排放应及时停止生产操作，待修复后再进行生产。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vMerge w:val="continue"/>
                  <w:noWrap w:val="0"/>
                  <w:vAlign w:val="center"/>
                </w:tcPr>
                <w:p>
                  <w:pPr>
                    <w:adjustRightInd w:val="0"/>
                    <w:snapToGrid w:val="0"/>
                    <w:jc w:val="center"/>
                    <w:textAlignment w:val="baseline"/>
                    <w:rPr>
                      <w:b w:val="0"/>
                      <w:bCs/>
                      <w:color w:val="auto"/>
                      <w:kern w:val="0"/>
                      <w:szCs w:val="21"/>
                      <w:highlight w:val="none"/>
                    </w:rPr>
                  </w:pPr>
                </w:p>
              </w:tc>
              <w:tc>
                <w:tcPr>
                  <w:tcW w:w="3963" w:type="pct"/>
                  <w:gridSpan w:val="4"/>
                  <w:noWrap w:val="0"/>
                  <w:vAlign w:val="center"/>
                </w:tcPr>
                <w:p>
                  <w:pPr>
                    <w:autoSpaceDE w:val="0"/>
                    <w:autoSpaceDN w:val="0"/>
                    <w:adjustRightInd w:val="0"/>
                    <w:snapToGrid w:val="0"/>
                    <w:jc w:val="left"/>
                    <w:textAlignment w:val="baseline"/>
                    <w:rPr>
                      <w:b w:val="0"/>
                      <w:bCs/>
                      <w:color w:val="auto"/>
                      <w:kern w:val="0"/>
                      <w:szCs w:val="21"/>
                      <w:highlight w:val="none"/>
                    </w:rPr>
                  </w:pPr>
                  <w:r>
                    <w:rPr>
                      <w:b w:val="0"/>
                      <w:bCs/>
                      <w:color w:val="auto"/>
                      <w:kern w:val="0"/>
                      <w:szCs w:val="21"/>
                      <w:highlight w:val="none"/>
                    </w:rPr>
                    <w:t>加强对工程建设的管理，强化监理对工程质量的监督，切实做好压力管道及设备安装、焊接等环节的规范管理，确保安全生产运行。加强对高、中、低压管道的巡检，发现有泄漏情况及时处理，防止漏点扩大，导致事故发生。对蒸汽管网所有弯头处进行测厚，对材质、壁厚不合格的弯头进行更换，消除缺陷、隐患。加强运行设备的管理，严格按规程要求规范操作，严禁超温、超压、超负荷运行</w:t>
                  </w:r>
                  <w:r>
                    <w:rPr>
                      <w:b w:val="0"/>
                      <w:bCs/>
                      <w:color w:val="auto"/>
                      <w:kern w:val="2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vMerge w:val="continue"/>
                  <w:noWrap w:val="0"/>
                  <w:vAlign w:val="center"/>
                </w:tcPr>
                <w:p>
                  <w:pPr>
                    <w:adjustRightInd w:val="0"/>
                    <w:snapToGrid w:val="0"/>
                    <w:jc w:val="center"/>
                    <w:textAlignment w:val="baseline"/>
                    <w:rPr>
                      <w:b w:val="0"/>
                      <w:bCs/>
                      <w:color w:val="auto"/>
                      <w:kern w:val="0"/>
                      <w:szCs w:val="21"/>
                      <w:highlight w:val="none"/>
                    </w:rPr>
                  </w:pPr>
                </w:p>
              </w:tc>
              <w:tc>
                <w:tcPr>
                  <w:tcW w:w="3963" w:type="pct"/>
                  <w:gridSpan w:val="4"/>
                  <w:noWrap w:val="0"/>
                  <w:vAlign w:val="center"/>
                </w:tcPr>
                <w:p>
                  <w:pPr>
                    <w:adjustRightInd w:val="0"/>
                    <w:snapToGrid w:val="0"/>
                    <w:jc w:val="left"/>
                    <w:textAlignment w:val="baseline"/>
                    <w:rPr>
                      <w:b w:val="0"/>
                      <w:bCs/>
                      <w:color w:val="auto"/>
                      <w:kern w:val="0"/>
                      <w:szCs w:val="21"/>
                      <w:highlight w:val="none"/>
                    </w:rPr>
                  </w:pPr>
                  <w:r>
                    <w:rPr>
                      <w:b w:val="0"/>
                      <w:bCs/>
                      <w:color w:val="auto"/>
                      <w:kern w:val="0"/>
                      <w:szCs w:val="21"/>
                      <w:highlight w:val="none"/>
                    </w:rPr>
                    <w:t>企业应按消防部门要求在场内安装灭火器、消防栓等消防设施，定期对灭火器材、设施进行检查，如有损坏或压力不足应及时维修更新；保持消防器材的完整齐备，严禁将消防器材挪做它用，特殊情况必须经领导同意；实施消防培训计划，对公司内消防员进行培训，加强专业知识及消防知识的学习。同时定期进行消防演练（不少于2次/年），加强员工的消防应急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vMerge w:val="continue"/>
                  <w:noWrap w:val="0"/>
                  <w:vAlign w:val="center"/>
                </w:tcPr>
                <w:p>
                  <w:pPr>
                    <w:adjustRightInd w:val="0"/>
                    <w:snapToGrid w:val="0"/>
                    <w:jc w:val="center"/>
                    <w:textAlignment w:val="baseline"/>
                    <w:rPr>
                      <w:b w:val="0"/>
                      <w:bCs/>
                      <w:color w:val="auto"/>
                      <w:kern w:val="0"/>
                      <w:szCs w:val="21"/>
                      <w:highlight w:val="none"/>
                    </w:rPr>
                  </w:pPr>
                </w:p>
              </w:tc>
              <w:tc>
                <w:tcPr>
                  <w:tcW w:w="3963" w:type="pct"/>
                  <w:gridSpan w:val="4"/>
                  <w:noWrap w:val="0"/>
                  <w:vAlign w:val="center"/>
                </w:tcPr>
                <w:p>
                  <w:pPr>
                    <w:adjustRightInd w:val="0"/>
                    <w:snapToGrid w:val="0"/>
                    <w:jc w:val="left"/>
                    <w:textAlignment w:val="baseline"/>
                    <w:rPr>
                      <w:rFonts w:hint="eastAsia"/>
                      <w:b w:val="0"/>
                      <w:bCs/>
                      <w:color w:val="auto"/>
                      <w:kern w:val="0"/>
                      <w:szCs w:val="21"/>
                      <w:highlight w:val="none"/>
                    </w:rPr>
                  </w:pPr>
                  <w:r>
                    <w:rPr>
                      <w:b w:val="0"/>
                      <w:bCs/>
                      <w:color w:val="auto"/>
                      <w:kern w:val="0"/>
                      <w:szCs w:val="21"/>
                      <w:highlight w:val="none"/>
                    </w:rPr>
                    <w:t>编制突发环境事件应急预案</w:t>
                  </w:r>
                  <w:r>
                    <w:rPr>
                      <w:rFonts w:hint="eastAsia"/>
                      <w:b w:val="0"/>
                      <w:bCs/>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填表说明</w:t>
                  </w:r>
                </w:p>
              </w:tc>
              <w:tc>
                <w:tcPr>
                  <w:tcW w:w="3963" w:type="pct"/>
                  <w:gridSpan w:val="4"/>
                  <w:noWrap w:val="0"/>
                  <w:vAlign w:val="center"/>
                </w:tcPr>
                <w:p>
                  <w:pPr>
                    <w:adjustRightInd w:val="0"/>
                    <w:snapToGrid w:val="0"/>
                    <w:jc w:val="center"/>
                    <w:textAlignment w:val="baseline"/>
                    <w:rPr>
                      <w:rFonts w:hint="eastAsia"/>
                      <w:b w:val="0"/>
                      <w:bCs/>
                      <w:color w:val="auto"/>
                      <w:kern w:val="0"/>
                      <w:szCs w:val="21"/>
                      <w:highlight w:val="none"/>
                    </w:rPr>
                  </w:pPr>
                  <w:r>
                    <w:rPr>
                      <w:rFonts w:hint="eastAsia"/>
                      <w:b w:val="0"/>
                      <w:bCs/>
                      <w:color w:val="auto"/>
                      <w:kern w:val="0"/>
                      <w:szCs w:val="21"/>
                      <w:highlight w:val="none"/>
                    </w:rPr>
                    <w:t>/</w:t>
                  </w:r>
                </w:p>
              </w:tc>
            </w:tr>
          </w:tbl>
          <w:p>
            <w:pPr>
              <w:pStyle w:val="68"/>
              <w:ind w:left="0" w:leftChars="0" w:firstLine="0" w:firstLineChars="0"/>
              <w:rPr>
                <w:rFonts w:hint="default" w:ascii="Times New Roman" w:hAnsi="Times New Roman" w:eastAsia="宋体" w:cs="Times New Roman"/>
                <w:color w:val="auto"/>
                <w:sz w:val="24"/>
                <w:highlight w:val="none"/>
                <w:lang w:val="en-US" w:eastAsia="zh-CN"/>
              </w:rPr>
            </w:pPr>
          </w:p>
        </w:tc>
      </w:tr>
    </w:tbl>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sectPr>
          <w:pgSz w:w="11907" w:h="16840"/>
          <w:pgMar w:top="1304" w:right="1134" w:bottom="1304"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b/>
          <w:bCs/>
          <w:color w:val="auto"/>
          <w:kern w:val="44"/>
          <w:sz w:val="30"/>
          <w:szCs w:val="30"/>
          <w:highlight w:val="none"/>
          <w:lang w:val="en-US" w:eastAsia="zh-CN" w:bidi="ar-SA"/>
        </w:rPr>
      </w:pPr>
      <w:bookmarkStart w:id="13" w:name="_Toc31068"/>
      <w:r>
        <w:rPr>
          <w:rFonts w:hint="default" w:ascii="Times New Roman" w:hAnsi="Times New Roman" w:eastAsia="黑体" w:cs="Times New Roman"/>
          <w:b/>
          <w:bCs/>
          <w:color w:val="auto"/>
          <w:kern w:val="44"/>
          <w:sz w:val="30"/>
          <w:szCs w:val="30"/>
          <w:highlight w:val="none"/>
          <w:lang w:val="en-US" w:eastAsia="zh-CN" w:bidi="ar-SA"/>
        </w:rPr>
        <w:t>五、</w:t>
      </w:r>
      <w:bookmarkStart w:id="14" w:name="_Hlk54167917"/>
      <w:r>
        <w:rPr>
          <w:rFonts w:hint="default" w:ascii="Times New Roman" w:hAnsi="Times New Roman" w:eastAsia="黑体" w:cs="Times New Roman"/>
          <w:b/>
          <w:bCs/>
          <w:color w:val="auto"/>
          <w:kern w:val="44"/>
          <w:sz w:val="30"/>
          <w:szCs w:val="30"/>
          <w:highlight w:val="none"/>
          <w:lang w:val="en-US" w:eastAsia="zh-CN" w:bidi="ar-SA"/>
        </w:rPr>
        <w:t>环境保护措施监督检查清单</w:t>
      </w:r>
      <w:bookmarkEnd w:id="13"/>
      <w:bookmarkEnd w:id="14"/>
    </w:p>
    <w:tbl>
      <w:tblPr>
        <w:tblStyle w:val="29"/>
        <w:tblW w:w="94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353"/>
        <w:gridCol w:w="1458"/>
        <w:gridCol w:w="2740"/>
        <w:gridCol w:w="31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1" w:type="dxa"/>
            <w:tcBorders>
              <w:tl2br w:val="single" w:color="auto" w:sz="4" w:space="0"/>
            </w:tcBorders>
            <w:noWrap w:val="0"/>
            <w:vAlign w:val="top"/>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内容</w:t>
            </w:r>
          </w:p>
          <w:p>
            <w:pPr>
              <w:adjustRightInd w:val="0"/>
              <w:snapToGrid w:val="0"/>
              <w:jc w:val="center"/>
              <w:rPr>
                <w:rFonts w:hint="default" w:ascii="Times New Roman" w:hAnsi="Times New Roman" w:eastAsia="宋体" w:cs="Times New Roman"/>
                <w:color w:val="auto"/>
                <w:sz w:val="24"/>
                <w:szCs w:val="24"/>
                <w:highlight w:val="none"/>
                <w:lang w:val="en-US" w:eastAsia="zh-CN"/>
              </w:rPr>
            </w:pPr>
          </w:p>
          <w:p>
            <w:pPr>
              <w:adjustRightInd w:val="0"/>
              <w:snapToGrid w:val="0"/>
              <w:jc w:val="center"/>
              <w:rPr>
                <w:rFonts w:hint="default" w:ascii="Times New Roman" w:hAnsi="Times New Roman" w:eastAsia="宋体" w:cs="Times New Roman"/>
                <w:color w:val="auto"/>
                <w:sz w:val="24"/>
                <w:szCs w:val="24"/>
                <w:highlight w:val="none"/>
                <w:lang w:val="en-US" w:eastAsia="zh-CN"/>
              </w:rPr>
            </w:pPr>
          </w:p>
          <w:p>
            <w:pPr>
              <w:adjustRightInd w:val="0"/>
              <w:snapToGrid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要素</w:t>
            </w: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排放口</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编号、名称</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/污染源</w:t>
            </w:r>
          </w:p>
        </w:tc>
        <w:tc>
          <w:tcPr>
            <w:tcW w:w="13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污染物项目</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环境保护措施</w:t>
            </w:r>
          </w:p>
        </w:tc>
        <w:tc>
          <w:tcPr>
            <w:tcW w:w="298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31" w:type="dxa"/>
            <w:vMerge w:val="restart"/>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大气环境</w:t>
            </w: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海大供热点锅炉废气</w:t>
            </w:r>
          </w:p>
        </w:tc>
        <w:tc>
          <w:tcPr>
            <w:tcW w:w="13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eastAsia" w:cs="Times New Roman"/>
                <w:color w:val="auto"/>
                <w:sz w:val="24"/>
                <w:szCs w:val="24"/>
                <w:highlight w:val="none"/>
                <w:vertAlign w:val="baseline"/>
                <w:lang w:val="en-US" w:eastAsia="zh-CN"/>
              </w:rPr>
              <w:t>x、烟气黑度</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旋风除尘器+布袋除尘器</w:t>
            </w:r>
            <w:r>
              <w:rPr>
                <w:rFonts w:hint="default" w:ascii="Times New Roman" w:hAnsi="Times New Roman" w:eastAsia="宋体" w:cs="Times New Roman"/>
                <w:color w:val="auto"/>
                <w:sz w:val="24"/>
                <w:szCs w:val="24"/>
                <w:highlight w:val="none"/>
                <w:lang w:val="en-US" w:eastAsia="zh-CN"/>
              </w:rPr>
              <w:t>处理后经</w:t>
            </w:r>
            <w:r>
              <w:rPr>
                <w:rFonts w:hint="eastAsia" w:cs="Times New Roman"/>
                <w:color w:val="auto"/>
                <w:sz w:val="24"/>
                <w:szCs w:val="24"/>
                <w:highlight w:val="none"/>
                <w:lang w:val="en-US" w:eastAsia="zh-CN"/>
              </w:rPr>
              <w:t>45m烟囱（DA001）</w:t>
            </w:r>
            <w:r>
              <w:rPr>
                <w:rFonts w:hint="default" w:ascii="Times New Roman" w:hAnsi="Times New Roman" w:eastAsia="宋体" w:cs="Times New Roman"/>
                <w:color w:val="auto"/>
                <w:sz w:val="24"/>
                <w:szCs w:val="24"/>
                <w:highlight w:val="none"/>
                <w:lang w:val="en-US" w:eastAsia="zh-CN"/>
              </w:rPr>
              <w:t>排放</w:t>
            </w:r>
          </w:p>
        </w:tc>
        <w:tc>
          <w:tcPr>
            <w:tcW w:w="2982"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《锅炉大气污染物排放标准》（GB13271-2014）表2新建锅炉大气污染物排放浓度限值中燃煤锅炉排放要求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31" w:type="dxa"/>
            <w:vMerge w:val="continue"/>
            <w:noWrap w:val="0"/>
            <w:vAlign w:val="center"/>
          </w:tcPr>
          <w:p>
            <w:pPr>
              <w:adjustRightInd w:val="0"/>
              <w:snapToGrid w:val="0"/>
              <w:jc w:val="center"/>
              <w:rPr>
                <w:color w:val="auto"/>
                <w:highlight w:val="none"/>
              </w:rPr>
            </w:pPr>
          </w:p>
        </w:tc>
        <w:tc>
          <w:tcPr>
            <w:tcW w:w="1395"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特驱供热点锅炉废气</w:t>
            </w:r>
          </w:p>
        </w:tc>
        <w:tc>
          <w:tcPr>
            <w:tcW w:w="1378"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eastAsia" w:cs="Times New Roman"/>
                <w:color w:val="auto"/>
                <w:sz w:val="24"/>
                <w:szCs w:val="24"/>
                <w:highlight w:val="none"/>
                <w:vertAlign w:val="baseline"/>
                <w:lang w:val="en-US" w:eastAsia="zh-CN"/>
              </w:rPr>
              <w:t>x、烟气黑度</w:t>
            </w:r>
          </w:p>
        </w:tc>
        <w:tc>
          <w:tcPr>
            <w:tcW w:w="2762"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旋风除尘器+布袋除尘器</w:t>
            </w:r>
            <w:r>
              <w:rPr>
                <w:rFonts w:hint="default" w:ascii="Times New Roman" w:hAnsi="Times New Roman" w:eastAsia="宋体" w:cs="Times New Roman"/>
                <w:color w:val="auto"/>
                <w:sz w:val="24"/>
                <w:szCs w:val="24"/>
                <w:highlight w:val="none"/>
                <w:lang w:val="en-US" w:eastAsia="zh-CN"/>
              </w:rPr>
              <w:t>处理后经</w:t>
            </w:r>
            <w:r>
              <w:rPr>
                <w:rFonts w:hint="eastAsia" w:cs="Times New Roman"/>
                <w:color w:val="auto"/>
                <w:sz w:val="24"/>
                <w:szCs w:val="24"/>
                <w:highlight w:val="none"/>
                <w:lang w:val="en-US" w:eastAsia="zh-CN"/>
              </w:rPr>
              <w:t>45m烟囱（DA002）</w:t>
            </w:r>
            <w:r>
              <w:rPr>
                <w:rFonts w:hint="default" w:ascii="Times New Roman" w:hAnsi="Times New Roman" w:eastAsia="宋体" w:cs="Times New Roman"/>
                <w:color w:val="auto"/>
                <w:sz w:val="24"/>
                <w:szCs w:val="24"/>
                <w:highlight w:val="none"/>
                <w:lang w:val="en-US" w:eastAsia="zh-CN"/>
              </w:rPr>
              <w:t>排放</w:t>
            </w:r>
          </w:p>
        </w:tc>
        <w:tc>
          <w:tcPr>
            <w:tcW w:w="2982" w:type="dxa"/>
            <w:vMerge w:val="continue"/>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31" w:type="dxa"/>
            <w:vMerge w:val="continue"/>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c>
          <w:tcPr>
            <w:tcW w:w="1395"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漓源供热点锅炉废气</w:t>
            </w:r>
          </w:p>
        </w:tc>
        <w:tc>
          <w:tcPr>
            <w:tcW w:w="1378"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eastAsia" w:cs="Times New Roman"/>
                <w:color w:val="auto"/>
                <w:sz w:val="24"/>
                <w:szCs w:val="24"/>
                <w:highlight w:val="none"/>
                <w:vertAlign w:val="baseline"/>
                <w:lang w:val="en-US" w:eastAsia="zh-CN"/>
              </w:rPr>
              <w:t>x、烟气黑度</w:t>
            </w:r>
          </w:p>
        </w:tc>
        <w:tc>
          <w:tcPr>
            <w:tcW w:w="2762"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旋风除尘器+布袋除尘器</w:t>
            </w:r>
            <w:r>
              <w:rPr>
                <w:rFonts w:hint="default" w:ascii="Times New Roman" w:hAnsi="Times New Roman" w:eastAsia="宋体" w:cs="Times New Roman"/>
                <w:color w:val="auto"/>
                <w:sz w:val="24"/>
                <w:szCs w:val="24"/>
                <w:highlight w:val="none"/>
                <w:lang w:val="en-US" w:eastAsia="zh-CN"/>
              </w:rPr>
              <w:t>处理后经</w:t>
            </w:r>
            <w:r>
              <w:rPr>
                <w:rFonts w:hint="eastAsia" w:cs="Times New Roman"/>
                <w:color w:val="auto"/>
                <w:sz w:val="24"/>
                <w:szCs w:val="24"/>
                <w:highlight w:val="none"/>
                <w:lang w:val="en-US" w:eastAsia="zh-CN"/>
              </w:rPr>
              <w:t>35m烟囱（DA003）</w:t>
            </w:r>
            <w:r>
              <w:rPr>
                <w:rFonts w:hint="default" w:ascii="Times New Roman" w:hAnsi="Times New Roman" w:eastAsia="宋体" w:cs="Times New Roman"/>
                <w:color w:val="auto"/>
                <w:sz w:val="24"/>
                <w:szCs w:val="24"/>
                <w:highlight w:val="none"/>
                <w:lang w:val="en-US" w:eastAsia="zh-CN"/>
              </w:rPr>
              <w:t>排放</w:t>
            </w:r>
          </w:p>
        </w:tc>
        <w:tc>
          <w:tcPr>
            <w:tcW w:w="2982" w:type="dxa"/>
            <w:vMerge w:val="continue"/>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1" w:type="dxa"/>
            <w:vMerge w:val="continue"/>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c>
          <w:tcPr>
            <w:tcW w:w="1395"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粉尘</w:t>
            </w:r>
          </w:p>
        </w:tc>
        <w:tc>
          <w:tcPr>
            <w:tcW w:w="137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TSP</w:t>
            </w:r>
          </w:p>
        </w:tc>
        <w:tc>
          <w:tcPr>
            <w:tcW w:w="2762"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袋装存放于密闭料仓</w:t>
            </w:r>
          </w:p>
        </w:tc>
        <w:tc>
          <w:tcPr>
            <w:tcW w:w="2982"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《大气污染物综合排放标准》（GB16297-1996）表2无组织排放监控浓度限值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31"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地表水环境</w:t>
            </w: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锅炉排</w:t>
            </w:r>
            <w:r>
              <w:rPr>
                <w:rFonts w:hint="eastAsia" w:ascii="Times New Roman" w:hAnsi="Times New Roman" w:eastAsia="宋体" w:cs="Times New Roman"/>
                <w:color w:val="auto"/>
                <w:sz w:val="24"/>
                <w:szCs w:val="24"/>
                <w:highlight w:val="none"/>
                <w:lang w:val="en-US" w:eastAsia="zh-CN"/>
              </w:rPr>
              <w:t>污</w:t>
            </w:r>
            <w:r>
              <w:rPr>
                <w:rFonts w:hint="default" w:ascii="Times New Roman" w:hAnsi="Times New Roman" w:eastAsia="宋体" w:cs="Times New Roman"/>
                <w:color w:val="auto"/>
                <w:sz w:val="24"/>
                <w:szCs w:val="24"/>
                <w:highlight w:val="none"/>
                <w:lang w:val="en-US" w:eastAsia="zh-CN"/>
              </w:rPr>
              <w:t>水</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软</w:t>
            </w:r>
            <w:r>
              <w:rPr>
                <w:rFonts w:hint="eastAsia" w:ascii="Times New Roman" w:hAnsi="Times New Roman" w:eastAsia="宋体" w:cs="Times New Roman"/>
                <w:color w:val="auto"/>
                <w:sz w:val="24"/>
                <w:szCs w:val="24"/>
                <w:highlight w:val="none"/>
                <w:lang w:val="en-US" w:eastAsia="zh-CN"/>
              </w:rPr>
              <w:t>化</w:t>
            </w:r>
            <w:r>
              <w:rPr>
                <w:rFonts w:hint="default" w:ascii="Times New Roman" w:hAnsi="Times New Roman" w:eastAsia="宋体" w:cs="Times New Roman"/>
                <w:color w:val="auto"/>
                <w:sz w:val="24"/>
                <w:szCs w:val="24"/>
                <w:highlight w:val="none"/>
                <w:lang w:val="en-US" w:eastAsia="zh-CN"/>
              </w:rPr>
              <w:t>处理废水</w:t>
            </w:r>
          </w:p>
        </w:tc>
        <w:tc>
          <w:tcPr>
            <w:tcW w:w="13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pH、COD、</w:t>
            </w:r>
            <w:r>
              <w:rPr>
                <w:rFonts w:hint="default" w:ascii="Times New Roman" w:hAnsi="Times New Roman" w:eastAsia="宋体" w:cs="Times New Roman"/>
                <w:color w:val="auto"/>
                <w:sz w:val="24"/>
                <w:szCs w:val="24"/>
                <w:highlight w:val="none"/>
                <w:lang w:val="en-US" w:eastAsia="zh-CN"/>
              </w:rPr>
              <w:t>溶解性总固体（全盐量）</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接入烟气蒸器蒸发，</w:t>
            </w:r>
            <w:r>
              <w:rPr>
                <w:rFonts w:hint="eastAsia" w:cs="Times New Roman"/>
                <w:color w:val="auto"/>
                <w:sz w:val="24"/>
                <w:szCs w:val="24"/>
                <w:highlight w:val="none"/>
                <w:lang w:val="en-US" w:eastAsia="zh-CN"/>
              </w:rPr>
              <w:t>用于烟气降温</w:t>
            </w:r>
            <w:r>
              <w:rPr>
                <w:rFonts w:hint="default" w:ascii="Times New Roman" w:hAnsi="Times New Roman" w:eastAsia="宋体" w:cs="Times New Roman"/>
                <w:color w:val="auto"/>
                <w:sz w:val="24"/>
                <w:szCs w:val="24"/>
                <w:highlight w:val="none"/>
                <w:lang w:val="en-US" w:eastAsia="zh-CN"/>
              </w:rPr>
              <w:t>。</w:t>
            </w:r>
          </w:p>
        </w:tc>
        <w:tc>
          <w:tcPr>
            <w:tcW w:w="298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3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海大供热点及特驱供热点生活污水</w:t>
            </w:r>
          </w:p>
        </w:tc>
        <w:tc>
          <w:tcPr>
            <w:tcW w:w="1378"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pH值、COD、BOD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、氨氮、总氮、SS、总磷、动植物油</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经昆明特驱饲料有限公司一体化生活污水处理设施处理后，达到《城镇污水处理厂污染物排放标准》GB18918-2002表1中一级A标准后外排至园区污水管网，进入园区160m³污水收集池，用于园区绿化。</w:t>
            </w:r>
          </w:p>
        </w:tc>
        <w:tc>
          <w:tcPr>
            <w:tcW w:w="2982"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31" w:type="dxa"/>
            <w:vMerge w:val="continue"/>
            <w:noWrap w:val="0"/>
            <w:vAlign w:val="center"/>
          </w:tcPr>
          <w:p>
            <w:pPr>
              <w:adjustRightInd w:val="0"/>
              <w:snapToGrid w:val="0"/>
              <w:jc w:val="center"/>
              <w:rPr>
                <w:color w:val="auto"/>
                <w:highlight w:val="none"/>
              </w:rPr>
            </w:pP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漓源供热点生活污水</w:t>
            </w:r>
          </w:p>
        </w:tc>
        <w:tc>
          <w:tcPr>
            <w:tcW w:w="1378"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经昆明漓源饲料有限公司一体化污水处理设施处理后，达到《城镇污水处理厂污染物排放标准》GB18918-2002表1中一级A标准后外排至园区污水管网，进入园区160m³污水收集池，用于园区绿化</w:t>
            </w:r>
          </w:p>
        </w:tc>
        <w:tc>
          <w:tcPr>
            <w:tcW w:w="2982"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声环境</w:t>
            </w: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运行设备</w:t>
            </w:r>
          </w:p>
        </w:tc>
        <w:tc>
          <w:tcPr>
            <w:tcW w:w="13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噪声</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选用低噪音设备、噪声设备</w:t>
            </w:r>
            <w:r>
              <w:rPr>
                <w:rFonts w:hint="eastAsia" w:cs="Times New Roman"/>
                <w:color w:val="auto"/>
                <w:sz w:val="24"/>
                <w:szCs w:val="24"/>
                <w:highlight w:val="none"/>
                <w:lang w:val="en-US" w:eastAsia="zh-CN"/>
              </w:rPr>
              <w:t>置于室内</w:t>
            </w:r>
            <w:r>
              <w:rPr>
                <w:rFonts w:hint="default" w:ascii="Times New Roman" w:hAnsi="Times New Roman" w:eastAsia="宋体" w:cs="Times New Roman"/>
                <w:color w:val="auto"/>
                <w:sz w:val="24"/>
                <w:szCs w:val="24"/>
                <w:highlight w:val="none"/>
                <w:lang w:val="en-US" w:eastAsia="zh-CN"/>
              </w:rPr>
              <w:t>，加强维护、定期检修</w:t>
            </w:r>
          </w:p>
        </w:tc>
        <w:tc>
          <w:tcPr>
            <w:tcW w:w="298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《工业企业厂界环境噪声排放标准》（GB12348-2008）中</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固体废物</w:t>
            </w:r>
          </w:p>
        </w:tc>
        <w:tc>
          <w:tcPr>
            <w:tcW w:w="8517" w:type="dxa"/>
            <w:gridSpan w:val="4"/>
            <w:noWrap w:val="0"/>
            <w:vAlign w:val="center"/>
          </w:tcPr>
          <w:p>
            <w:pPr>
              <w:pStyle w:val="68"/>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烟尘处理设施产生的除尘灰经袋装收集后外售有机肥制作单位制作有机肥；锅炉炉渣经袋装收集后外售有机肥制作单位制作有机肥；软化水制备系统产生的饱和离子交换树脂由厂家来更换，更换后直接由厂家回收；员工生活垃圾通过垃圾桶收集后委托环卫部门定期清运</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生物质燃料废包装袋</w:t>
            </w:r>
            <w:r>
              <w:rPr>
                <w:rFonts w:hint="eastAsia" w:cs="Times New Roman"/>
                <w:color w:val="auto"/>
                <w:sz w:val="24"/>
                <w:szCs w:val="24"/>
                <w:highlight w:val="none"/>
                <w:lang w:val="en-US" w:eastAsia="zh-CN"/>
              </w:rPr>
              <w:t>收集后由昆明腾元禾农林科技有限公司回收利用；废机油暂存于危险废物贮存库，委托有资质的单位清运。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土壤及地下水污染防治措施</w:t>
            </w:r>
          </w:p>
        </w:tc>
        <w:tc>
          <w:tcPr>
            <w:tcW w:w="8517" w:type="dxa"/>
            <w:gridSpan w:val="4"/>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生态保护措施</w:t>
            </w:r>
          </w:p>
        </w:tc>
        <w:tc>
          <w:tcPr>
            <w:tcW w:w="8517" w:type="dxa"/>
            <w:gridSpan w:val="4"/>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环境风险防范措施</w:t>
            </w:r>
          </w:p>
        </w:tc>
        <w:tc>
          <w:tcPr>
            <w:tcW w:w="8517" w:type="dxa"/>
            <w:gridSpan w:val="4"/>
            <w:noWrap w:val="0"/>
            <w:vAlign w:val="center"/>
          </w:tcPr>
          <w:p>
            <w:pPr>
              <w:pStyle w:val="68"/>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后期及时编制突发环境事件应急预案并完成备案；开展相应应急演练。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其他环境管理要求</w:t>
            </w:r>
          </w:p>
        </w:tc>
        <w:tc>
          <w:tcPr>
            <w:tcW w:w="851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1、环境管理制度</w:t>
            </w:r>
          </w:p>
          <w:p>
            <w:pPr>
              <w:pStyle w:val="68"/>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建立了相关的环境管理制度</w:t>
            </w:r>
            <w:r>
              <w:rPr>
                <w:rFonts w:hint="eastAsia" w:ascii="Times New Roman" w:hAnsi="Times New Roman" w:eastAsia="宋体" w:cs="Times New Roman"/>
                <w:color w:val="auto"/>
                <w:sz w:val="24"/>
                <w:highlight w:val="none"/>
                <w:lang w:val="en-US" w:eastAsia="zh-CN"/>
              </w:rPr>
              <w:t>，明确企业内部环境管理体系的设置、相关规章制度、人员保障、设施配备；明确企业环境保护规划的制定和实施情况、相关规章制度及相关责任的落实情况等。</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2、环境管理台账要求</w:t>
            </w:r>
          </w:p>
          <w:p>
            <w:pPr>
              <w:pStyle w:val="68"/>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建立环境管理台账制度，设置专职人员进行台账的记录、整理、维护和管理，并对台账记录结果的真实性、准确性、完整性负责</w:t>
            </w:r>
            <w:r>
              <w:rPr>
                <w:rFonts w:hint="eastAsia" w:ascii="Times New Roman" w:hAnsi="Times New Roman" w:eastAsia="宋体" w:cs="Times New Roman"/>
                <w:color w:val="auto"/>
                <w:sz w:val="24"/>
                <w:highlight w:val="none"/>
                <w:lang w:val="en-US" w:eastAsia="zh-CN"/>
              </w:rPr>
              <w:t>，台账记录主要包括基本信息台账、污染治理设施台账、其他环境管理信息台账等，记录频次和记录内容要满足排污许可证等各项环境管理要求。其中，基本信息台站主要包括生产设施、治理设施的名称、工艺等实际情况及与污染物排放相关的主要运行参数；污染治理设施台账主要包括污染物排放监测数据记录以及污染治理设施运行管理信息。监测记录信息按照自行监测管理要求及相关监测规范实施；污染治理设施运行管理信息应当包括能充分反映生产设施及治理设施运行管理情况的设备运行校验关键参数等。</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3、排污口规范化设置</w:t>
            </w:r>
          </w:p>
          <w:p>
            <w:pPr>
              <w:pStyle w:val="68"/>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根据国家环保部《环境保护图形标志实施细则（试行）》、《排污口规范化整治技术要求（试行）》以及《云南省排污口管理办法》的要求，企业废水、废气排放口，必须按照</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符合污染物集中排放，便于采集样品，便于计量监测，便于日常现场监督检查的要求</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的原则进行规范化设置。并设置环境保护图形标志牌，排污口的规范化符合当地环境管理部门的有关要求。</w:t>
            </w:r>
          </w:p>
          <w:p>
            <w:pPr>
              <w:pStyle w:val="68"/>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排放口规范化图标示意图如下</w:t>
            </w:r>
            <w:r>
              <w:rPr>
                <w:rFonts w:hint="eastAsia" w:cs="Times New Roman"/>
                <w:color w:val="auto"/>
                <w:sz w:val="24"/>
                <w:highlight w:val="none"/>
                <w:lang w:val="en-US" w:eastAsia="zh-CN"/>
              </w:rPr>
              <w:t>：</w:t>
            </w:r>
          </w:p>
          <w:p>
            <w:pPr>
              <w:keepNext w:val="0"/>
              <w:keepLines w:val="0"/>
              <w:widowControl/>
              <w:suppressLineNumbers w:val="0"/>
              <w:jc w:val="center"/>
              <w:rPr>
                <w:color w:val="auto"/>
                <w:highlight w:val="none"/>
              </w:rPr>
            </w:pPr>
            <w:r>
              <w:rPr>
                <w:rFonts w:ascii="宋体" w:hAnsi="宋体" w:eastAsia="宋体" w:cs="宋体"/>
                <w:color w:val="auto"/>
                <w:kern w:val="0"/>
                <w:sz w:val="24"/>
                <w:szCs w:val="24"/>
                <w:highlight w:val="none"/>
                <w:lang w:val="en-US" w:eastAsia="zh-CN" w:bidi="ar"/>
              </w:rPr>
              <w:drawing>
                <wp:inline distT="0" distB="0" distL="114300" distR="114300">
                  <wp:extent cx="5259070" cy="3165475"/>
                  <wp:effectExtent l="0" t="0" r="17780" b="15875"/>
                  <wp:docPr id="9"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true"/>
                          </pic:cNvPicPr>
                        </pic:nvPicPr>
                        <pic:blipFill>
                          <a:blip r:embed="rId43"/>
                          <a:stretch>
                            <a:fillRect/>
                          </a:stretch>
                        </pic:blipFill>
                        <pic:spPr>
                          <a:xfrm>
                            <a:off x="0" y="0"/>
                            <a:ext cx="5259070" cy="3165475"/>
                          </a:xfrm>
                          <a:prstGeom prst="rect">
                            <a:avLst/>
                          </a:prstGeom>
                          <a:noFill/>
                          <a:ln w="9525">
                            <a:noFill/>
                          </a:ln>
                        </pic:spPr>
                      </pic:pic>
                    </a:graphicData>
                  </a:graphic>
                </wp:inline>
              </w:drawing>
            </w:r>
          </w:p>
          <w:p>
            <w:pPr>
              <w:numPr>
                <w:ilvl w:val="0"/>
                <w:numId w:val="0"/>
              </w:numPr>
              <w:adjustRightInd w:val="0"/>
              <w:snapToGrid w:val="0"/>
              <w:spacing w:line="360" w:lineRule="auto"/>
              <w:ind w:firstLine="441" w:firstLineChars="200"/>
              <w:rPr>
                <w:rFonts w:hint="default" w:ascii="Times New Roman" w:hAnsi="Times New Roman"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4、排污许可管理要求</w:t>
            </w:r>
          </w:p>
          <w:p>
            <w:pPr>
              <w:pStyle w:val="68"/>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根据《固定污染源排污许可分类管理名录（2019版）》，</w:t>
            </w:r>
            <w:r>
              <w:rPr>
                <w:rFonts w:hint="eastAsia"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锅炉的总</w:t>
            </w:r>
            <w:r>
              <w:rPr>
                <w:rFonts w:hint="eastAsia" w:cs="Times New Roman"/>
                <w:color w:val="auto"/>
                <w:sz w:val="24"/>
                <w:highlight w:val="none"/>
                <w:lang w:val="en-US" w:eastAsia="zh-CN"/>
              </w:rPr>
              <w:t>装机容量</w:t>
            </w:r>
            <w:r>
              <w:rPr>
                <w:rFonts w:hint="eastAsia" w:ascii="Times New Roman" w:hAnsi="Times New Roman" w:eastAsia="宋体" w:cs="Times New Roman"/>
                <w:color w:val="auto"/>
                <w:sz w:val="24"/>
                <w:highlight w:val="none"/>
                <w:lang w:val="en-US" w:eastAsia="zh-CN"/>
              </w:rPr>
              <w:t>属于名录中第三十九、电力、热力生产和供应业44——96、热力生产和供应443</w:t>
            </w:r>
            <w:r>
              <w:rPr>
                <w:rFonts w:hint="eastAsia" w:cs="Times New Roman"/>
                <w:color w:val="auto"/>
                <w:sz w:val="24"/>
                <w:highlight w:val="none"/>
                <w:lang w:val="en-US" w:eastAsia="zh-CN"/>
              </w:rPr>
              <w:t>——单台或者合计出力20吨/小时（14兆瓦）及以上的锅炉（不含电热锅炉）</w:t>
            </w:r>
            <w:r>
              <w:rPr>
                <w:rFonts w:hint="eastAsia" w:ascii="Times New Roman" w:hAnsi="Times New Roman" w:eastAsia="宋体" w:cs="Times New Roman"/>
                <w:color w:val="auto"/>
                <w:sz w:val="24"/>
                <w:highlight w:val="none"/>
                <w:lang w:val="en-US" w:eastAsia="zh-CN"/>
              </w:rPr>
              <w:t>，执行</w:t>
            </w:r>
            <w:r>
              <w:rPr>
                <w:rFonts w:hint="eastAsia" w:cs="Times New Roman"/>
                <w:color w:val="auto"/>
                <w:sz w:val="24"/>
                <w:highlight w:val="none"/>
                <w:lang w:val="en-US" w:eastAsia="zh-CN"/>
              </w:rPr>
              <w:t>重点</w:t>
            </w:r>
            <w:r>
              <w:rPr>
                <w:rFonts w:hint="eastAsia" w:ascii="Times New Roman" w:hAnsi="Times New Roman" w:eastAsia="宋体" w:cs="Times New Roman"/>
                <w:color w:val="auto"/>
                <w:sz w:val="24"/>
                <w:highlight w:val="none"/>
                <w:lang w:val="en-US" w:eastAsia="zh-CN"/>
              </w:rPr>
              <w:t>管理。</w:t>
            </w:r>
          </w:p>
          <w:p>
            <w:pPr>
              <w:numPr>
                <w:ilvl w:val="0"/>
                <w:numId w:val="0"/>
              </w:numPr>
              <w:adjustRightInd w:val="0"/>
              <w:snapToGrid w:val="0"/>
              <w:spacing w:line="360" w:lineRule="auto"/>
              <w:ind w:firstLine="441" w:firstLineChars="200"/>
              <w:rPr>
                <w:rFonts w:hint="default" w:ascii="Times New Roman" w:hAnsi="Times New Roman"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5、</w:t>
            </w:r>
            <w:r>
              <w:rPr>
                <w:rFonts w:hint="eastAsia" w:ascii="Times New Roman" w:hAnsi="Times New Roman" w:cs="Times New Roman"/>
                <w:b/>
                <w:bCs w:val="0"/>
                <w:color w:val="auto"/>
                <w:spacing w:val="-10"/>
                <w:sz w:val="24"/>
                <w:szCs w:val="24"/>
                <w:highlight w:val="none"/>
                <w:lang w:val="en-US" w:eastAsia="zh-CN"/>
              </w:rPr>
              <w:t>环境保护设施</w:t>
            </w:r>
            <w:r>
              <w:rPr>
                <w:rFonts w:hint="eastAsia" w:cs="Times New Roman"/>
                <w:b/>
                <w:bCs w:val="0"/>
                <w:color w:val="auto"/>
                <w:spacing w:val="-10"/>
                <w:sz w:val="24"/>
                <w:szCs w:val="24"/>
                <w:highlight w:val="none"/>
                <w:lang w:val="en-US" w:eastAsia="zh-CN"/>
              </w:rPr>
              <w:t>“</w:t>
            </w:r>
            <w:r>
              <w:rPr>
                <w:rFonts w:hint="eastAsia" w:ascii="Times New Roman" w:hAnsi="Times New Roman" w:cs="Times New Roman"/>
                <w:b/>
                <w:bCs w:val="0"/>
                <w:color w:val="auto"/>
                <w:spacing w:val="-10"/>
                <w:sz w:val="24"/>
                <w:szCs w:val="24"/>
                <w:highlight w:val="none"/>
                <w:lang w:val="en-US" w:eastAsia="zh-CN"/>
              </w:rPr>
              <w:t>三同时</w:t>
            </w:r>
            <w:r>
              <w:rPr>
                <w:rFonts w:hint="eastAsia" w:cs="Times New Roman"/>
                <w:b/>
                <w:bCs w:val="0"/>
                <w:color w:val="auto"/>
                <w:spacing w:val="-10"/>
                <w:sz w:val="24"/>
                <w:szCs w:val="24"/>
                <w:highlight w:val="none"/>
                <w:lang w:val="en-US" w:eastAsia="zh-CN"/>
              </w:rPr>
              <w:t>”</w:t>
            </w:r>
            <w:r>
              <w:rPr>
                <w:rFonts w:hint="eastAsia" w:ascii="Times New Roman" w:hAnsi="Times New Roman" w:cs="Times New Roman"/>
                <w:b/>
                <w:bCs w:val="0"/>
                <w:color w:val="auto"/>
                <w:spacing w:val="-10"/>
                <w:sz w:val="24"/>
                <w:szCs w:val="24"/>
                <w:highlight w:val="none"/>
                <w:lang w:val="en-US" w:eastAsia="zh-CN"/>
              </w:rPr>
              <w:t>验收</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项目竣工后，建设单位应当按照国务院环境保护行政主管部门规定的标准和程序，对配套建设的环境保护设施进行验收，自行或委托中介机构编制验收报告。项目</w:t>
            </w:r>
            <w:r>
              <w:rPr>
                <w:rFonts w:hint="eastAsia" w:cs="Times New Roman"/>
                <w:color w:val="auto"/>
                <w:sz w:val="24"/>
                <w:highlight w:val="none"/>
                <w:lang w:val="en-US" w:eastAsia="zh-CN"/>
              </w:rPr>
              <w:t>竣工环境保护验收一览表</w:t>
            </w:r>
            <w:r>
              <w:rPr>
                <w:rFonts w:hint="eastAsia" w:ascii="Times New Roman" w:hAnsi="Times New Roman" w:eastAsia="宋体" w:cs="Times New Roman"/>
                <w:color w:val="auto"/>
                <w:sz w:val="24"/>
                <w:highlight w:val="none"/>
                <w:lang w:val="en-US" w:eastAsia="zh-CN"/>
              </w:rPr>
              <w:t>见</w:t>
            </w:r>
            <w:r>
              <w:rPr>
                <w:rFonts w:hint="eastAsia" w:cs="Times New Roman"/>
                <w:color w:val="auto"/>
                <w:sz w:val="24"/>
                <w:highlight w:val="none"/>
                <w:lang w:val="en-US" w:eastAsia="zh-CN"/>
              </w:rPr>
              <w:t>下表</w:t>
            </w:r>
            <w:r>
              <w:rPr>
                <w:rFonts w:hint="eastAsia" w:ascii="Times New Roman" w:hAnsi="Times New Roman" w:eastAsia="宋体" w:cs="Times New Roman"/>
                <w:color w:val="auto"/>
                <w:sz w:val="24"/>
                <w:highlight w:val="none"/>
                <w:lang w:val="en-US" w:eastAsia="zh-CN"/>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5-1项目</w:t>
            </w:r>
            <w:r>
              <w:rPr>
                <w:rFonts w:hint="default" w:ascii="Times New Roman" w:hAnsi="Times New Roman" w:eastAsia="宋体" w:cs="Times New Roman"/>
                <w:b/>
                <w:bCs/>
                <w:color w:val="auto"/>
                <w:sz w:val="21"/>
                <w:szCs w:val="21"/>
                <w:highlight w:val="none"/>
                <w:lang w:val="en-US" w:eastAsia="zh-CN"/>
              </w:rPr>
              <w:t>竣工环境保护验收一览表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396"/>
              <w:gridCol w:w="3970"/>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w:t>
                  </w: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处理对象</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处理措施</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22"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w:t>
                  </w:r>
                </w:p>
              </w:tc>
              <w:tc>
                <w:tcPr>
                  <w:tcW w:w="827"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生物质锅炉废气</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海大供热点：多管旋风除尘器+布袋除尘器，+45m的烟囱</w:t>
                  </w:r>
                </w:p>
              </w:tc>
              <w:tc>
                <w:tcPr>
                  <w:tcW w:w="1398"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《锅炉大气污染物排放标准》（GB13271-2014）表2新建锅炉大气污染物排放浓度限值中燃煤锅炉排放要求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22" w:type="pct"/>
                  <w:vMerge w:val="continue"/>
                  <w:vAlign w:val="center"/>
                </w:tcPr>
                <w:p>
                  <w:pPr>
                    <w:pStyle w:val="49"/>
                    <w:bidi w:val="0"/>
                    <w:ind w:left="0" w:leftChars="0" w:firstLine="0" w:firstLineChars="0"/>
                    <w:jc w:val="center"/>
                    <w:rPr>
                      <w:color w:val="auto"/>
                      <w:highlight w:val="none"/>
                    </w:rPr>
                  </w:pPr>
                </w:p>
              </w:tc>
              <w:tc>
                <w:tcPr>
                  <w:tcW w:w="827" w:type="pct"/>
                  <w:vMerge w:val="continue"/>
                  <w:vAlign w:val="center"/>
                </w:tcPr>
                <w:p>
                  <w:pPr>
                    <w:pStyle w:val="49"/>
                    <w:bidi w:val="0"/>
                    <w:ind w:left="0" w:leftChars="0" w:firstLine="0" w:firstLineChars="0"/>
                    <w:jc w:val="center"/>
                    <w:rPr>
                      <w:color w:val="auto"/>
                      <w:highlight w:val="none"/>
                    </w:rPr>
                  </w:pP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特驱供热点：多管旋风除尘器+布袋除尘器，+45m的烟囱</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漓源供热点：多管旋风除尘器+布袋除尘器，+35m的烟囱</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灰渣间、生物质燃料间粉尘</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袋装堆放于密闭料仓</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执行《大气污染物综合排放标准》（GB16297-1996）表2无组织排放标准限值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w:t>
                  </w: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设备噪声</w:t>
                  </w:r>
                </w:p>
              </w:tc>
              <w:tc>
                <w:tcPr>
                  <w:tcW w:w="2351" w:type="pct"/>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厂房隔声、减震</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厂界达到《工业企业厂界环境噪声排放标准》（GB12348-2008）3类标准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废水</w:t>
                  </w:r>
                </w:p>
              </w:tc>
              <w:tc>
                <w:tcPr>
                  <w:tcW w:w="827" w:type="pct"/>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锅炉排污水、软化处理废水</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接入烟气蒸发器用于烟气降温，随烟气蒸发</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生活污水</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项目区内不设生活设施。海大供热点及特驱供热点生活设施依托昆明特驱饲料有限公司建成的生活设施，产生生活污水也由明特驱饲料有限公司建成并验收的污水处理设施处理。漓源供热点生活设施依托</w:t>
                  </w:r>
                  <w:r>
                    <w:rPr>
                      <w:rFonts w:hint="eastAsia" w:ascii="Times New Roman" w:hAnsi="Times New Roman" w:eastAsia="宋体" w:cs="Times New Roman"/>
                      <w:color w:val="auto"/>
                      <w:highlight w:val="none"/>
                      <w:lang w:val="en-US" w:eastAsia="zh-CN"/>
                    </w:rPr>
                    <w:fldChar w:fldCharType="begin"/>
                  </w:r>
                  <w:r>
                    <w:rPr>
                      <w:rFonts w:hint="eastAsia" w:ascii="Times New Roman" w:hAnsi="Times New Roman" w:eastAsia="宋体" w:cs="Times New Roman"/>
                      <w:color w:val="auto"/>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color w:val="auto"/>
                      <w:highlight w:val="none"/>
                      <w:lang w:val="en-US" w:eastAsia="zh-CN"/>
                    </w:rPr>
                    <w:fldChar w:fldCharType="separate"/>
                  </w:r>
                  <w:r>
                    <w:rPr>
                      <w:rFonts w:hint="eastAsia" w:ascii="Times New Roman" w:hAnsi="Times New Roman" w:eastAsia="宋体" w:cs="Times New Roman"/>
                      <w:color w:val="auto"/>
                      <w:highlight w:val="none"/>
                      <w:lang w:val="en-US" w:eastAsia="zh-CN"/>
                    </w:rPr>
                    <w:t>昆明漓源饲料有限公司</w:t>
                  </w:r>
                  <w:r>
                    <w:rPr>
                      <w:rFonts w:hint="eastAsia" w:ascii="Times New Roman" w:hAnsi="Times New Roman" w:eastAsia="宋体" w:cs="Times New Roman"/>
                      <w:color w:val="auto"/>
                      <w:highlight w:val="none"/>
                      <w:lang w:val="en-US" w:eastAsia="zh-CN"/>
                    </w:rPr>
                    <w:fldChar w:fldCharType="end"/>
                  </w:r>
                  <w:r>
                    <w:rPr>
                      <w:rFonts w:hint="eastAsia" w:ascii="Times New Roman" w:hAnsi="Times New Roman" w:eastAsia="宋体" w:cs="Times New Roman"/>
                      <w:color w:val="auto"/>
                      <w:highlight w:val="none"/>
                      <w:lang w:val="en-US" w:eastAsia="zh-CN"/>
                    </w:rPr>
                    <w:t>建成的生活设施，产生的生活污水由</w:t>
                  </w:r>
                  <w:r>
                    <w:rPr>
                      <w:rFonts w:hint="eastAsia" w:ascii="Times New Roman" w:hAnsi="Times New Roman" w:eastAsia="宋体" w:cs="Times New Roman"/>
                      <w:color w:val="auto"/>
                      <w:highlight w:val="none"/>
                      <w:lang w:val="en-US" w:eastAsia="zh-CN"/>
                    </w:rPr>
                    <w:fldChar w:fldCharType="begin"/>
                  </w:r>
                  <w:r>
                    <w:rPr>
                      <w:rFonts w:hint="eastAsia" w:ascii="Times New Roman" w:hAnsi="Times New Roman" w:eastAsia="宋体" w:cs="Times New Roman"/>
                      <w:color w:val="auto"/>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color w:val="auto"/>
                      <w:highlight w:val="none"/>
                      <w:lang w:val="en-US" w:eastAsia="zh-CN"/>
                    </w:rPr>
                    <w:fldChar w:fldCharType="separate"/>
                  </w:r>
                  <w:r>
                    <w:rPr>
                      <w:rFonts w:hint="eastAsia" w:ascii="Times New Roman" w:hAnsi="Times New Roman" w:eastAsia="宋体" w:cs="Times New Roman"/>
                      <w:color w:val="auto"/>
                      <w:highlight w:val="none"/>
                      <w:lang w:val="en-US" w:eastAsia="zh-CN"/>
                    </w:rPr>
                    <w:t>昆明漓源饲料有限公司</w:t>
                  </w:r>
                  <w:r>
                    <w:rPr>
                      <w:rFonts w:hint="eastAsia" w:ascii="Times New Roman" w:hAnsi="Times New Roman" w:eastAsia="宋体" w:cs="Times New Roman"/>
                      <w:color w:val="auto"/>
                      <w:highlight w:val="none"/>
                      <w:lang w:val="en-US" w:eastAsia="zh-CN"/>
                    </w:rPr>
                    <w:fldChar w:fldCharType="end"/>
                  </w:r>
                  <w:r>
                    <w:rPr>
                      <w:rFonts w:hint="eastAsia" w:ascii="Times New Roman" w:hAnsi="Times New Roman" w:eastAsia="宋体" w:cs="Times New Roman"/>
                      <w:color w:val="auto"/>
                      <w:highlight w:val="none"/>
                      <w:lang w:val="en-US" w:eastAsia="zh-CN"/>
                    </w:rPr>
                    <w:t>已建成并验收的生活污水处理设施处理。</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固体</w:t>
                  </w:r>
                </w:p>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废物</w:t>
                  </w: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灰渣、除尘器收集灰渣</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采用袋装后堆存于堆渣间，收集后外售用作肥料</w:t>
                  </w:r>
                </w:p>
              </w:tc>
              <w:tc>
                <w:tcPr>
                  <w:tcW w:w="1398"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废离子交换树脂</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由供应商更换回收处理</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生活垃圾</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统一收集后，送至工业园区指定地点</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生物质燃料废包装袋</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由昆明腾元禾农林科技有限公司回收利用</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废机油</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各供热点产生的废机油收集后</w:t>
                  </w:r>
                  <w:r>
                    <w:rPr>
                      <w:rFonts w:hint="eastAsia" w:ascii="Times New Roman" w:cs="Times New Roman"/>
                      <w:color w:val="auto"/>
                      <w:highlight w:val="none"/>
                      <w:lang w:val="en-US" w:eastAsia="zh-CN"/>
                    </w:rPr>
                    <w:t>暂存于危险废物贮存库</w:t>
                  </w:r>
                  <w:r>
                    <w:rPr>
                      <w:rFonts w:hint="eastAsia" w:ascii="Times New Roman" w:hAnsi="Times New Roman" w:eastAsia="宋体" w:cs="Times New Roman"/>
                      <w:color w:val="auto"/>
                      <w:highlight w:val="none"/>
                      <w:lang w:val="en-US" w:eastAsia="zh-CN"/>
                    </w:rPr>
                    <w:t>，委托有资质单位清运处置</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bl>
          <w:p>
            <w:pPr>
              <w:pStyle w:val="68"/>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环境监测是企业搞好环境管理，促进污染治理设施正常运行的主要保障。通过定期的环境监测，可以及时发现问题、解决问题，从而有利于监督各项环保措施的落实。根据《排污单位自行监测技术 总则》（HJ819-2017）及《排污单位自行监测技术指南 火力发电及锅炉》（HJ820-2017），项目竣工环保验收监测</w:t>
            </w:r>
            <w:r>
              <w:rPr>
                <w:rFonts w:hint="eastAsia" w:cs="Times New Roman"/>
                <w:color w:val="auto"/>
                <w:sz w:val="24"/>
                <w:highlight w:val="none"/>
                <w:lang w:val="en-US" w:eastAsia="zh-CN"/>
              </w:rPr>
              <w:t>计划</w:t>
            </w:r>
            <w:r>
              <w:rPr>
                <w:rFonts w:hint="default" w:ascii="Times New Roman" w:hAnsi="Times New Roman" w:eastAsia="宋体" w:cs="Times New Roman"/>
                <w:color w:val="auto"/>
                <w:sz w:val="24"/>
                <w:highlight w:val="none"/>
                <w:lang w:val="en-US" w:eastAsia="zh-CN"/>
              </w:rPr>
              <w:t>一览表见下表5-2</w:t>
            </w:r>
            <w:r>
              <w:rPr>
                <w:rFonts w:hint="eastAsia" w:ascii="Times New Roman" w:hAnsi="Times New Roman" w:eastAsia="宋体" w:cs="Times New Roman"/>
                <w:color w:val="auto"/>
                <w:sz w:val="24"/>
                <w:highlight w:val="none"/>
                <w:lang w:val="en-US" w:eastAsia="zh-CN"/>
              </w:rPr>
              <w:t>。</w:t>
            </w:r>
          </w:p>
          <w:p>
            <w:pPr>
              <w:pStyle w:val="8"/>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5-2项目竣工环保验收监测一览表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5"/>
              <w:gridCol w:w="1568"/>
              <w:gridCol w:w="2400"/>
              <w:gridCol w:w="239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7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类别</w:t>
                  </w:r>
                </w:p>
              </w:tc>
              <w:tc>
                <w:tcPr>
                  <w:tcW w:w="92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监测点位</w:t>
                  </w:r>
                </w:p>
              </w:tc>
              <w:tc>
                <w:tcPr>
                  <w:tcW w:w="142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监测项目</w:t>
                  </w:r>
                </w:p>
              </w:tc>
              <w:tc>
                <w:tcPr>
                  <w:tcW w:w="142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监测频率</w:t>
                  </w:r>
                </w:p>
              </w:tc>
              <w:tc>
                <w:tcPr>
                  <w:tcW w:w="851"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376" w:type="pct"/>
                  <w:vMerge w:val="restar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929" w:type="pct"/>
                  <w:vMerge w:val="restar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①海大供热点</w:t>
                  </w:r>
                  <w:r>
                    <w:rPr>
                      <w:rFonts w:hint="eastAsia" w:ascii="Times New Roman" w:hAnsi="Times New Roman" w:eastAsia="宋体" w:cs="Times New Roman"/>
                      <w:color w:val="auto"/>
                      <w:highlight w:val="none"/>
                      <w:lang w:val="en-US" w:eastAsia="zh-CN"/>
                    </w:rPr>
                    <w:t>DA00</w:t>
                  </w:r>
                  <w:r>
                    <w:rPr>
                      <w:rFonts w:hint="eastAsia" w:asci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排放口</w:t>
                  </w:r>
                  <w:r>
                    <w:rPr>
                      <w:rFonts w:hint="eastAsia" w:ascii="Times New Roman" w:cs="Times New Roman"/>
                      <w:color w:val="auto"/>
                      <w:highlight w:val="none"/>
                      <w:lang w:val="en-US" w:eastAsia="zh-CN"/>
                    </w:rPr>
                    <w:t>；②特驱供热点</w:t>
                  </w:r>
                  <w:r>
                    <w:rPr>
                      <w:rFonts w:hint="eastAsia" w:ascii="Times New Roman" w:hAnsi="Times New Roman" w:eastAsia="宋体" w:cs="Times New Roman"/>
                      <w:color w:val="auto"/>
                      <w:highlight w:val="none"/>
                      <w:lang w:val="en-US" w:eastAsia="zh-CN"/>
                    </w:rPr>
                    <w:t>DA00</w:t>
                  </w:r>
                  <w:r>
                    <w:rPr>
                      <w:rFonts w:hint="eastAsia" w:asci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排放口</w:t>
                  </w:r>
                  <w:r>
                    <w:rPr>
                      <w:rFonts w:hint="eastAsia" w:ascii="Times New Roman" w:hAnsi="Times New Roman" w:eastAsia="宋体" w:cs="Times New Roman"/>
                      <w:color w:val="auto"/>
                      <w:highlight w:val="none"/>
                      <w:lang w:val="en-US" w:eastAsia="zh-CN"/>
                    </w:rPr>
                    <w:t>；③</w:t>
                  </w:r>
                  <w:r>
                    <w:rPr>
                      <w:rFonts w:hint="eastAsia" w:ascii="Times New Roman" w:cs="Times New Roman"/>
                      <w:color w:val="auto"/>
                      <w:highlight w:val="none"/>
                      <w:lang w:val="en-US" w:eastAsia="zh-CN"/>
                    </w:rPr>
                    <w:t>漓源供热点</w:t>
                  </w:r>
                  <w:r>
                    <w:rPr>
                      <w:rFonts w:hint="eastAsia" w:ascii="Times New Roman" w:hAnsi="Times New Roman" w:eastAsia="宋体" w:cs="Times New Roman"/>
                      <w:color w:val="auto"/>
                      <w:highlight w:val="none"/>
                      <w:lang w:val="en-US" w:eastAsia="zh-CN"/>
                    </w:rPr>
                    <w:t>DA00</w:t>
                  </w:r>
                  <w:r>
                    <w:rPr>
                      <w:rFonts w:hint="eastAsia" w:asci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排放口</w:t>
                  </w:r>
                </w:p>
              </w:tc>
              <w:tc>
                <w:tcPr>
                  <w:tcW w:w="1422"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SO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、NOx、颗粒物</w:t>
                  </w:r>
                </w:p>
              </w:tc>
              <w:tc>
                <w:tcPr>
                  <w:tcW w:w="142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验收时监测一次，监测2天，每天3次</w:t>
                  </w:r>
                  <w:r>
                    <w:rPr>
                      <w:rFonts w:hint="eastAsia" w:ascii="Times New Roman" w:cs="Times New Roman"/>
                      <w:color w:val="auto"/>
                      <w:highlight w:val="none"/>
                      <w:lang w:val="en-US" w:eastAsia="zh-CN"/>
                    </w:rPr>
                    <w:t>。以后自动监测。</w:t>
                  </w:r>
                </w:p>
              </w:tc>
              <w:tc>
                <w:tcPr>
                  <w:tcW w:w="851" w:type="pct"/>
                  <w:vMerge w:val="restar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按照相关监测技术规范进行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376" w:type="pct"/>
                  <w:vMerge w:val="continue"/>
                  <w:tcBorders>
                    <w:tl2br w:val="nil"/>
                    <w:tr2bl w:val="nil"/>
                  </w:tcBorders>
                  <w:noWrap w:val="0"/>
                  <w:vAlign w:val="center"/>
                </w:tcPr>
                <w:p>
                  <w:pPr>
                    <w:pStyle w:val="49"/>
                    <w:bidi w:val="0"/>
                    <w:ind w:left="0" w:leftChars="0" w:firstLine="0" w:firstLineChars="0"/>
                    <w:jc w:val="center"/>
                    <w:rPr>
                      <w:color w:val="auto"/>
                      <w:highlight w:val="none"/>
                    </w:rPr>
                  </w:pPr>
                </w:p>
              </w:tc>
              <w:tc>
                <w:tcPr>
                  <w:tcW w:w="929" w:type="pct"/>
                  <w:vMerge w:val="continue"/>
                  <w:tcBorders>
                    <w:tl2br w:val="nil"/>
                    <w:tr2bl w:val="nil"/>
                  </w:tcBorders>
                  <w:noWrap w:val="0"/>
                  <w:vAlign w:val="center"/>
                </w:tcPr>
                <w:p>
                  <w:pPr>
                    <w:pStyle w:val="49"/>
                    <w:bidi w:val="0"/>
                    <w:ind w:left="0" w:leftChars="0" w:firstLine="0" w:firstLineChars="0"/>
                    <w:jc w:val="center"/>
                    <w:rPr>
                      <w:color w:val="auto"/>
                      <w:highlight w:val="none"/>
                    </w:rPr>
                  </w:pPr>
                </w:p>
              </w:tc>
              <w:tc>
                <w:tcPr>
                  <w:tcW w:w="142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烟气黑度</w:t>
                  </w:r>
                </w:p>
              </w:tc>
              <w:tc>
                <w:tcPr>
                  <w:tcW w:w="142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验收时监测一次，监测2天，每天3次</w:t>
                  </w:r>
                  <w:r>
                    <w:rPr>
                      <w:rFonts w:hint="eastAsia" w:ascii="Times New Roman" w:cs="Times New Roman"/>
                      <w:color w:val="auto"/>
                      <w:highlight w:val="none"/>
                      <w:lang w:val="en-US" w:eastAsia="zh-CN"/>
                    </w:rPr>
                    <w:t>。以后每季度1次。</w:t>
                  </w:r>
                </w:p>
              </w:tc>
              <w:tc>
                <w:tcPr>
                  <w:tcW w:w="851" w:type="pct"/>
                  <w:vMerge w:val="continue"/>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6"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92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各供热点</w:t>
                  </w:r>
                  <w:r>
                    <w:rPr>
                      <w:rFonts w:hint="eastAsia" w:ascii="Times New Roman" w:hAnsi="Times New Roman" w:eastAsia="宋体" w:cs="Times New Roman"/>
                      <w:color w:val="auto"/>
                      <w:highlight w:val="none"/>
                      <w:lang w:val="en-US" w:eastAsia="zh-CN"/>
                    </w:rPr>
                    <w:t>厂界上风向一个点，下风向三个点</w:t>
                  </w:r>
                </w:p>
              </w:tc>
              <w:tc>
                <w:tcPr>
                  <w:tcW w:w="1422"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TSP</w:t>
                  </w:r>
                </w:p>
              </w:tc>
              <w:tc>
                <w:tcPr>
                  <w:tcW w:w="142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验收时监测一次，监测</w:t>
                  </w:r>
                  <w:r>
                    <w:rPr>
                      <w:rFonts w:hint="eastAsia" w:ascii="Times New Roman"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天，每天3次</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以后每</w:t>
                  </w:r>
                  <w:r>
                    <w:rPr>
                      <w:rFonts w:hint="eastAsia" w:ascii="Times New Roman" w:cs="Times New Roman"/>
                      <w:color w:val="auto"/>
                      <w:highlight w:val="none"/>
                      <w:lang w:val="en-US" w:eastAsia="zh-CN"/>
                    </w:rPr>
                    <w:t>季度1</w:t>
                  </w:r>
                  <w:r>
                    <w:rPr>
                      <w:rFonts w:hint="eastAsia" w:ascii="Times New Roman" w:hAnsi="Times New Roman" w:eastAsia="宋体" w:cs="Times New Roman"/>
                      <w:color w:val="auto"/>
                      <w:highlight w:val="none"/>
                      <w:lang w:val="en-US" w:eastAsia="zh-CN"/>
                    </w:rPr>
                    <w:t>次</w:t>
                  </w:r>
                  <w:r>
                    <w:rPr>
                      <w:rFonts w:hint="eastAsia" w:ascii="Times New Roman" w:cs="Times New Roman"/>
                      <w:color w:val="auto"/>
                      <w:highlight w:val="none"/>
                      <w:lang w:val="en-US" w:eastAsia="zh-CN"/>
                    </w:rPr>
                    <w:t>。</w:t>
                  </w:r>
                </w:p>
              </w:tc>
              <w:tc>
                <w:tcPr>
                  <w:tcW w:w="851"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w:t>
                  </w:r>
                </w:p>
              </w:tc>
              <w:tc>
                <w:tcPr>
                  <w:tcW w:w="92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各供热点</w:t>
                  </w:r>
                  <w:r>
                    <w:rPr>
                      <w:rFonts w:hint="eastAsia" w:ascii="Times New Roman" w:hAnsi="Times New Roman" w:eastAsia="宋体" w:cs="Times New Roman"/>
                      <w:color w:val="auto"/>
                      <w:highlight w:val="none"/>
                      <w:lang w:val="en-US" w:eastAsia="zh-CN"/>
                    </w:rPr>
                    <w:t>厂界外</w:t>
                  </w:r>
                  <w:r>
                    <w:rPr>
                      <w:rFonts w:hint="eastAsia" w:ascii="Times New Roman" w:cs="Times New Roman"/>
                      <w:color w:val="auto"/>
                      <w:highlight w:val="none"/>
                      <w:lang w:val="en-US" w:eastAsia="zh-CN"/>
                    </w:rPr>
                    <w:t>东、西、南、北</w:t>
                  </w:r>
                  <w:r>
                    <w:rPr>
                      <w:rFonts w:hint="eastAsia" w:ascii="Times New Roman" w:hAnsi="Times New Roman" w:eastAsia="宋体" w:cs="Times New Roman"/>
                      <w:color w:val="auto"/>
                      <w:highlight w:val="none"/>
                      <w:lang w:val="en-US" w:eastAsia="zh-CN"/>
                    </w:rPr>
                    <w:t>四个监测点</w:t>
                  </w:r>
                </w:p>
              </w:tc>
              <w:tc>
                <w:tcPr>
                  <w:tcW w:w="142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等效连续A声级</w:t>
                  </w:r>
                </w:p>
              </w:tc>
              <w:tc>
                <w:tcPr>
                  <w:tcW w:w="142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验收时监测一次，监测</w:t>
                  </w:r>
                  <w:r>
                    <w:rPr>
                      <w:rFonts w:hint="eastAsia" w:ascii="Times New Roman"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天，昼间</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夜间各测1次</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以后每季度监测1次</w:t>
                  </w:r>
                  <w:r>
                    <w:rPr>
                      <w:rFonts w:hint="eastAsia" w:ascii="Times New Roman" w:cs="Times New Roman"/>
                      <w:color w:val="auto"/>
                      <w:highlight w:val="none"/>
                      <w:lang w:val="en-US" w:eastAsia="zh-CN"/>
                    </w:rPr>
                    <w:t>。</w:t>
                  </w:r>
                </w:p>
              </w:tc>
              <w:tc>
                <w:tcPr>
                  <w:tcW w:w="851"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r>
          </w:tbl>
          <w:p>
            <w:pPr>
              <w:adjustRightInd w:val="0"/>
              <w:snapToGrid w:val="0"/>
              <w:ind w:firstLine="480" w:firstLineChars="200"/>
              <w:jc w:val="both"/>
              <w:rPr>
                <w:rFonts w:hint="default" w:ascii="Times New Roman" w:hAnsi="Times New Roman" w:eastAsia="宋体" w:cs="Times New Roman"/>
                <w:color w:val="auto"/>
                <w:sz w:val="24"/>
                <w:szCs w:val="24"/>
                <w:highlight w:val="none"/>
                <w:lang w:val="en-US" w:eastAsia="zh-CN"/>
              </w:rPr>
            </w:pPr>
          </w:p>
        </w:tc>
      </w:tr>
    </w:tbl>
    <w:p>
      <w:pPr>
        <w:pStyle w:val="25"/>
        <w:jc w:val="center"/>
        <w:outlineLvl w:val="0"/>
        <w:rPr>
          <w:rFonts w:hint="default" w:ascii="Times New Roman" w:hAnsi="Times New Roman" w:eastAsia="黑体" w:cs="Times New Roman"/>
          <w:b/>
          <w:bCs/>
          <w:color w:val="auto"/>
          <w:kern w:val="44"/>
          <w:sz w:val="30"/>
          <w:szCs w:val="30"/>
          <w:highlight w:val="none"/>
          <w:lang w:val="en-US" w:eastAsia="zh-CN" w:bidi="ar-SA"/>
        </w:rPr>
      </w:pPr>
      <w:r>
        <w:rPr>
          <w:rFonts w:hint="default" w:ascii="Times New Roman" w:hAnsi="Times New Roman" w:cs="Times New Roman"/>
          <w:snapToGrid w:val="0"/>
          <w:color w:val="auto"/>
          <w:highlight w:val="none"/>
        </w:rPr>
        <w:br w:type="page"/>
      </w:r>
      <w:bookmarkStart w:id="15" w:name="_Toc3537"/>
      <w:r>
        <w:rPr>
          <w:rFonts w:hint="default" w:ascii="Times New Roman" w:hAnsi="Times New Roman" w:eastAsia="黑体" w:cs="Times New Roman"/>
          <w:b/>
          <w:bCs/>
          <w:color w:val="auto"/>
          <w:kern w:val="44"/>
          <w:sz w:val="30"/>
          <w:szCs w:val="30"/>
          <w:highlight w:val="none"/>
          <w:lang w:val="en-US" w:eastAsia="zh-CN" w:bidi="ar-SA"/>
        </w:rPr>
        <w:t>六、结论</w:t>
      </w:r>
      <w:bookmarkEnd w:id="15"/>
    </w:p>
    <w:tbl>
      <w:tblPr>
        <w:tblStyle w:val="29"/>
        <w:tblW w:w="94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1" w:hRule="atLeast"/>
          <w:jc w:val="center"/>
        </w:trPr>
        <w:tc>
          <w:tcPr>
            <w:tcW w:w="94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的建设符合国家、地方产业政策，以及相关规划，不涉及自然保护区、风景名胜区、水源保护区等环境敏感区，选址合理。项目运营期产生的废气、废水、噪声、固废等在采取评价提出的相应污染防治措施后，均可得到有效的治理或综合利用，实现达标排放。项目建设对当地环境质量影响较小，符合达标排放、总量控制和不降低当地环境功能的原则要求，符合国家法律法规要求。</w:t>
            </w:r>
          </w:p>
          <w:p>
            <w:pPr>
              <w:autoSpaceDE w:val="0"/>
              <w:autoSpaceDN w:val="0"/>
              <w:adjustRightIn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p>
            <w:pPr>
              <w:autoSpaceDE w:val="0"/>
              <w:autoSpaceDN w:val="0"/>
              <w:adjustRightInd w:val="0"/>
              <w:spacing w:line="360" w:lineRule="auto"/>
              <w:ind w:firstLine="480" w:firstLineChars="200"/>
              <w:rPr>
                <w:rFonts w:hint="default"/>
                <w:color w:val="auto"/>
                <w:sz w:val="24"/>
                <w:szCs w:val="24"/>
                <w:highlight w:val="none"/>
                <w:lang w:val="en-US" w:eastAsia="zh-CN"/>
              </w:rPr>
            </w:pPr>
          </w:p>
          <w:p>
            <w:pPr>
              <w:autoSpaceDE w:val="0"/>
              <w:autoSpaceDN w:val="0"/>
              <w:adjustRightInd w:val="0"/>
              <w:spacing w:line="360" w:lineRule="auto"/>
              <w:ind w:firstLine="480" w:firstLineChars="200"/>
              <w:rPr>
                <w:rFonts w:hint="default"/>
                <w:color w:val="auto"/>
                <w:sz w:val="24"/>
                <w:szCs w:val="24"/>
                <w:highlight w:val="none"/>
                <w:lang w:val="en-US" w:eastAsia="zh-CN"/>
              </w:rPr>
            </w:pPr>
          </w:p>
          <w:p>
            <w:pPr>
              <w:pStyle w:val="16"/>
              <w:rPr>
                <w:rFonts w:hint="default" w:ascii="Times New Roman" w:hAnsi="Times New Roman" w:eastAsia="宋体" w:cs="Times New Roman"/>
                <w:bCs/>
                <w:color w:val="auto"/>
                <w:kern w:val="0"/>
                <w:sz w:val="24"/>
                <w:szCs w:val="24"/>
                <w:highlight w:val="none"/>
                <w:lang w:val="en-US" w:eastAsia="zh-CN" w:bidi="ar-SA"/>
              </w:rPr>
            </w:pPr>
          </w:p>
          <w:p>
            <w:pPr>
              <w:pStyle w:val="16"/>
              <w:rPr>
                <w:rFonts w:hint="default" w:ascii="Times New Roman" w:hAnsi="Times New Roman" w:eastAsia="宋体" w:cs="Times New Roman"/>
                <w:bCs/>
                <w:color w:val="auto"/>
                <w:kern w:val="0"/>
                <w:sz w:val="24"/>
                <w:szCs w:val="24"/>
                <w:highlight w:val="none"/>
                <w:lang w:val="en-US" w:eastAsia="zh-CN" w:bidi="ar-SA"/>
              </w:rPr>
            </w:pPr>
          </w:p>
          <w:p>
            <w:pPr>
              <w:pStyle w:val="16"/>
              <w:rPr>
                <w:rFonts w:hint="default" w:ascii="Times New Roman" w:hAnsi="Times New Roman" w:eastAsia="宋体" w:cs="Times New Roman"/>
                <w:bCs/>
                <w:color w:val="auto"/>
                <w:kern w:val="0"/>
                <w:sz w:val="24"/>
                <w:szCs w:val="24"/>
                <w:highlight w:val="none"/>
                <w:lang w:val="en-US" w:eastAsia="zh-CN" w:bidi="ar-SA"/>
              </w:rPr>
            </w:pPr>
          </w:p>
          <w:p>
            <w:pPr>
              <w:pStyle w:val="16"/>
              <w:rPr>
                <w:rFonts w:hint="default" w:ascii="Times New Roman" w:hAnsi="Times New Roman" w:eastAsia="宋体" w:cs="Times New Roman"/>
                <w:bCs/>
                <w:color w:val="auto"/>
                <w:kern w:val="0"/>
                <w:sz w:val="24"/>
                <w:szCs w:val="24"/>
                <w:highlight w:val="none"/>
                <w:lang w:val="en-US" w:eastAsia="zh-CN" w:bidi="ar-SA"/>
              </w:rPr>
            </w:pPr>
          </w:p>
          <w:p>
            <w:pPr>
              <w:pStyle w:val="16"/>
              <w:rPr>
                <w:rFonts w:hint="default" w:ascii="Times New Roman" w:hAnsi="Times New Roman" w:eastAsia="宋体" w:cs="Times New Roman"/>
                <w:bCs/>
                <w:color w:val="auto"/>
                <w:kern w:val="0"/>
                <w:sz w:val="24"/>
                <w:szCs w:val="24"/>
                <w:highlight w:val="none"/>
                <w:lang w:val="en-US" w:eastAsia="zh-CN" w:bidi="ar-SA"/>
              </w:rPr>
            </w:pPr>
          </w:p>
          <w:p>
            <w:pPr>
              <w:pStyle w:val="16"/>
              <w:rPr>
                <w:rFonts w:hint="default" w:ascii="Times New Roman" w:hAnsi="Times New Roman" w:eastAsia="宋体" w:cs="Times New Roman"/>
                <w:bCs/>
                <w:color w:val="auto"/>
                <w:kern w:val="0"/>
                <w:sz w:val="24"/>
                <w:szCs w:val="24"/>
                <w:highlight w:val="none"/>
                <w:lang w:val="en-US" w:eastAsia="zh-CN" w:bidi="ar-SA"/>
              </w:rPr>
            </w:pPr>
          </w:p>
          <w:p>
            <w:pPr>
              <w:pStyle w:val="16"/>
              <w:ind w:left="0" w:leftChars="0" w:firstLine="0" w:firstLineChars="0"/>
              <w:rPr>
                <w:rFonts w:hint="default" w:ascii="Times New Roman" w:hAnsi="Times New Roman" w:eastAsia="宋体" w:cs="Times New Roman"/>
                <w:bCs/>
                <w:color w:val="auto"/>
                <w:kern w:val="0"/>
                <w:sz w:val="24"/>
                <w:szCs w:val="24"/>
                <w:highlight w:val="none"/>
                <w:lang w:val="en-US" w:eastAsia="zh-CN" w:bidi="ar-SA"/>
              </w:rPr>
            </w:pPr>
          </w:p>
        </w:tc>
      </w:tr>
    </w:tbl>
    <w:p>
      <w:pPr>
        <w:rPr>
          <w:rFonts w:hint="default" w:ascii="Times New Roman" w:hAnsi="Times New Roman" w:eastAsia="黑体" w:cs="Times New Roman"/>
          <w:color w:val="auto"/>
          <w:highlight w:val="none"/>
        </w:rPr>
      </w:pPr>
    </w:p>
    <w:p>
      <w:pPr>
        <w:pStyle w:val="16"/>
        <w:bidi w:val="0"/>
        <w:rPr>
          <w:rFonts w:hint="default"/>
          <w:color w:val="auto"/>
          <w:highlight w:val="none"/>
        </w:rPr>
      </w:pPr>
    </w:p>
    <w:p>
      <w:pPr>
        <w:pStyle w:val="16"/>
        <w:bidi w:val="0"/>
        <w:rPr>
          <w:rFonts w:hint="default"/>
          <w:color w:val="auto"/>
          <w:highlight w:val="none"/>
        </w:rPr>
        <w:sectPr>
          <w:footerReference r:id="rId8" w:type="default"/>
          <w:pgSz w:w="11906" w:h="16838"/>
          <w:pgMar w:top="1304" w:right="1134" w:bottom="1304"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adjustRightInd w:val="0"/>
        <w:snapToGrid w:val="0"/>
        <w:spacing w:before="0" w:beforeAutospacing="0" w:after="0" w:afterAutospacing="0" w:line="648" w:lineRule="auto"/>
        <w:outlineLvl w:val="0"/>
        <w:rPr>
          <w:rFonts w:ascii="黑体" w:hAnsi="黑体" w:eastAsia="黑体"/>
          <w:snapToGrid w:val="0"/>
          <w:color w:val="auto"/>
          <w:sz w:val="32"/>
          <w:szCs w:val="32"/>
          <w:highlight w:val="none"/>
        </w:rPr>
      </w:pPr>
      <w:bookmarkStart w:id="16" w:name="_Toc12055"/>
      <w:r>
        <w:rPr>
          <w:rFonts w:hint="eastAsia" w:ascii="黑体" w:hAnsi="黑体" w:eastAsia="黑体"/>
          <w:snapToGrid w:val="0"/>
          <w:color w:val="auto"/>
          <w:sz w:val="32"/>
          <w:szCs w:val="32"/>
          <w:highlight w:val="none"/>
        </w:rPr>
        <w:t>附表</w:t>
      </w:r>
      <w:bookmarkEnd w:id="16"/>
    </w:p>
    <w:p>
      <w:pPr>
        <w:pStyle w:val="25"/>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auto"/>
          <w:sz w:val="38"/>
          <w:szCs w:val="38"/>
          <w:highlight w:val="none"/>
        </w:rPr>
      </w:pPr>
      <w:bookmarkStart w:id="17" w:name="_Toc15558"/>
      <w:r>
        <w:rPr>
          <w:rFonts w:hint="eastAsia" w:ascii="方正小标宋_GBK" w:hAnsi="黑体" w:eastAsia="方正小标宋_GBK"/>
          <w:snapToGrid w:val="0"/>
          <w:color w:val="auto"/>
          <w:sz w:val="38"/>
          <w:szCs w:val="38"/>
          <w:highlight w:val="none"/>
        </w:rPr>
        <w:t>建设项目污染物排放量汇总表</w:t>
      </w:r>
      <w:bookmarkEnd w:id="17"/>
    </w:p>
    <w:tbl>
      <w:tblPr>
        <w:tblStyle w:val="29"/>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2220"/>
        <w:gridCol w:w="1575"/>
        <w:gridCol w:w="1312"/>
        <w:gridCol w:w="1748"/>
        <w:gridCol w:w="1603"/>
        <w:gridCol w:w="1810"/>
        <w:gridCol w:w="1675"/>
        <w:gridCol w:w="11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tcBorders>
              <w:tl2br w:val="single" w:color="auto" w:sz="4" w:space="0"/>
            </w:tcBorders>
            <w:noWrap w:val="0"/>
            <w:tcMar>
              <w:left w:w="28" w:type="dxa"/>
              <w:right w:w="28" w:type="dxa"/>
            </w:tcMar>
            <w:vAlign w:val="center"/>
          </w:tcPr>
          <w:p>
            <w:pPr>
              <w:pStyle w:val="49"/>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pPr>
              <w:pStyle w:val="49"/>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p>
          <w:p>
            <w:pPr>
              <w:pStyle w:val="49"/>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p>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2220"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575"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312"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现有工程许可排放量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748"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603"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810"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1675"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1188"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vMerge w:val="restart"/>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222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颗粒物</w:t>
            </w:r>
            <w:r>
              <w:rPr>
                <w:rFonts w:hint="eastAsia" w:ascii="Times New Roman" w:cs="Times New Roman"/>
                <w:snapToGrid w:val="0"/>
                <w:color w:val="auto"/>
                <w:kern w:val="21"/>
                <w:sz w:val="21"/>
                <w:szCs w:val="21"/>
                <w:highlight w:val="none"/>
                <w:lang w:val="en-US" w:eastAsia="zh-CN"/>
              </w:rPr>
              <w:t>（有组织）</w:t>
            </w:r>
          </w:p>
        </w:tc>
        <w:tc>
          <w:tcPr>
            <w:tcW w:w="1575"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27.1</w:t>
            </w:r>
            <w:r>
              <w:rPr>
                <w:rFonts w:hint="default" w:ascii="Times New Roman" w:hAnsi="Times New Roman" w:eastAsia="宋体" w:cs="Times New Roman"/>
                <w:snapToGrid w:val="0"/>
                <w:color w:val="auto"/>
                <w:kern w:val="21"/>
                <w:sz w:val="21"/>
                <w:szCs w:val="21"/>
                <w:highlight w:val="none"/>
              </w:rPr>
              <w:t>t/a</w:t>
            </w:r>
          </w:p>
        </w:tc>
        <w:tc>
          <w:tcPr>
            <w:tcW w:w="1810"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color w:val="auto"/>
                <w:sz w:val="21"/>
                <w:szCs w:val="21"/>
                <w:highlight w:val="none"/>
                <w:lang w:val="en-US" w:eastAsia="zh-CN"/>
              </w:rPr>
              <w:t>27.1</w:t>
            </w:r>
            <w:r>
              <w:rPr>
                <w:rFonts w:hint="default" w:ascii="Times New Roman" w:hAnsi="Times New Roman" w:eastAsia="宋体" w:cs="Times New Roman"/>
                <w:snapToGrid w:val="0"/>
                <w:color w:val="auto"/>
                <w:kern w:val="21"/>
                <w:sz w:val="21"/>
                <w:szCs w:val="21"/>
                <w:highlight w:val="none"/>
              </w:rPr>
              <w:t>t/a</w:t>
            </w:r>
          </w:p>
        </w:tc>
        <w:tc>
          <w:tcPr>
            <w:tcW w:w="1188"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+27.1</w:t>
            </w:r>
            <w:r>
              <w:rPr>
                <w:rFonts w:hint="default" w:ascii="Times New Roman" w:hAnsi="Times New Roman" w:eastAsia="宋体" w:cs="Times New Roman"/>
                <w:snapToGrid w:val="0"/>
                <w:color w:val="auto"/>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vMerge w:val="continue"/>
            <w:noWrap w:val="0"/>
            <w:vAlign w:val="center"/>
          </w:tcPr>
          <w:p>
            <w:pPr>
              <w:pStyle w:val="49"/>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222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SO</w:t>
            </w:r>
            <w:r>
              <w:rPr>
                <w:rFonts w:hint="default" w:ascii="Times New Roman" w:hAnsi="Times New Roman" w:eastAsia="宋体" w:cs="Times New Roman"/>
                <w:snapToGrid w:val="0"/>
                <w:color w:val="auto"/>
                <w:kern w:val="21"/>
                <w:sz w:val="21"/>
                <w:szCs w:val="21"/>
                <w:highlight w:val="none"/>
                <w:vertAlign w:val="subscript"/>
                <w:lang w:val="en-US" w:eastAsia="zh-CN"/>
              </w:rPr>
              <w:t>2</w:t>
            </w:r>
          </w:p>
        </w:tc>
        <w:tc>
          <w:tcPr>
            <w:tcW w:w="1575"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31.9</w:t>
            </w:r>
            <w:r>
              <w:rPr>
                <w:rFonts w:hint="default" w:ascii="Times New Roman" w:hAnsi="Times New Roman" w:eastAsia="宋体" w:cs="Times New Roman"/>
                <w:snapToGrid w:val="0"/>
                <w:color w:val="auto"/>
                <w:kern w:val="21"/>
                <w:sz w:val="21"/>
                <w:szCs w:val="21"/>
                <w:highlight w:val="none"/>
              </w:rPr>
              <w:t>t/a</w:t>
            </w:r>
          </w:p>
        </w:tc>
        <w:tc>
          <w:tcPr>
            <w:tcW w:w="1810"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color w:val="auto"/>
                <w:sz w:val="21"/>
                <w:szCs w:val="21"/>
                <w:highlight w:val="none"/>
                <w:lang w:val="en-US" w:eastAsia="zh-CN"/>
              </w:rPr>
              <w:t>31.9</w:t>
            </w:r>
            <w:r>
              <w:rPr>
                <w:rFonts w:hint="default" w:ascii="Times New Roman" w:hAnsi="Times New Roman" w:eastAsia="宋体" w:cs="Times New Roman"/>
                <w:snapToGrid w:val="0"/>
                <w:color w:val="auto"/>
                <w:kern w:val="21"/>
                <w:sz w:val="21"/>
                <w:szCs w:val="21"/>
                <w:highlight w:val="none"/>
              </w:rPr>
              <w:t>t/a</w:t>
            </w:r>
          </w:p>
        </w:tc>
        <w:tc>
          <w:tcPr>
            <w:tcW w:w="1188"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+31.9</w:t>
            </w:r>
            <w:r>
              <w:rPr>
                <w:rFonts w:hint="default" w:ascii="Times New Roman" w:hAnsi="Times New Roman" w:eastAsia="宋体" w:cs="Times New Roman"/>
                <w:snapToGrid w:val="0"/>
                <w:color w:val="auto"/>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42" w:type="dxa"/>
            <w:vMerge w:val="continue"/>
            <w:noWrap w:val="0"/>
            <w:vAlign w:val="center"/>
          </w:tcPr>
          <w:p>
            <w:pPr>
              <w:pStyle w:val="49"/>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222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NO</w:t>
            </w:r>
            <w:r>
              <w:rPr>
                <w:rFonts w:hint="default" w:ascii="Times New Roman" w:hAnsi="Times New Roman" w:eastAsia="宋体" w:cs="Times New Roman"/>
                <w:snapToGrid w:val="0"/>
                <w:color w:val="auto"/>
                <w:kern w:val="21"/>
                <w:sz w:val="21"/>
                <w:szCs w:val="21"/>
                <w:highlight w:val="none"/>
                <w:vertAlign w:val="subscript"/>
                <w:lang w:val="en-US" w:eastAsia="zh-CN"/>
              </w:rPr>
              <w:t>X</w:t>
            </w:r>
          </w:p>
        </w:tc>
        <w:tc>
          <w:tcPr>
            <w:tcW w:w="1575"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95.7</w:t>
            </w:r>
            <w:r>
              <w:rPr>
                <w:rFonts w:hint="default" w:ascii="Times New Roman" w:hAnsi="Times New Roman" w:eastAsia="宋体" w:cs="Times New Roman"/>
                <w:snapToGrid w:val="0"/>
                <w:color w:val="auto"/>
                <w:kern w:val="21"/>
                <w:sz w:val="21"/>
                <w:szCs w:val="21"/>
                <w:highlight w:val="none"/>
              </w:rPr>
              <w:t>t/a</w:t>
            </w:r>
          </w:p>
        </w:tc>
        <w:tc>
          <w:tcPr>
            <w:tcW w:w="1810"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color w:val="auto"/>
                <w:sz w:val="21"/>
                <w:szCs w:val="21"/>
                <w:highlight w:val="none"/>
                <w:lang w:val="en-US" w:eastAsia="zh-CN"/>
              </w:rPr>
              <w:t>95.7</w:t>
            </w:r>
            <w:r>
              <w:rPr>
                <w:rFonts w:hint="default" w:ascii="Times New Roman" w:hAnsi="Times New Roman" w:eastAsia="宋体" w:cs="Times New Roman"/>
                <w:snapToGrid w:val="0"/>
                <w:color w:val="auto"/>
                <w:kern w:val="21"/>
                <w:sz w:val="21"/>
                <w:szCs w:val="21"/>
                <w:highlight w:val="none"/>
              </w:rPr>
              <w:t>t/a</w:t>
            </w:r>
          </w:p>
        </w:tc>
        <w:tc>
          <w:tcPr>
            <w:tcW w:w="1188"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+95.7</w:t>
            </w:r>
            <w:r>
              <w:rPr>
                <w:rFonts w:hint="default" w:ascii="Times New Roman" w:hAnsi="Times New Roman" w:eastAsia="宋体" w:cs="Times New Roman"/>
                <w:snapToGrid w:val="0"/>
                <w:color w:val="auto"/>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vMerge w:val="continue"/>
            <w:noWrap w:val="0"/>
            <w:vAlign w:val="center"/>
          </w:tcPr>
          <w:p>
            <w:pPr>
              <w:pStyle w:val="49"/>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222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颗粒物</w:t>
            </w:r>
            <w:r>
              <w:rPr>
                <w:rFonts w:hint="eastAsia" w:ascii="Times New Roman" w:cs="Times New Roman"/>
                <w:snapToGrid w:val="0"/>
                <w:color w:val="auto"/>
                <w:kern w:val="21"/>
                <w:sz w:val="21"/>
                <w:szCs w:val="21"/>
                <w:highlight w:val="none"/>
                <w:lang w:val="en-US" w:eastAsia="zh-CN"/>
              </w:rPr>
              <w:t>（无组织）</w:t>
            </w:r>
          </w:p>
        </w:tc>
        <w:tc>
          <w:tcPr>
            <w:tcW w:w="1575" w:type="dxa"/>
            <w:noWrap w:val="0"/>
            <w:vAlign w:val="center"/>
          </w:tcPr>
          <w:p>
            <w:pPr>
              <w:spacing w:line="240" w:lineRule="auto"/>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spacing w:line="240" w:lineRule="auto"/>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2.81</w:t>
            </w:r>
            <w:r>
              <w:rPr>
                <w:rFonts w:hint="default" w:ascii="Times New Roman" w:hAnsi="Times New Roman" w:eastAsia="宋体" w:cs="Times New Roman"/>
                <w:snapToGrid w:val="0"/>
                <w:color w:val="auto"/>
                <w:kern w:val="21"/>
                <w:sz w:val="21"/>
                <w:szCs w:val="21"/>
                <w:highlight w:val="none"/>
              </w:rPr>
              <w:t>t/a</w:t>
            </w:r>
          </w:p>
        </w:tc>
        <w:tc>
          <w:tcPr>
            <w:tcW w:w="1810" w:type="dxa"/>
            <w:noWrap w:val="0"/>
            <w:vAlign w:val="center"/>
          </w:tcPr>
          <w:p>
            <w:pPr>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spacing w:line="240" w:lineRule="auto"/>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2.81</w:t>
            </w:r>
            <w:r>
              <w:rPr>
                <w:rFonts w:hint="default" w:ascii="Times New Roman" w:hAnsi="Times New Roman" w:eastAsia="宋体" w:cs="Times New Roman"/>
                <w:snapToGrid w:val="0"/>
                <w:color w:val="auto"/>
                <w:kern w:val="21"/>
                <w:sz w:val="21"/>
                <w:szCs w:val="21"/>
                <w:highlight w:val="none"/>
              </w:rPr>
              <w:t>t/a</w:t>
            </w:r>
          </w:p>
        </w:tc>
        <w:tc>
          <w:tcPr>
            <w:tcW w:w="1188" w:type="dxa"/>
            <w:noWrap w:val="0"/>
            <w:vAlign w:val="center"/>
          </w:tcPr>
          <w:p>
            <w:pPr>
              <w:spacing w:line="240" w:lineRule="auto"/>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+2.81</w:t>
            </w:r>
            <w:r>
              <w:rPr>
                <w:rFonts w:hint="default" w:ascii="Times New Roman" w:hAnsi="Times New Roman" w:eastAsia="宋体" w:cs="Times New Roman"/>
                <w:snapToGrid w:val="0"/>
                <w:color w:val="auto"/>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center"/>
              <w:textAlignment w:val="baseline"/>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废水</w:t>
            </w:r>
          </w:p>
        </w:tc>
        <w:tc>
          <w:tcPr>
            <w:tcW w:w="2220"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baseline"/>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575"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188"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vMerge w:val="restart"/>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一般工业固体废物</w:t>
            </w:r>
          </w:p>
        </w:tc>
        <w:tc>
          <w:tcPr>
            <w:tcW w:w="222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炉渣</w:t>
            </w:r>
          </w:p>
        </w:tc>
        <w:tc>
          <w:tcPr>
            <w:tcW w:w="1575"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1625.4t/a</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1625.4t/a</w:t>
            </w:r>
          </w:p>
        </w:tc>
        <w:tc>
          <w:tcPr>
            <w:tcW w:w="1188"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r>
              <w:rPr>
                <w:rFonts w:hint="default" w:ascii="Times New Roman" w:hAnsi="Times New Roman" w:eastAsia="宋体" w:cs="Times New Roman"/>
                <w:snapToGrid w:val="0"/>
                <w:color w:val="auto"/>
                <w:kern w:val="21"/>
                <w:sz w:val="21"/>
                <w:szCs w:val="21"/>
                <w:highlight w:val="none"/>
                <w:lang w:val="en-US" w:eastAsia="zh-CN"/>
              </w:rPr>
              <w:t>1625.4t/a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42" w:type="dxa"/>
            <w:vMerge w:val="continue"/>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2220"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除尘灰</w:t>
            </w:r>
          </w:p>
        </w:tc>
        <w:tc>
          <w:tcPr>
            <w:tcW w:w="1575" w:type="dxa"/>
            <w:noWrap w:val="0"/>
            <w:vAlign w:val="center"/>
          </w:tcPr>
          <w:p>
            <w:pPr>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3503.6t/a</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3503.6t/a</w:t>
            </w:r>
          </w:p>
        </w:tc>
        <w:tc>
          <w:tcPr>
            <w:tcW w:w="1188"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+3503.6t/a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vMerge w:val="continue"/>
            <w:noWrap w:val="0"/>
            <w:vAlign w:val="center"/>
          </w:tcPr>
          <w:p>
            <w:pPr>
              <w:pStyle w:val="49"/>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222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生物质燃料废包装袋</w:t>
            </w:r>
          </w:p>
        </w:tc>
        <w:tc>
          <w:tcPr>
            <w:tcW w:w="1575" w:type="dxa"/>
            <w:noWrap w:val="0"/>
            <w:vAlign w:val="center"/>
          </w:tcPr>
          <w:p>
            <w:pPr>
              <w:spacing w:beforeLines="0" w:afterLines="0" w:line="240" w:lineRule="auto"/>
              <w:ind w:left="0" w:leftChars="0" w:firstLine="0" w:firstLineChars="0"/>
              <w:jc w:val="center"/>
              <w:rPr>
                <w:rFonts w:hint="default" w:asci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187t/a</w:t>
            </w:r>
          </w:p>
        </w:tc>
        <w:tc>
          <w:tcPr>
            <w:tcW w:w="1810" w:type="dxa"/>
            <w:noWrap w:val="0"/>
            <w:vAlign w:val="center"/>
          </w:tcPr>
          <w:p>
            <w:pPr>
              <w:spacing w:beforeLines="0" w:afterLines="0" w:line="240" w:lineRule="auto"/>
              <w:ind w:left="0" w:leftChars="0" w:firstLine="0" w:firstLineChars="0"/>
              <w:jc w:val="center"/>
              <w:rPr>
                <w:rFonts w:hint="default" w:asci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675"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187t/a</w:t>
            </w:r>
          </w:p>
        </w:tc>
        <w:tc>
          <w:tcPr>
            <w:tcW w:w="1188"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r>
              <w:rPr>
                <w:rFonts w:hint="eastAsia" w:ascii="Times New Roman" w:cs="Times New Roman"/>
                <w:snapToGrid w:val="0"/>
                <w:color w:val="auto"/>
                <w:kern w:val="21"/>
                <w:sz w:val="21"/>
                <w:szCs w:val="21"/>
                <w:highlight w:val="none"/>
                <w:lang w:val="en-US" w:eastAsia="zh-CN"/>
              </w:rPr>
              <w:t>187t/a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vMerge w:val="continue"/>
            <w:noWrap w:val="0"/>
            <w:vAlign w:val="center"/>
          </w:tcPr>
          <w:p>
            <w:pPr>
              <w:pStyle w:val="49"/>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222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废离子交换树脂</w:t>
            </w:r>
          </w:p>
        </w:tc>
        <w:tc>
          <w:tcPr>
            <w:tcW w:w="1575"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1.1t/a</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1.1t/a</w:t>
            </w:r>
          </w:p>
        </w:tc>
        <w:tc>
          <w:tcPr>
            <w:tcW w:w="1188"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r>
              <w:rPr>
                <w:rFonts w:hint="default" w:ascii="Times New Roman" w:hAnsi="Times New Roman" w:eastAsia="宋体" w:cs="Times New Roman"/>
                <w:snapToGrid w:val="0"/>
                <w:color w:val="auto"/>
                <w:kern w:val="21"/>
                <w:sz w:val="21"/>
                <w:szCs w:val="21"/>
                <w:highlight w:val="none"/>
                <w:lang w:val="en-US" w:eastAsia="zh-CN"/>
              </w:rPr>
              <w:t>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noWrap w:val="0"/>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危险废物</w:t>
            </w:r>
          </w:p>
        </w:tc>
        <w:tc>
          <w:tcPr>
            <w:tcW w:w="222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废机油</w:t>
            </w:r>
          </w:p>
        </w:tc>
        <w:tc>
          <w:tcPr>
            <w:tcW w:w="1575" w:type="dxa"/>
            <w:noWrap w:val="0"/>
            <w:vAlign w:val="center"/>
          </w:tcPr>
          <w:p>
            <w:pPr>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0.3t/a</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0.3t/a</w:t>
            </w:r>
          </w:p>
        </w:tc>
        <w:tc>
          <w:tcPr>
            <w:tcW w:w="1188"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+0.3t/a</w:t>
            </w:r>
          </w:p>
        </w:tc>
      </w:tr>
    </w:tbl>
    <w:p>
      <w:pPr>
        <w:pStyle w:val="49"/>
        <w:spacing w:before="192" w:beforeLines="80" w:after="24"/>
        <w:jc w:val="left"/>
        <w:rPr>
          <w:rFonts w:hint="default"/>
          <w:color w:val="auto"/>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sectPr>
      <w:footerReference r:id="rId9" w:type="default"/>
      <w:pgSz w:w="16838" w:h="11906" w:orient="landscape"/>
      <w:pgMar w:top="1531" w:right="1304" w:bottom="1134" w:left="1304"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Arial Unicode MS">
    <w:altName w:val="Times New Roman"/>
    <w:panose1 w:val="020B0604020202020204"/>
    <w:charset w:val="86"/>
    <w:family w:val="auto"/>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Pi/GgIAACs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GQA+L8aAgAAKwQAAA4AAAAAAAAAAQAgAAAANQEAAGRycy9lMm9Eb2MueG1sUEsFBgAA&#10;AAAGAAYAWQEAAME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wh4D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FsIeAxwCAAArBAAADgAAAAAAAAABACAAAAA1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Style w:val="34"/>
                              <w:rFonts w:ascii="宋体" w:hAnsi="宋体"/>
                              <w:sz w:val="28"/>
                              <w:szCs w:val="28"/>
                            </w:rPr>
                          </w:pPr>
                          <w:r>
                            <w:rPr>
                              <w:rStyle w:val="34"/>
                              <w:rFonts w:hint="eastAsia" w:ascii="宋体" w:hAnsi="宋体"/>
                              <w:sz w:val="28"/>
                              <w:szCs w:val="28"/>
                            </w:rPr>
                            <w:t>—</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6</w:t>
                          </w:r>
                          <w:r>
                            <w:rPr>
                              <w:rFonts w:ascii="宋体" w:hAnsi="宋体"/>
                              <w:sz w:val="26"/>
                              <w:szCs w:val="26"/>
                            </w:rPr>
                            <w:fldChar w:fldCharType="end"/>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CLMQHAIAACk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QizEBwCAAApBAAADgAAAAAAAAABACAAAAA1AQAAZHJzL2Uyb0RvYy54bWxQSwUG&#10;AAAAAAYABgBZAQAAwwUAAAAA&#10;">
              <v:fill on="f" focussize="0,0"/>
              <v:stroke on="f" weight="0.5pt"/>
              <v:imagedata o:title=""/>
              <o:lock v:ext="edit" aspectratio="f"/>
              <v:textbox inset="0mm,0mm,0mm,0mm" style="mso-fit-shape-to-text:t;">
                <w:txbxContent>
                  <w:p>
                    <w:pPr>
                      <w:pStyle w:val="18"/>
                      <w:rPr>
                        <w:rStyle w:val="34"/>
                        <w:rFonts w:ascii="宋体" w:hAnsi="宋体"/>
                        <w:sz w:val="28"/>
                        <w:szCs w:val="28"/>
                      </w:rPr>
                    </w:pPr>
                    <w:r>
                      <w:rPr>
                        <w:rStyle w:val="34"/>
                        <w:rFonts w:hint="eastAsia" w:ascii="宋体" w:hAnsi="宋体"/>
                        <w:sz w:val="28"/>
                        <w:szCs w:val="28"/>
                      </w:rPr>
                      <w:t>—</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6</w:t>
                    </w:r>
                    <w:r>
                      <w:rPr>
                        <w:rFonts w:ascii="宋体" w:hAnsi="宋体"/>
                        <w:sz w:val="26"/>
                        <w:szCs w:val="26"/>
                      </w:rPr>
                      <w:fldChar w:fldCharType="end"/>
                    </w:r>
                    <w:r>
                      <w:rPr>
                        <w:rStyle w:val="34"/>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Style w:val="34"/>
                              <w:rFonts w:ascii="宋体" w:hAnsi="宋体"/>
                              <w:sz w:val="28"/>
                              <w:szCs w:val="28"/>
                            </w:rPr>
                          </w:pPr>
                          <w:r>
                            <w:rPr>
                              <w:rStyle w:val="34"/>
                              <w:rFonts w:hint="eastAsia" w:ascii="宋体" w:hAnsi="宋体"/>
                              <w:sz w:val="28"/>
                              <w:szCs w:val="28"/>
                            </w:rPr>
                            <w:t>—</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18"/>
                      <w:rPr>
                        <w:rStyle w:val="34"/>
                        <w:rFonts w:ascii="宋体" w:hAnsi="宋体"/>
                        <w:sz w:val="28"/>
                        <w:szCs w:val="28"/>
                      </w:rPr>
                    </w:pPr>
                    <w:r>
                      <w:rPr>
                        <w:rStyle w:val="34"/>
                        <w:rFonts w:hint="eastAsia" w:ascii="宋体" w:hAnsi="宋体"/>
                        <w:sz w:val="28"/>
                        <w:szCs w:val="28"/>
                      </w:rPr>
                      <w:t>—</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8"/>
                        <w:szCs w:val="2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10</w:t>
                          </w:r>
                          <w:r>
                            <w:rPr>
                              <w:rStyle w:val="34"/>
                              <w:rFonts w:ascii="宋体" w:hAnsi="宋体"/>
                              <w:sz w:val="26"/>
                              <w:szCs w:val="26"/>
                            </w:rPr>
                            <w:fldChar w:fldCharType="end"/>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cNOGwIAACkEAAAOAAAAAAAAAAEAIAAAADUBAABkcnMvZTJvRG9jLnhtbFBLBQYA&#10;AAAABgAGAFkBAADCBQAAAAA=&#10;">
              <v:fill on="f" focussize="0,0"/>
              <v:stroke on="f" weight="0.5pt"/>
              <v:imagedata o:title=""/>
              <o:lock v:ext="edit" aspectratio="f"/>
              <v:textbox inset="0mm,0mm,0mm,0mm" style="mso-fit-shape-to-text:t;">
                <w:txbxContent>
                  <w:p>
                    <w:pPr>
                      <w:pStyle w:val="18"/>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10</w:t>
                    </w:r>
                    <w:r>
                      <w:rPr>
                        <w:rStyle w:val="34"/>
                        <w:rFonts w:ascii="宋体" w:hAnsi="宋体"/>
                        <w:sz w:val="26"/>
                        <w:szCs w:val="26"/>
                      </w:rPr>
                      <w:fldChar w:fldCharType="end"/>
                    </w:r>
                    <w:r>
                      <w:rPr>
                        <w:rStyle w:val="34"/>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746C90"/>
    <w:multiLevelType w:val="multilevel"/>
    <w:tmpl w:val="FC746C90"/>
    <w:lvl w:ilvl="0" w:tentative="0">
      <w:start w:val="1"/>
      <w:numFmt w:val="decimal"/>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pStyle w:val="4"/>
      <w:lvlText w:val="%1.%2.%3"/>
      <w:lvlJc w:val="left"/>
      <w:pPr>
        <w:tabs>
          <w:tab w:val="left" w:pos="0"/>
        </w:tabs>
        <w:ind w:left="0" w:firstLine="0"/>
      </w:pPr>
      <w:rPr>
        <w:rFonts w:hint="eastAsia"/>
      </w:rPr>
    </w:lvl>
    <w:lvl w:ilvl="3" w:tentative="0">
      <w:start w:val="1"/>
      <w:numFmt w:val="decimal"/>
      <w:lvlText w:val="%1.%2.%3.%4"/>
      <w:lvlJc w:val="left"/>
      <w:pPr>
        <w:tabs>
          <w:tab w:val="left" w:pos="1080"/>
        </w:tabs>
        <w:ind w:left="0" w:firstLine="0"/>
      </w:pPr>
      <w:rPr>
        <w:rFonts w:hint="default" w:ascii="Times New Roman" w:hAnsi="Times New Roman"/>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
    <w:nsid w:val="2B23420C"/>
    <w:multiLevelType w:val="singleLevel"/>
    <w:tmpl w:val="2B23420C"/>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hNmI3ZDUyNWE0MzMxYzgwMTJmMjU2ODk4NDdkZDIifQ=="/>
    <w:docVar w:name="KSO_WPS_MARK_KEY" w:val="7ec8afc8-811b-4499-9481-736295bdbbbb"/>
  </w:docVars>
  <w:rsids>
    <w:rsidRoot w:val="00172A27"/>
    <w:rsid w:val="000060B3"/>
    <w:rsid w:val="00024B76"/>
    <w:rsid w:val="00040FFE"/>
    <w:rsid w:val="00043144"/>
    <w:rsid w:val="0004364B"/>
    <w:rsid w:val="00056A81"/>
    <w:rsid w:val="00061B1F"/>
    <w:rsid w:val="000662BB"/>
    <w:rsid w:val="000733C4"/>
    <w:rsid w:val="00074783"/>
    <w:rsid w:val="00076791"/>
    <w:rsid w:val="0008070B"/>
    <w:rsid w:val="000810AC"/>
    <w:rsid w:val="00081A02"/>
    <w:rsid w:val="00082231"/>
    <w:rsid w:val="00092D38"/>
    <w:rsid w:val="0009377B"/>
    <w:rsid w:val="000A002F"/>
    <w:rsid w:val="000A20C9"/>
    <w:rsid w:val="000B058F"/>
    <w:rsid w:val="000B4467"/>
    <w:rsid w:val="000B46A8"/>
    <w:rsid w:val="000B4DB9"/>
    <w:rsid w:val="000B7F96"/>
    <w:rsid w:val="000C09AC"/>
    <w:rsid w:val="000C767F"/>
    <w:rsid w:val="000D5A44"/>
    <w:rsid w:val="000E3ED2"/>
    <w:rsid w:val="00104720"/>
    <w:rsid w:val="00131F42"/>
    <w:rsid w:val="001357F1"/>
    <w:rsid w:val="00140D84"/>
    <w:rsid w:val="00140FA8"/>
    <w:rsid w:val="0014280D"/>
    <w:rsid w:val="00142FEB"/>
    <w:rsid w:val="00143A2D"/>
    <w:rsid w:val="00145A41"/>
    <w:rsid w:val="00151675"/>
    <w:rsid w:val="001570FF"/>
    <w:rsid w:val="00157435"/>
    <w:rsid w:val="0017504D"/>
    <w:rsid w:val="0017671A"/>
    <w:rsid w:val="00177422"/>
    <w:rsid w:val="00184590"/>
    <w:rsid w:val="001870D1"/>
    <w:rsid w:val="0018781E"/>
    <w:rsid w:val="00191BF8"/>
    <w:rsid w:val="0019262D"/>
    <w:rsid w:val="001A1B35"/>
    <w:rsid w:val="001A48A2"/>
    <w:rsid w:val="001A6F61"/>
    <w:rsid w:val="001B72B8"/>
    <w:rsid w:val="001C048E"/>
    <w:rsid w:val="001C69B3"/>
    <w:rsid w:val="001D5595"/>
    <w:rsid w:val="001D7874"/>
    <w:rsid w:val="001D7E48"/>
    <w:rsid w:val="001D7F22"/>
    <w:rsid w:val="001F0F17"/>
    <w:rsid w:val="001F3347"/>
    <w:rsid w:val="001F69E4"/>
    <w:rsid w:val="001F7F7E"/>
    <w:rsid w:val="00207188"/>
    <w:rsid w:val="002125B4"/>
    <w:rsid w:val="002155B8"/>
    <w:rsid w:val="00222F92"/>
    <w:rsid w:val="00224839"/>
    <w:rsid w:val="002249B2"/>
    <w:rsid w:val="00226574"/>
    <w:rsid w:val="002278EC"/>
    <w:rsid w:val="0023280E"/>
    <w:rsid w:val="002377D1"/>
    <w:rsid w:val="002506BC"/>
    <w:rsid w:val="00254345"/>
    <w:rsid w:val="0026133E"/>
    <w:rsid w:val="00262236"/>
    <w:rsid w:val="00264557"/>
    <w:rsid w:val="002805AB"/>
    <w:rsid w:val="00284204"/>
    <w:rsid w:val="00291773"/>
    <w:rsid w:val="002A168C"/>
    <w:rsid w:val="002A3DC7"/>
    <w:rsid w:val="002B49E2"/>
    <w:rsid w:val="002B742A"/>
    <w:rsid w:val="002B7B00"/>
    <w:rsid w:val="002B7C44"/>
    <w:rsid w:val="002C2B17"/>
    <w:rsid w:val="002D3DD0"/>
    <w:rsid w:val="002E1F3A"/>
    <w:rsid w:val="002E298A"/>
    <w:rsid w:val="00301978"/>
    <w:rsid w:val="0030332C"/>
    <w:rsid w:val="003051C2"/>
    <w:rsid w:val="00312296"/>
    <w:rsid w:val="0031380D"/>
    <w:rsid w:val="00314F0E"/>
    <w:rsid w:val="00321D8E"/>
    <w:rsid w:val="0032561E"/>
    <w:rsid w:val="00325928"/>
    <w:rsid w:val="00327CB1"/>
    <w:rsid w:val="00332863"/>
    <w:rsid w:val="0033684D"/>
    <w:rsid w:val="00337B42"/>
    <w:rsid w:val="003417C9"/>
    <w:rsid w:val="00341B42"/>
    <w:rsid w:val="0034348F"/>
    <w:rsid w:val="00356653"/>
    <w:rsid w:val="0035743F"/>
    <w:rsid w:val="00357BE2"/>
    <w:rsid w:val="0036170C"/>
    <w:rsid w:val="00366E0F"/>
    <w:rsid w:val="00381040"/>
    <w:rsid w:val="00381A72"/>
    <w:rsid w:val="00384676"/>
    <w:rsid w:val="00390857"/>
    <w:rsid w:val="003A4BF3"/>
    <w:rsid w:val="003B292F"/>
    <w:rsid w:val="003B420D"/>
    <w:rsid w:val="003C28DE"/>
    <w:rsid w:val="003C6C16"/>
    <w:rsid w:val="003D0404"/>
    <w:rsid w:val="003D794D"/>
    <w:rsid w:val="003E3058"/>
    <w:rsid w:val="003E76A9"/>
    <w:rsid w:val="003F0809"/>
    <w:rsid w:val="003F6A8C"/>
    <w:rsid w:val="003F755C"/>
    <w:rsid w:val="00406F01"/>
    <w:rsid w:val="004134EC"/>
    <w:rsid w:val="00416D50"/>
    <w:rsid w:val="00416FD5"/>
    <w:rsid w:val="00417772"/>
    <w:rsid w:val="00420E6A"/>
    <w:rsid w:val="00423C6D"/>
    <w:rsid w:val="0042535C"/>
    <w:rsid w:val="00425A9E"/>
    <w:rsid w:val="00426D6B"/>
    <w:rsid w:val="00431E6C"/>
    <w:rsid w:val="00433CE7"/>
    <w:rsid w:val="00452738"/>
    <w:rsid w:val="00456091"/>
    <w:rsid w:val="00466321"/>
    <w:rsid w:val="00484B9B"/>
    <w:rsid w:val="004855F6"/>
    <w:rsid w:val="00485969"/>
    <w:rsid w:val="0048661E"/>
    <w:rsid w:val="00494670"/>
    <w:rsid w:val="004A3823"/>
    <w:rsid w:val="004E6946"/>
    <w:rsid w:val="004F1AD8"/>
    <w:rsid w:val="005039CB"/>
    <w:rsid w:val="0050558F"/>
    <w:rsid w:val="00506286"/>
    <w:rsid w:val="0050638A"/>
    <w:rsid w:val="00510813"/>
    <w:rsid w:val="00511990"/>
    <w:rsid w:val="00511DE0"/>
    <w:rsid w:val="00514870"/>
    <w:rsid w:val="00514B9B"/>
    <w:rsid w:val="00517F02"/>
    <w:rsid w:val="00524303"/>
    <w:rsid w:val="005258A2"/>
    <w:rsid w:val="005401AE"/>
    <w:rsid w:val="00542E07"/>
    <w:rsid w:val="00543319"/>
    <w:rsid w:val="00545424"/>
    <w:rsid w:val="00554A7B"/>
    <w:rsid w:val="0055572C"/>
    <w:rsid w:val="0056106A"/>
    <w:rsid w:val="00563274"/>
    <w:rsid w:val="005720AE"/>
    <w:rsid w:val="00586FEC"/>
    <w:rsid w:val="00594D77"/>
    <w:rsid w:val="005969E4"/>
    <w:rsid w:val="005A06B7"/>
    <w:rsid w:val="005A1759"/>
    <w:rsid w:val="005A68A7"/>
    <w:rsid w:val="005A7208"/>
    <w:rsid w:val="005D36AB"/>
    <w:rsid w:val="005E0397"/>
    <w:rsid w:val="00617CC3"/>
    <w:rsid w:val="006377A6"/>
    <w:rsid w:val="00637A3D"/>
    <w:rsid w:val="006411EF"/>
    <w:rsid w:val="00664977"/>
    <w:rsid w:val="006748B8"/>
    <w:rsid w:val="006775C3"/>
    <w:rsid w:val="0069290A"/>
    <w:rsid w:val="0069775A"/>
    <w:rsid w:val="00697813"/>
    <w:rsid w:val="006A3EE8"/>
    <w:rsid w:val="006A7033"/>
    <w:rsid w:val="006A72BF"/>
    <w:rsid w:val="006B03F2"/>
    <w:rsid w:val="006B31C3"/>
    <w:rsid w:val="006B37DC"/>
    <w:rsid w:val="006B4F68"/>
    <w:rsid w:val="006C0592"/>
    <w:rsid w:val="006C272E"/>
    <w:rsid w:val="006C5479"/>
    <w:rsid w:val="006C72C4"/>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09CF"/>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5D7F"/>
    <w:rsid w:val="008E73D9"/>
    <w:rsid w:val="008E76F0"/>
    <w:rsid w:val="008F15FE"/>
    <w:rsid w:val="008F2D29"/>
    <w:rsid w:val="008F5187"/>
    <w:rsid w:val="008F60D8"/>
    <w:rsid w:val="00902727"/>
    <w:rsid w:val="0090312B"/>
    <w:rsid w:val="0091736D"/>
    <w:rsid w:val="0093037A"/>
    <w:rsid w:val="0094154D"/>
    <w:rsid w:val="0095155F"/>
    <w:rsid w:val="00951FEE"/>
    <w:rsid w:val="00954429"/>
    <w:rsid w:val="009563CE"/>
    <w:rsid w:val="00976328"/>
    <w:rsid w:val="0097680D"/>
    <w:rsid w:val="00982438"/>
    <w:rsid w:val="0098404C"/>
    <w:rsid w:val="00985283"/>
    <w:rsid w:val="00995992"/>
    <w:rsid w:val="00997D30"/>
    <w:rsid w:val="009A03E5"/>
    <w:rsid w:val="009A0F3B"/>
    <w:rsid w:val="009A1BB4"/>
    <w:rsid w:val="009A2628"/>
    <w:rsid w:val="009A3200"/>
    <w:rsid w:val="009B0897"/>
    <w:rsid w:val="009B117B"/>
    <w:rsid w:val="009B7BD9"/>
    <w:rsid w:val="009C7DD5"/>
    <w:rsid w:val="009E227D"/>
    <w:rsid w:val="009E5019"/>
    <w:rsid w:val="00A04F1B"/>
    <w:rsid w:val="00A0501B"/>
    <w:rsid w:val="00A14947"/>
    <w:rsid w:val="00A3128A"/>
    <w:rsid w:val="00A3236E"/>
    <w:rsid w:val="00A32A83"/>
    <w:rsid w:val="00A368DB"/>
    <w:rsid w:val="00A423AA"/>
    <w:rsid w:val="00A53EC6"/>
    <w:rsid w:val="00A55C0F"/>
    <w:rsid w:val="00A641FB"/>
    <w:rsid w:val="00A8713F"/>
    <w:rsid w:val="00A90BA1"/>
    <w:rsid w:val="00A97A9A"/>
    <w:rsid w:val="00AA0671"/>
    <w:rsid w:val="00AA2531"/>
    <w:rsid w:val="00AA3CEC"/>
    <w:rsid w:val="00AA5A06"/>
    <w:rsid w:val="00AB1E09"/>
    <w:rsid w:val="00AB35C0"/>
    <w:rsid w:val="00AB5330"/>
    <w:rsid w:val="00AB7747"/>
    <w:rsid w:val="00AC14CE"/>
    <w:rsid w:val="00AC2A56"/>
    <w:rsid w:val="00AC47C4"/>
    <w:rsid w:val="00AD055E"/>
    <w:rsid w:val="00AD47A7"/>
    <w:rsid w:val="00AF0CBF"/>
    <w:rsid w:val="00AF257F"/>
    <w:rsid w:val="00AF33CF"/>
    <w:rsid w:val="00AF4D50"/>
    <w:rsid w:val="00AF6179"/>
    <w:rsid w:val="00B1295A"/>
    <w:rsid w:val="00B16EDB"/>
    <w:rsid w:val="00B20A45"/>
    <w:rsid w:val="00B20DF2"/>
    <w:rsid w:val="00B22C5C"/>
    <w:rsid w:val="00B24F30"/>
    <w:rsid w:val="00B31ABF"/>
    <w:rsid w:val="00B33BE3"/>
    <w:rsid w:val="00B53B5D"/>
    <w:rsid w:val="00B6055E"/>
    <w:rsid w:val="00B6317D"/>
    <w:rsid w:val="00B7723F"/>
    <w:rsid w:val="00B80534"/>
    <w:rsid w:val="00B8433C"/>
    <w:rsid w:val="00B87491"/>
    <w:rsid w:val="00B95CDD"/>
    <w:rsid w:val="00BA29E9"/>
    <w:rsid w:val="00BA7142"/>
    <w:rsid w:val="00BB237C"/>
    <w:rsid w:val="00BB41A3"/>
    <w:rsid w:val="00BC32DC"/>
    <w:rsid w:val="00BC35B6"/>
    <w:rsid w:val="00BD1B51"/>
    <w:rsid w:val="00BD4596"/>
    <w:rsid w:val="00BE1405"/>
    <w:rsid w:val="00BE312D"/>
    <w:rsid w:val="00BE4879"/>
    <w:rsid w:val="00BE7797"/>
    <w:rsid w:val="00BF1C20"/>
    <w:rsid w:val="00C10578"/>
    <w:rsid w:val="00C12DE3"/>
    <w:rsid w:val="00C135BC"/>
    <w:rsid w:val="00C157B9"/>
    <w:rsid w:val="00C15C95"/>
    <w:rsid w:val="00C2596A"/>
    <w:rsid w:val="00C26EA9"/>
    <w:rsid w:val="00C27537"/>
    <w:rsid w:val="00C328FE"/>
    <w:rsid w:val="00C33507"/>
    <w:rsid w:val="00C36B5B"/>
    <w:rsid w:val="00C4409D"/>
    <w:rsid w:val="00C44E72"/>
    <w:rsid w:val="00C45A06"/>
    <w:rsid w:val="00C47E5B"/>
    <w:rsid w:val="00C50676"/>
    <w:rsid w:val="00C61E4B"/>
    <w:rsid w:val="00C64BFF"/>
    <w:rsid w:val="00C704E9"/>
    <w:rsid w:val="00C763C9"/>
    <w:rsid w:val="00C80057"/>
    <w:rsid w:val="00C82232"/>
    <w:rsid w:val="00C823C4"/>
    <w:rsid w:val="00C82913"/>
    <w:rsid w:val="00C91C98"/>
    <w:rsid w:val="00C972B1"/>
    <w:rsid w:val="00CA2CCE"/>
    <w:rsid w:val="00CA43FD"/>
    <w:rsid w:val="00CA7EEA"/>
    <w:rsid w:val="00CA7EF8"/>
    <w:rsid w:val="00CC4049"/>
    <w:rsid w:val="00CC489B"/>
    <w:rsid w:val="00CD2BCD"/>
    <w:rsid w:val="00CD3A4C"/>
    <w:rsid w:val="00CE10E9"/>
    <w:rsid w:val="00CE2910"/>
    <w:rsid w:val="00CE5393"/>
    <w:rsid w:val="00CF36BE"/>
    <w:rsid w:val="00CF6000"/>
    <w:rsid w:val="00D003F3"/>
    <w:rsid w:val="00D0364F"/>
    <w:rsid w:val="00D06834"/>
    <w:rsid w:val="00D074CA"/>
    <w:rsid w:val="00D24FF0"/>
    <w:rsid w:val="00D308ED"/>
    <w:rsid w:val="00D36D86"/>
    <w:rsid w:val="00D428AA"/>
    <w:rsid w:val="00D50A34"/>
    <w:rsid w:val="00D51667"/>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19E6"/>
    <w:rsid w:val="00E2656A"/>
    <w:rsid w:val="00E412D0"/>
    <w:rsid w:val="00E56322"/>
    <w:rsid w:val="00E60982"/>
    <w:rsid w:val="00E6284A"/>
    <w:rsid w:val="00E62C62"/>
    <w:rsid w:val="00E654C1"/>
    <w:rsid w:val="00E65D97"/>
    <w:rsid w:val="00E72A5A"/>
    <w:rsid w:val="00E73354"/>
    <w:rsid w:val="00E9242D"/>
    <w:rsid w:val="00EB5255"/>
    <w:rsid w:val="00EB5C47"/>
    <w:rsid w:val="00EB7E60"/>
    <w:rsid w:val="00ED0639"/>
    <w:rsid w:val="00EF4755"/>
    <w:rsid w:val="00EF7135"/>
    <w:rsid w:val="00F027DB"/>
    <w:rsid w:val="00F14A7A"/>
    <w:rsid w:val="00F22985"/>
    <w:rsid w:val="00F3383E"/>
    <w:rsid w:val="00F465A7"/>
    <w:rsid w:val="00F46D15"/>
    <w:rsid w:val="00F50B7C"/>
    <w:rsid w:val="00F51543"/>
    <w:rsid w:val="00F550E6"/>
    <w:rsid w:val="00F71411"/>
    <w:rsid w:val="00F74345"/>
    <w:rsid w:val="00F80A0A"/>
    <w:rsid w:val="00F81895"/>
    <w:rsid w:val="00F82B19"/>
    <w:rsid w:val="00F9212D"/>
    <w:rsid w:val="00F965DA"/>
    <w:rsid w:val="00FA406A"/>
    <w:rsid w:val="00FB503A"/>
    <w:rsid w:val="00FB516C"/>
    <w:rsid w:val="00FC3E1B"/>
    <w:rsid w:val="00FD0236"/>
    <w:rsid w:val="00FD18F4"/>
    <w:rsid w:val="00FD54DB"/>
    <w:rsid w:val="00FD619F"/>
    <w:rsid w:val="01064C9A"/>
    <w:rsid w:val="0107317A"/>
    <w:rsid w:val="01080536"/>
    <w:rsid w:val="010B405F"/>
    <w:rsid w:val="010D6029"/>
    <w:rsid w:val="010D7DD7"/>
    <w:rsid w:val="01161381"/>
    <w:rsid w:val="01172A03"/>
    <w:rsid w:val="011F61C5"/>
    <w:rsid w:val="01290F7E"/>
    <w:rsid w:val="0132783D"/>
    <w:rsid w:val="01340C71"/>
    <w:rsid w:val="01341807"/>
    <w:rsid w:val="013637D1"/>
    <w:rsid w:val="013A69C8"/>
    <w:rsid w:val="014063FE"/>
    <w:rsid w:val="01444A6E"/>
    <w:rsid w:val="014A7B12"/>
    <w:rsid w:val="014B7643"/>
    <w:rsid w:val="014D28C9"/>
    <w:rsid w:val="015233E3"/>
    <w:rsid w:val="01527EDF"/>
    <w:rsid w:val="015B4FE6"/>
    <w:rsid w:val="015C2B0C"/>
    <w:rsid w:val="015C77F3"/>
    <w:rsid w:val="015D0D5E"/>
    <w:rsid w:val="015D1E09"/>
    <w:rsid w:val="016025FC"/>
    <w:rsid w:val="01620FE6"/>
    <w:rsid w:val="01627B0A"/>
    <w:rsid w:val="01641C6C"/>
    <w:rsid w:val="0165325A"/>
    <w:rsid w:val="01660C64"/>
    <w:rsid w:val="01695955"/>
    <w:rsid w:val="016A18ED"/>
    <w:rsid w:val="016B5A59"/>
    <w:rsid w:val="016D6AC7"/>
    <w:rsid w:val="01741DF0"/>
    <w:rsid w:val="017842DA"/>
    <w:rsid w:val="017B7436"/>
    <w:rsid w:val="017D31AE"/>
    <w:rsid w:val="017D3DE0"/>
    <w:rsid w:val="017D5B11"/>
    <w:rsid w:val="01802A82"/>
    <w:rsid w:val="018502B5"/>
    <w:rsid w:val="01864F88"/>
    <w:rsid w:val="01891B53"/>
    <w:rsid w:val="018A371E"/>
    <w:rsid w:val="018B5B2B"/>
    <w:rsid w:val="018C34AF"/>
    <w:rsid w:val="018F4C90"/>
    <w:rsid w:val="01910A08"/>
    <w:rsid w:val="01912835"/>
    <w:rsid w:val="01995B0E"/>
    <w:rsid w:val="019D73AC"/>
    <w:rsid w:val="019E3125"/>
    <w:rsid w:val="01A434DA"/>
    <w:rsid w:val="01A54788"/>
    <w:rsid w:val="01A60A29"/>
    <w:rsid w:val="01A77E22"/>
    <w:rsid w:val="01AA1AC9"/>
    <w:rsid w:val="01AB24CE"/>
    <w:rsid w:val="01AF0E8E"/>
    <w:rsid w:val="01B34E22"/>
    <w:rsid w:val="01BA256B"/>
    <w:rsid w:val="01BB7833"/>
    <w:rsid w:val="01BD0368"/>
    <w:rsid w:val="01BE7135"/>
    <w:rsid w:val="01C430DB"/>
    <w:rsid w:val="01C51C30"/>
    <w:rsid w:val="01C56903"/>
    <w:rsid w:val="01C901A1"/>
    <w:rsid w:val="01C963F3"/>
    <w:rsid w:val="01CA3CCE"/>
    <w:rsid w:val="01D134FA"/>
    <w:rsid w:val="01D152A8"/>
    <w:rsid w:val="01D35B6E"/>
    <w:rsid w:val="01DB6127"/>
    <w:rsid w:val="01DC72DE"/>
    <w:rsid w:val="01E21263"/>
    <w:rsid w:val="01E2317F"/>
    <w:rsid w:val="01E46377"/>
    <w:rsid w:val="01E925F2"/>
    <w:rsid w:val="01EC3E90"/>
    <w:rsid w:val="01EE5E5A"/>
    <w:rsid w:val="01EF3980"/>
    <w:rsid w:val="01F1594A"/>
    <w:rsid w:val="01F62F61"/>
    <w:rsid w:val="01FB0712"/>
    <w:rsid w:val="01FD539F"/>
    <w:rsid w:val="01FE03EE"/>
    <w:rsid w:val="01FF3BC3"/>
    <w:rsid w:val="020A2568"/>
    <w:rsid w:val="020B544F"/>
    <w:rsid w:val="020B7821"/>
    <w:rsid w:val="020C23F9"/>
    <w:rsid w:val="02107A02"/>
    <w:rsid w:val="021138F7"/>
    <w:rsid w:val="0215299B"/>
    <w:rsid w:val="02185F10"/>
    <w:rsid w:val="022053AE"/>
    <w:rsid w:val="02274812"/>
    <w:rsid w:val="02284B48"/>
    <w:rsid w:val="022D76B5"/>
    <w:rsid w:val="022E26FA"/>
    <w:rsid w:val="02300221"/>
    <w:rsid w:val="02301FCF"/>
    <w:rsid w:val="02317AF5"/>
    <w:rsid w:val="023745B0"/>
    <w:rsid w:val="02492F04"/>
    <w:rsid w:val="024A0BB7"/>
    <w:rsid w:val="024B50E5"/>
    <w:rsid w:val="02510FA0"/>
    <w:rsid w:val="02566FA4"/>
    <w:rsid w:val="02581CAB"/>
    <w:rsid w:val="02583491"/>
    <w:rsid w:val="025A34EF"/>
    <w:rsid w:val="025E6655"/>
    <w:rsid w:val="02624152"/>
    <w:rsid w:val="026659F0"/>
    <w:rsid w:val="02697903"/>
    <w:rsid w:val="026D3D55"/>
    <w:rsid w:val="026D4B83"/>
    <w:rsid w:val="02704AC1"/>
    <w:rsid w:val="02742860"/>
    <w:rsid w:val="02783976"/>
    <w:rsid w:val="0281282A"/>
    <w:rsid w:val="02831388"/>
    <w:rsid w:val="028440C8"/>
    <w:rsid w:val="0287392C"/>
    <w:rsid w:val="028944BF"/>
    <w:rsid w:val="02895B83"/>
    <w:rsid w:val="0290474E"/>
    <w:rsid w:val="029702A0"/>
    <w:rsid w:val="029849A8"/>
    <w:rsid w:val="029F0F02"/>
    <w:rsid w:val="02A3561E"/>
    <w:rsid w:val="02A41263"/>
    <w:rsid w:val="02A46519"/>
    <w:rsid w:val="02A66735"/>
    <w:rsid w:val="02A91D81"/>
    <w:rsid w:val="02A97C54"/>
    <w:rsid w:val="02B20C36"/>
    <w:rsid w:val="02B22DEB"/>
    <w:rsid w:val="02B63CEC"/>
    <w:rsid w:val="02B773CC"/>
    <w:rsid w:val="02BD75DA"/>
    <w:rsid w:val="02BE5711"/>
    <w:rsid w:val="02C22436"/>
    <w:rsid w:val="02C26F6C"/>
    <w:rsid w:val="02C37654"/>
    <w:rsid w:val="02C4475B"/>
    <w:rsid w:val="02C46F8D"/>
    <w:rsid w:val="02C75832"/>
    <w:rsid w:val="02C95F7F"/>
    <w:rsid w:val="02CB5C47"/>
    <w:rsid w:val="02CB619B"/>
    <w:rsid w:val="02CD0AE3"/>
    <w:rsid w:val="02E03D37"/>
    <w:rsid w:val="02E64D83"/>
    <w:rsid w:val="02E828A9"/>
    <w:rsid w:val="02E96621"/>
    <w:rsid w:val="02EB05EB"/>
    <w:rsid w:val="02F11C26"/>
    <w:rsid w:val="02F54CB0"/>
    <w:rsid w:val="02F55546"/>
    <w:rsid w:val="02F76012"/>
    <w:rsid w:val="02F80664"/>
    <w:rsid w:val="02F96569"/>
    <w:rsid w:val="02FD39D1"/>
    <w:rsid w:val="02FE0072"/>
    <w:rsid w:val="02FF4F4B"/>
    <w:rsid w:val="030376E3"/>
    <w:rsid w:val="03091C9A"/>
    <w:rsid w:val="030B47EA"/>
    <w:rsid w:val="030D40BE"/>
    <w:rsid w:val="030F42DA"/>
    <w:rsid w:val="03101E00"/>
    <w:rsid w:val="03133EAC"/>
    <w:rsid w:val="03174F3D"/>
    <w:rsid w:val="031A1169"/>
    <w:rsid w:val="031C2553"/>
    <w:rsid w:val="031D4CC0"/>
    <w:rsid w:val="03205B36"/>
    <w:rsid w:val="0323068A"/>
    <w:rsid w:val="03230B08"/>
    <w:rsid w:val="03244264"/>
    <w:rsid w:val="03287A84"/>
    <w:rsid w:val="0329323F"/>
    <w:rsid w:val="032A4DB0"/>
    <w:rsid w:val="032E337A"/>
    <w:rsid w:val="03300D99"/>
    <w:rsid w:val="03305FFE"/>
    <w:rsid w:val="03337C4D"/>
    <w:rsid w:val="03342D0D"/>
    <w:rsid w:val="03367AB9"/>
    <w:rsid w:val="03387A30"/>
    <w:rsid w:val="033A0C2B"/>
    <w:rsid w:val="033B2487"/>
    <w:rsid w:val="033C2BF5"/>
    <w:rsid w:val="033E4BBF"/>
    <w:rsid w:val="03457CFC"/>
    <w:rsid w:val="03474EC0"/>
    <w:rsid w:val="034A5312"/>
    <w:rsid w:val="034B2E38"/>
    <w:rsid w:val="034B5C67"/>
    <w:rsid w:val="034D272E"/>
    <w:rsid w:val="0351517A"/>
    <w:rsid w:val="03576B85"/>
    <w:rsid w:val="03595555"/>
    <w:rsid w:val="035B6526"/>
    <w:rsid w:val="035E3631"/>
    <w:rsid w:val="03634626"/>
    <w:rsid w:val="03652DB5"/>
    <w:rsid w:val="036B74E4"/>
    <w:rsid w:val="036D1000"/>
    <w:rsid w:val="037A0DAA"/>
    <w:rsid w:val="037B196F"/>
    <w:rsid w:val="03802AE2"/>
    <w:rsid w:val="03822CFE"/>
    <w:rsid w:val="03830824"/>
    <w:rsid w:val="038500F8"/>
    <w:rsid w:val="038720C2"/>
    <w:rsid w:val="038A3960"/>
    <w:rsid w:val="03912F41"/>
    <w:rsid w:val="039847FC"/>
    <w:rsid w:val="039E740C"/>
    <w:rsid w:val="03A013D6"/>
    <w:rsid w:val="03A541C7"/>
    <w:rsid w:val="03A67622"/>
    <w:rsid w:val="03AC133C"/>
    <w:rsid w:val="03AC7D7B"/>
    <w:rsid w:val="03AF6896"/>
    <w:rsid w:val="03B60BF9"/>
    <w:rsid w:val="03B82CDC"/>
    <w:rsid w:val="03B94246"/>
    <w:rsid w:val="03BD5AE4"/>
    <w:rsid w:val="03BF0338"/>
    <w:rsid w:val="03C410CC"/>
    <w:rsid w:val="03C774EE"/>
    <w:rsid w:val="03C9340D"/>
    <w:rsid w:val="03CC28C7"/>
    <w:rsid w:val="03D1158F"/>
    <w:rsid w:val="03D66BA6"/>
    <w:rsid w:val="03DA1F52"/>
    <w:rsid w:val="03DE3CAC"/>
    <w:rsid w:val="03DE5A5A"/>
    <w:rsid w:val="03E05C76"/>
    <w:rsid w:val="03E2379C"/>
    <w:rsid w:val="03E30E76"/>
    <w:rsid w:val="03E4682D"/>
    <w:rsid w:val="03E5503B"/>
    <w:rsid w:val="03EA7B21"/>
    <w:rsid w:val="03ED3BD7"/>
    <w:rsid w:val="03ED668B"/>
    <w:rsid w:val="03F434D0"/>
    <w:rsid w:val="03F4702C"/>
    <w:rsid w:val="03FB485E"/>
    <w:rsid w:val="03FC5407"/>
    <w:rsid w:val="03FD0366"/>
    <w:rsid w:val="040000C7"/>
    <w:rsid w:val="04025BED"/>
    <w:rsid w:val="0402607A"/>
    <w:rsid w:val="04073203"/>
    <w:rsid w:val="040C6A6B"/>
    <w:rsid w:val="040E4592"/>
    <w:rsid w:val="0410290D"/>
    <w:rsid w:val="04115E30"/>
    <w:rsid w:val="04180F6C"/>
    <w:rsid w:val="041C655A"/>
    <w:rsid w:val="041F5785"/>
    <w:rsid w:val="04207E21"/>
    <w:rsid w:val="04272627"/>
    <w:rsid w:val="04292378"/>
    <w:rsid w:val="042943D1"/>
    <w:rsid w:val="042C64F2"/>
    <w:rsid w:val="042F62B6"/>
    <w:rsid w:val="0433224A"/>
    <w:rsid w:val="043438CC"/>
    <w:rsid w:val="04441D61"/>
    <w:rsid w:val="04447FB3"/>
    <w:rsid w:val="04450781"/>
    <w:rsid w:val="04481CA8"/>
    <w:rsid w:val="044A09EA"/>
    <w:rsid w:val="044D2168"/>
    <w:rsid w:val="04561A95"/>
    <w:rsid w:val="045A77D7"/>
    <w:rsid w:val="045B70AB"/>
    <w:rsid w:val="045C03C9"/>
    <w:rsid w:val="045E1727"/>
    <w:rsid w:val="045F6B9B"/>
    <w:rsid w:val="046046C1"/>
    <w:rsid w:val="04667D81"/>
    <w:rsid w:val="04714B20"/>
    <w:rsid w:val="04792A48"/>
    <w:rsid w:val="047C1E1B"/>
    <w:rsid w:val="047C774D"/>
    <w:rsid w:val="04806B11"/>
    <w:rsid w:val="048476EC"/>
    <w:rsid w:val="0489208A"/>
    <w:rsid w:val="04892589"/>
    <w:rsid w:val="048B3E34"/>
    <w:rsid w:val="04935E03"/>
    <w:rsid w:val="0495080F"/>
    <w:rsid w:val="04983E5B"/>
    <w:rsid w:val="049E2779"/>
    <w:rsid w:val="049E7161"/>
    <w:rsid w:val="04A13BD4"/>
    <w:rsid w:val="04A33A31"/>
    <w:rsid w:val="04A70542"/>
    <w:rsid w:val="04A87B9C"/>
    <w:rsid w:val="04AB17C9"/>
    <w:rsid w:val="04AB3B8E"/>
    <w:rsid w:val="04B1050B"/>
    <w:rsid w:val="04B25695"/>
    <w:rsid w:val="04BA0275"/>
    <w:rsid w:val="04BC223F"/>
    <w:rsid w:val="04BD469A"/>
    <w:rsid w:val="04BD7D66"/>
    <w:rsid w:val="04C46204"/>
    <w:rsid w:val="04C67606"/>
    <w:rsid w:val="04C8272E"/>
    <w:rsid w:val="04CA4794"/>
    <w:rsid w:val="04CC1D57"/>
    <w:rsid w:val="04D72BD5"/>
    <w:rsid w:val="04DE107D"/>
    <w:rsid w:val="04DE27BE"/>
    <w:rsid w:val="04DF7CDC"/>
    <w:rsid w:val="04E02F22"/>
    <w:rsid w:val="04E43544"/>
    <w:rsid w:val="04E96EDD"/>
    <w:rsid w:val="04EF3F4D"/>
    <w:rsid w:val="04EF43C3"/>
    <w:rsid w:val="04EF6BBB"/>
    <w:rsid w:val="04F05ECE"/>
    <w:rsid w:val="04F55751"/>
    <w:rsid w:val="04FB22CB"/>
    <w:rsid w:val="04FD6775"/>
    <w:rsid w:val="050257AB"/>
    <w:rsid w:val="050339CA"/>
    <w:rsid w:val="050553B0"/>
    <w:rsid w:val="05070A43"/>
    <w:rsid w:val="050B287F"/>
    <w:rsid w:val="050C4613"/>
    <w:rsid w:val="051931EE"/>
    <w:rsid w:val="051D0035"/>
    <w:rsid w:val="052120A3"/>
    <w:rsid w:val="052650B7"/>
    <w:rsid w:val="05281683"/>
    <w:rsid w:val="05290F57"/>
    <w:rsid w:val="052B2F21"/>
    <w:rsid w:val="052E025A"/>
    <w:rsid w:val="053261AC"/>
    <w:rsid w:val="0535476A"/>
    <w:rsid w:val="053D1EC3"/>
    <w:rsid w:val="053D46AF"/>
    <w:rsid w:val="053D722D"/>
    <w:rsid w:val="053E5AFA"/>
    <w:rsid w:val="0540041A"/>
    <w:rsid w:val="05420A2F"/>
    <w:rsid w:val="0543026B"/>
    <w:rsid w:val="05452235"/>
    <w:rsid w:val="054B5371"/>
    <w:rsid w:val="055778F5"/>
    <w:rsid w:val="05587817"/>
    <w:rsid w:val="055A5762"/>
    <w:rsid w:val="055C47AD"/>
    <w:rsid w:val="0560002B"/>
    <w:rsid w:val="0563090D"/>
    <w:rsid w:val="056F1F66"/>
    <w:rsid w:val="057957CF"/>
    <w:rsid w:val="057C7FBC"/>
    <w:rsid w:val="0580326D"/>
    <w:rsid w:val="05810D93"/>
    <w:rsid w:val="05812B41"/>
    <w:rsid w:val="05852631"/>
    <w:rsid w:val="05856B4D"/>
    <w:rsid w:val="058A7C48"/>
    <w:rsid w:val="058D598A"/>
    <w:rsid w:val="059142D1"/>
    <w:rsid w:val="059565ED"/>
    <w:rsid w:val="05974BC3"/>
    <w:rsid w:val="059A6477"/>
    <w:rsid w:val="05A1036E"/>
    <w:rsid w:val="05A351AD"/>
    <w:rsid w:val="05A8111D"/>
    <w:rsid w:val="05AE6DB0"/>
    <w:rsid w:val="05AF3B52"/>
    <w:rsid w:val="05B11678"/>
    <w:rsid w:val="05B42F17"/>
    <w:rsid w:val="05B64EE1"/>
    <w:rsid w:val="05B747B5"/>
    <w:rsid w:val="05C649F8"/>
    <w:rsid w:val="05C94D32"/>
    <w:rsid w:val="05CB7369"/>
    <w:rsid w:val="05D121B1"/>
    <w:rsid w:val="05D215EF"/>
    <w:rsid w:val="05D435B9"/>
    <w:rsid w:val="05D54015"/>
    <w:rsid w:val="05D610DF"/>
    <w:rsid w:val="05D81D2E"/>
    <w:rsid w:val="05D90BCF"/>
    <w:rsid w:val="05E60B66"/>
    <w:rsid w:val="05E82BC0"/>
    <w:rsid w:val="05E86B71"/>
    <w:rsid w:val="05ED6429"/>
    <w:rsid w:val="05F01313"/>
    <w:rsid w:val="05F17AF7"/>
    <w:rsid w:val="05F32CB1"/>
    <w:rsid w:val="05F55FDB"/>
    <w:rsid w:val="05F83EAE"/>
    <w:rsid w:val="05FB0B46"/>
    <w:rsid w:val="06007F0A"/>
    <w:rsid w:val="060403EB"/>
    <w:rsid w:val="06145C04"/>
    <w:rsid w:val="06147E59"/>
    <w:rsid w:val="061A695E"/>
    <w:rsid w:val="061D031B"/>
    <w:rsid w:val="061E21C3"/>
    <w:rsid w:val="06233BF8"/>
    <w:rsid w:val="06255BC2"/>
    <w:rsid w:val="062719DA"/>
    <w:rsid w:val="06294730"/>
    <w:rsid w:val="062F259D"/>
    <w:rsid w:val="06312CD3"/>
    <w:rsid w:val="06314355"/>
    <w:rsid w:val="063555C0"/>
    <w:rsid w:val="0639166E"/>
    <w:rsid w:val="063E7D85"/>
    <w:rsid w:val="06413A68"/>
    <w:rsid w:val="064424ED"/>
    <w:rsid w:val="06484897"/>
    <w:rsid w:val="064C13A1"/>
    <w:rsid w:val="064C75F3"/>
    <w:rsid w:val="06577C79"/>
    <w:rsid w:val="065A1D10"/>
    <w:rsid w:val="065D35AE"/>
    <w:rsid w:val="066305A5"/>
    <w:rsid w:val="066761DB"/>
    <w:rsid w:val="066A1827"/>
    <w:rsid w:val="066B7832"/>
    <w:rsid w:val="066F04FF"/>
    <w:rsid w:val="06732DD2"/>
    <w:rsid w:val="06764670"/>
    <w:rsid w:val="067B0506"/>
    <w:rsid w:val="067B3E97"/>
    <w:rsid w:val="067D602F"/>
    <w:rsid w:val="0680104B"/>
    <w:rsid w:val="06896151"/>
    <w:rsid w:val="0690464C"/>
    <w:rsid w:val="06904BD5"/>
    <w:rsid w:val="06935222"/>
    <w:rsid w:val="069B5E85"/>
    <w:rsid w:val="069D1BFD"/>
    <w:rsid w:val="069E2EA2"/>
    <w:rsid w:val="06A44D39"/>
    <w:rsid w:val="06A765D7"/>
    <w:rsid w:val="06A8638B"/>
    <w:rsid w:val="06A92350"/>
    <w:rsid w:val="06A96734"/>
    <w:rsid w:val="06B119D2"/>
    <w:rsid w:val="06B21E64"/>
    <w:rsid w:val="06B55198"/>
    <w:rsid w:val="06B83EA4"/>
    <w:rsid w:val="06BC416E"/>
    <w:rsid w:val="06C03121"/>
    <w:rsid w:val="06C60C8F"/>
    <w:rsid w:val="06C9225B"/>
    <w:rsid w:val="06D01FD2"/>
    <w:rsid w:val="06D07A72"/>
    <w:rsid w:val="06D505D2"/>
    <w:rsid w:val="06DD024B"/>
    <w:rsid w:val="06DE46EF"/>
    <w:rsid w:val="06E17D3B"/>
    <w:rsid w:val="06E2427B"/>
    <w:rsid w:val="06E3359A"/>
    <w:rsid w:val="06E34CF3"/>
    <w:rsid w:val="06E415DA"/>
    <w:rsid w:val="06ED24D6"/>
    <w:rsid w:val="06F34D00"/>
    <w:rsid w:val="06F71B1B"/>
    <w:rsid w:val="06FD08ED"/>
    <w:rsid w:val="06FF6413"/>
    <w:rsid w:val="07001B6E"/>
    <w:rsid w:val="07013F3A"/>
    <w:rsid w:val="07051C33"/>
    <w:rsid w:val="07056F61"/>
    <w:rsid w:val="07091040"/>
    <w:rsid w:val="07097292"/>
    <w:rsid w:val="071023CF"/>
    <w:rsid w:val="07157AEE"/>
    <w:rsid w:val="07181283"/>
    <w:rsid w:val="071B286D"/>
    <w:rsid w:val="071E1016"/>
    <w:rsid w:val="071E2D3E"/>
    <w:rsid w:val="07202F7E"/>
    <w:rsid w:val="07293586"/>
    <w:rsid w:val="07295285"/>
    <w:rsid w:val="072D0905"/>
    <w:rsid w:val="072D6BE4"/>
    <w:rsid w:val="072E0056"/>
    <w:rsid w:val="07302A71"/>
    <w:rsid w:val="073071A3"/>
    <w:rsid w:val="073267E9"/>
    <w:rsid w:val="07351E35"/>
    <w:rsid w:val="073562D9"/>
    <w:rsid w:val="07366E30"/>
    <w:rsid w:val="07390055"/>
    <w:rsid w:val="07391925"/>
    <w:rsid w:val="073E518E"/>
    <w:rsid w:val="073F2CB4"/>
    <w:rsid w:val="07414C7E"/>
    <w:rsid w:val="074309F6"/>
    <w:rsid w:val="07462294"/>
    <w:rsid w:val="07473CAB"/>
    <w:rsid w:val="07481B68"/>
    <w:rsid w:val="074B3BB2"/>
    <w:rsid w:val="074C1CB6"/>
    <w:rsid w:val="074C413D"/>
    <w:rsid w:val="074D6945"/>
    <w:rsid w:val="075B5D40"/>
    <w:rsid w:val="075F5104"/>
    <w:rsid w:val="07612C2A"/>
    <w:rsid w:val="07630750"/>
    <w:rsid w:val="07636392"/>
    <w:rsid w:val="076444C8"/>
    <w:rsid w:val="07673C49"/>
    <w:rsid w:val="076A2F4C"/>
    <w:rsid w:val="076A334A"/>
    <w:rsid w:val="076A5F83"/>
    <w:rsid w:val="076E065D"/>
    <w:rsid w:val="076E61E5"/>
    <w:rsid w:val="076F5AC2"/>
    <w:rsid w:val="07707311"/>
    <w:rsid w:val="07740BAF"/>
    <w:rsid w:val="07770C56"/>
    <w:rsid w:val="0777244E"/>
    <w:rsid w:val="077C430C"/>
    <w:rsid w:val="077C5CB6"/>
    <w:rsid w:val="078132CC"/>
    <w:rsid w:val="078631AB"/>
    <w:rsid w:val="078678A3"/>
    <w:rsid w:val="078717BB"/>
    <w:rsid w:val="078801B7"/>
    <w:rsid w:val="0788465B"/>
    <w:rsid w:val="07885E68"/>
    <w:rsid w:val="078A03D3"/>
    <w:rsid w:val="078F7797"/>
    <w:rsid w:val="0797489E"/>
    <w:rsid w:val="079C5545"/>
    <w:rsid w:val="079E1F8F"/>
    <w:rsid w:val="079E72F9"/>
    <w:rsid w:val="079E79DA"/>
    <w:rsid w:val="079F09CE"/>
    <w:rsid w:val="07A11279"/>
    <w:rsid w:val="07A1396F"/>
    <w:rsid w:val="07A33243"/>
    <w:rsid w:val="07A82607"/>
    <w:rsid w:val="07A86AAB"/>
    <w:rsid w:val="07AD0042"/>
    <w:rsid w:val="07B216D8"/>
    <w:rsid w:val="07B44062"/>
    <w:rsid w:val="07B54D24"/>
    <w:rsid w:val="07B61779"/>
    <w:rsid w:val="07B74F40"/>
    <w:rsid w:val="07B86906"/>
    <w:rsid w:val="07BC1EFD"/>
    <w:rsid w:val="07BC60B3"/>
    <w:rsid w:val="07BE731A"/>
    <w:rsid w:val="07BF166A"/>
    <w:rsid w:val="07C33244"/>
    <w:rsid w:val="07CD206E"/>
    <w:rsid w:val="07CD358E"/>
    <w:rsid w:val="07D258D6"/>
    <w:rsid w:val="07D659EB"/>
    <w:rsid w:val="07DB356A"/>
    <w:rsid w:val="07E55609"/>
    <w:rsid w:val="07EF0C78"/>
    <w:rsid w:val="07F0645A"/>
    <w:rsid w:val="07F254E4"/>
    <w:rsid w:val="07F468DB"/>
    <w:rsid w:val="07FC577E"/>
    <w:rsid w:val="07FE2703"/>
    <w:rsid w:val="07FE2FEF"/>
    <w:rsid w:val="08055CAB"/>
    <w:rsid w:val="08073659"/>
    <w:rsid w:val="080A5070"/>
    <w:rsid w:val="080C528C"/>
    <w:rsid w:val="080E24B1"/>
    <w:rsid w:val="080F08D8"/>
    <w:rsid w:val="081602AC"/>
    <w:rsid w:val="08195BCA"/>
    <w:rsid w:val="081C5B25"/>
    <w:rsid w:val="081D067A"/>
    <w:rsid w:val="081D3891"/>
    <w:rsid w:val="0822060B"/>
    <w:rsid w:val="082236A5"/>
    <w:rsid w:val="08234384"/>
    <w:rsid w:val="082403C3"/>
    <w:rsid w:val="08273E74"/>
    <w:rsid w:val="08346584"/>
    <w:rsid w:val="08361DC7"/>
    <w:rsid w:val="0837398B"/>
    <w:rsid w:val="08381BDD"/>
    <w:rsid w:val="083B16CD"/>
    <w:rsid w:val="083D71F3"/>
    <w:rsid w:val="08422A5C"/>
    <w:rsid w:val="08450669"/>
    <w:rsid w:val="084573CC"/>
    <w:rsid w:val="084762C4"/>
    <w:rsid w:val="084E1EF7"/>
    <w:rsid w:val="084F3DAD"/>
    <w:rsid w:val="084F5179"/>
    <w:rsid w:val="0854453D"/>
    <w:rsid w:val="085D16E2"/>
    <w:rsid w:val="0862005A"/>
    <w:rsid w:val="08671B3E"/>
    <w:rsid w:val="08687FE8"/>
    <w:rsid w:val="086C5D2B"/>
    <w:rsid w:val="0878022B"/>
    <w:rsid w:val="087D2B5A"/>
    <w:rsid w:val="087D5842"/>
    <w:rsid w:val="087E15BA"/>
    <w:rsid w:val="08810901"/>
    <w:rsid w:val="08822D6C"/>
    <w:rsid w:val="08823C61"/>
    <w:rsid w:val="08843074"/>
    <w:rsid w:val="08844E22"/>
    <w:rsid w:val="088968DD"/>
    <w:rsid w:val="088C017B"/>
    <w:rsid w:val="088E3EF3"/>
    <w:rsid w:val="0895702F"/>
    <w:rsid w:val="08964B56"/>
    <w:rsid w:val="0899559E"/>
    <w:rsid w:val="089A250D"/>
    <w:rsid w:val="089F7EAE"/>
    <w:rsid w:val="08A41020"/>
    <w:rsid w:val="08AE1E9F"/>
    <w:rsid w:val="08BE2679"/>
    <w:rsid w:val="08BF2D87"/>
    <w:rsid w:val="08BF508F"/>
    <w:rsid w:val="08C472A2"/>
    <w:rsid w:val="08C6268F"/>
    <w:rsid w:val="08C6325F"/>
    <w:rsid w:val="08C76FD1"/>
    <w:rsid w:val="08C8335E"/>
    <w:rsid w:val="08CA3497"/>
    <w:rsid w:val="08DC65AB"/>
    <w:rsid w:val="08DD7A49"/>
    <w:rsid w:val="08E15B13"/>
    <w:rsid w:val="08E7715F"/>
    <w:rsid w:val="08EB30F3"/>
    <w:rsid w:val="08EC0C19"/>
    <w:rsid w:val="08EE4992"/>
    <w:rsid w:val="08EE6740"/>
    <w:rsid w:val="08F34730"/>
    <w:rsid w:val="08F71A98"/>
    <w:rsid w:val="08FA6E92"/>
    <w:rsid w:val="08FD4BD5"/>
    <w:rsid w:val="090129D5"/>
    <w:rsid w:val="0902043D"/>
    <w:rsid w:val="090221EB"/>
    <w:rsid w:val="09023F99"/>
    <w:rsid w:val="09067414"/>
    <w:rsid w:val="09067F2D"/>
    <w:rsid w:val="09082B16"/>
    <w:rsid w:val="0908475F"/>
    <w:rsid w:val="090B7057"/>
    <w:rsid w:val="090D12BC"/>
    <w:rsid w:val="091361A6"/>
    <w:rsid w:val="09137F54"/>
    <w:rsid w:val="09150C46"/>
    <w:rsid w:val="09173EE8"/>
    <w:rsid w:val="091C5ED3"/>
    <w:rsid w:val="09207EA3"/>
    <w:rsid w:val="092102A0"/>
    <w:rsid w:val="09212671"/>
    <w:rsid w:val="09216B15"/>
    <w:rsid w:val="092217DD"/>
    <w:rsid w:val="092403B3"/>
    <w:rsid w:val="09282452"/>
    <w:rsid w:val="092B6B72"/>
    <w:rsid w:val="092C1249"/>
    <w:rsid w:val="092C1620"/>
    <w:rsid w:val="092D7243"/>
    <w:rsid w:val="09307AB0"/>
    <w:rsid w:val="093525C0"/>
    <w:rsid w:val="0938012D"/>
    <w:rsid w:val="093A7294"/>
    <w:rsid w:val="093B122A"/>
    <w:rsid w:val="09420839"/>
    <w:rsid w:val="09442803"/>
    <w:rsid w:val="09454AD9"/>
    <w:rsid w:val="0946032A"/>
    <w:rsid w:val="094620D8"/>
    <w:rsid w:val="094963E4"/>
    <w:rsid w:val="094E0B63"/>
    <w:rsid w:val="094F284C"/>
    <w:rsid w:val="09524F20"/>
    <w:rsid w:val="0955056D"/>
    <w:rsid w:val="09576F25"/>
    <w:rsid w:val="095C0538"/>
    <w:rsid w:val="095D17BC"/>
    <w:rsid w:val="09644C54"/>
    <w:rsid w:val="09650DF1"/>
    <w:rsid w:val="09657515"/>
    <w:rsid w:val="09684744"/>
    <w:rsid w:val="096B4234"/>
    <w:rsid w:val="096D4B76"/>
    <w:rsid w:val="097229C9"/>
    <w:rsid w:val="09727371"/>
    <w:rsid w:val="097C01EF"/>
    <w:rsid w:val="097E5D15"/>
    <w:rsid w:val="09811362"/>
    <w:rsid w:val="0983332C"/>
    <w:rsid w:val="09842C00"/>
    <w:rsid w:val="09847B37"/>
    <w:rsid w:val="09860936"/>
    <w:rsid w:val="09864BCA"/>
    <w:rsid w:val="09880F90"/>
    <w:rsid w:val="09891313"/>
    <w:rsid w:val="098A7C0C"/>
    <w:rsid w:val="09931A4E"/>
    <w:rsid w:val="09957BE7"/>
    <w:rsid w:val="09972933"/>
    <w:rsid w:val="09982885"/>
    <w:rsid w:val="0999093F"/>
    <w:rsid w:val="099C43EE"/>
    <w:rsid w:val="09A17F6F"/>
    <w:rsid w:val="09A60DC8"/>
    <w:rsid w:val="09AD7E34"/>
    <w:rsid w:val="09B07E99"/>
    <w:rsid w:val="09B1243B"/>
    <w:rsid w:val="09B27E03"/>
    <w:rsid w:val="09B42894"/>
    <w:rsid w:val="09B47197"/>
    <w:rsid w:val="09B73DAC"/>
    <w:rsid w:val="09B8392D"/>
    <w:rsid w:val="09B93488"/>
    <w:rsid w:val="09BC7FD1"/>
    <w:rsid w:val="09C33699"/>
    <w:rsid w:val="09C37BCC"/>
    <w:rsid w:val="09C92FBF"/>
    <w:rsid w:val="09CA2D09"/>
    <w:rsid w:val="09D73F5D"/>
    <w:rsid w:val="09D771D4"/>
    <w:rsid w:val="09E259C6"/>
    <w:rsid w:val="09E57B43"/>
    <w:rsid w:val="09E675B7"/>
    <w:rsid w:val="09EE394E"/>
    <w:rsid w:val="09EF09C1"/>
    <w:rsid w:val="09EF186E"/>
    <w:rsid w:val="09F064E7"/>
    <w:rsid w:val="09F63AFE"/>
    <w:rsid w:val="09F71624"/>
    <w:rsid w:val="09F77876"/>
    <w:rsid w:val="09F81139"/>
    <w:rsid w:val="09FE04E3"/>
    <w:rsid w:val="0A0106F5"/>
    <w:rsid w:val="0A086AEA"/>
    <w:rsid w:val="0A0B358F"/>
    <w:rsid w:val="0A0C4B88"/>
    <w:rsid w:val="0A0D104C"/>
    <w:rsid w:val="0A0F3137"/>
    <w:rsid w:val="0A116172"/>
    <w:rsid w:val="0A117709"/>
    <w:rsid w:val="0A124C34"/>
    <w:rsid w:val="0A156C56"/>
    <w:rsid w:val="0A164092"/>
    <w:rsid w:val="0A171CC6"/>
    <w:rsid w:val="0A1E12A6"/>
    <w:rsid w:val="0A20501F"/>
    <w:rsid w:val="0A2374CA"/>
    <w:rsid w:val="0A263993"/>
    <w:rsid w:val="0A2D3AC2"/>
    <w:rsid w:val="0A2E2D1E"/>
    <w:rsid w:val="0A2E5621"/>
    <w:rsid w:val="0A2E6DFE"/>
    <w:rsid w:val="0A2E773B"/>
    <w:rsid w:val="0A3221EC"/>
    <w:rsid w:val="0A382368"/>
    <w:rsid w:val="0A3E7253"/>
    <w:rsid w:val="0A427813"/>
    <w:rsid w:val="0A4505E9"/>
    <w:rsid w:val="0A466107"/>
    <w:rsid w:val="0A4B1924"/>
    <w:rsid w:val="0A4C1970"/>
    <w:rsid w:val="0A4E466B"/>
    <w:rsid w:val="0A4F5728"/>
    <w:rsid w:val="0A544CC8"/>
    <w:rsid w:val="0A570314"/>
    <w:rsid w:val="0A592535"/>
    <w:rsid w:val="0A5B1AED"/>
    <w:rsid w:val="0A60178D"/>
    <w:rsid w:val="0A6259AD"/>
    <w:rsid w:val="0A6424AA"/>
    <w:rsid w:val="0A6A0048"/>
    <w:rsid w:val="0A6B1B90"/>
    <w:rsid w:val="0A6E612D"/>
    <w:rsid w:val="0A6F10E3"/>
    <w:rsid w:val="0A717628"/>
    <w:rsid w:val="0A7809B7"/>
    <w:rsid w:val="0A7F14DA"/>
    <w:rsid w:val="0A801619"/>
    <w:rsid w:val="0A8813B3"/>
    <w:rsid w:val="0A8F034D"/>
    <w:rsid w:val="0A922957"/>
    <w:rsid w:val="0A973EF9"/>
    <w:rsid w:val="0AA479FE"/>
    <w:rsid w:val="0AA755DF"/>
    <w:rsid w:val="0AAA4A1A"/>
    <w:rsid w:val="0AAC240E"/>
    <w:rsid w:val="0AAF5E7A"/>
    <w:rsid w:val="0AB539B9"/>
    <w:rsid w:val="0ABA2D7D"/>
    <w:rsid w:val="0ABB2373"/>
    <w:rsid w:val="0AC0410C"/>
    <w:rsid w:val="0AC05D10"/>
    <w:rsid w:val="0AC107E4"/>
    <w:rsid w:val="0AC21C32"/>
    <w:rsid w:val="0AC7549A"/>
    <w:rsid w:val="0ACA0AE6"/>
    <w:rsid w:val="0ACA592C"/>
    <w:rsid w:val="0ACE05D7"/>
    <w:rsid w:val="0ACE6C5F"/>
    <w:rsid w:val="0AD025A1"/>
    <w:rsid w:val="0AD068B6"/>
    <w:rsid w:val="0AD33E3F"/>
    <w:rsid w:val="0AD41965"/>
    <w:rsid w:val="0AD75E27"/>
    <w:rsid w:val="0ADA341F"/>
    <w:rsid w:val="0ADA51CD"/>
    <w:rsid w:val="0AE4116E"/>
    <w:rsid w:val="0AE7038D"/>
    <w:rsid w:val="0AEB532B"/>
    <w:rsid w:val="0AF049F1"/>
    <w:rsid w:val="0AF16BAB"/>
    <w:rsid w:val="0AF33435"/>
    <w:rsid w:val="0AF73FE8"/>
    <w:rsid w:val="0AFA761E"/>
    <w:rsid w:val="0AFB121C"/>
    <w:rsid w:val="0B024724"/>
    <w:rsid w:val="0B091F4A"/>
    <w:rsid w:val="0B0C10FF"/>
    <w:rsid w:val="0B0C64AC"/>
    <w:rsid w:val="0B0E30C9"/>
    <w:rsid w:val="0B0E7A16"/>
    <w:rsid w:val="0B0F1DBE"/>
    <w:rsid w:val="0B112BB9"/>
    <w:rsid w:val="0B120D44"/>
    <w:rsid w:val="0B1526A9"/>
    <w:rsid w:val="0B1A7CC0"/>
    <w:rsid w:val="0B1C3A38"/>
    <w:rsid w:val="0B1D52BE"/>
    <w:rsid w:val="0B1F3A49"/>
    <w:rsid w:val="0B224D72"/>
    <w:rsid w:val="0B245A53"/>
    <w:rsid w:val="0B2918A7"/>
    <w:rsid w:val="0B297F03"/>
    <w:rsid w:val="0B2A4A05"/>
    <w:rsid w:val="0B2E72D7"/>
    <w:rsid w:val="0B301324"/>
    <w:rsid w:val="0B30303F"/>
    <w:rsid w:val="0B325009"/>
    <w:rsid w:val="0B350656"/>
    <w:rsid w:val="0B3D25B6"/>
    <w:rsid w:val="0B402A57"/>
    <w:rsid w:val="0B416FFB"/>
    <w:rsid w:val="0B4728E6"/>
    <w:rsid w:val="0B504060"/>
    <w:rsid w:val="0B505490"/>
    <w:rsid w:val="0B5060D3"/>
    <w:rsid w:val="0B542FDE"/>
    <w:rsid w:val="0B546770"/>
    <w:rsid w:val="0B5C2086"/>
    <w:rsid w:val="0B5F6237"/>
    <w:rsid w:val="0B6902FF"/>
    <w:rsid w:val="0B696551"/>
    <w:rsid w:val="0B6B051B"/>
    <w:rsid w:val="0B6B22C9"/>
    <w:rsid w:val="0B6D2CFE"/>
    <w:rsid w:val="0B6E7177"/>
    <w:rsid w:val="0B6F3063"/>
    <w:rsid w:val="0B6F64A9"/>
    <w:rsid w:val="0B7218AA"/>
    <w:rsid w:val="0B732F2C"/>
    <w:rsid w:val="0B754EF6"/>
    <w:rsid w:val="0B756CA4"/>
    <w:rsid w:val="0B792C38"/>
    <w:rsid w:val="0B7A075E"/>
    <w:rsid w:val="0B7A228F"/>
    <w:rsid w:val="0B7A42BB"/>
    <w:rsid w:val="0B7B12DE"/>
    <w:rsid w:val="0B7C0033"/>
    <w:rsid w:val="0B7F3FC7"/>
    <w:rsid w:val="0B8E420A"/>
    <w:rsid w:val="0B975F80"/>
    <w:rsid w:val="0B993B36"/>
    <w:rsid w:val="0B995089"/>
    <w:rsid w:val="0B997193"/>
    <w:rsid w:val="0B9D03CB"/>
    <w:rsid w:val="0B9D3278"/>
    <w:rsid w:val="0BA35CF2"/>
    <w:rsid w:val="0BA47589"/>
    <w:rsid w:val="0BA74D71"/>
    <w:rsid w:val="0BA94039"/>
    <w:rsid w:val="0BAA52EB"/>
    <w:rsid w:val="0BAB74B5"/>
    <w:rsid w:val="0BB35A1E"/>
    <w:rsid w:val="0BB73761"/>
    <w:rsid w:val="0BB82043"/>
    <w:rsid w:val="0BB91287"/>
    <w:rsid w:val="0BC81863"/>
    <w:rsid w:val="0BCB2D68"/>
    <w:rsid w:val="0BCF0AAA"/>
    <w:rsid w:val="0BD0037E"/>
    <w:rsid w:val="0BD27BF6"/>
    <w:rsid w:val="0BD7170D"/>
    <w:rsid w:val="0BD91BE4"/>
    <w:rsid w:val="0BDB624B"/>
    <w:rsid w:val="0BE1258C"/>
    <w:rsid w:val="0BE744BA"/>
    <w:rsid w:val="0BE8391A"/>
    <w:rsid w:val="0BE91440"/>
    <w:rsid w:val="0BEB51B8"/>
    <w:rsid w:val="0BEC406F"/>
    <w:rsid w:val="0BED2CDE"/>
    <w:rsid w:val="0BEF4CA9"/>
    <w:rsid w:val="0BF12D0A"/>
    <w:rsid w:val="0BF978D5"/>
    <w:rsid w:val="0BFA1670"/>
    <w:rsid w:val="0C012C2E"/>
    <w:rsid w:val="0C0544CC"/>
    <w:rsid w:val="0C0D15D3"/>
    <w:rsid w:val="0C1074BA"/>
    <w:rsid w:val="0C126BE9"/>
    <w:rsid w:val="0C127281"/>
    <w:rsid w:val="0C195225"/>
    <w:rsid w:val="0C1D52BE"/>
    <w:rsid w:val="0C2030B4"/>
    <w:rsid w:val="0C216E2C"/>
    <w:rsid w:val="0C252478"/>
    <w:rsid w:val="0C2661F0"/>
    <w:rsid w:val="0C27283A"/>
    <w:rsid w:val="0C2801BA"/>
    <w:rsid w:val="0C28640C"/>
    <w:rsid w:val="0C2D313D"/>
    <w:rsid w:val="0C2F32F7"/>
    <w:rsid w:val="0C3152C1"/>
    <w:rsid w:val="0C34090D"/>
    <w:rsid w:val="0C341D73"/>
    <w:rsid w:val="0C365F10"/>
    <w:rsid w:val="0C375085"/>
    <w:rsid w:val="0C3B3C7D"/>
    <w:rsid w:val="0C3C5A98"/>
    <w:rsid w:val="0C411B62"/>
    <w:rsid w:val="0C484F25"/>
    <w:rsid w:val="0C4A0131"/>
    <w:rsid w:val="0C4F74F5"/>
    <w:rsid w:val="0C525237"/>
    <w:rsid w:val="0C61387E"/>
    <w:rsid w:val="0C6F3656"/>
    <w:rsid w:val="0C7B02EA"/>
    <w:rsid w:val="0C814EFA"/>
    <w:rsid w:val="0C844853"/>
    <w:rsid w:val="0C8706D4"/>
    <w:rsid w:val="0C887226"/>
    <w:rsid w:val="0C8E2713"/>
    <w:rsid w:val="0C8F1DA9"/>
    <w:rsid w:val="0C915ABC"/>
    <w:rsid w:val="0C9259A5"/>
    <w:rsid w:val="0C937D2A"/>
    <w:rsid w:val="0C970E9C"/>
    <w:rsid w:val="0C9B273A"/>
    <w:rsid w:val="0C9B6BDE"/>
    <w:rsid w:val="0C9E047D"/>
    <w:rsid w:val="0C9F66CF"/>
    <w:rsid w:val="0CA05EF5"/>
    <w:rsid w:val="0CA21D1B"/>
    <w:rsid w:val="0CA36F7D"/>
    <w:rsid w:val="0CA57A5D"/>
    <w:rsid w:val="0CA75583"/>
    <w:rsid w:val="0CA91E8A"/>
    <w:rsid w:val="0CAB2EAE"/>
    <w:rsid w:val="0CAD0542"/>
    <w:rsid w:val="0CAD246E"/>
    <w:rsid w:val="0CAE503E"/>
    <w:rsid w:val="0CB101B0"/>
    <w:rsid w:val="0CBE69DB"/>
    <w:rsid w:val="0CC1397F"/>
    <w:rsid w:val="0CC51DEA"/>
    <w:rsid w:val="0CC954FA"/>
    <w:rsid w:val="0CCA6790"/>
    <w:rsid w:val="0CCA74C4"/>
    <w:rsid w:val="0CCC05AD"/>
    <w:rsid w:val="0CCC323C"/>
    <w:rsid w:val="0CCD21C6"/>
    <w:rsid w:val="0CCE0D62"/>
    <w:rsid w:val="0CCE2B10"/>
    <w:rsid w:val="0CD345CA"/>
    <w:rsid w:val="0CD43E9E"/>
    <w:rsid w:val="0CD67C16"/>
    <w:rsid w:val="0CD81BE1"/>
    <w:rsid w:val="0CDC5CB4"/>
    <w:rsid w:val="0CDD5826"/>
    <w:rsid w:val="0CDF34DF"/>
    <w:rsid w:val="0CE95B9C"/>
    <w:rsid w:val="0CEB1914"/>
    <w:rsid w:val="0CEB3C5B"/>
    <w:rsid w:val="0CEE43AE"/>
    <w:rsid w:val="0CEF6C81"/>
    <w:rsid w:val="0CF50D95"/>
    <w:rsid w:val="0CF6473F"/>
    <w:rsid w:val="0CFE7D06"/>
    <w:rsid w:val="0D053803"/>
    <w:rsid w:val="0D116EA1"/>
    <w:rsid w:val="0D1424ED"/>
    <w:rsid w:val="0D170C7F"/>
    <w:rsid w:val="0D1C7D1F"/>
    <w:rsid w:val="0D1D287A"/>
    <w:rsid w:val="0D1D75F3"/>
    <w:rsid w:val="0D1F511A"/>
    <w:rsid w:val="0D2070E4"/>
    <w:rsid w:val="0D232F82"/>
    <w:rsid w:val="0D24674B"/>
    <w:rsid w:val="0D2646F6"/>
    <w:rsid w:val="0D270472"/>
    <w:rsid w:val="0D307327"/>
    <w:rsid w:val="0D38442D"/>
    <w:rsid w:val="0D3B084B"/>
    <w:rsid w:val="0D3D37F2"/>
    <w:rsid w:val="0D516A14"/>
    <w:rsid w:val="0D523741"/>
    <w:rsid w:val="0D570D57"/>
    <w:rsid w:val="0D5A10F7"/>
    <w:rsid w:val="0D61517E"/>
    <w:rsid w:val="0D621C7D"/>
    <w:rsid w:val="0D643474"/>
    <w:rsid w:val="0D662D48"/>
    <w:rsid w:val="0D682DBC"/>
    <w:rsid w:val="0D682F64"/>
    <w:rsid w:val="0D6979BB"/>
    <w:rsid w:val="0D714896"/>
    <w:rsid w:val="0D726ACC"/>
    <w:rsid w:val="0D7731A8"/>
    <w:rsid w:val="0D780CCE"/>
    <w:rsid w:val="0D7D2B91"/>
    <w:rsid w:val="0D7E2680"/>
    <w:rsid w:val="0D7F205C"/>
    <w:rsid w:val="0D822DA0"/>
    <w:rsid w:val="0D847672"/>
    <w:rsid w:val="0D8E6743"/>
    <w:rsid w:val="0D933D59"/>
    <w:rsid w:val="0D95136C"/>
    <w:rsid w:val="0D961154"/>
    <w:rsid w:val="0DA63A8D"/>
    <w:rsid w:val="0DA815B3"/>
    <w:rsid w:val="0DA9532B"/>
    <w:rsid w:val="0DBE0DD6"/>
    <w:rsid w:val="0DBF4B4E"/>
    <w:rsid w:val="0DBF5597"/>
    <w:rsid w:val="0DC007CB"/>
    <w:rsid w:val="0DC13568"/>
    <w:rsid w:val="0DCB52A1"/>
    <w:rsid w:val="0DCD4649"/>
    <w:rsid w:val="0DCD726B"/>
    <w:rsid w:val="0DCE08EE"/>
    <w:rsid w:val="0DCF4D92"/>
    <w:rsid w:val="0DD16314"/>
    <w:rsid w:val="0DD423A8"/>
    <w:rsid w:val="0DD8076D"/>
    <w:rsid w:val="0DDA520D"/>
    <w:rsid w:val="0DDC16E3"/>
    <w:rsid w:val="0DDC2091"/>
    <w:rsid w:val="0DE34399"/>
    <w:rsid w:val="0DE3555C"/>
    <w:rsid w:val="0DE46363"/>
    <w:rsid w:val="0DE72548"/>
    <w:rsid w:val="0DEA1BCB"/>
    <w:rsid w:val="0DEC4514"/>
    <w:rsid w:val="0DED16BC"/>
    <w:rsid w:val="0DF201AC"/>
    <w:rsid w:val="0DF2640D"/>
    <w:rsid w:val="0DF93BBD"/>
    <w:rsid w:val="0E010CC3"/>
    <w:rsid w:val="0E016F15"/>
    <w:rsid w:val="0E033092"/>
    <w:rsid w:val="0E06452B"/>
    <w:rsid w:val="0E0662D9"/>
    <w:rsid w:val="0E092DED"/>
    <w:rsid w:val="0E0A3BA6"/>
    <w:rsid w:val="0E123DB3"/>
    <w:rsid w:val="0E135CE8"/>
    <w:rsid w:val="0E1429A2"/>
    <w:rsid w:val="0E197DC6"/>
    <w:rsid w:val="0E1E1875"/>
    <w:rsid w:val="0E225B18"/>
    <w:rsid w:val="0E2318B0"/>
    <w:rsid w:val="0E243DCC"/>
    <w:rsid w:val="0E2624D8"/>
    <w:rsid w:val="0E332C71"/>
    <w:rsid w:val="0E340B77"/>
    <w:rsid w:val="0E342E47"/>
    <w:rsid w:val="0E350D1E"/>
    <w:rsid w:val="0E380412"/>
    <w:rsid w:val="0E3837B3"/>
    <w:rsid w:val="0E3A28AF"/>
    <w:rsid w:val="0E43715F"/>
    <w:rsid w:val="0E455054"/>
    <w:rsid w:val="0E4660AC"/>
    <w:rsid w:val="0E4A0E66"/>
    <w:rsid w:val="0E4E441F"/>
    <w:rsid w:val="0E4F2AD9"/>
    <w:rsid w:val="0E5057A5"/>
    <w:rsid w:val="0E512F63"/>
    <w:rsid w:val="0E527771"/>
    <w:rsid w:val="0E594522"/>
    <w:rsid w:val="0E5E2388"/>
    <w:rsid w:val="0E6052E1"/>
    <w:rsid w:val="0E6515C2"/>
    <w:rsid w:val="0E6574A4"/>
    <w:rsid w:val="0E6A3236"/>
    <w:rsid w:val="0E7127E2"/>
    <w:rsid w:val="0E73034D"/>
    <w:rsid w:val="0E843983"/>
    <w:rsid w:val="0E8A2A67"/>
    <w:rsid w:val="0E8F62CF"/>
    <w:rsid w:val="0E975183"/>
    <w:rsid w:val="0E990EFC"/>
    <w:rsid w:val="0E9D6C3E"/>
    <w:rsid w:val="0E9E667F"/>
    <w:rsid w:val="0EA33B28"/>
    <w:rsid w:val="0EAA3109"/>
    <w:rsid w:val="0EAC24AB"/>
    <w:rsid w:val="0EAC6E81"/>
    <w:rsid w:val="0EAD49A7"/>
    <w:rsid w:val="0EB0527E"/>
    <w:rsid w:val="0EB16245"/>
    <w:rsid w:val="0EB21FBD"/>
    <w:rsid w:val="0EB46AF7"/>
    <w:rsid w:val="0EB75826"/>
    <w:rsid w:val="0EBA6971"/>
    <w:rsid w:val="0EBB3568"/>
    <w:rsid w:val="0EC00B7E"/>
    <w:rsid w:val="0EC266A4"/>
    <w:rsid w:val="0EC53BB8"/>
    <w:rsid w:val="0EC56195"/>
    <w:rsid w:val="0ECA484E"/>
    <w:rsid w:val="0ECA573F"/>
    <w:rsid w:val="0ED35847"/>
    <w:rsid w:val="0ED40186"/>
    <w:rsid w:val="0ED4462A"/>
    <w:rsid w:val="0ED85B0E"/>
    <w:rsid w:val="0ED87C76"/>
    <w:rsid w:val="0EDB771E"/>
    <w:rsid w:val="0EDB7766"/>
    <w:rsid w:val="0EEA1757"/>
    <w:rsid w:val="0EED1247"/>
    <w:rsid w:val="0EED500D"/>
    <w:rsid w:val="0EF47EE9"/>
    <w:rsid w:val="0EF56A7A"/>
    <w:rsid w:val="0EF90C6A"/>
    <w:rsid w:val="0EF91050"/>
    <w:rsid w:val="0EFB26BB"/>
    <w:rsid w:val="0EFC4AB0"/>
    <w:rsid w:val="0F024CF3"/>
    <w:rsid w:val="0F040A6B"/>
    <w:rsid w:val="0F042740"/>
    <w:rsid w:val="0F0740B7"/>
    <w:rsid w:val="0F07411D"/>
    <w:rsid w:val="0F0767AD"/>
    <w:rsid w:val="0F0B1337"/>
    <w:rsid w:val="0F0C5B71"/>
    <w:rsid w:val="0F0F5662"/>
    <w:rsid w:val="0F136F00"/>
    <w:rsid w:val="0F13775A"/>
    <w:rsid w:val="0F147E57"/>
    <w:rsid w:val="0F15462A"/>
    <w:rsid w:val="0F182768"/>
    <w:rsid w:val="0F1D1B2D"/>
    <w:rsid w:val="0F211DC6"/>
    <w:rsid w:val="0F2729AB"/>
    <w:rsid w:val="0F292A4C"/>
    <w:rsid w:val="0F2C1D70"/>
    <w:rsid w:val="0F2E3D3A"/>
    <w:rsid w:val="0F3155D8"/>
    <w:rsid w:val="0F351595"/>
    <w:rsid w:val="0F372067"/>
    <w:rsid w:val="0F3B0205"/>
    <w:rsid w:val="0F4510B4"/>
    <w:rsid w:val="0F451C80"/>
    <w:rsid w:val="0F4730E3"/>
    <w:rsid w:val="0F49261F"/>
    <w:rsid w:val="0F4F54E8"/>
    <w:rsid w:val="0F515C7A"/>
    <w:rsid w:val="0F557518"/>
    <w:rsid w:val="0F5A68DD"/>
    <w:rsid w:val="0F5C08A7"/>
    <w:rsid w:val="0F5D461F"/>
    <w:rsid w:val="0F5F45FE"/>
    <w:rsid w:val="0F623FF8"/>
    <w:rsid w:val="0F630CF8"/>
    <w:rsid w:val="0F630FE2"/>
    <w:rsid w:val="0F645921"/>
    <w:rsid w:val="0F647681"/>
    <w:rsid w:val="0F64775C"/>
    <w:rsid w:val="0F672DA8"/>
    <w:rsid w:val="0F6A7299"/>
    <w:rsid w:val="0F713C26"/>
    <w:rsid w:val="0F722BEA"/>
    <w:rsid w:val="0F72448A"/>
    <w:rsid w:val="0F7A2571"/>
    <w:rsid w:val="0F7A6F7F"/>
    <w:rsid w:val="0F7F6343"/>
    <w:rsid w:val="0F8817A6"/>
    <w:rsid w:val="0F8B7748"/>
    <w:rsid w:val="0F8E47D8"/>
    <w:rsid w:val="0F8F52FA"/>
    <w:rsid w:val="0F982A3D"/>
    <w:rsid w:val="0F9A112B"/>
    <w:rsid w:val="0FA516AB"/>
    <w:rsid w:val="0FA576CF"/>
    <w:rsid w:val="0FAC4865"/>
    <w:rsid w:val="0FAD5FC2"/>
    <w:rsid w:val="0FB000EF"/>
    <w:rsid w:val="0FB232E1"/>
    <w:rsid w:val="0FB56209"/>
    <w:rsid w:val="0FB57FB7"/>
    <w:rsid w:val="0FB73D2F"/>
    <w:rsid w:val="0FB87AA7"/>
    <w:rsid w:val="0FBB78C0"/>
    <w:rsid w:val="0FBC7598"/>
    <w:rsid w:val="0FC13D8A"/>
    <w:rsid w:val="0FC369A1"/>
    <w:rsid w:val="0FC4644C"/>
    <w:rsid w:val="0FC72EF5"/>
    <w:rsid w:val="0FC85F3C"/>
    <w:rsid w:val="0FC93A62"/>
    <w:rsid w:val="0FC95811"/>
    <w:rsid w:val="0FCF1650"/>
    <w:rsid w:val="0FD022B3"/>
    <w:rsid w:val="0FD03043"/>
    <w:rsid w:val="0FD838A3"/>
    <w:rsid w:val="0FDB6241"/>
    <w:rsid w:val="0FDD12BC"/>
    <w:rsid w:val="0FDE750E"/>
    <w:rsid w:val="0FDF5034"/>
    <w:rsid w:val="0FE20680"/>
    <w:rsid w:val="0FE616A6"/>
    <w:rsid w:val="0FEC6878"/>
    <w:rsid w:val="0FEE34C9"/>
    <w:rsid w:val="0FFD6EC2"/>
    <w:rsid w:val="0FFE12C4"/>
    <w:rsid w:val="10014FAA"/>
    <w:rsid w:val="1003438D"/>
    <w:rsid w:val="10044A9B"/>
    <w:rsid w:val="100625C1"/>
    <w:rsid w:val="100D3523"/>
    <w:rsid w:val="100D394F"/>
    <w:rsid w:val="100F5E76"/>
    <w:rsid w:val="10142F30"/>
    <w:rsid w:val="10150A56"/>
    <w:rsid w:val="10152804"/>
    <w:rsid w:val="10161464"/>
    <w:rsid w:val="101B661E"/>
    <w:rsid w:val="102071B0"/>
    <w:rsid w:val="10207B26"/>
    <w:rsid w:val="102313C5"/>
    <w:rsid w:val="10233D9F"/>
    <w:rsid w:val="10234F21"/>
    <w:rsid w:val="1025513D"/>
    <w:rsid w:val="10257F06"/>
    <w:rsid w:val="10262C63"/>
    <w:rsid w:val="10282537"/>
    <w:rsid w:val="102B64CB"/>
    <w:rsid w:val="10315DB2"/>
    <w:rsid w:val="10330815"/>
    <w:rsid w:val="1034712E"/>
    <w:rsid w:val="103E7FAD"/>
    <w:rsid w:val="10437371"/>
    <w:rsid w:val="10440F52"/>
    <w:rsid w:val="10456357"/>
    <w:rsid w:val="104650B3"/>
    <w:rsid w:val="104B26C9"/>
    <w:rsid w:val="10507CE0"/>
    <w:rsid w:val="105329F9"/>
    <w:rsid w:val="10563548"/>
    <w:rsid w:val="105A4A17"/>
    <w:rsid w:val="105A4D22"/>
    <w:rsid w:val="105E41AB"/>
    <w:rsid w:val="10646F2A"/>
    <w:rsid w:val="106775B9"/>
    <w:rsid w:val="1068327B"/>
    <w:rsid w:val="106A2B50"/>
    <w:rsid w:val="106C2D6C"/>
    <w:rsid w:val="106D2F64"/>
    <w:rsid w:val="107514F4"/>
    <w:rsid w:val="107734BE"/>
    <w:rsid w:val="107D02DF"/>
    <w:rsid w:val="107D50C7"/>
    <w:rsid w:val="108654B0"/>
    <w:rsid w:val="10881228"/>
    <w:rsid w:val="108A4FA0"/>
    <w:rsid w:val="108C1C01"/>
    <w:rsid w:val="108D261B"/>
    <w:rsid w:val="108E69F2"/>
    <w:rsid w:val="109127D2"/>
    <w:rsid w:val="10973B61"/>
    <w:rsid w:val="10991687"/>
    <w:rsid w:val="109963F5"/>
    <w:rsid w:val="109B53FF"/>
    <w:rsid w:val="109B71AD"/>
    <w:rsid w:val="109C4CD3"/>
    <w:rsid w:val="109D1C1D"/>
    <w:rsid w:val="10A25085"/>
    <w:rsid w:val="10A252C6"/>
    <w:rsid w:val="10A3561D"/>
    <w:rsid w:val="10A53D79"/>
    <w:rsid w:val="10A73DA4"/>
    <w:rsid w:val="10A8538B"/>
    <w:rsid w:val="10AA5642"/>
    <w:rsid w:val="10AB4F16"/>
    <w:rsid w:val="10AB7646"/>
    <w:rsid w:val="10AD0C8E"/>
    <w:rsid w:val="10AD5132"/>
    <w:rsid w:val="10B244F7"/>
    <w:rsid w:val="10B63710"/>
    <w:rsid w:val="10BE6170"/>
    <w:rsid w:val="10C16E77"/>
    <w:rsid w:val="10C21A94"/>
    <w:rsid w:val="10C262BE"/>
    <w:rsid w:val="10CC1912"/>
    <w:rsid w:val="10E02E12"/>
    <w:rsid w:val="10E403DD"/>
    <w:rsid w:val="10EE19D3"/>
    <w:rsid w:val="10EF559C"/>
    <w:rsid w:val="10F10820"/>
    <w:rsid w:val="10F55924"/>
    <w:rsid w:val="10F65A6C"/>
    <w:rsid w:val="10F66AD9"/>
    <w:rsid w:val="10F72816"/>
    <w:rsid w:val="10F845FF"/>
    <w:rsid w:val="1102722C"/>
    <w:rsid w:val="11052878"/>
    <w:rsid w:val="11063E57"/>
    <w:rsid w:val="110F1ED6"/>
    <w:rsid w:val="11124F95"/>
    <w:rsid w:val="11160F29"/>
    <w:rsid w:val="11194576"/>
    <w:rsid w:val="111B128C"/>
    <w:rsid w:val="111C2F7A"/>
    <w:rsid w:val="111D7BC2"/>
    <w:rsid w:val="11203B56"/>
    <w:rsid w:val="112146B5"/>
    <w:rsid w:val="1122653E"/>
    <w:rsid w:val="11254CC9"/>
    <w:rsid w:val="11295949"/>
    <w:rsid w:val="112C42A9"/>
    <w:rsid w:val="11380EA0"/>
    <w:rsid w:val="1139036F"/>
    <w:rsid w:val="113A2D0A"/>
    <w:rsid w:val="11423ACC"/>
    <w:rsid w:val="114415F3"/>
    <w:rsid w:val="114712A4"/>
    <w:rsid w:val="11477335"/>
    <w:rsid w:val="114C0CC2"/>
    <w:rsid w:val="11537A88"/>
    <w:rsid w:val="115D4462"/>
    <w:rsid w:val="11645788"/>
    <w:rsid w:val="1164649D"/>
    <w:rsid w:val="11661393"/>
    <w:rsid w:val="11665CA1"/>
    <w:rsid w:val="11690B00"/>
    <w:rsid w:val="116C5A03"/>
    <w:rsid w:val="116E041E"/>
    <w:rsid w:val="117143B2"/>
    <w:rsid w:val="117239CB"/>
    <w:rsid w:val="117417AC"/>
    <w:rsid w:val="117450BC"/>
    <w:rsid w:val="11752C0E"/>
    <w:rsid w:val="117D5655"/>
    <w:rsid w:val="11812847"/>
    <w:rsid w:val="11821B1D"/>
    <w:rsid w:val="11823EC9"/>
    <w:rsid w:val="118653DE"/>
    <w:rsid w:val="11865D62"/>
    <w:rsid w:val="11867E5D"/>
    <w:rsid w:val="11875983"/>
    <w:rsid w:val="1189391D"/>
    <w:rsid w:val="118E0AC0"/>
    <w:rsid w:val="119360D6"/>
    <w:rsid w:val="119500A0"/>
    <w:rsid w:val="11967974"/>
    <w:rsid w:val="119732D4"/>
    <w:rsid w:val="11990948"/>
    <w:rsid w:val="119B395B"/>
    <w:rsid w:val="11A007F3"/>
    <w:rsid w:val="11A363FA"/>
    <w:rsid w:val="11A542D0"/>
    <w:rsid w:val="11AC53EA"/>
    <w:rsid w:val="11AD363C"/>
    <w:rsid w:val="11AE1162"/>
    <w:rsid w:val="11B06C88"/>
    <w:rsid w:val="11B76D46"/>
    <w:rsid w:val="11C743B8"/>
    <w:rsid w:val="11C75232"/>
    <w:rsid w:val="11CB6D9B"/>
    <w:rsid w:val="11D12970"/>
    <w:rsid w:val="11D566EF"/>
    <w:rsid w:val="11D64215"/>
    <w:rsid w:val="11D72467"/>
    <w:rsid w:val="11D8316D"/>
    <w:rsid w:val="11DB1138"/>
    <w:rsid w:val="11DD1A47"/>
    <w:rsid w:val="11DD37F5"/>
    <w:rsid w:val="11E06E41"/>
    <w:rsid w:val="11E20C66"/>
    <w:rsid w:val="11E22BBA"/>
    <w:rsid w:val="11E76422"/>
    <w:rsid w:val="11EB4164"/>
    <w:rsid w:val="11F11A20"/>
    <w:rsid w:val="11F22C67"/>
    <w:rsid w:val="11F444F3"/>
    <w:rsid w:val="11F748B7"/>
    <w:rsid w:val="11FC011F"/>
    <w:rsid w:val="11FD5C45"/>
    <w:rsid w:val="11FD79F3"/>
    <w:rsid w:val="120945EA"/>
    <w:rsid w:val="120A0125"/>
    <w:rsid w:val="120C2FB6"/>
    <w:rsid w:val="120C7C36"/>
    <w:rsid w:val="120D40DA"/>
    <w:rsid w:val="120E7310"/>
    <w:rsid w:val="121216F1"/>
    <w:rsid w:val="12170AB5"/>
    <w:rsid w:val="12193ED0"/>
    <w:rsid w:val="121A6C9D"/>
    <w:rsid w:val="122236AC"/>
    <w:rsid w:val="12237839"/>
    <w:rsid w:val="12260CF8"/>
    <w:rsid w:val="12282C13"/>
    <w:rsid w:val="12296A3A"/>
    <w:rsid w:val="122B4561"/>
    <w:rsid w:val="12301B77"/>
    <w:rsid w:val="12394ECF"/>
    <w:rsid w:val="12397B9A"/>
    <w:rsid w:val="123F4AC3"/>
    <w:rsid w:val="12411FD6"/>
    <w:rsid w:val="124368C0"/>
    <w:rsid w:val="12442D06"/>
    <w:rsid w:val="12463148"/>
    <w:rsid w:val="12490770"/>
    <w:rsid w:val="12490E8B"/>
    <w:rsid w:val="124B69B1"/>
    <w:rsid w:val="124C01F9"/>
    <w:rsid w:val="124D672D"/>
    <w:rsid w:val="12502219"/>
    <w:rsid w:val="12521AED"/>
    <w:rsid w:val="12553A0D"/>
    <w:rsid w:val="12554148"/>
    <w:rsid w:val="125F245C"/>
    <w:rsid w:val="12603536"/>
    <w:rsid w:val="12635AA8"/>
    <w:rsid w:val="126506ED"/>
    <w:rsid w:val="12650EA1"/>
    <w:rsid w:val="126632EA"/>
    <w:rsid w:val="12696964"/>
    <w:rsid w:val="126A6516"/>
    <w:rsid w:val="126D183B"/>
    <w:rsid w:val="126F6B43"/>
    <w:rsid w:val="127001C5"/>
    <w:rsid w:val="12702B1B"/>
    <w:rsid w:val="12716000"/>
    <w:rsid w:val="12735852"/>
    <w:rsid w:val="12744159"/>
    <w:rsid w:val="12751C80"/>
    <w:rsid w:val="127C1650"/>
    <w:rsid w:val="1280577F"/>
    <w:rsid w:val="1282545E"/>
    <w:rsid w:val="128831B3"/>
    <w:rsid w:val="128A572B"/>
    <w:rsid w:val="128B4FFF"/>
    <w:rsid w:val="128D0D77"/>
    <w:rsid w:val="12966FEF"/>
    <w:rsid w:val="1297226E"/>
    <w:rsid w:val="12A14823"/>
    <w:rsid w:val="12A42674"/>
    <w:rsid w:val="12A5670C"/>
    <w:rsid w:val="12AB1123"/>
    <w:rsid w:val="12B3031F"/>
    <w:rsid w:val="12B66520"/>
    <w:rsid w:val="12B74046"/>
    <w:rsid w:val="12BC340B"/>
    <w:rsid w:val="12BE53D5"/>
    <w:rsid w:val="12C10A21"/>
    <w:rsid w:val="12C56763"/>
    <w:rsid w:val="12CA3D79"/>
    <w:rsid w:val="12CC5D44"/>
    <w:rsid w:val="12CC7AF2"/>
    <w:rsid w:val="12CE4258"/>
    <w:rsid w:val="12CF75E2"/>
    <w:rsid w:val="12D16561"/>
    <w:rsid w:val="12D25E3A"/>
    <w:rsid w:val="12D931DD"/>
    <w:rsid w:val="12DB5F87"/>
    <w:rsid w:val="12DE2F8E"/>
    <w:rsid w:val="12EA5817"/>
    <w:rsid w:val="12EF37E0"/>
    <w:rsid w:val="12EF5DB6"/>
    <w:rsid w:val="12F13FA9"/>
    <w:rsid w:val="12F157AA"/>
    <w:rsid w:val="12F17558"/>
    <w:rsid w:val="12F71409"/>
    <w:rsid w:val="12FB0368"/>
    <w:rsid w:val="12FF1DEA"/>
    <w:rsid w:val="130021CE"/>
    <w:rsid w:val="13021765"/>
    <w:rsid w:val="130510E6"/>
    <w:rsid w:val="13076D7C"/>
    <w:rsid w:val="130956E9"/>
    <w:rsid w:val="130C48FD"/>
    <w:rsid w:val="130C6140"/>
    <w:rsid w:val="13104381"/>
    <w:rsid w:val="13135720"/>
    <w:rsid w:val="131533A4"/>
    <w:rsid w:val="13160D6D"/>
    <w:rsid w:val="131819D1"/>
    <w:rsid w:val="13226D41"/>
    <w:rsid w:val="13257202"/>
    <w:rsid w:val="132606A9"/>
    <w:rsid w:val="13274D28"/>
    <w:rsid w:val="13392CAD"/>
    <w:rsid w:val="133C5927"/>
    <w:rsid w:val="13444D78"/>
    <w:rsid w:val="13447996"/>
    <w:rsid w:val="1349214D"/>
    <w:rsid w:val="13511DA5"/>
    <w:rsid w:val="1354160F"/>
    <w:rsid w:val="135D08E1"/>
    <w:rsid w:val="135E05F8"/>
    <w:rsid w:val="1360648C"/>
    <w:rsid w:val="136222C2"/>
    <w:rsid w:val="13632A7F"/>
    <w:rsid w:val="13673972"/>
    <w:rsid w:val="1367781A"/>
    <w:rsid w:val="136830EA"/>
    <w:rsid w:val="13692CC6"/>
    <w:rsid w:val="13693418"/>
    <w:rsid w:val="136E6DFB"/>
    <w:rsid w:val="137141F5"/>
    <w:rsid w:val="137437FC"/>
    <w:rsid w:val="1381428B"/>
    <w:rsid w:val="1384260C"/>
    <w:rsid w:val="13894FB0"/>
    <w:rsid w:val="138A175B"/>
    <w:rsid w:val="13951726"/>
    <w:rsid w:val="13983E78"/>
    <w:rsid w:val="13A530EA"/>
    <w:rsid w:val="13AA7CF9"/>
    <w:rsid w:val="13AE369B"/>
    <w:rsid w:val="13BC5DB8"/>
    <w:rsid w:val="13BD568C"/>
    <w:rsid w:val="13C20EF5"/>
    <w:rsid w:val="13C61699"/>
    <w:rsid w:val="13C6733E"/>
    <w:rsid w:val="13D218DF"/>
    <w:rsid w:val="13D44784"/>
    <w:rsid w:val="13D604FC"/>
    <w:rsid w:val="13DA623E"/>
    <w:rsid w:val="13DD7ADC"/>
    <w:rsid w:val="13DE7083"/>
    <w:rsid w:val="13E33BA1"/>
    <w:rsid w:val="13EA3712"/>
    <w:rsid w:val="13ED41C3"/>
    <w:rsid w:val="13F217DA"/>
    <w:rsid w:val="13F50CB0"/>
    <w:rsid w:val="13F54E26"/>
    <w:rsid w:val="13F82B68"/>
    <w:rsid w:val="13FA68E0"/>
    <w:rsid w:val="13FD1F2D"/>
    <w:rsid w:val="14012057"/>
    <w:rsid w:val="1404503A"/>
    <w:rsid w:val="14123C2A"/>
    <w:rsid w:val="141D25CF"/>
    <w:rsid w:val="14213E6D"/>
    <w:rsid w:val="14232EA7"/>
    <w:rsid w:val="14270D58"/>
    <w:rsid w:val="14292753"/>
    <w:rsid w:val="142B6AAE"/>
    <w:rsid w:val="142C45C0"/>
    <w:rsid w:val="142E0338"/>
    <w:rsid w:val="142E20E6"/>
    <w:rsid w:val="14302302"/>
    <w:rsid w:val="14357918"/>
    <w:rsid w:val="14382E9D"/>
    <w:rsid w:val="14396509"/>
    <w:rsid w:val="143B0063"/>
    <w:rsid w:val="143C2A55"/>
    <w:rsid w:val="14432035"/>
    <w:rsid w:val="14443339"/>
    <w:rsid w:val="14465682"/>
    <w:rsid w:val="14467430"/>
    <w:rsid w:val="14495172"/>
    <w:rsid w:val="1449732B"/>
    <w:rsid w:val="144A5D9E"/>
    <w:rsid w:val="144B2C98"/>
    <w:rsid w:val="144D3457"/>
    <w:rsid w:val="144E09DA"/>
    <w:rsid w:val="145002AE"/>
    <w:rsid w:val="14522E9A"/>
    <w:rsid w:val="145853B5"/>
    <w:rsid w:val="145E4D9D"/>
    <w:rsid w:val="1461426A"/>
    <w:rsid w:val="14641FAC"/>
    <w:rsid w:val="14664B4D"/>
    <w:rsid w:val="14691B4B"/>
    <w:rsid w:val="147043AB"/>
    <w:rsid w:val="147B4635"/>
    <w:rsid w:val="147F6DE6"/>
    <w:rsid w:val="148250F7"/>
    <w:rsid w:val="148461AA"/>
    <w:rsid w:val="14863CD0"/>
    <w:rsid w:val="14877E44"/>
    <w:rsid w:val="148B578A"/>
    <w:rsid w:val="148B65CA"/>
    <w:rsid w:val="148D0F26"/>
    <w:rsid w:val="1494019C"/>
    <w:rsid w:val="14975EDD"/>
    <w:rsid w:val="149E54BE"/>
    <w:rsid w:val="14A101C1"/>
    <w:rsid w:val="14A64372"/>
    <w:rsid w:val="14A6624F"/>
    <w:rsid w:val="14AD3953"/>
    <w:rsid w:val="14B051F1"/>
    <w:rsid w:val="14B20F69"/>
    <w:rsid w:val="14B46DF2"/>
    <w:rsid w:val="14B7657F"/>
    <w:rsid w:val="14B95E54"/>
    <w:rsid w:val="14BC3C9C"/>
    <w:rsid w:val="14BE16BC"/>
    <w:rsid w:val="14BE346A"/>
    <w:rsid w:val="14C173FE"/>
    <w:rsid w:val="14C91E0F"/>
    <w:rsid w:val="14CB3DD9"/>
    <w:rsid w:val="14D42C8D"/>
    <w:rsid w:val="14D728AA"/>
    <w:rsid w:val="14D7549B"/>
    <w:rsid w:val="14D80A73"/>
    <w:rsid w:val="14DD2C3C"/>
    <w:rsid w:val="14E30B87"/>
    <w:rsid w:val="14E72E6C"/>
    <w:rsid w:val="14ED1FA1"/>
    <w:rsid w:val="14FD1E12"/>
    <w:rsid w:val="14FE335D"/>
    <w:rsid w:val="15086354"/>
    <w:rsid w:val="150F0169"/>
    <w:rsid w:val="15105F02"/>
    <w:rsid w:val="151655EA"/>
    <w:rsid w:val="151C5EFE"/>
    <w:rsid w:val="15206149"/>
    <w:rsid w:val="15233C15"/>
    <w:rsid w:val="152561E1"/>
    <w:rsid w:val="15280A08"/>
    <w:rsid w:val="152971EF"/>
    <w:rsid w:val="152F25BA"/>
    <w:rsid w:val="15396730"/>
    <w:rsid w:val="153C6A85"/>
    <w:rsid w:val="153E27FD"/>
    <w:rsid w:val="154047C7"/>
    <w:rsid w:val="15446DC5"/>
    <w:rsid w:val="154F4A0A"/>
    <w:rsid w:val="154F76E3"/>
    <w:rsid w:val="1552050A"/>
    <w:rsid w:val="15525CE1"/>
    <w:rsid w:val="155740A5"/>
    <w:rsid w:val="15581DBA"/>
    <w:rsid w:val="15597637"/>
    <w:rsid w:val="155E1E3B"/>
    <w:rsid w:val="15634011"/>
    <w:rsid w:val="156707BE"/>
    <w:rsid w:val="156949FF"/>
    <w:rsid w:val="156E637C"/>
    <w:rsid w:val="156F59E5"/>
    <w:rsid w:val="15724254"/>
    <w:rsid w:val="157306F8"/>
    <w:rsid w:val="15752213"/>
    <w:rsid w:val="15774BFD"/>
    <w:rsid w:val="15781ED3"/>
    <w:rsid w:val="1578473F"/>
    <w:rsid w:val="157E38C7"/>
    <w:rsid w:val="157F6419"/>
    <w:rsid w:val="158110C5"/>
    <w:rsid w:val="158457C7"/>
    <w:rsid w:val="158579BF"/>
    <w:rsid w:val="15916DD0"/>
    <w:rsid w:val="1593009E"/>
    <w:rsid w:val="15985AEC"/>
    <w:rsid w:val="159863B1"/>
    <w:rsid w:val="159D39C7"/>
    <w:rsid w:val="159D5775"/>
    <w:rsid w:val="159E5049"/>
    <w:rsid w:val="15A1204F"/>
    <w:rsid w:val="15A46B04"/>
    <w:rsid w:val="15A922C4"/>
    <w:rsid w:val="15AC3C0A"/>
    <w:rsid w:val="15B14D7D"/>
    <w:rsid w:val="15B17473"/>
    <w:rsid w:val="15B87597"/>
    <w:rsid w:val="15BA64DA"/>
    <w:rsid w:val="15BE02F9"/>
    <w:rsid w:val="15C154CF"/>
    <w:rsid w:val="15C43E1D"/>
    <w:rsid w:val="15C471A6"/>
    <w:rsid w:val="15C842B2"/>
    <w:rsid w:val="15CC5EA2"/>
    <w:rsid w:val="15CE1DD3"/>
    <w:rsid w:val="15CF1B88"/>
    <w:rsid w:val="15D45096"/>
    <w:rsid w:val="15D74005"/>
    <w:rsid w:val="15D77522"/>
    <w:rsid w:val="15DF5D8E"/>
    <w:rsid w:val="15E2625B"/>
    <w:rsid w:val="15EB4733"/>
    <w:rsid w:val="15EC04AB"/>
    <w:rsid w:val="15EE0375"/>
    <w:rsid w:val="15F31F1C"/>
    <w:rsid w:val="15F5110D"/>
    <w:rsid w:val="15F60703"/>
    <w:rsid w:val="15F66C34"/>
    <w:rsid w:val="15F80BFE"/>
    <w:rsid w:val="15FC2643"/>
    <w:rsid w:val="1602382A"/>
    <w:rsid w:val="1606111C"/>
    <w:rsid w:val="1606156C"/>
    <w:rsid w:val="16083908"/>
    <w:rsid w:val="160852D6"/>
    <w:rsid w:val="16087E1D"/>
    <w:rsid w:val="16096967"/>
    <w:rsid w:val="160A56CF"/>
    <w:rsid w:val="160B6B83"/>
    <w:rsid w:val="160B7A10"/>
    <w:rsid w:val="160C28FB"/>
    <w:rsid w:val="16157FF9"/>
    <w:rsid w:val="16162620"/>
    <w:rsid w:val="161A2BA7"/>
    <w:rsid w:val="161A6DC6"/>
    <w:rsid w:val="161C0D90"/>
    <w:rsid w:val="161D2412"/>
    <w:rsid w:val="161F4F64"/>
    <w:rsid w:val="16250A90"/>
    <w:rsid w:val="16257519"/>
    <w:rsid w:val="162714E3"/>
    <w:rsid w:val="16275278"/>
    <w:rsid w:val="162E461F"/>
    <w:rsid w:val="162E69C7"/>
    <w:rsid w:val="16300397"/>
    <w:rsid w:val="163065E9"/>
    <w:rsid w:val="163438D4"/>
    <w:rsid w:val="16380220"/>
    <w:rsid w:val="164A7FFD"/>
    <w:rsid w:val="164C2CF7"/>
    <w:rsid w:val="165322D8"/>
    <w:rsid w:val="16585B40"/>
    <w:rsid w:val="16595312"/>
    <w:rsid w:val="166242C9"/>
    <w:rsid w:val="166444E5"/>
    <w:rsid w:val="166D339A"/>
    <w:rsid w:val="166E0EC0"/>
    <w:rsid w:val="16702E8A"/>
    <w:rsid w:val="16734728"/>
    <w:rsid w:val="167364D6"/>
    <w:rsid w:val="16774218"/>
    <w:rsid w:val="16782785"/>
    <w:rsid w:val="167C7900"/>
    <w:rsid w:val="167D7355"/>
    <w:rsid w:val="167E5FD3"/>
    <w:rsid w:val="168472B6"/>
    <w:rsid w:val="1685192A"/>
    <w:rsid w:val="16864176"/>
    <w:rsid w:val="16893220"/>
    <w:rsid w:val="168B3F87"/>
    <w:rsid w:val="168D57EA"/>
    <w:rsid w:val="168E788F"/>
    <w:rsid w:val="16922E00"/>
    <w:rsid w:val="169C5A2D"/>
    <w:rsid w:val="16A36DBB"/>
    <w:rsid w:val="16A5094B"/>
    <w:rsid w:val="16AB2114"/>
    <w:rsid w:val="16AE3BA2"/>
    <w:rsid w:val="16AF39B2"/>
    <w:rsid w:val="16B965DF"/>
    <w:rsid w:val="16BB1887"/>
    <w:rsid w:val="16BC77AE"/>
    <w:rsid w:val="16BE3BF5"/>
    <w:rsid w:val="16C26CC6"/>
    <w:rsid w:val="16C81B0E"/>
    <w:rsid w:val="16C84A74"/>
    <w:rsid w:val="16C9008A"/>
    <w:rsid w:val="16D57191"/>
    <w:rsid w:val="16D90A2F"/>
    <w:rsid w:val="16E0344F"/>
    <w:rsid w:val="16E16538"/>
    <w:rsid w:val="16E63537"/>
    <w:rsid w:val="16EA49EA"/>
    <w:rsid w:val="16F14E35"/>
    <w:rsid w:val="16F5338F"/>
    <w:rsid w:val="16F615E1"/>
    <w:rsid w:val="16F72C63"/>
    <w:rsid w:val="16F90AB8"/>
    <w:rsid w:val="16FC1A26"/>
    <w:rsid w:val="16FD3C27"/>
    <w:rsid w:val="16FE2244"/>
    <w:rsid w:val="16FE6AD6"/>
    <w:rsid w:val="170749B3"/>
    <w:rsid w:val="170954C7"/>
    <w:rsid w:val="170D2FC6"/>
    <w:rsid w:val="171100A1"/>
    <w:rsid w:val="17127A9D"/>
    <w:rsid w:val="17192340"/>
    <w:rsid w:val="171B2DF6"/>
    <w:rsid w:val="171E352E"/>
    <w:rsid w:val="17204023"/>
    <w:rsid w:val="17211A32"/>
    <w:rsid w:val="17252F47"/>
    <w:rsid w:val="17253C74"/>
    <w:rsid w:val="17312619"/>
    <w:rsid w:val="173A45C7"/>
    <w:rsid w:val="173E4B51"/>
    <w:rsid w:val="174A03C5"/>
    <w:rsid w:val="174A116E"/>
    <w:rsid w:val="174B2FAF"/>
    <w:rsid w:val="17563E2E"/>
    <w:rsid w:val="175A5AC4"/>
    <w:rsid w:val="175D5180"/>
    <w:rsid w:val="17626C76"/>
    <w:rsid w:val="1764593E"/>
    <w:rsid w:val="176522C3"/>
    <w:rsid w:val="1765704B"/>
    <w:rsid w:val="17701D14"/>
    <w:rsid w:val="17735226"/>
    <w:rsid w:val="177670A8"/>
    <w:rsid w:val="17793FC0"/>
    <w:rsid w:val="177B1AE6"/>
    <w:rsid w:val="17822E75"/>
    <w:rsid w:val="1789354D"/>
    <w:rsid w:val="178D35C8"/>
    <w:rsid w:val="17944956"/>
    <w:rsid w:val="17967CBF"/>
    <w:rsid w:val="1798536D"/>
    <w:rsid w:val="17987A2A"/>
    <w:rsid w:val="17996410"/>
    <w:rsid w:val="179A5FA6"/>
    <w:rsid w:val="179B7A92"/>
    <w:rsid w:val="17A0779F"/>
    <w:rsid w:val="17A50EF5"/>
    <w:rsid w:val="17AD5A18"/>
    <w:rsid w:val="17AF353E"/>
    <w:rsid w:val="17B80644"/>
    <w:rsid w:val="17B9260F"/>
    <w:rsid w:val="17BB1EE3"/>
    <w:rsid w:val="17BF4CC3"/>
    <w:rsid w:val="17C00AEC"/>
    <w:rsid w:val="17C0399D"/>
    <w:rsid w:val="17C20009"/>
    <w:rsid w:val="17C4348D"/>
    <w:rsid w:val="17C90ECA"/>
    <w:rsid w:val="17CE1491"/>
    <w:rsid w:val="17D06220"/>
    <w:rsid w:val="17D27F12"/>
    <w:rsid w:val="17DD6B2E"/>
    <w:rsid w:val="17E23913"/>
    <w:rsid w:val="17E24AFE"/>
    <w:rsid w:val="17EA04AD"/>
    <w:rsid w:val="17EC7738"/>
    <w:rsid w:val="17EF7DDE"/>
    <w:rsid w:val="17F3167D"/>
    <w:rsid w:val="17F3249E"/>
    <w:rsid w:val="17F6075E"/>
    <w:rsid w:val="17F76D48"/>
    <w:rsid w:val="17FE54B8"/>
    <w:rsid w:val="18037057"/>
    <w:rsid w:val="18041ADC"/>
    <w:rsid w:val="18090EA0"/>
    <w:rsid w:val="180A5CD3"/>
    <w:rsid w:val="180B17EE"/>
    <w:rsid w:val="180C6BE2"/>
    <w:rsid w:val="180D3B06"/>
    <w:rsid w:val="180D6418"/>
    <w:rsid w:val="180E672F"/>
    <w:rsid w:val="180F5E9C"/>
    <w:rsid w:val="18131D1F"/>
    <w:rsid w:val="1813218C"/>
    <w:rsid w:val="181377B0"/>
    <w:rsid w:val="1814164D"/>
    <w:rsid w:val="181520D8"/>
    <w:rsid w:val="18153CE9"/>
    <w:rsid w:val="181810E3"/>
    <w:rsid w:val="181868AD"/>
    <w:rsid w:val="182201B4"/>
    <w:rsid w:val="18281B20"/>
    <w:rsid w:val="182A4037"/>
    <w:rsid w:val="182C2DE0"/>
    <w:rsid w:val="18303023"/>
    <w:rsid w:val="183427A7"/>
    <w:rsid w:val="18346730"/>
    <w:rsid w:val="18356139"/>
    <w:rsid w:val="183604E7"/>
    <w:rsid w:val="1837258B"/>
    <w:rsid w:val="18383223"/>
    <w:rsid w:val="18386BA0"/>
    <w:rsid w:val="18390413"/>
    <w:rsid w:val="18394E0F"/>
    <w:rsid w:val="183A50A8"/>
    <w:rsid w:val="183D4FEE"/>
    <w:rsid w:val="183F0D66"/>
    <w:rsid w:val="18414ADE"/>
    <w:rsid w:val="184508FB"/>
    <w:rsid w:val="18455C50"/>
    <w:rsid w:val="18493900"/>
    <w:rsid w:val="184B72E1"/>
    <w:rsid w:val="184C2B9B"/>
    <w:rsid w:val="184E7E45"/>
    <w:rsid w:val="184F0B35"/>
    <w:rsid w:val="18550589"/>
    <w:rsid w:val="1858423F"/>
    <w:rsid w:val="185A5EAF"/>
    <w:rsid w:val="185C1918"/>
    <w:rsid w:val="185D11EC"/>
    <w:rsid w:val="185F4F64"/>
    <w:rsid w:val="18603231"/>
    <w:rsid w:val="1862520D"/>
    <w:rsid w:val="1864257A"/>
    <w:rsid w:val="18644328"/>
    <w:rsid w:val="186654C8"/>
    <w:rsid w:val="186D70E5"/>
    <w:rsid w:val="187529D9"/>
    <w:rsid w:val="18770500"/>
    <w:rsid w:val="18784278"/>
    <w:rsid w:val="18786026"/>
    <w:rsid w:val="187C78C4"/>
    <w:rsid w:val="187E5D4A"/>
    <w:rsid w:val="187F73B4"/>
    <w:rsid w:val="18825528"/>
    <w:rsid w:val="18832554"/>
    <w:rsid w:val="18845E1E"/>
    <w:rsid w:val="18860743"/>
    <w:rsid w:val="18866D9A"/>
    <w:rsid w:val="1888270D"/>
    <w:rsid w:val="188C121D"/>
    <w:rsid w:val="188C58B5"/>
    <w:rsid w:val="189015C1"/>
    <w:rsid w:val="18932E60"/>
    <w:rsid w:val="18954E2A"/>
    <w:rsid w:val="189C1D14"/>
    <w:rsid w:val="189F624C"/>
    <w:rsid w:val="18A312F5"/>
    <w:rsid w:val="18A60DE5"/>
    <w:rsid w:val="18A618E4"/>
    <w:rsid w:val="18A75891"/>
    <w:rsid w:val="18AB1F57"/>
    <w:rsid w:val="18AC5CCF"/>
    <w:rsid w:val="18AF6CFC"/>
    <w:rsid w:val="18B74DA0"/>
    <w:rsid w:val="18BB3521"/>
    <w:rsid w:val="18C82B09"/>
    <w:rsid w:val="18C859CB"/>
    <w:rsid w:val="18CB25F9"/>
    <w:rsid w:val="18CC5ADC"/>
    <w:rsid w:val="18CD15E1"/>
    <w:rsid w:val="18D07C10"/>
    <w:rsid w:val="18D3325C"/>
    <w:rsid w:val="18D36D47"/>
    <w:rsid w:val="18D771F0"/>
    <w:rsid w:val="18DB679E"/>
    <w:rsid w:val="18DF1F83"/>
    <w:rsid w:val="18DF3D61"/>
    <w:rsid w:val="18DF6D3B"/>
    <w:rsid w:val="18E44B1E"/>
    <w:rsid w:val="18E84F59"/>
    <w:rsid w:val="18E92A80"/>
    <w:rsid w:val="18EA6F23"/>
    <w:rsid w:val="18F7338F"/>
    <w:rsid w:val="18FE477D"/>
    <w:rsid w:val="18FF29E5"/>
    <w:rsid w:val="19014590"/>
    <w:rsid w:val="19033B41"/>
    <w:rsid w:val="19033EF2"/>
    <w:rsid w:val="19045B0B"/>
    <w:rsid w:val="190569DB"/>
    <w:rsid w:val="190653E0"/>
    <w:rsid w:val="190755E2"/>
    <w:rsid w:val="190A1374"/>
    <w:rsid w:val="190B0C48"/>
    <w:rsid w:val="19183805"/>
    <w:rsid w:val="19185113"/>
    <w:rsid w:val="191915B7"/>
    <w:rsid w:val="191A0439"/>
    <w:rsid w:val="191C10A7"/>
    <w:rsid w:val="191C4B10"/>
    <w:rsid w:val="191C4C03"/>
    <w:rsid w:val="191F718B"/>
    <w:rsid w:val="191F7447"/>
    <w:rsid w:val="19210BE9"/>
    <w:rsid w:val="19234148"/>
    <w:rsid w:val="192A4C84"/>
    <w:rsid w:val="192F0E7B"/>
    <w:rsid w:val="192F2B88"/>
    <w:rsid w:val="19320DC7"/>
    <w:rsid w:val="193450CD"/>
    <w:rsid w:val="193463F1"/>
    <w:rsid w:val="19371A3D"/>
    <w:rsid w:val="193846CA"/>
    <w:rsid w:val="193A3933"/>
    <w:rsid w:val="193D1B75"/>
    <w:rsid w:val="193D6B42"/>
    <w:rsid w:val="1945415A"/>
    <w:rsid w:val="194D61FF"/>
    <w:rsid w:val="1950695C"/>
    <w:rsid w:val="19570331"/>
    <w:rsid w:val="195A5530"/>
    <w:rsid w:val="195B397D"/>
    <w:rsid w:val="195C76F5"/>
    <w:rsid w:val="19632832"/>
    <w:rsid w:val="19670574"/>
    <w:rsid w:val="19676254"/>
    <w:rsid w:val="196A0064"/>
    <w:rsid w:val="196C5B8A"/>
    <w:rsid w:val="196D36B1"/>
    <w:rsid w:val="196D3DCE"/>
    <w:rsid w:val="196F7429"/>
    <w:rsid w:val="19744A3F"/>
    <w:rsid w:val="197C12C5"/>
    <w:rsid w:val="197E58BE"/>
    <w:rsid w:val="19805192"/>
    <w:rsid w:val="19884D68"/>
    <w:rsid w:val="198A6011"/>
    <w:rsid w:val="1998697F"/>
    <w:rsid w:val="199C1714"/>
    <w:rsid w:val="199D3F96"/>
    <w:rsid w:val="199D478A"/>
    <w:rsid w:val="19A1798F"/>
    <w:rsid w:val="19A70651"/>
    <w:rsid w:val="19AA768D"/>
    <w:rsid w:val="19AD1CFF"/>
    <w:rsid w:val="19B117EF"/>
    <w:rsid w:val="19B337DC"/>
    <w:rsid w:val="19B36563"/>
    <w:rsid w:val="19B72B7E"/>
    <w:rsid w:val="19B80F45"/>
    <w:rsid w:val="19C01A32"/>
    <w:rsid w:val="19C332D1"/>
    <w:rsid w:val="19D61256"/>
    <w:rsid w:val="19D90D46"/>
    <w:rsid w:val="19DA5595"/>
    <w:rsid w:val="19DC1543"/>
    <w:rsid w:val="19DD33D8"/>
    <w:rsid w:val="19DF40F0"/>
    <w:rsid w:val="19E21EB6"/>
    <w:rsid w:val="19E67CB1"/>
    <w:rsid w:val="19E971DB"/>
    <w:rsid w:val="19EA50F6"/>
    <w:rsid w:val="19F31E08"/>
    <w:rsid w:val="19F85670"/>
    <w:rsid w:val="19F863D7"/>
    <w:rsid w:val="19F94A0B"/>
    <w:rsid w:val="19FB2F35"/>
    <w:rsid w:val="1A073B05"/>
    <w:rsid w:val="1A0A7151"/>
    <w:rsid w:val="1A0C2EC9"/>
    <w:rsid w:val="1A114C94"/>
    <w:rsid w:val="1A143B2C"/>
    <w:rsid w:val="1A172B7A"/>
    <w:rsid w:val="1A1C0BFB"/>
    <w:rsid w:val="1A1C66C0"/>
    <w:rsid w:val="1A1E4ACB"/>
    <w:rsid w:val="1A1F2BFD"/>
    <w:rsid w:val="1A231FC1"/>
    <w:rsid w:val="1A2975D8"/>
    <w:rsid w:val="1A2B77F4"/>
    <w:rsid w:val="1A2D037C"/>
    <w:rsid w:val="1A304E0A"/>
    <w:rsid w:val="1A310B82"/>
    <w:rsid w:val="1A3366A8"/>
    <w:rsid w:val="1A345F7C"/>
    <w:rsid w:val="1A385A6D"/>
    <w:rsid w:val="1A3B37AF"/>
    <w:rsid w:val="1A420699"/>
    <w:rsid w:val="1A42393B"/>
    <w:rsid w:val="1A477D31"/>
    <w:rsid w:val="1A496EF9"/>
    <w:rsid w:val="1A4C7543"/>
    <w:rsid w:val="1A4E5290"/>
    <w:rsid w:val="1A514E87"/>
    <w:rsid w:val="1A52017B"/>
    <w:rsid w:val="1A562824"/>
    <w:rsid w:val="1A60423F"/>
    <w:rsid w:val="1A670100"/>
    <w:rsid w:val="1A676352"/>
    <w:rsid w:val="1A6A7BF0"/>
    <w:rsid w:val="1A776581"/>
    <w:rsid w:val="1A786F56"/>
    <w:rsid w:val="1A7B1DFD"/>
    <w:rsid w:val="1A824F3A"/>
    <w:rsid w:val="1A845156"/>
    <w:rsid w:val="1A872550"/>
    <w:rsid w:val="1A8A3DEE"/>
    <w:rsid w:val="1A8B0FE3"/>
    <w:rsid w:val="1A907657"/>
    <w:rsid w:val="1A920163"/>
    <w:rsid w:val="1A937237"/>
    <w:rsid w:val="1A952EBF"/>
    <w:rsid w:val="1AA1056B"/>
    <w:rsid w:val="1AA650CC"/>
    <w:rsid w:val="1AA76EF1"/>
    <w:rsid w:val="1AAD45DE"/>
    <w:rsid w:val="1AB33345"/>
    <w:rsid w:val="1AB53561"/>
    <w:rsid w:val="1AB865A1"/>
    <w:rsid w:val="1AB91F2F"/>
    <w:rsid w:val="1ABA0B77"/>
    <w:rsid w:val="1ABB0CBE"/>
    <w:rsid w:val="1AC82894"/>
    <w:rsid w:val="1AC90E77"/>
    <w:rsid w:val="1ACB4C63"/>
    <w:rsid w:val="1AD14EAF"/>
    <w:rsid w:val="1AD35795"/>
    <w:rsid w:val="1AD82DAC"/>
    <w:rsid w:val="1ADD6614"/>
    <w:rsid w:val="1ADE0D05"/>
    <w:rsid w:val="1ADE1F56"/>
    <w:rsid w:val="1AE14465"/>
    <w:rsid w:val="1AE229D1"/>
    <w:rsid w:val="1AE36089"/>
    <w:rsid w:val="1AEC149E"/>
    <w:rsid w:val="1AED55FE"/>
    <w:rsid w:val="1AEE40DD"/>
    <w:rsid w:val="1AFA71C6"/>
    <w:rsid w:val="1B042950"/>
    <w:rsid w:val="1B0437D9"/>
    <w:rsid w:val="1B046F80"/>
    <w:rsid w:val="1B0C1D54"/>
    <w:rsid w:val="1B0F0EC3"/>
    <w:rsid w:val="1B120F84"/>
    <w:rsid w:val="1B172F53"/>
    <w:rsid w:val="1B177285"/>
    <w:rsid w:val="1B1A1616"/>
    <w:rsid w:val="1B1D4C62"/>
    <w:rsid w:val="1B1D66B9"/>
    <w:rsid w:val="1B23671D"/>
    <w:rsid w:val="1B292B58"/>
    <w:rsid w:val="1B2D178E"/>
    <w:rsid w:val="1B2E6E70"/>
    <w:rsid w:val="1B3267B5"/>
    <w:rsid w:val="1B3663F6"/>
    <w:rsid w:val="1B395584"/>
    <w:rsid w:val="1B3A6A97"/>
    <w:rsid w:val="1B3C77DE"/>
    <w:rsid w:val="1B3E3557"/>
    <w:rsid w:val="1B40161D"/>
    <w:rsid w:val="1B4072CF"/>
    <w:rsid w:val="1B441859"/>
    <w:rsid w:val="1B4548E5"/>
    <w:rsid w:val="1B4A1EFB"/>
    <w:rsid w:val="1B4E373F"/>
    <w:rsid w:val="1B527241"/>
    <w:rsid w:val="1B5945CA"/>
    <w:rsid w:val="1B607421"/>
    <w:rsid w:val="1B6163EC"/>
    <w:rsid w:val="1B63129D"/>
    <w:rsid w:val="1B6420F7"/>
    <w:rsid w:val="1B6606B1"/>
    <w:rsid w:val="1B6B3C20"/>
    <w:rsid w:val="1B6E0F9B"/>
    <w:rsid w:val="1B6F56EA"/>
    <w:rsid w:val="1B742409"/>
    <w:rsid w:val="1B7A0E54"/>
    <w:rsid w:val="1B7A3E63"/>
    <w:rsid w:val="1B816DD8"/>
    <w:rsid w:val="1B8434F1"/>
    <w:rsid w:val="1B8459DF"/>
    <w:rsid w:val="1B851185"/>
    <w:rsid w:val="1B866E1F"/>
    <w:rsid w:val="1B872A58"/>
    <w:rsid w:val="1B8835F2"/>
    <w:rsid w:val="1B895847"/>
    <w:rsid w:val="1B8D003A"/>
    <w:rsid w:val="1B8D410D"/>
    <w:rsid w:val="1B8F790E"/>
    <w:rsid w:val="1B90362A"/>
    <w:rsid w:val="1B966EEF"/>
    <w:rsid w:val="1B9D6AB8"/>
    <w:rsid w:val="1B9E5DA3"/>
    <w:rsid w:val="1B9F38C3"/>
    <w:rsid w:val="1BA3160C"/>
    <w:rsid w:val="1BA45141"/>
    <w:rsid w:val="1BAB7A3E"/>
    <w:rsid w:val="1BAF7FB0"/>
    <w:rsid w:val="1BB5039E"/>
    <w:rsid w:val="1BB76E65"/>
    <w:rsid w:val="1BB9498B"/>
    <w:rsid w:val="1BBC5270"/>
    <w:rsid w:val="1BBE4697"/>
    <w:rsid w:val="1BBE6445"/>
    <w:rsid w:val="1BC33A5C"/>
    <w:rsid w:val="1BC72207"/>
    <w:rsid w:val="1BC72BE8"/>
    <w:rsid w:val="1BC81072"/>
    <w:rsid w:val="1BC94218"/>
    <w:rsid w:val="1BCC71C2"/>
    <w:rsid w:val="1BCF41AF"/>
    <w:rsid w:val="1BD23573"/>
    <w:rsid w:val="1BD47A17"/>
    <w:rsid w:val="1BDE43F2"/>
    <w:rsid w:val="1BE5660A"/>
    <w:rsid w:val="1BE7774A"/>
    <w:rsid w:val="1BEE6D2B"/>
    <w:rsid w:val="1BF34341"/>
    <w:rsid w:val="1C033E58"/>
    <w:rsid w:val="1C084947"/>
    <w:rsid w:val="1C0876C1"/>
    <w:rsid w:val="1C093B64"/>
    <w:rsid w:val="1C0A51E7"/>
    <w:rsid w:val="1C0C71B1"/>
    <w:rsid w:val="1C0E117B"/>
    <w:rsid w:val="1C131164"/>
    <w:rsid w:val="1C16002F"/>
    <w:rsid w:val="1C1D710E"/>
    <w:rsid w:val="1C1E6EE4"/>
    <w:rsid w:val="1C1E7261"/>
    <w:rsid w:val="1C211341"/>
    <w:rsid w:val="1C211DA9"/>
    <w:rsid w:val="1C220858"/>
    <w:rsid w:val="1C250273"/>
    <w:rsid w:val="1C2B6F5E"/>
    <w:rsid w:val="1C330BE1"/>
    <w:rsid w:val="1C3440FA"/>
    <w:rsid w:val="1C3441F2"/>
    <w:rsid w:val="1C346454"/>
    <w:rsid w:val="1C381D54"/>
    <w:rsid w:val="1C383E50"/>
    <w:rsid w:val="1C387FA6"/>
    <w:rsid w:val="1C3A1F70"/>
    <w:rsid w:val="1C3B5CE8"/>
    <w:rsid w:val="1C4D4A19"/>
    <w:rsid w:val="1C556DAA"/>
    <w:rsid w:val="1C5A43C0"/>
    <w:rsid w:val="1C5D5C5E"/>
    <w:rsid w:val="1C5E7925"/>
    <w:rsid w:val="1C5F1D2A"/>
    <w:rsid w:val="1C622350"/>
    <w:rsid w:val="1C633016"/>
    <w:rsid w:val="1C635266"/>
    <w:rsid w:val="1C667DA5"/>
    <w:rsid w:val="1C67088B"/>
    <w:rsid w:val="1C676ADD"/>
    <w:rsid w:val="1C6813A7"/>
    <w:rsid w:val="1C685F66"/>
    <w:rsid w:val="1C6A701E"/>
    <w:rsid w:val="1C6D4584"/>
    <w:rsid w:val="1C71170A"/>
    <w:rsid w:val="1C7D713C"/>
    <w:rsid w:val="1C816654"/>
    <w:rsid w:val="1C817B9F"/>
    <w:rsid w:val="1C8C26DC"/>
    <w:rsid w:val="1C8E5E18"/>
    <w:rsid w:val="1C8E7BC6"/>
    <w:rsid w:val="1C902538"/>
    <w:rsid w:val="1C9176B6"/>
    <w:rsid w:val="1C937607"/>
    <w:rsid w:val="1C961170"/>
    <w:rsid w:val="1C9D42AD"/>
    <w:rsid w:val="1CA27B15"/>
    <w:rsid w:val="1CA32B10"/>
    <w:rsid w:val="1CA96584"/>
    <w:rsid w:val="1CAA0778"/>
    <w:rsid w:val="1CAA23AD"/>
    <w:rsid w:val="1CAC2742"/>
    <w:rsid w:val="1CB02232"/>
    <w:rsid w:val="1CB16F06"/>
    <w:rsid w:val="1CB17D58"/>
    <w:rsid w:val="1CB6711D"/>
    <w:rsid w:val="1CBF06C7"/>
    <w:rsid w:val="1CC17F9B"/>
    <w:rsid w:val="1CC41839"/>
    <w:rsid w:val="1CC54501"/>
    <w:rsid w:val="1CC63804"/>
    <w:rsid w:val="1CC932F4"/>
    <w:rsid w:val="1CCB2BC8"/>
    <w:rsid w:val="1CD02390"/>
    <w:rsid w:val="1CD51C99"/>
    <w:rsid w:val="1CD53A47"/>
    <w:rsid w:val="1CDA72AF"/>
    <w:rsid w:val="1CDC4DD5"/>
    <w:rsid w:val="1CDD28FB"/>
    <w:rsid w:val="1CDE0197"/>
    <w:rsid w:val="1CE1063D"/>
    <w:rsid w:val="1CF42700"/>
    <w:rsid w:val="1CF851CF"/>
    <w:rsid w:val="1CFD070F"/>
    <w:rsid w:val="1CFF6D16"/>
    <w:rsid w:val="1D01483C"/>
    <w:rsid w:val="1D0330F3"/>
    <w:rsid w:val="1D063C7A"/>
    <w:rsid w:val="1D085BCA"/>
    <w:rsid w:val="1D097B94"/>
    <w:rsid w:val="1D0B5F9E"/>
    <w:rsid w:val="1D0B7FC9"/>
    <w:rsid w:val="1D0C3873"/>
    <w:rsid w:val="1D0D1432"/>
    <w:rsid w:val="1D0D31E0"/>
    <w:rsid w:val="1D123251"/>
    <w:rsid w:val="1D13631D"/>
    <w:rsid w:val="1D152095"/>
    <w:rsid w:val="1D19579E"/>
    <w:rsid w:val="1D1D0F4A"/>
    <w:rsid w:val="1D1F39FD"/>
    <w:rsid w:val="1D1F4CC2"/>
    <w:rsid w:val="1D230C56"/>
    <w:rsid w:val="1D2B3667"/>
    <w:rsid w:val="1D2C096A"/>
    <w:rsid w:val="1D2D2CFE"/>
    <w:rsid w:val="1D305121"/>
    <w:rsid w:val="1D31269A"/>
    <w:rsid w:val="1D3249F5"/>
    <w:rsid w:val="1D365BE5"/>
    <w:rsid w:val="1D37200B"/>
    <w:rsid w:val="1D383FD6"/>
    <w:rsid w:val="1D3A5DEF"/>
    <w:rsid w:val="1D3B71A2"/>
    <w:rsid w:val="1D3D339A"/>
    <w:rsid w:val="1D401638"/>
    <w:rsid w:val="1D484219"/>
    <w:rsid w:val="1D485652"/>
    <w:rsid w:val="1D494D5C"/>
    <w:rsid w:val="1D4C3D78"/>
    <w:rsid w:val="1D5543E9"/>
    <w:rsid w:val="1D594678"/>
    <w:rsid w:val="1D596426"/>
    <w:rsid w:val="1D5A219E"/>
    <w:rsid w:val="1D5A529E"/>
    <w:rsid w:val="1D5A5F68"/>
    <w:rsid w:val="1D5F6196"/>
    <w:rsid w:val="1D6132A5"/>
    <w:rsid w:val="1D632E00"/>
    <w:rsid w:val="1D633073"/>
    <w:rsid w:val="1D6453D0"/>
    <w:rsid w:val="1D6507BA"/>
    <w:rsid w:val="1D661C09"/>
    <w:rsid w:val="1D670C46"/>
    <w:rsid w:val="1D6E17A5"/>
    <w:rsid w:val="1D706BA6"/>
    <w:rsid w:val="1D721295"/>
    <w:rsid w:val="1D7A45EE"/>
    <w:rsid w:val="1D862F93"/>
    <w:rsid w:val="1D88249D"/>
    <w:rsid w:val="1D8B1974"/>
    <w:rsid w:val="1D8B67FB"/>
    <w:rsid w:val="1D8E56D5"/>
    <w:rsid w:val="1D943BA3"/>
    <w:rsid w:val="1D951428"/>
    <w:rsid w:val="1D9C27B6"/>
    <w:rsid w:val="1D9C4564"/>
    <w:rsid w:val="1D9E47BA"/>
    <w:rsid w:val="1DA40FEF"/>
    <w:rsid w:val="1DAB4C3A"/>
    <w:rsid w:val="1DAD49C3"/>
    <w:rsid w:val="1DAD6772"/>
    <w:rsid w:val="1DB45D52"/>
    <w:rsid w:val="1DB7139E"/>
    <w:rsid w:val="1DB93368"/>
    <w:rsid w:val="1DC00253"/>
    <w:rsid w:val="1DC064A5"/>
    <w:rsid w:val="1DC1221D"/>
    <w:rsid w:val="1DC13FCB"/>
    <w:rsid w:val="1DC24D8D"/>
    <w:rsid w:val="1DC55869"/>
    <w:rsid w:val="1DC96B33"/>
    <w:rsid w:val="1DCC068A"/>
    <w:rsid w:val="1DD03A85"/>
    <w:rsid w:val="1DD71A40"/>
    <w:rsid w:val="1DD85DC0"/>
    <w:rsid w:val="1DDB4C96"/>
    <w:rsid w:val="1DDB508D"/>
    <w:rsid w:val="1DEA52D0"/>
    <w:rsid w:val="1DF4774F"/>
    <w:rsid w:val="1DFF3645"/>
    <w:rsid w:val="1E0E56FF"/>
    <w:rsid w:val="1E122A78"/>
    <w:rsid w:val="1E127A66"/>
    <w:rsid w:val="1E14234D"/>
    <w:rsid w:val="1E162569"/>
    <w:rsid w:val="1E1A6708"/>
    <w:rsid w:val="1E2527AC"/>
    <w:rsid w:val="1E25455A"/>
    <w:rsid w:val="1E256308"/>
    <w:rsid w:val="1E2A1B70"/>
    <w:rsid w:val="1E2A6014"/>
    <w:rsid w:val="1E2B34F3"/>
    <w:rsid w:val="1E2C58E8"/>
    <w:rsid w:val="1E2E78B2"/>
    <w:rsid w:val="1E2F7187"/>
    <w:rsid w:val="1E3824DF"/>
    <w:rsid w:val="1E3B2848"/>
    <w:rsid w:val="1E3E561C"/>
    <w:rsid w:val="1E4470D6"/>
    <w:rsid w:val="1E4F10E0"/>
    <w:rsid w:val="1E55436E"/>
    <w:rsid w:val="1E560BB7"/>
    <w:rsid w:val="1E5852B6"/>
    <w:rsid w:val="1E5B1704"/>
    <w:rsid w:val="1E5D42A7"/>
    <w:rsid w:val="1E5E181A"/>
    <w:rsid w:val="1E5F368E"/>
    <w:rsid w:val="1E6037E4"/>
    <w:rsid w:val="1E636B6D"/>
    <w:rsid w:val="1E636E30"/>
    <w:rsid w:val="1E6432D4"/>
    <w:rsid w:val="1E650DFA"/>
    <w:rsid w:val="1E65704C"/>
    <w:rsid w:val="1E672DC4"/>
    <w:rsid w:val="1E68616F"/>
    <w:rsid w:val="1E6A3FF1"/>
    <w:rsid w:val="1E6B1336"/>
    <w:rsid w:val="1E6D572A"/>
    <w:rsid w:val="1E6F3A27"/>
    <w:rsid w:val="1E714EA3"/>
    <w:rsid w:val="1E74728F"/>
    <w:rsid w:val="1E75432B"/>
    <w:rsid w:val="1E7828DC"/>
    <w:rsid w:val="1E791B20"/>
    <w:rsid w:val="1E7A43DA"/>
    <w:rsid w:val="1E7F1B7A"/>
    <w:rsid w:val="1E7F665C"/>
    <w:rsid w:val="1E831280"/>
    <w:rsid w:val="1E845724"/>
    <w:rsid w:val="1E890F8D"/>
    <w:rsid w:val="1E8E20FF"/>
    <w:rsid w:val="1E917E41"/>
    <w:rsid w:val="1E924A75"/>
    <w:rsid w:val="1E957931"/>
    <w:rsid w:val="1E965458"/>
    <w:rsid w:val="1E965D48"/>
    <w:rsid w:val="1EA44D1C"/>
    <w:rsid w:val="1EA90CE7"/>
    <w:rsid w:val="1EB03EF9"/>
    <w:rsid w:val="1EB12291"/>
    <w:rsid w:val="1EB311F8"/>
    <w:rsid w:val="1EB37DB8"/>
    <w:rsid w:val="1EB57F04"/>
    <w:rsid w:val="1EB778BB"/>
    <w:rsid w:val="1EB853CE"/>
    <w:rsid w:val="1EBE42FD"/>
    <w:rsid w:val="1EC61074"/>
    <w:rsid w:val="1EC70B08"/>
    <w:rsid w:val="1EC805FE"/>
    <w:rsid w:val="1ED41ADC"/>
    <w:rsid w:val="1EDA17E8"/>
    <w:rsid w:val="1EDE09A8"/>
    <w:rsid w:val="1EE44415"/>
    <w:rsid w:val="1EE6018D"/>
    <w:rsid w:val="1EED7FC1"/>
    <w:rsid w:val="1EF1268E"/>
    <w:rsid w:val="1EF33F85"/>
    <w:rsid w:val="1EF503D0"/>
    <w:rsid w:val="1EF87EC0"/>
    <w:rsid w:val="1EFD4E13"/>
    <w:rsid w:val="1EFE5C3C"/>
    <w:rsid w:val="1EFF124F"/>
    <w:rsid w:val="1F016D75"/>
    <w:rsid w:val="1F040EB9"/>
    <w:rsid w:val="1F066406"/>
    <w:rsid w:val="1F0711B2"/>
    <w:rsid w:val="1F0B397B"/>
    <w:rsid w:val="1F106FB8"/>
    <w:rsid w:val="1F125002"/>
    <w:rsid w:val="1F1300B4"/>
    <w:rsid w:val="1F1678C3"/>
    <w:rsid w:val="1F182311"/>
    <w:rsid w:val="1F19197D"/>
    <w:rsid w:val="1F1B258F"/>
    <w:rsid w:val="1F1B3C66"/>
    <w:rsid w:val="1F262338"/>
    <w:rsid w:val="1F2710E6"/>
    <w:rsid w:val="1F325180"/>
    <w:rsid w:val="1F354C71"/>
    <w:rsid w:val="1F38377E"/>
    <w:rsid w:val="1F43196F"/>
    <w:rsid w:val="1F460C2C"/>
    <w:rsid w:val="1F470500"/>
    <w:rsid w:val="1F4F0F5F"/>
    <w:rsid w:val="1F525822"/>
    <w:rsid w:val="1F58270D"/>
    <w:rsid w:val="1F59095F"/>
    <w:rsid w:val="1F5A7B2E"/>
    <w:rsid w:val="1F5B72F1"/>
    <w:rsid w:val="1F5C04BB"/>
    <w:rsid w:val="1F675B4A"/>
    <w:rsid w:val="1F6A571C"/>
    <w:rsid w:val="1F6B68E4"/>
    <w:rsid w:val="1F7312F5"/>
    <w:rsid w:val="1F7532BF"/>
    <w:rsid w:val="1F7A08D5"/>
    <w:rsid w:val="1F830293"/>
    <w:rsid w:val="1F8359DC"/>
    <w:rsid w:val="1F8654CC"/>
    <w:rsid w:val="1F8D0609"/>
    <w:rsid w:val="1F90251F"/>
    <w:rsid w:val="1F923E71"/>
    <w:rsid w:val="1F942E0C"/>
    <w:rsid w:val="1F996FAD"/>
    <w:rsid w:val="1F9B26B1"/>
    <w:rsid w:val="1F9F4B7E"/>
    <w:rsid w:val="1FA438CA"/>
    <w:rsid w:val="1FA63478"/>
    <w:rsid w:val="1FA66984"/>
    <w:rsid w:val="1FAA740D"/>
    <w:rsid w:val="1FAD2A59"/>
    <w:rsid w:val="1FAE7162"/>
    <w:rsid w:val="1FAF4302"/>
    <w:rsid w:val="1FB13354"/>
    <w:rsid w:val="1FB21E1D"/>
    <w:rsid w:val="1FBB33C8"/>
    <w:rsid w:val="1FBE507A"/>
    <w:rsid w:val="1FBF278C"/>
    <w:rsid w:val="1FBF76AA"/>
    <w:rsid w:val="1FC102B2"/>
    <w:rsid w:val="1FC12B3D"/>
    <w:rsid w:val="1FC16504"/>
    <w:rsid w:val="1FC35DD8"/>
    <w:rsid w:val="1FC41EBB"/>
    <w:rsid w:val="1FC60C81"/>
    <w:rsid w:val="1FC63B1B"/>
    <w:rsid w:val="1FCA0274"/>
    <w:rsid w:val="1FCA323B"/>
    <w:rsid w:val="1FCB7383"/>
    <w:rsid w:val="1FCF29CF"/>
    <w:rsid w:val="1FD6702A"/>
    <w:rsid w:val="1FD77AD6"/>
    <w:rsid w:val="1FDB51FE"/>
    <w:rsid w:val="1FDD22B7"/>
    <w:rsid w:val="1FDE2C46"/>
    <w:rsid w:val="1FDF3F84"/>
    <w:rsid w:val="1FE10954"/>
    <w:rsid w:val="1FE176AE"/>
    <w:rsid w:val="1FE346CD"/>
    <w:rsid w:val="1FE521F3"/>
    <w:rsid w:val="1FE65F6B"/>
    <w:rsid w:val="1FE7539E"/>
    <w:rsid w:val="1FE7674F"/>
    <w:rsid w:val="1FE81E04"/>
    <w:rsid w:val="1FE83A91"/>
    <w:rsid w:val="1FF468DA"/>
    <w:rsid w:val="1FF64400"/>
    <w:rsid w:val="1FFB43BD"/>
    <w:rsid w:val="1FFE49AC"/>
    <w:rsid w:val="1FFE7559"/>
    <w:rsid w:val="200413A4"/>
    <w:rsid w:val="20054643"/>
    <w:rsid w:val="200603BB"/>
    <w:rsid w:val="200808D3"/>
    <w:rsid w:val="200A5653"/>
    <w:rsid w:val="200C59D1"/>
    <w:rsid w:val="20124FB2"/>
    <w:rsid w:val="201605FE"/>
    <w:rsid w:val="2019330F"/>
    <w:rsid w:val="201A430D"/>
    <w:rsid w:val="201B6A81"/>
    <w:rsid w:val="20233BB3"/>
    <w:rsid w:val="202907C1"/>
    <w:rsid w:val="202916A3"/>
    <w:rsid w:val="202B03AF"/>
    <w:rsid w:val="20360CA0"/>
    <w:rsid w:val="203647FC"/>
    <w:rsid w:val="2038212E"/>
    <w:rsid w:val="20382A1E"/>
    <w:rsid w:val="203B5FCA"/>
    <w:rsid w:val="20407429"/>
    <w:rsid w:val="204267A5"/>
    <w:rsid w:val="20436F19"/>
    <w:rsid w:val="20450EE3"/>
    <w:rsid w:val="20517888"/>
    <w:rsid w:val="20542ED4"/>
    <w:rsid w:val="20564ADE"/>
    <w:rsid w:val="2059498F"/>
    <w:rsid w:val="20601879"/>
    <w:rsid w:val="20617090"/>
    <w:rsid w:val="20623843"/>
    <w:rsid w:val="206457CD"/>
    <w:rsid w:val="20671BE0"/>
    <w:rsid w:val="206770AC"/>
    <w:rsid w:val="20692E24"/>
    <w:rsid w:val="206A094A"/>
    <w:rsid w:val="206A42EF"/>
    <w:rsid w:val="206D3F96"/>
    <w:rsid w:val="207348BB"/>
    <w:rsid w:val="20757E42"/>
    <w:rsid w:val="207847E5"/>
    <w:rsid w:val="207911A9"/>
    <w:rsid w:val="207B401E"/>
    <w:rsid w:val="20831A0C"/>
    <w:rsid w:val="2083345B"/>
    <w:rsid w:val="2086174F"/>
    <w:rsid w:val="20895C39"/>
    <w:rsid w:val="208E4638"/>
    <w:rsid w:val="208F03B0"/>
    <w:rsid w:val="209334BC"/>
    <w:rsid w:val="20963CB8"/>
    <w:rsid w:val="209764D7"/>
    <w:rsid w:val="20987563"/>
    <w:rsid w:val="209B4FA7"/>
    <w:rsid w:val="209F6544"/>
    <w:rsid w:val="20A0611A"/>
    <w:rsid w:val="20A221D6"/>
    <w:rsid w:val="20A65163"/>
    <w:rsid w:val="20A81A1B"/>
    <w:rsid w:val="20AE4CDA"/>
    <w:rsid w:val="20B00A53"/>
    <w:rsid w:val="20B07FB6"/>
    <w:rsid w:val="20B603D9"/>
    <w:rsid w:val="20B646FB"/>
    <w:rsid w:val="20B6593D"/>
    <w:rsid w:val="20B66206"/>
    <w:rsid w:val="20BD44DA"/>
    <w:rsid w:val="20C04A0E"/>
    <w:rsid w:val="20D47E15"/>
    <w:rsid w:val="20D51C6D"/>
    <w:rsid w:val="20DF30E6"/>
    <w:rsid w:val="20DF4E94"/>
    <w:rsid w:val="20E00C0C"/>
    <w:rsid w:val="20E20A3B"/>
    <w:rsid w:val="20EB47AD"/>
    <w:rsid w:val="20EE157B"/>
    <w:rsid w:val="20F04784"/>
    <w:rsid w:val="20F877D4"/>
    <w:rsid w:val="20FA352F"/>
    <w:rsid w:val="20FD356C"/>
    <w:rsid w:val="2100305C"/>
    <w:rsid w:val="21016A60"/>
    <w:rsid w:val="21067B13"/>
    <w:rsid w:val="210A7A37"/>
    <w:rsid w:val="210C37AF"/>
    <w:rsid w:val="210F5A72"/>
    <w:rsid w:val="21156B08"/>
    <w:rsid w:val="211803A6"/>
    <w:rsid w:val="211C677F"/>
    <w:rsid w:val="211F2B71"/>
    <w:rsid w:val="211F7986"/>
    <w:rsid w:val="21200786"/>
    <w:rsid w:val="212020C1"/>
    <w:rsid w:val="212345CD"/>
    <w:rsid w:val="212925B3"/>
    <w:rsid w:val="212B632B"/>
    <w:rsid w:val="212E1178"/>
    <w:rsid w:val="212E1977"/>
    <w:rsid w:val="21382B09"/>
    <w:rsid w:val="213A47C0"/>
    <w:rsid w:val="213B74B1"/>
    <w:rsid w:val="214271D1"/>
    <w:rsid w:val="21436CDE"/>
    <w:rsid w:val="21475700"/>
    <w:rsid w:val="214E201A"/>
    <w:rsid w:val="214E3302"/>
    <w:rsid w:val="215018EE"/>
    <w:rsid w:val="21506C09"/>
    <w:rsid w:val="21507B40"/>
    <w:rsid w:val="21511081"/>
    <w:rsid w:val="21565973"/>
    <w:rsid w:val="21581EE7"/>
    <w:rsid w:val="21584C46"/>
    <w:rsid w:val="215A2310"/>
    <w:rsid w:val="215D225D"/>
    <w:rsid w:val="21645D6F"/>
    <w:rsid w:val="216562E9"/>
    <w:rsid w:val="21661111"/>
    <w:rsid w:val="216655B5"/>
    <w:rsid w:val="216A1BDA"/>
    <w:rsid w:val="216C0935"/>
    <w:rsid w:val="21701F90"/>
    <w:rsid w:val="21731A80"/>
    <w:rsid w:val="2173382E"/>
    <w:rsid w:val="217952E8"/>
    <w:rsid w:val="217B7008"/>
    <w:rsid w:val="217F0425"/>
    <w:rsid w:val="21817CF9"/>
    <w:rsid w:val="21843C8D"/>
    <w:rsid w:val="218477E9"/>
    <w:rsid w:val="21862CFC"/>
    <w:rsid w:val="21884EFE"/>
    <w:rsid w:val="218D508B"/>
    <w:rsid w:val="219914E7"/>
    <w:rsid w:val="219F0AC7"/>
    <w:rsid w:val="21A11593"/>
    <w:rsid w:val="21B03E34"/>
    <w:rsid w:val="21B15DA8"/>
    <w:rsid w:val="21B46321"/>
    <w:rsid w:val="21B87493"/>
    <w:rsid w:val="21BA145D"/>
    <w:rsid w:val="21BC2C95"/>
    <w:rsid w:val="21BE1A8B"/>
    <w:rsid w:val="21BE2CFB"/>
    <w:rsid w:val="21BE3C5A"/>
    <w:rsid w:val="21BF0821"/>
    <w:rsid w:val="21BF4CC5"/>
    <w:rsid w:val="21C97F2F"/>
    <w:rsid w:val="21CF4969"/>
    <w:rsid w:val="21D20555"/>
    <w:rsid w:val="21D40771"/>
    <w:rsid w:val="21DE318A"/>
    <w:rsid w:val="21DE7312"/>
    <w:rsid w:val="21E309B4"/>
    <w:rsid w:val="21E604A4"/>
    <w:rsid w:val="21EF5B80"/>
    <w:rsid w:val="21F4671D"/>
    <w:rsid w:val="21F726B1"/>
    <w:rsid w:val="21FA7E99"/>
    <w:rsid w:val="21FC7CC7"/>
    <w:rsid w:val="21FE134A"/>
    <w:rsid w:val="21FE20ED"/>
    <w:rsid w:val="21FF3314"/>
    <w:rsid w:val="22010E3A"/>
    <w:rsid w:val="22056341"/>
    <w:rsid w:val="220A364A"/>
    <w:rsid w:val="220A4192"/>
    <w:rsid w:val="221246D8"/>
    <w:rsid w:val="221319C9"/>
    <w:rsid w:val="22137BDF"/>
    <w:rsid w:val="22146DBF"/>
    <w:rsid w:val="22160C53"/>
    <w:rsid w:val="221D2627"/>
    <w:rsid w:val="221E19EC"/>
    <w:rsid w:val="222815C3"/>
    <w:rsid w:val="222863C3"/>
    <w:rsid w:val="222A213F"/>
    <w:rsid w:val="222A65E3"/>
    <w:rsid w:val="223236E9"/>
    <w:rsid w:val="22350AE4"/>
    <w:rsid w:val="22370A37"/>
    <w:rsid w:val="22372921"/>
    <w:rsid w:val="2237485C"/>
    <w:rsid w:val="22377B1C"/>
    <w:rsid w:val="223964A8"/>
    <w:rsid w:val="223C00C4"/>
    <w:rsid w:val="22421B7E"/>
    <w:rsid w:val="2246271F"/>
    <w:rsid w:val="224670E1"/>
    <w:rsid w:val="224B34D7"/>
    <w:rsid w:val="224C47AB"/>
    <w:rsid w:val="224E3B94"/>
    <w:rsid w:val="224F3253"/>
    <w:rsid w:val="225278E7"/>
    <w:rsid w:val="22573150"/>
    <w:rsid w:val="22576990"/>
    <w:rsid w:val="22596EC8"/>
    <w:rsid w:val="225E44DE"/>
    <w:rsid w:val="22625D7D"/>
    <w:rsid w:val="227201DF"/>
    <w:rsid w:val="22761828"/>
    <w:rsid w:val="227B299A"/>
    <w:rsid w:val="228757E3"/>
    <w:rsid w:val="228C2DF9"/>
    <w:rsid w:val="228D6B72"/>
    <w:rsid w:val="228E4DC3"/>
    <w:rsid w:val="22990916"/>
    <w:rsid w:val="229D0D50"/>
    <w:rsid w:val="229E7268"/>
    <w:rsid w:val="229E72C8"/>
    <w:rsid w:val="22A11EAB"/>
    <w:rsid w:val="22A53EBB"/>
    <w:rsid w:val="22A75F09"/>
    <w:rsid w:val="22A83E6A"/>
    <w:rsid w:val="22A939AB"/>
    <w:rsid w:val="22A94C44"/>
    <w:rsid w:val="22AB2EC8"/>
    <w:rsid w:val="22AC1067"/>
    <w:rsid w:val="22AD2D70"/>
    <w:rsid w:val="22BA4022"/>
    <w:rsid w:val="22BC292E"/>
    <w:rsid w:val="22BF31CF"/>
    <w:rsid w:val="22C00CF5"/>
    <w:rsid w:val="22C205C9"/>
    <w:rsid w:val="22C22AF5"/>
    <w:rsid w:val="22C30834"/>
    <w:rsid w:val="22C32593"/>
    <w:rsid w:val="22C33BD5"/>
    <w:rsid w:val="22C81958"/>
    <w:rsid w:val="22CA4CF5"/>
    <w:rsid w:val="22CB218E"/>
    <w:rsid w:val="22CB586E"/>
    <w:rsid w:val="22CE51C0"/>
    <w:rsid w:val="22D4348E"/>
    <w:rsid w:val="22DD3655"/>
    <w:rsid w:val="22DD5403"/>
    <w:rsid w:val="22DF561F"/>
    <w:rsid w:val="22DF56C1"/>
    <w:rsid w:val="22E26EBD"/>
    <w:rsid w:val="22E542B8"/>
    <w:rsid w:val="22E569AE"/>
    <w:rsid w:val="22EA30E3"/>
    <w:rsid w:val="22ED1AB3"/>
    <w:rsid w:val="22EE65AE"/>
    <w:rsid w:val="22F17E5F"/>
    <w:rsid w:val="22F22A0F"/>
    <w:rsid w:val="22F47480"/>
    <w:rsid w:val="22F50136"/>
    <w:rsid w:val="22F8223D"/>
    <w:rsid w:val="22FB1D2D"/>
    <w:rsid w:val="22FD31FE"/>
    <w:rsid w:val="22FE7835"/>
    <w:rsid w:val="230013B3"/>
    <w:rsid w:val="230230BC"/>
    <w:rsid w:val="23040BE2"/>
    <w:rsid w:val="23046E34"/>
    <w:rsid w:val="23072480"/>
    <w:rsid w:val="230F0E8A"/>
    <w:rsid w:val="231128A5"/>
    <w:rsid w:val="23151041"/>
    <w:rsid w:val="231B7E67"/>
    <w:rsid w:val="231C06A4"/>
    <w:rsid w:val="2322375E"/>
    <w:rsid w:val="23241284"/>
    <w:rsid w:val="23243032"/>
    <w:rsid w:val="23270D74"/>
    <w:rsid w:val="232C0139"/>
    <w:rsid w:val="232E2181"/>
    <w:rsid w:val="232F1757"/>
    <w:rsid w:val="2343304F"/>
    <w:rsid w:val="23452FA8"/>
    <w:rsid w:val="2346004A"/>
    <w:rsid w:val="23534075"/>
    <w:rsid w:val="23582CDC"/>
    <w:rsid w:val="235D4F8E"/>
    <w:rsid w:val="235F1557"/>
    <w:rsid w:val="23621DAC"/>
    <w:rsid w:val="236245E6"/>
    <w:rsid w:val="23640DEF"/>
    <w:rsid w:val="236553F8"/>
    <w:rsid w:val="23675615"/>
    <w:rsid w:val="236954FB"/>
    <w:rsid w:val="236D004C"/>
    <w:rsid w:val="236F3024"/>
    <w:rsid w:val="237044C9"/>
    <w:rsid w:val="237306F7"/>
    <w:rsid w:val="237613B4"/>
    <w:rsid w:val="23767606"/>
    <w:rsid w:val="23775858"/>
    <w:rsid w:val="23782997"/>
    <w:rsid w:val="237A3E4E"/>
    <w:rsid w:val="238364F0"/>
    <w:rsid w:val="23847F75"/>
    <w:rsid w:val="238735C1"/>
    <w:rsid w:val="238910E7"/>
    <w:rsid w:val="238A0A81"/>
    <w:rsid w:val="238B4E5F"/>
    <w:rsid w:val="238D507B"/>
    <w:rsid w:val="238D50EB"/>
    <w:rsid w:val="238F30D8"/>
    <w:rsid w:val="23922691"/>
    <w:rsid w:val="23966EF3"/>
    <w:rsid w:val="2397511C"/>
    <w:rsid w:val="239E037C"/>
    <w:rsid w:val="23A10B26"/>
    <w:rsid w:val="23A556DD"/>
    <w:rsid w:val="23A9020B"/>
    <w:rsid w:val="23AB5501"/>
    <w:rsid w:val="23AC5996"/>
    <w:rsid w:val="23B41937"/>
    <w:rsid w:val="23B60428"/>
    <w:rsid w:val="23B73EA6"/>
    <w:rsid w:val="23B95E70"/>
    <w:rsid w:val="23BA5744"/>
    <w:rsid w:val="23BF03B6"/>
    <w:rsid w:val="23C23107"/>
    <w:rsid w:val="23C30A9D"/>
    <w:rsid w:val="23C35EC5"/>
    <w:rsid w:val="23C736BA"/>
    <w:rsid w:val="23C92D6A"/>
    <w:rsid w:val="23CA4ADF"/>
    <w:rsid w:val="23CD052C"/>
    <w:rsid w:val="23CE1F55"/>
    <w:rsid w:val="23CF0E03"/>
    <w:rsid w:val="23D64FFA"/>
    <w:rsid w:val="23DC5C6B"/>
    <w:rsid w:val="23DE1C48"/>
    <w:rsid w:val="23DF3B39"/>
    <w:rsid w:val="23E469A1"/>
    <w:rsid w:val="23E46C65"/>
    <w:rsid w:val="23E704BC"/>
    <w:rsid w:val="23ED78C8"/>
    <w:rsid w:val="23F073B8"/>
    <w:rsid w:val="23F61FF2"/>
    <w:rsid w:val="23F84147"/>
    <w:rsid w:val="23FA1FE5"/>
    <w:rsid w:val="23FC5D5D"/>
    <w:rsid w:val="23FE3883"/>
    <w:rsid w:val="240210CD"/>
    <w:rsid w:val="24023152"/>
    <w:rsid w:val="2406098A"/>
    <w:rsid w:val="24074043"/>
    <w:rsid w:val="240879A1"/>
    <w:rsid w:val="2409047A"/>
    <w:rsid w:val="2409419C"/>
    <w:rsid w:val="240A66CC"/>
    <w:rsid w:val="240A73B4"/>
    <w:rsid w:val="240E1349"/>
    <w:rsid w:val="24125EC3"/>
    <w:rsid w:val="24157992"/>
    <w:rsid w:val="241845AB"/>
    <w:rsid w:val="24191BAC"/>
    <w:rsid w:val="241B003B"/>
    <w:rsid w:val="241C6581"/>
    <w:rsid w:val="241E2177"/>
    <w:rsid w:val="241F04F2"/>
    <w:rsid w:val="241F4629"/>
    <w:rsid w:val="24256E71"/>
    <w:rsid w:val="24280900"/>
    <w:rsid w:val="242B03F0"/>
    <w:rsid w:val="24303C58"/>
    <w:rsid w:val="243454F7"/>
    <w:rsid w:val="24370A47"/>
    <w:rsid w:val="2437336B"/>
    <w:rsid w:val="243B4AD7"/>
    <w:rsid w:val="243E6375"/>
    <w:rsid w:val="244F2331"/>
    <w:rsid w:val="2457233A"/>
    <w:rsid w:val="24577437"/>
    <w:rsid w:val="245F4B42"/>
    <w:rsid w:val="246062EC"/>
    <w:rsid w:val="246241CD"/>
    <w:rsid w:val="246271DE"/>
    <w:rsid w:val="2466767A"/>
    <w:rsid w:val="246758CC"/>
    <w:rsid w:val="246833F2"/>
    <w:rsid w:val="246D27B7"/>
    <w:rsid w:val="247276A7"/>
    <w:rsid w:val="24741D97"/>
    <w:rsid w:val="2479115B"/>
    <w:rsid w:val="247B4ED4"/>
    <w:rsid w:val="247B6444"/>
    <w:rsid w:val="2483647E"/>
    <w:rsid w:val="2485662D"/>
    <w:rsid w:val="24861ACA"/>
    <w:rsid w:val="24863878"/>
    <w:rsid w:val="248A5117"/>
    <w:rsid w:val="248C15F9"/>
    <w:rsid w:val="248C70E1"/>
    <w:rsid w:val="2492046F"/>
    <w:rsid w:val="2497329A"/>
    <w:rsid w:val="24976248"/>
    <w:rsid w:val="249A525C"/>
    <w:rsid w:val="249E67CE"/>
    <w:rsid w:val="24A02B8C"/>
    <w:rsid w:val="24AB32DF"/>
    <w:rsid w:val="24AF1021"/>
    <w:rsid w:val="24AF12C8"/>
    <w:rsid w:val="24B108F5"/>
    <w:rsid w:val="24B1231A"/>
    <w:rsid w:val="24B3310B"/>
    <w:rsid w:val="24B448EB"/>
    <w:rsid w:val="24B959FC"/>
    <w:rsid w:val="24BA40F2"/>
    <w:rsid w:val="24BB79C6"/>
    <w:rsid w:val="24BD1221"/>
    <w:rsid w:val="24BF09F7"/>
    <w:rsid w:val="24C526E5"/>
    <w:rsid w:val="24C7636B"/>
    <w:rsid w:val="24CF3471"/>
    <w:rsid w:val="24D1739D"/>
    <w:rsid w:val="24D32F62"/>
    <w:rsid w:val="24D34D10"/>
    <w:rsid w:val="24D419FD"/>
    <w:rsid w:val="24D45146"/>
    <w:rsid w:val="24D82326"/>
    <w:rsid w:val="24DE1340"/>
    <w:rsid w:val="24DE35D8"/>
    <w:rsid w:val="24DF1295"/>
    <w:rsid w:val="24E11B9C"/>
    <w:rsid w:val="24E11DD4"/>
    <w:rsid w:val="24E231A5"/>
    <w:rsid w:val="24E25C65"/>
    <w:rsid w:val="24E476D4"/>
    <w:rsid w:val="24EA40FC"/>
    <w:rsid w:val="24F15196"/>
    <w:rsid w:val="24F16A58"/>
    <w:rsid w:val="24F662A3"/>
    <w:rsid w:val="24FB5F5A"/>
    <w:rsid w:val="24FB6087"/>
    <w:rsid w:val="24FE2E56"/>
    <w:rsid w:val="25034F38"/>
    <w:rsid w:val="25042576"/>
    <w:rsid w:val="25056B88"/>
    <w:rsid w:val="250749B9"/>
    <w:rsid w:val="250D7366"/>
    <w:rsid w:val="250F1AC0"/>
    <w:rsid w:val="250F53CE"/>
    <w:rsid w:val="250F5C28"/>
    <w:rsid w:val="251427D0"/>
    <w:rsid w:val="25175843"/>
    <w:rsid w:val="25180974"/>
    <w:rsid w:val="251C5778"/>
    <w:rsid w:val="251E295E"/>
    <w:rsid w:val="251F668D"/>
    <w:rsid w:val="25276E09"/>
    <w:rsid w:val="25277CBA"/>
    <w:rsid w:val="252D53FE"/>
    <w:rsid w:val="252E79E3"/>
    <w:rsid w:val="2531286E"/>
    <w:rsid w:val="25383E1B"/>
    <w:rsid w:val="253D2FD7"/>
    <w:rsid w:val="253D487F"/>
    <w:rsid w:val="253F4153"/>
    <w:rsid w:val="25425987"/>
    <w:rsid w:val="254479BB"/>
    <w:rsid w:val="254518A6"/>
    <w:rsid w:val="25486290"/>
    <w:rsid w:val="254C6870"/>
    <w:rsid w:val="25516433"/>
    <w:rsid w:val="255319AC"/>
    <w:rsid w:val="255B2CD8"/>
    <w:rsid w:val="255D6CCF"/>
    <w:rsid w:val="255F01DA"/>
    <w:rsid w:val="256516E0"/>
    <w:rsid w:val="25664DD4"/>
    <w:rsid w:val="25695674"/>
    <w:rsid w:val="256B0074"/>
    <w:rsid w:val="25733102"/>
    <w:rsid w:val="25751020"/>
    <w:rsid w:val="25761B3F"/>
    <w:rsid w:val="25777D91"/>
    <w:rsid w:val="257C53A7"/>
    <w:rsid w:val="257D2C18"/>
    <w:rsid w:val="25843D2E"/>
    <w:rsid w:val="25853B30"/>
    <w:rsid w:val="25854E1F"/>
    <w:rsid w:val="25861D82"/>
    <w:rsid w:val="25891872"/>
    <w:rsid w:val="2589481C"/>
    <w:rsid w:val="25896D09"/>
    <w:rsid w:val="258F0488"/>
    <w:rsid w:val="25910727"/>
    <w:rsid w:val="25916979"/>
    <w:rsid w:val="2594043E"/>
    <w:rsid w:val="2596275F"/>
    <w:rsid w:val="259B2577"/>
    <w:rsid w:val="25A64695"/>
    <w:rsid w:val="25AD1F1C"/>
    <w:rsid w:val="25AE12D9"/>
    <w:rsid w:val="25AE3087"/>
    <w:rsid w:val="25B02EE3"/>
    <w:rsid w:val="25B12B77"/>
    <w:rsid w:val="25B20DC9"/>
    <w:rsid w:val="25C0408B"/>
    <w:rsid w:val="25C20CD4"/>
    <w:rsid w:val="25C272D8"/>
    <w:rsid w:val="25C5653C"/>
    <w:rsid w:val="25CB59E7"/>
    <w:rsid w:val="25CC175F"/>
    <w:rsid w:val="25CD79B1"/>
    <w:rsid w:val="25CE197B"/>
    <w:rsid w:val="25D44BD9"/>
    <w:rsid w:val="25D44C6C"/>
    <w:rsid w:val="25D95AFA"/>
    <w:rsid w:val="25DA20CE"/>
    <w:rsid w:val="25DA4D4D"/>
    <w:rsid w:val="25DF75EB"/>
    <w:rsid w:val="25E1159C"/>
    <w:rsid w:val="25E60A73"/>
    <w:rsid w:val="25E82C2C"/>
    <w:rsid w:val="25E837EA"/>
    <w:rsid w:val="25EC2D81"/>
    <w:rsid w:val="25EC7EF5"/>
    <w:rsid w:val="25EE5B79"/>
    <w:rsid w:val="25F12096"/>
    <w:rsid w:val="25F15CFE"/>
    <w:rsid w:val="25F632AA"/>
    <w:rsid w:val="25F636A4"/>
    <w:rsid w:val="25FA2770"/>
    <w:rsid w:val="25FA451E"/>
    <w:rsid w:val="25FF271F"/>
    <w:rsid w:val="26035B0A"/>
    <w:rsid w:val="26086C3B"/>
    <w:rsid w:val="2609650F"/>
    <w:rsid w:val="260A0E9D"/>
    <w:rsid w:val="26143832"/>
    <w:rsid w:val="26190E48"/>
    <w:rsid w:val="26192BF6"/>
    <w:rsid w:val="261D1FBA"/>
    <w:rsid w:val="261F7BE0"/>
    <w:rsid w:val="2622456C"/>
    <w:rsid w:val="262670C1"/>
    <w:rsid w:val="26276191"/>
    <w:rsid w:val="26287749"/>
    <w:rsid w:val="262B46D7"/>
    <w:rsid w:val="26306192"/>
    <w:rsid w:val="263317DE"/>
    <w:rsid w:val="263D12F4"/>
    <w:rsid w:val="263E265D"/>
    <w:rsid w:val="263E36AF"/>
    <w:rsid w:val="264A1001"/>
    <w:rsid w:val="26543C2E"/>
    <w:rsid w:val="265A7FAD"/>
    <w:rsid w:val="265C4A54"/>
    <w:rsid w:val="265F3471"/>
    <w:rsid w:val="26630315"/>
    <w:rsid w:val="2666570F"/>
    <w:rsid w:val="266C1B12"/>
    <w:rsid w:val="266F016F"/>
    <w:rsid w:val="26720558"/>
    <w:rsid w:val="267403C0"/>
    <w:rsid w:val="26775B6F"/>
    <w:rsid w:val="2677791D"/>
    <w:rsid w:val="267970F1"/>
    <w:rsid w:val="26797B39"/>
    <w:rsid w:val="26812549"/>
    <w:rsid w:val="2684236C"/>
    <w:rsid w:val="268B33C8"/>
    <w:rsid w:val="268D5392"/>
    <w:rsid w:val="26914E82"/>
    <w:rsid w:val="26925B71"/>
    <w:rsid w:val="269A644C"/>
    <w:rsid w:val="269C1F13"/>
    <w:rsid w:val="269D40D1"/>
    <w:rsid w:val="269E134D"/>
    <w:rsid w:val="26A12BEB"/>
    <w:rsid w:val="26A83F7A"/>
    <w:rsid w:val="26A90900"/>
    <w:rsid w:val="26AA04BC"/>
    <w:rsid w:val="26AC65B7"/>
    <w:rsid w:val="26B7240F"/>
    <w:rsid w:val="26B80661"/>
    <w:rsid w:val="26BC3298"/>
    <w:rsid w:val="26C254C0"/>
    <w:rsid w:val="26CA2142"/>
    <w:rsid w:val="26CD1C32"/>
    <w:rsid w:val="26D44D6F"/>
    <w:rsid w:val="26E33204"/>
    <w:rsid w:val="26E52AD8"/>
    <w:rsid w:val="26E86A6C"/>
    <w:rsid w:val="26EE4083"/>
    <w:rsid w:val="26F20F49"/>
    <w:rsid w:val="26F86785"/>
    <w:rsid w:val="26F86CAF"/>
    <w:rsid w:val="26F92370"/>
    <w:rsid w:val="26FB67A0"/>
    <w:rsid w:val="26FE3B9A"/>
    <w:rsid w:val="27090EBD"/>
    <w:rsid w:val="270A69E3"/>
    <w:rsid w:val="270B4291"/>
    <w:rsid w:val="270C3544"/>
    <w:rsid w:val="270E5159"/>
    <w:rsid w:val="27133AE9"/>
    <w:rsid w:val="27194E78"/>
    <w:rsid w:val="271B52F5"/>
    <w:rsid w:val="271E3530"/>
    <w:rsid w:val="2727120D"/>
    <w:rsid w:val="272A498F"/>
    <w:rsid w:val="272D1F9A"/>
    <w:rsid w:val="272D447F"/>
    <w:rsid w:val="272F01F7"/>
    <w:rsid w:val="27313F6F"/>
    <w:rsid w:val="2732356D"/>
    <w:rsid w:val="273A5C48"/>
    <w:rsid w:val="273B5210"/>
    <w:rsid w:val="273D2A29"/>
    <w:rsid w:val="273F4CC8"/>
    <w:rsid w:val="27433CA3"/>
    <w:rsid w:val="27435A51"/>
    <w:rsid w:val="27441EF5"/>
    <w:rsid w:val="2746415F"/>
    <w:rsid w:val="274A6DDF"/>
    <w:rsid w:val="274B2E69"/>
    <w:rsid w:val="27511D6F"/>
    <w:rsid w:val="27594FDF"/>
    <w:rsid w:val="275A34C6"/>
    <w:rsid w:val="275D6B12"/>
    <w:rsid w:val="27602AA7"/>
    <w:rsid w:val="27610BA0"/>
    <w:rsid w:val="27651897"/>
    <w:rsid w:val="276A7481"/>
    <w:rsid w:val="276C4FA7"/>
    <w:rsid w:val="276E1A0E"/>
    <w:rsid w:val="27702F56"/>
    <w:rsid w:val="277057A2"/>
    <w:rsid w:val="2771651B"/>
    <w:rsid w:val="27716A62"/>
    <w:rsid w:val="27736336"/>
    <w:rsid w:val="27781B9E"/>
    <w:rsid w:val="27791D45"/>
    <w:rsid w:val="277976C4"/>
    <w:rsid w:val="277A0D1F"/>
    <w:rsid w:val="277A5916"/>
    <w:rsid w:val="277D5407"/>
    <w:rsid w:val="277E5B59"/>
    <w:rsid w:val="277F117F"/>
    <w:rsid w:val="27801F84"/>
    <w:rsid w:val="27802801"/>
    <w:rsid w:val="27804B68"/>
    <w:rsid w:val="27840543"/>
    <w:rsid w:val="27856069"/>
    <w:rsid w:val="2786522A"/>
    <w:rsid w:val="278728BB"/>
    <w:rsid w:val="278A798A"/>
    <w:rsid w:val="278C2894"/>
    <w:rsid w:val="278E13C2"/>
    <w:rsid w:val="278F7294"/>
    <w:rsid w:val="27934C2A"/>
    <w:rsid w:val="27982240"/>
    <w:rsid w:val="279938C3"/>
    <w:rsid w:val="279C78F6"/>
    <w:rsid w:val="279D67DB"/>
    <w:rsid w:val="27A37B3E"/>
    <w:rsid w:val="27A46449"/>
    <w:rsid w:val="27A961FC"/>
    <w:rsid w:val="27AE3812"/>
    <w:rsid w:val="27AE736E"/>
    <w:rsid w:val="27AF1530"/>
    <w:rsid w:val="27B0758A"/>
    <w:rsid w:val="27B50DB5"/>
    <w:rsid w:val="27BE3BBC"/>
    <w:rsid w:val="27BF1455"/>
    <w:rsid w:val="27C2106B"/>
    <w:rsid w:val="27C44AAD"/>
    <w:rsid w:val="27C706B7"/>
    <w:rsid w:val="27CA1E96"/>
    <w:rsid w:val="27CC2A3F"/>
    <w:rsid w:val="27CC6467"/>
    <w:rsid w:val="27CD081C"/>
    <w:rsid w:val="27CE7C21"/>
    <w:rsid w:val="27D17500"/>
    <w:rsid w:val="27D8088F"/>
    <w:rsid w:val="27D86AE1"/>
    <w:rsid w:val="27D92253"/>
    <w:rsid w:val="27DB3EDB"/>
    <w:rsid w:val="27DF31C7"/>
    <w:rsid w:val="27E72880"/>
    <w:rsid w:val="27E86D24"/>
    <w:rsid w:val="27E92A9C"/>
    <w:rsid w:val="27EE7FFC"/>
    <w:rsid w:val="27EF2A62"/>
    <w:rsid w:val="27FA25B3"/>
    <w:rsid w:val="27FB397F"/>
    <w:rsid w:val="28017E2F"/>
    <w:rsid w:val="28023744"/>
    <w:rsid w:val="2802590C"/>
    <w:rsid w:val="280420A3"/>
    <w:rsid w:val="28090802"/>
    <w:rsid w:val="281008CE"/>
    <w:rsid w:val="28113188"/>
    <w:rsid w:val="28156F15"/>
    <w:rsid w:val="28186EDD"/>
    <w:rsid w:val="281C1C4B"/>
    <w:rsid w:val="28212236"/>
    <w:rsid w:val="28215D92"/>
    <w:rsid w:val="28277120"/>
    <w:rsid w:val="2829733C"/>
    <w:rsid w:val="282A35FD"/>
    <w:rsid w:val="28366395"/>
    <w:rsid w:val="283755B5"/>
    <w:rsid w:val="283D650A"/>
    <w:rsid w:val="2849353B"/>
    <w:rsid w:val="28497C0B"/>
    <w:rsid w:val="284C3915"/>
    <w:rsid w:val="28570975"/>
    <w:rsid w:val="285B6079"/>
    <w:rsid w:val="285C753E"/>
    <w:rsid w:val="285E43FC"/>
    <w:rsid w:val="28632603"/>
    <w:rsid w:val="28697739"/>
    <w:rsid w:val="28722A91"/>
    <w:rsid w:val="28750EB3"/>
    <w:rsid w:val="287560FB"/>
    <w:rsid w:val="28767607"/>
    <w:rsid w:val="28771E56"/>
    <w:rsid w:val="28782C72"/>
    <w:rsid w:val="287855CC"/>
    <w:rsid w:val="28812CD5"/>
    <w:rsid w:val="28897A5F"/>
    <w:rsid w:val="288A7DDB"/>
    <w:rsid w:val="288F7729"/>
    <w:rsid w:val="28933CDE"/>
    <w:rsid w:val="28940C5A"/>
    <w:rsid w:val="289522DC"/>
    <w:rsid w:val="28974846"/>
    <w:rsid w:val="2899001E"/>
    <w:rsid w:val="289A78F2"/>
    <w:rsid w:val="289B740D"/>
    <w:rsid w:val="289E73E3"/>
    <w:rsid w:val="289F315B"/>
    <w:rsid w:val="28A013AD"/>
    <w:rsid w:val="28A6273B"/>
    <w:rsid w:val="28A722AB"/>
    <w:rsid w:val="28A756C4"/>
    <w:rsid w:val="28A80261"/>
    <w:rsid w:val="28A864B3"/>
    <w:rsid w:val="28A900DA"/>
    <w:rsid w:val="28A90CF1"/>
    <w:rsid w:val="28AB7D51"/>
    <w:rsid w:val="28AF71AA"/>
    <w:rsid w:val="28B135BA"/>
    <w:rsid w:val="28B56FCE"/>
    <w:rsid w:val="28B766F6"/>
    <w:rsid w:val="28BA1D43"/>
    <w:rsid w:val="28C50E13"/>
    <w:rsid w:val="28CA01D8"/>
    <w:rsid w:val="28CD714C"/>
    <w:rsid w:val="28CF53FD"/>
    <w:rsid w:val="28D76607"/>
    <w:rsid w:val="28D76D98"/>
    <w:rsid w:val="28E31299"/>
    <w:rsid w:val="28EB04E1"/>
    <w:rsid w:val="28F07A86"/>
    <w:rsid w:val="28F27FBD"/>
    <w:rsid w:val="28F6721F"/>
    <w:rsid w:val="28F74D45"/>
    <w:rsid w:val="28F80F31"/>
    <w:rsid w:val="290556B4"/>
    <w:rsid w:val="290A0F1C"/>
    <w:rsid w:val="290B17DF"/>
    <w:rsid w:val="290C6A42"/>
    <w:rsid w:val="290D27BA"/>
    <w:rsid w:val="291051E0"/>
    <w:rsid w:val="29127DD1"/>
    <w:rsid w:val="2916066A"/>
    <w:rsid w:val="2916166F"/>
    <w:rsid w:val="291A2956"/>
    <w:rsid w:val="291C5D93"/>
    <w:rsid w:val="291E22D1"/>
    <w:rsid w:val="291E49C7"/>
    <w:rsid w:val="291E4ABE"/>
    <w:rsid w:val="291E6775"/>
    <w:rsid w:val="29206EB8"/>
    <w:rsid w:val="29232042"/>
    <w:rsid w:val="29257DBF"/>
    <w:rsid w:val="292673D8"/>
    <w:rsid w:val="29283896"/>
    <w:rsid w:val="29310391"/>
    <w:rsid w:val="293143F3"/>
    <w:rsid w:val="29332483"/>
    <w:rsid w:val="293549A8"/>
    <w:rsid w:val="293641F3"/>
    <w:rsid w:val="293739EE"/>
    <w:rsid w:val="293935AF"/>
    <w:rsid w:val="2939710B"/>
    <w:rsid w:val="293D4E4D"/>
    <w:rsid w:val="293E4F06"/>
    <w:rsid w:val="293E50CC"/>
    <w:rsid w:val="29437BE4"/>
    <w:rsid w:val="294B131E"/>
    <w:rsid w:val="294B783D"/>
    <w:rsid w:val="294F53A9"/>
    <w:rsid w:val="29564161"/>
    <w:rsid w:val="29576CB6"/>
    <w:rsid w:val="29595666"/>
    <w:rsid w:val="295D729E"/>
    <w:rsid w:val="29630A3E"/>
    <w:rsid w:val="29695C0D"/>
    <w:rsid w:val="296968CB"/>
    <w:rsid w:val="296A03F9"/>
    <w:rsid w:val="296D28D2"/>
    <w:rsid w:val="29712D49"/>
    <w:rsid w:val="29742923"/>
    <w:rsid w:val="29752839"/>
    <w:rsid w:val="297D10CF"/>
    <w:rsid w:val="297D524A"/>
    <w:rsid w:val="2982288B"/>
    <w:rsid w:val="2987256D"/>
    <w:rsid w:val="2987431B"/>
    <w:rsid w:val="29874881"/>
    <w:rsid w:val="2988552A"/>
    <w:rsid w:val="298A5BB9"/>
    <w:rsid w:val="298B3E14"/>
    <w:rsid w:val="298C36DF"/>
    <w:rsid w:val="298E7EDF"/>
    <w:rsid w:val="2998070D"/>
    <w:rsid w:val="299A22A0"/>
    <w:rsid w:val="299B2F17"/>
    <w:rsid w:val="29A21154"/>
    <w:rsid w:val="29A50BEC"/>
    <w:rsid w:val="29AB625B"/>
    <w:rsid w:val="29AC1FD3"/>
    <w:rsid w:val="29AE7AF9"/>
    <w:rsid w:val="29AE7D8F"/>
    <w:rsid w:val="29B02800"/>
    <w:rsid w:val="29B03CA6"/>
    <w:rsid w:val="29B14299"/>
    <w:rsid w:val="29B22DDB"/>
    <w:rsid w:val="29B66F4F"/>
    <w:rsid w:val="29B7308B"/>
    <w:rsid w:val="29BB3FC4"/>
    <w:rsid w:val="29C1436E"/>
    <w:rsid w:val="29C235A5"/>
    <w:rsid w:val="29C263C1"/>
    <w:rsid w:val="29C34ED0"/>
    <w:rsid w:val="29CC4423"/>
    <w:rsid w:val="29D05CC2"/>
    <w:rsid w:val="29D86924"/>
    <w:rsid w:val="29D96C55"/>
    <w:rsid w:val="29D9736F"/>
    <w:rsid w:val="29DD03DE"/>
    <w:rsid w:val="29DD7EAD"/>
    <w:rsid w:val="29E325E0"/>
    <w:rsid w:val="29E6464C"/>
    <w:rsid w:val="29EA0FBE"/>
    <w:rsid w:val="29EE0626"/>
    <w:rsid w:val="29F55DC0"/>
    <w:rsid w:val="29F6324E"/>
    <w:rsid w:val="29F821DF"/>
    <w:rsid w:val="29F86FC6"/>
    <w:rsid w:val="2A007C29"/>
    <w:rsid w:val="2A0159ED"/>
    <w:rsid w:val="2A05002E"/>
    <w:rsid w:val="2A0B4F4C"/>
    <w:rsid w:val="2A0C65CE"/>
    <w:rsid w:val="2A1004BE"/>
    <w:rsid w:val="2A1243E7"/>
    <w:rsid w:val="2A1452EB"/>
    <w:rsid w:val="2A154580"/>
    <w:rsid w:val="2A1A518F"/>
    <w:rsid w:val="2A1B22DC"/>
    <w:rsid w:val="2A1C0F07"/>
    <w:rsid w:val="2A1F5793"/>
    <w:rsid w:val="2A2102CB"/>
    <w:rsid w:val="2A263B34"/>
    <w:rsid w:val="2A273037"/>
    <w:rsid w:val="2A2A30E9"/>
    <w:rsid w:val="2A2B2EF8"/>
    <w:rsid w:val="2A2E29E8"/>
    <w:rsid w:val="2A317588"/>
    <w:rsid w:val="2A360CA7"/>
    <w:rsid w:val="2A362F01"/>
    <w:rsid w:val="2A391AB9"/>
    <w:rsid w:val="2A3A69C0"/>
    <w:rsid w:val="2A3C3357"/>
    <w:rsid w:val="2A3E70CF"/>
    <w:rsid w:val="2A452503"/>
    <w:rsid w:val="2A465F84"/>
    <w:rsid w:val="2A475858"/>
    <w:rsid w:val="2A476765"/>
    <w:rsid w:val="2A4B296C"/>
    <w:rsid w:val="2A4B491B"/>
    <w:rsid w:val="2A4E7E3C"/>
    <w:rsid w:val="2A5051E1"/>
    <w:rsid w:val="2A515E5B"/>
    <w:rsid w:val="2A5B2B7A"/>
    <w:rsid w:val="2A614B6C"/>
    <w:rsid w:val="2A680036"/>
    <w:rsid w:val="2A7259A8"/>
    <w:rsid w:val="2A7510F0"/>
    <w:rsid w:val="2A7725E1"/>
    <w:rsid w:val="2A781EB5"/>
    <w:rsid w:val="2A783C63"/>
    <w:rsid w:val="2A7A3E7F"/>
    <w:rsid w:val="2A7D127A"/>
    <w:rsid w:val="2A7D5FBC"/>
    <w:rsid w:val="2A8A52F7"/>
    <w:rsid w:val="2A97233B"/>
    <w:rsid w:val="2A9A007E"/>
    <w:rsid w:val="2A9A62D0"/>
    <w:rsid w:val="2A9F62C6"/>
    <w:rsid w:val="2AA36F32"/>
    <w:rsid w:val="2AAA6513"/>
    <w:rsid w:val="2AAB228B"/>
    <w:rsid w:val="2AAB4039"/>
    <w:rsid w:val="2AAD172C"/>
    <w:rsid w:val="2AAF56F9"/>
    <w:rsid w:val="2AB16208"/>
    <w:rsid w:val="2AB20B4F"/>
    <w:rsid w:val="2AB47391"/>
    <w:rsid w:val="2AB94A4F"/>
    <w:rsid w:val="2ABC1DA2"/>
    <w:rsid w:val="2AC0755D"/>
    <w:rsid w:val="2AC50B01"/>
    <w:rsid w:val="2ACB0237"/>
    <w:rsid w:val="2ACB46DB"/>
    <w:rsid w:val="2AD07052"/>
    <w:rsid w:val="2AD27817"/>
    <w:rsid w:val="2AD510B6"/>
    <w:rsid w:val="2ADE61BC"/>
    <w:rsid w:val="2AED7A0A"/>
    <w:rsid w:val="2AF222BB"/>
    <w:rsid w:val="2AF43C32"/>
    <w:rsid w:val="2AF57940"/>
    <w:rsid w:val="2AFB4FC0"/>
    <w:rsid w:val="2B006133"/>
    <w:rsid w:val="2B02634F"/>
    <w:rsid w:val="2B05199B"/>
    <w:rsid w:val="2B07458A"/>
    <w:rsid w:val="2B110340"/>
    <w:rsid w:val="2B141BDE"/>
    <w:rsid w:val="2B195446"/>
    <w:rsid w:val="2B1971F4"/>
    <w:rsid w:val="2B1D0679"/>
    <w:rsid w:val="2B2067D5"/>
    <w:rsid w:val="2B25203D"/>
    <w:rsid w:val="2B2A1401"/>
    <w:rsid w:val="2B2B658A"/>
    <w:rsid w:val="2B2B6F28"/>
    <w:rsid w:val="2B2D63A8"/>
    <w:rsid w:val="2B2F6A18"/>
    <w:rsid w:val="2B33475A"/>
    <w:rsid w:val="2B397896"/>
    <w:rsid w:val="2B3E30FF"/>
    <w:rsid w:val="2B45448D"/>
    <w:rsid w:val="2B465B0F"/>
    <w:rsid w:val="2B471FB3"/>
    <w:rsid w:val="2B5D6083"/>
    <w:rsid w:val="2B603337"/>
    <w:rsid w:val="2B612949"/>
    <w:rsid w:val="2B632B65"/>
    <w:rsid w:val="2B667A16"/>
    <w:rsid w:val="2B6A3EF4"/>
    <w:rsid w:val="2B6C7C6C"/>
    <w:rsid w:val="2B6D0194"/>
    <w:rsid w:val="2B7408CF"/>
    <w:rsid w:val="2B74267D"/>
    <w:rsid w:val="2B770448"/>
    <w:rsid w:val="2B782B71"/>
    <w:rsid w:val="2B82621A"/>
    <w:rsid w:val="2B8428FC"/>
    <w:rsid w:val="2B843B33"/>
    <w:rsid w:val="2B8D6D49"/>
    <w:rsid w:val="2B8E2A2E"/>
    <w:rsid w:val="2B8E716E"/>
    <w:rsid w:val="2B8F7617"/>
    <w:rsid w:val="2B90605D"/>
    <w:rsid w:val="2B9176D3"/>
    <w:rsid w:val="2B9478A5"/>
    <w:rsid w:val="2B966A97"/>
    <w:rsid w:val="2B967E60"/>
    <w:rsid w:val="2B9C02AF"/>
    <w:rsid w:val="2B9D7E25"/>
    <w:rsid w:val="2B9F3B9D"/>
    <w:rsid w:val="2BA936A8"/>
    <w:rsid w:val="2BA967CA"/>
    <w:rsid w:val="2BAA2498"/>
    <w:rsid w:val="2BAC225B"/>
    <w:rsid w:val="2BAE55DD"/>
    <w:rsid w:val="2BB048CE"/>
    <w:rsid w:val="2BB313F7"/>
    <w:rsid w:val="2BB413CB"/>
    <w:rsid w:val="2BB53814"/>
    <w:rsid w:val="2BBE7D9C"/>
    <w:rsid w:val="2BC25ADE"/>
    <w:rsid w:val="2BCA6741"/>
    <w:rsid w:val="2BCC39EC"/>
    <w:rsid w:val="2BCC4267"/>
    <w:rsid w:val="2BCE6231"/>
    <w:rsid w:val="2BCE65CD"/>
    <w:rsid w:val="2BD650E5"/>
    <w:rsid w:val="2BD766B5"/>
    <w:rsid w:val="2BDF3AA9"/>
    <w:rsid w:val="2BE912BD"/>
    <w:rsid w:val="2BE92273"/>
    <w:rsid w:val="2BEB619B"/>
    <w:rsid w:val="2BEE0681"/>
    <w:rsid w:val="2BF043F9"/>
    <w:rsid w:val="2BF51A0F"/>
    <w:rsid w:val="2BFB6386"/>
    <w:rsid w:val="2C0130E3"/>
    <w:rsid w:val="2C016606"/>
    <w:rsid w:val="2C0A4D8F"/>
    <w:rsid w:val="2C0B1726"/>
    <w:rsid w:val="2C0C1DA5"/>
    <w:rsid w:val="2C0E0D23"/>
    <w:rsid w:val="2C0E2AD1"/>
    <w:rsid w:val="2C1216CB"/>
    <w:rsid w:val="2C135148"/>
    <w:rsid w:val="2C146EDC"/>
    <w:rsid w:val="2C161A0C"/>
    <w:rsid w:val="2C163734"/>
    <w:rsid w:val="2C167BD8"/>
    <w:rsid w:val="2C1874AC"/>
    <w:rsid w:val="2C1A10D7"/>
    <w:rsid w:val="2C1A76C8"/>
    <w:rsid w:val="2C1B442F"/>
    <w:rsid w:val="2C1B69DD"/>
    <w:rsid w:val="2C1D75AA"/>
    <w:rsid w:val="2C1E78A8"/>
    <w:rsid w:val="2C220A03"/>
    <w:rsid w:val="2C261D5D"/>
    <w:rsid w:val="2C26606D"/>
    <w:rsid w:val="2C2916B9"/>
    <w:rsid w:val="2C29790B"/>
    <w:rsid w:val="2C2A4AA2"/>
    <w:rsid w:val="2C315A5A"/>
    <w:rsid w:val="2C3167C0"/>
    <w:rsid w:val="2C317BA3"/>
    <w:rsid w:val="2C351E0C"/>
    <w:rsid w:val="2C35471D"/>
    <w:rsid w:val="2C373E31"/>
    <w:rsid w:val="2C3A5812"/>
    <w:rsid w:val="2C3C4C0F"/>
    <w:rsid w:val="2C3E3A5A"/>
    <w:rsid w:val="2C3F3AF2"/>
    <w:rsid w:val="2C431512"/>
    <w:rsid w:val="2C45579E"/>
    <w:rsid w:val="2C477D91"/>
    <w:rsid w:val="2C484235"/>
    <w:rsid w:val="2C4B1C25"/>
    <w:rsid w:val="2C5034BA"/>
    <w:rsid w:val="2C526E62"/>
    <w:rsid w:val="2C574478"/>
    <w:rsid w:val="2C581964"/>
    <w:rsid w:val="2C646B95"/>
    <w:rsid w:val="2C6721E1"/>
    <w:rsid w:val="2C6B1CD2"/>
    <w:rsid w:val="2C6B2DB9"/>
    <w:rsid w:val="2C7072E8"/>
    <w:rsid w:val="2C723660"/>
    <w:rsid w:val="2C76027C"/>
    <w:rsid w:val="2C772424"/>
    <w:rsid w:val="2C784CC2"/>
    <w:rsid w:val="2C7C5C8D"/>
    <w:rsid w:val="2C8114F5"/>
    <w:rsid w:val="2C815051"/>
    <w:rsid w:val="2C8C39F6"/>
    <w:rsid w:val="2C8D1C48"/>
    <w:rsid w:val="2C977623"/>
    <w:rsid w:val="2C9E4699"/>
    <w:rsid w:val="2C9E7B40"/>
    <w:rsid w:val="2CA10B11"/>
    <w:rsid w:val="2CA174A1"/>
    <w:rsid w:val="2CA46F92"/>
    <w:rsid w:val="2CA70830"/>
    <w:rsid w:val="2CA945A8"/>
    <w:rsid w:val="2CAC029E"/>
    <w:rsid w:val="2CAD22EA"/>
    <w:rsid w:val="2CAF6062"/>
    <w:rsid w:val="2CB2755C"/>
    <w:rsid w:val="2CB35427"/>
    <w:rsid w:val="2CB5119F"/>
    <w:rsid w:val="2CB573F1"/>
    <w:rsid w:val="2CBA67B5"/>
    <w:rsid w:val="2CBD33E0"/>
    <w:rsid w:val="2CC364FE"/>
    <w:rsid w:val="2CC55677"/>
    <w:rsid w:val="2CC55886"/>
    <w:rsid w:val="2CC81B8A"/>
    <w:rsid w:val="2CC81D42"/>
    <w:rsid w:val="2CC969F8"/>
    <w:rsid w:val="2CCA4D2E"/>
    <w:rsid w:val="2CCE19BA"/>
    <w:rsid w:val="2CCE400E"/>
    <w:rsid w:val="2CCF03A6"/>
    <w:rsid w:val="2CD5539D"/>
    <w:rsid w:val="2CD646C5"/>
    <w:rsid w:val="2CDA2356"/>
    <w:rsid w:val="2CDA6E57"/>
    <w:rsid w:val="2CDC2BCF"/>
    <w:rsid w:val="2CDE6947"/>
    <w:rsid w:val="2CE11F94"/>
    <w:rsid w:val="2CE53BDB"/>
    <w:rsid w:val="2CE65E4C"/>
    <w:rsid w:val="2CEA52EC"/>
    <w:rsid w:val="2CEC0AC1"/>
    <w:rsid w:val="2CEC6C7C"/>
    <w:rsid w:val="2CEF127D"/>
    <w:rsid w:val="2CF23BEF"/>
    <w:rsid w:val="2CF25F4F"/>
    <w:rsid w:val="2CF41CC7"/>
    <w:rsid w:val="2CF75313"/>
    <w:rsid w:val="2CF851CD"/>
    <w:rsid w:val="2CFC0B7C"/>
    <w:rsid w:val="2CFE3E38"/>
    <w:rsid w:val="2D0637A8"/>
    <w:rsid w:val="2D087978"/>
    <w:rsid w:val="2D0F4C79"/>
    <w:rsid w:val="2D104627"/>
    <w:rsid w:val="2D12039F"/>
    <w:rsid w:val="2D1212ED"/>
    <w:rsid w:val="2D12214D"/>
    <w:rsid w:val="2D173C07"/>
    <w:rsid w:val="2D1C2BE9"/>
    <w:rsid w:val="2D1C2E8F"/>
    <w:rsid w:val="2D1E31A4"/>
    <w:rsid w:val="2D1F0FA5"/>
    <w:rsid w:val="2D202ABC"/>
    <w:rsid w:val="2D2105E2"/>
    <w:rsid w:val="2D231865"/>
    <w:rsid w:val="2D237C29"/>
    <w:rsid w:val="2D2517AF"/>
    <w:rsid w:val="2D256324"/>
    <w:rsid w:val="2D2C76B3"/>
    <w:rsid w:val="2D2D342B"/>
    <w:rsid w:val="2D300825"/>
    <w:rsid w:val="2D383328"/>
    <w:rsid w:val="2D390097"/>
    <w:rsid w:val="2D3E1194"/>
    <w:rsid w:val="2D3E2F42"/>
    <w:rsid w:val="2D3E73E6"/>
    <w:rsid w:val="2D4C4AC2"/>
    <w:rsid w:val="2D4E2424"/>
    <w:rsid w:val="2D4F6EFD"/>
    <w:rsid w:val="2D522E91"/>
    <w:rsid w:val="2D560397"/>
    <w:rsid w:val="2D5704A8"/>
    <w:rsid w:val="2D580969"/>
    <w:rsid w:val="2D5B1D46"/>
    <w:rsid w:val="2D5E35E4"/>
    <w:rsid w:val="2D616C31"/>
    <w:rsid w:val="2D623B8D"/>
    <w:rsid w:val="2D634D1C"/>
    <w:rsid w:val="2D652BC5"/>
    <w:rsid w:val="2D673534"/>
    <w:rsid w:val="2D684463"/>
    <w:rsid w:val="2D6F7469"/>
    <w:rsid w:val="2D71156A"/>
    <w:rsid w:val="2D713318"/>
    <w:rsid w:val="2D74105A"/>
    <w:rsid w:val="2D786F62"/>
    <w:rsid w:val="2D7A2D69"/>
    <w:rsid w:val="2D7D0B30"/>
    <w:rsid w:val="2D80355B"/>
    <w:rsid w:val="2D893025"/>
    <w:rsid w:val="2D8C3C6C"/>
    <w:rsid w:val="2D8F706B"/>
    <w:rsid w:val="2D917516"/>
    <w:rsid w:val="2D930D3F"/>
    <w:rsid w:val="2D94654E"/>
    <w:rsid w:val="2D957971"/>
    <w:rsid w:val="2D966F05"/>
    <w:rsid w:val="2D9B2143"/>
    <w:rsid w:val="2D9C5EBB"/>
    <w:rsid w:val="2D9E56F5"/>
    <w:rsid w:val="2D9E7E85"/>
    <w:rsid w:val="2DA336ED"/>
    <w:rsid w:val="2DA4726D"/>
    <w:rsid w:val="2DAD00C8"/>
    <w:rsid w:val="2DB87198"/>
    <w:rsid w:val="2DB941E7"/>
    <w:rsid w:val="2DB94305"/>
    <w:rsid w:val="2DBA6122"/>
    <w:rsid w:val="2DBD030B"/>
    <w:rsid w:val="2DBE22D5"/>
    <w:rsid w:val="2DC25921"/>
    <w:rsid w:val="2DCA2A28"/>
    <w:rsid w:val="2DCC2C44"/>
    <w:rsid w:val="2DCC49F2"/>
    <w:rsid w:val="2DCF003E"/>
    <w:rsid w:val="2DCF0D7C"/>
    <w:rsid w:val="2DCF7851"/>
    <w:rsid w:val="2DD24D10"/>
    <w:rsid w:val="2DD34C40"/>
    <w:rsid w:val="2DD678F6"/>
    <w:rsid w:val="2DDA2C93"/>
    <w:rsid w:val="2DDC36FB"/>
    <w:rsid w:val="2DDF2977"/>
    <w:rsid w:val="2DE0049D"/>
    <w:rsid w:val="2DE142E5"/>
    <w:rsid w:val="2DE449A7"/>
    <w:rsid w:val="2DEB6CBF"/>
    <w:rsid w:val="2DEC299E"/>
    <w:rsid w:val="2DED2B2D"/>
    <w:rsid w:val="2DED7344"/>
    <w:rsid w:val="2DF14458"/>
    <w:rsid w:val="2DF47FFF"/>
    <w:rsid w:val="2DF53F49"/>
    <w:rsid w:val="2DF7019E"/>
    <w:rsid w:val="2E0250B9"/>
    <w:rsid w:val="2E051CB2"/>
    <w:rsid w:val="2E093133"/>
    <w:rsid w:val="2E095F4B"/>
    <w:rsid w:val="2E100D83"/>
    <w:rsid w:val="2E1304CB"/>
    <w:rsid w:val="2E1A39AF"/>
    <w:rsid w:val="2E291E44"/>
    <w:rsid w:val="2E2959A0"/>
    <w:rsid w:val="2E2C36E3"/>
    <w:rsid w:val="2E2E1209"/>
    <w:rsid w:val="2E2E2FB7"/>
    <w:rsid w:val="2E304F81"/>
    <w:rsid w:val="2E3418F5"/>
    <w:rsid w:val="2E352597"/>
    <w:rsid w:val="2E356D96"/>
    <w:rsid w:val="2E375631"/>
    <w:rsid w:val="2E383614"/>
    <w:rsid w:val="2E417490"/>
    <w:rsid w:val="2E422F06"/>
    <w:rsid w:val="2E4349F0"/>
    <w:rsid w:val="2E444588"/>
    <w:rsid w:val="2E47051C"/>
    <w:rsid w:val="2E496FF2"/>
    <w:rsid w:val="2E532414"/>
    <w:rsid w:val="2E56739D"/>
    <w:rsid w:val="2E586286"/>
    <w:rsid w:val="2E5C5D76"/>
    <w:rsid w:val="2E607436"/>
    <w:rsid w:val="2E617FC9"/>
    <w:rsid w:val="2E6609A2"/>
    <w:rsid w:val="2E667F96"/>
    <w:rsid w:val="2E6F0895"/>
    <w:rsid w:val="2E70480A"/>
    <w:rsid w:val="2E721E16"/>
    <w:rsid w:val="2E752911"/>
    <w:rsid w:val="2E786928"/>
    <w:rsid w:val="2E794040"/>
    <w:rsid w:val="2E7A444E"/>
    <w:rsid w:val="2E7B3D22"/>
    <w:rsid w:val="2E821554"/>
    <w:rsid w:val="2E8226AB"/>
    <w:rsid w:val="2E870919"/>
    <w:rsid w:val="2E8D23D3"/>
    <w:rsid w:val="2E905A1F"/>
    <w:rsid w:val="2E975D09"/>
    <w:rsid w:val="2E9F47CB"/>
    <w:rsid w:val="2E9F5C62"/>
    <w:rsid w:val="2EA339A5"/>
    <w:rsid w:val="2EA414CB"/>
    <w:rsid w:val="2EA80042"/>
    <w:rsid w:val="2EB23BE8"/>
    <w:rsid w:val="2EB24D90"/>
    <w:rsid w:val="2EB3170E"/>
    <w:rsid w:val="2EB57437"/>
    <w:rsid w:val="2EBC3AAC"/>
    <w:rsid w:val="2EBF6305"/>
    <w:rsid w:val="2EC456C9"/>
    <w:rsid w:val="2EC61509"/>
    <w:rsid w:val="2EC8340B"/>
    <w:rsid w:val="2ECA5A2D"/>
    <w:rsid w:val="2ECC4B2F"/>
    <w:rsid w:val="2ECD1893"/>
    <w:rsid w:val="2ECD27D0"/>
    <w:rsid w:val="2ECD418E"/>
    <w:rsid w:val="2ED40002"/>
    <w:rsid w:val="2ED5666A"/>
    <w:rsid w:val="2ED578D6"/>
    <w:rsid w:val="2EE07A9B"/>
    <w:rsid w:val="2EE144CD"/>
    <w:rsid w:val="2EE3086D"/>
    <w:rsid w:val="2EE31FF3"/>
    <w:rsid w:val="2EEB3529"/>
    <w:rsid w:val="2EEE7709"/>
    <w:rsid w:val="2EF37D5C"/>
    <w:rsid w:val="2EF61C22"/>
    <w:rsid w:val="2EF75A9F"/>
    <w:rsid w:val="2EF835C5"/>
    <w:rsid w:val="2EFB4ACD"/>
    <w:rsid w:val="2EFE36E7"/>
    <w:rsid w:val="2F01691D"/>
    <w:rsid w:val="2F072724"/>
    <w:rsid w:val="2F0D7070"/>
    <w:rsid w:val="2F0E5507"/>
    <w:rsid w:val="2F0F2DE8"/>
    <w:rsid w:val="2F1242B2"/>
    <w:rsid w:val="2F17742B"/>
    <w:rsid w:val="2F1819BF"/>
    <w:rsid w:val="2F183841"/>
    <w:rsid w:val="2F196D6E"/>
    <w:rsid w:val="2F1D4533"/>
    <w:rsid w:val="2F260132"/>
    <w:rsid w:val="2F275EC2"/>
    <w:rsid w:val="2F2B399A"/>
    <w:rsid w:val="2F2F36EB"/>
    <w:rsid w:val="2F2F5238"/>
    <w:rsid w:val="2F320885"/>
    <w:rsid w:val="2F3718DB"/>
    <w:rsid w:val="2F391C13"/>
    <w:rsid w:val="2F3C7955"/>
    <w:rsid w:val="2F3F11F4"/>
    <w:rsid w:val="2F461C3F"/>
    <w:rsid w:val="2F4733F1"/>
    <w:rsid w:val="2F4B52A6"/>
    <w:rsid w:val="2F4F1437"/>
    <w:rsid w:val="2F527179"/>
    <w:rsid w:val="2F553123"/>
    <w:rsid w:val="2F605769"/>
    <w:rsid w:val="2F634EE2"/>
    <w:rsid w:val="2F653560"/>
    <w:rsid w:val="2F682F49"/>
    <w:rsid w:val="2F6B3D97"/>
    <w:rsid w:val="2F6C7E59"/>
    <w:rsid w:val="2F6D14BB"/>
    <w:rsid w:val="2F6D3FB3"/>
    <w:rsid w:val="2F6E2006"/>
    <w:rsid w:val="2F723377"/>
    <w:rsid w:val="2F8230B7"/>
    <w:rsid w:val="2F8310E0"/>
    <w:rsid w:val="2F8C268B"/>
    <w:rsid w:val="2F8E52F6"/>
    <w:rsid w:val="2F8F7723"/>
    <w:rsid w:val="2F924589"/>
    <w:rsid w:val="2F942A8B"/>
    <w:rsid w:val="2F9B467C"/>
    <w:rsid w:val="2FA379D4"/>
    <w:rsid w:val="2FA408D7"/>
    <w:rsid w:val="2FA554FB"/>
    <w:rsid w:val="2FA86522"/>
    <w:rsid w:val="2FAA48BF"/>
    <w:rsid w:val="2FAB5F1D"/>
    <w:rsid w:val="2FB971F8"/>
    <w:rsid w:val="2FC04D0F"/>
    <w:rsid w:val="2FC55B9D"/>
    <w:rsid w:val="2FC82F97"/>
    <w:rsid w:val="2FCB1ED7"/>
    <w:rsid w:val="2FCB3661"/>
    <w:rsid w:val="2FD065E6"/>
    <w:rsid w:val="2FD47B8E"/>
    <w:rsid w:val="2FD63906"/>
    <w:rsid w:val="2FD773FA"/>
    <w:rsid w:val="2FD91648"/>
    <w:rsid w:val="2FD96870"/>
    <w:rsid w:val="2FE06B16"/>
    <w:rsid w:val="2FE204FD"/>
    <w:rsid w:val="2FE57FED"/>
    <w:rsid w:val="2FE778C1"/>
    <w:rsid w:val="2FE77F6F"/>
    <w:rsid w:val="2FEB1D14"/>
    <w:rsid w:val="2FED083D"/>
    <w:rsid w:val="2FEE6EA1"/>
    <w:rsid w:val="2FEE6F03"/>
    <w:rsid w:val="2FEF3119"/>
    <w:rsid w:val="2FF40230"/>
    <w:rsid w:val="2FF975F4"/>
    <w:rsid w:val="2FFB1905"/>
    <w:rsid w:val="2FFB336C"/>
    <w:rsid w:val="2FFB618C"/>
    <w:rsid w:val="30004E27"/>
    <w:rsid w:val="30010B15"/>
    <w:rsid w:val="30077F63"/>
    <w:rsid w:val="300C3455"/>
    <w:rsid w:val="300D3091"/>
    <w:rsid w:val="300D4E4E"/>
    <w:rsid w:val="30146A2A"/>
    <w:rsid w:val="301E705B"/>
    <w:rsid w:val="30240026"/>
    <w:rsid w:val="3027363E"/>
    <w:rsid w:val="302A38E4"/>
    <w:rsid w:val="302D66A2"/>
    <w:rsid w:val="303B2E10"/>
    <w:rsid w:val="30406FD1"/>
    <w:rsid w:val="3049057C"/>
    <w:rsid w:val="30493619"/>
    <w:rsid w:val="305111DE"/>
    <w:rsid w:val="30517430"/>
    <w:rsid w:val="30534F57"/>
    <w:rsid w:val="30536E74"/>
    <w:rsid w:val="30562C99"/>
    <w:rsid w:val="30580BC9"/>
    <w:rsid w:val="305B3E0B"/>
    <w:rsid w:val="305D4027"/>
    <w:rsid w:val="30606146"/>
    <w:rsid w:val="30613D17"/>
    <w:rsid w:val="30640F12"/>
    <w:rsid w:val="3068302C"/>
    <w:rsid w:val="306A5CC3"/>
    <w:rsid w:val="306B7AD4"/>
    <w:rsid w:val="306C7731"/>
    <w:rsid w:val="306F78B6"/>
    <w:rsid w:val="30717AD3"/>
    <w:rsid w:val="307A091E"/>
    <w:rsid w:val="307C4312"/>
    <w:rsid w:val="307D6369"/>
    <w:rsid w:val="30850E88"/>
    <w:rsid w:val="308860C7"/>
    <w:rsid w:val="308E28B2"/>
    <w:rsid w:val="308E2E6E"/>
    <w:rsid w:val="3095731D"/>
    <w:rsid w:val="30964734"/>
    <w:rsid w:val="309B06AC"/>
    <w:rsid w:val="309B4378"/>
    <w:rsid w:val="309C2C4F"/>
    <w:rsid w:val="309F4910"/>
    <w:rsid w:val="309F63EE"/>
    <w:rsid w:val="30A51BB7"/>
    <w:rsid w:val="30A579E5"/>
    <w:rsid w:val="30AE4883"/>
    <w:rsid w:val="30B04157"/>
    <w:rsid w:val="30B0641C"/>
    <w:rsid w:val="30B71989"/>
    <w:rsid w:val="30BA1C22"/>
    <w:rsid w:val="30BA4D13"/>
    <w:rsid w:val="30BD0622"/>
    <w:rsid w:val="30BE432C"/>
    <w:rsid w:val="30BF439A"/>
    <w:rsid w:val="30C145B6"/>
    <w:rsid w:val="30C37E76"/>
    <w:rsid w:val="30C95E0E"/>
    <w:rsid w:val="30CB09EC"/>
    <w:rsid w:val="30CB2D3F"/>
    <w:rsid w:val="30D37E45"/>
    <w:rsid w:val="30D75B88"/>
    <w:rsid w:val="30DA11D4"/>
    <w:rsid w:val="30DA7426"/>
    <w:rsid w:val="30DF2C8E"/>
    <w:rsid w:val="30E06A1A"/>
    <w:rsid w:val="30E87D95"/>
    <w:rsid w:val="30E91417"/>
    <w:rsid w:val="30F027A5"/>
    <w:rsid w:val="30F46739"/>
    <w:rsid w:val="30F77FD8"/>
    <w:rsid w:val="310426F5"/>
    <w:rsid w:val="31077AEF"/>
    <w:rsid w:val="310B75DF"/>
    <w:rsid w:val="310B7B9E"/>
    <w:rsid w:val="310E0E7D"/>
    <w:rsid w:val="311346E6"/>
    <w:rsid w:val="31140D6C"/>
    <w:rsid w:val="31184B1D"/>
    <w:rsid w:val="311A5F73"/>
    <w:rsid w:val="311C2969"/>
    <w:rsid w:val="311C359A"/>
    <w:rsid w:val="311D2121"/>
    <w:rsid w:val="311E2ED7"/>
    <w:rsid w:val="311F12DD"/>
    <w:rsid w:val="312132A7"/>
    <w:rsid w:val="31216728"/>
    <w:rsid w:val="312468F3"/>
    <w:rsid w:val="31282BE3"/>
    <w:rsid w:val="312B6F6A"/>
    <w:rsid w:val="312B7C81"/>
    <w:rsid w:val="312D39F9"/>
    <w:rsid w:val="31302578"/>
    <w:rsid w:val="31322DBE"/>
    <w:rsid w:val="31324B8F"/>
    <w:rsid w:val="31327A7B"/>
    <w:rsid w:val="31342DD1"/>
    <w:rsid w:val="31343D66"/>
    <w:rsid w:val="31376626"/>
    <w:rsid w:val="313A1C72"/>
    <w:rsid w:val="313B35B2"/>
    <w:rsid w:val="313C1E8F"/>
    <w:rsid w:val="313C3C3D"/>
    <w:rsid w:val="313E1763"/>
    <w:rsid w:val="3140197F"/>
    <w:rsid w:val="31440D43"/>
    <w:rsid w:val="314708FE"/>
    <w:rsid w:val="314D066A"/>
    <w:rsid w:val="314D19A6"/>
    <w:rsid w:val="314F1BC2"/>
    <w:rsid w:val="3152170D"/>
    <w:rsid w:val="3152247C"/>
    <w:rsid w:val="315619EE"/>
    <w:rsid w:val="315C449C"/>
    <w:rsid w:val="315E0057"/>
    <w:rsid w:val="31615451"/>
    <w:rsid w:val="3163566D"/>
    <w:rsid w:val="31666F0B"/>
    <w:rsid w:val="31682C84"/>
    <w:rsid w:val="3168586E"/>
    <w:rsid w:val="3168774B"/>
    <w:rsid w:val="316B4522"/>
    <w:rsid w:val="31722190"/>
    <w:rsid w:val="317626E5"/>
    <w:rsid w:val="317864E1"/>
    <w:rsid w:val="317B0DF9"/>
    <w:rsid w:val="317C672F"/>
    <w:rsid w:val="317D2841"/>
    <w:rsid w:val="317F3B29"/>
    <w:rsid w:val="31813D45"/>
    <w:rsid w:val="31815AF3"/>
    <w:rsid w:val="31872A7D"/>
    <w:rsid w:val="318B0720"/>
    <w:rsid w:val="318E35A9"/>
    <w:rsid w:val="31903A89"/>
    <w:rsid w:val="31917CE2"/>
    <w:rsid w:val="319677F1"/>
    <w:rsid w:val="31973569"/>
    <w:rsid w:val="319A14BB"/>
    <w:rsid w:val="319B4E07"/>
    <w:rsid w:val="31A244DA"/>
    <w:rsid w:val="31A35A6A"/>
    <w:rsid w:val="31B22151"/>
    <w:rsid w:val="31B732C3"/>
    <w:rsid w:val="31B82709"/>
    <w:rsid w:val="31BC5911"/>
    <w:rsid w:val="31C1098D"/>
    <w:rsid w:val="31C12394"/>
    <w:rsid w:val="31D05482"/>
    <w:rsid w:val="31D12D88"/>
    <w:rsid w:val="31D420C7"/>
    <w:rsid w:val="31D61F0D"/>
    <w:rsid w:val="31D65E3F"/>
    <w:rsid w:val="31DB1654"/>
    <w:rsid w:val="31E0281A"/>
    <w:rsid w:val="31E308E1"/>
    <w:rsid w:val="31E340B8"/>
    <w:rsid w:val="31E53FAA"/>
    <w:rsid w:val="31E71DFA"/>
    <w:rsid w:val="31EA3699"/>
    <w:rsid w:val="31EE33F5"/>
    <w:rsid w:val="31EF6F01"/>
    <w:rsid w:val="31F462C5"/>
    <w:rsid w:val="31F6374C"/>
    <w:rsid w:val="31F702F4"/>
    <w:rsid w:val="31F77B64"/>
    <w:rsid w:val="31FD38BD"/>
    <w:rsid w:val="31FE7144"/>
    <w:rsid w:val="320329AC"/>
    <w:rsid w:val="320A7897"/>
    <w:rsid w:val="320E2EC4"/>
    <w:rsid w:val="3210019B"/>
    <w:rsid w:val="321C79E2"/>
    <w:rsid w:val="321D4E26"/>
    <w:rsid w:val="321F2C5E"/>
    <w:rsid w:val="32220A03"/>
    <w:rsid w:val="32251DF4"/>
    <w:rsid w:val="322C3CB1"/>
    <w:rsid w:val="322D17D7"/>
    <w:rsid w:val="32333292"/>
    <w:rsid w:val="323A4620"/>
    <w:rsid w:val="323D738C"/>
    <w:rsid w:val="323E3F76"/>
    <w:rsid w:val="323E5569"/>
    <w:rsid w:val="323E60BE"/>
    <w:rsid w:val="32400B34"/>
    <w:rsid w:val="324234D5"/>
    <w:rsid w:val="32476D3D"/>
    <w:rsid w:val="324803BF"/>
    <w:rsid w:val="325007FA"/>
    <w:rsid w:val="32500DC3"/>
    <w:rsid w:val="32543208"/>
    <w:rsid w:val="3254465E"/>
    <w:rsid w:val="32566201"/>
    <w:rsid w:val="32584AA6"/>
    <w:rsid w:val="325A12C2"/>
    <w:rsid w:val="325D030E"/>
    <w:rsid w:val="32653FFA"/>
    <w:rsid w:val="326553F3"/>
    <w:rsid w:val="32655415"/>
    <w:rsid w:val="32672F3B"/>
    <w:rsid w:val="326D274F"/>
    <w:rsid w:val="326E42CA"/>
    <w:rsid w:val="326F486C"/>
    <w:rsid w:val="326F5008"/>
    <w:rsid w:val="327318E0"/>
    <w:rsid w:val="327579EC"/>
    <w:rsid w:val="327D2302"/>
    <w:rsid w:val="327D275F"/>
    <w:rsid w:val="3281224F"/>
    <w:rsid w:val="3281615B"/>
    <w:rsid w:val="32862F30"/>
    <w:rsid w:val="328B2F6A"/>
    <w:rsid w:val="328B4E7C"/>
    <w:rsid w:val="329456C3"/>
    <w:rsid w:val="32963820"/>
    <w:rsid w:val="329E6876"/>
    <w:rsid w:val="32A001FB"/>
    <w:rsid w:val="32A63A63"/>
    <w:rsid w:val="32A97196"/>
    <w:rsid w:val="32AB72CC"/>
    <w:rsid w:val="32AF387D"/>
    <w:rsid w:val="32B24A2F"/>
    <w:rsid w:val="32B34FF8"/>
    <w:rsid w:val="32B75C71"/>
    <w:rsid w:val="32B8353E"/>
    <w:rsid w:val="32BB59F0"/>
    <w:rsid w:val="32BC181A"/>
    <w:rsid w:val="32BF0681"/>
    <w:rsid w:val="32C1689A"/>
    <w:rsid w:val="32D802C5"/>
    <w:rsid w:val="32DA370D"/>
    <w:rsid w:val="32DA3FCF"/>
    <w:rsid w:val="32DC56D7"/>
    <w:rsid w:val="32DC639B"/>
    <w:rsid w:val="32DF0D23"/>
    <w:rsid w:val="32E71369"/>
    <w:rsid w:val="32E762E0"/>
    <w:rsid w:val="32EC37CF"/>
    <w:rsid w:val="32EC51EE"/>
    <w:rsid w:val="32F12805"/>
    <w:rsid w:val="32F440CE"/>
    <w:rsid w:val="32F83B93"/>
    <w:rsid w:val="33010C9A"/>
    <w:rsid w:val="33044C2E"/>
    <w:rsid w:val="330971C6"/>
    <w:rsid w:val="331165AB"/>
    <w:rsid w:val="3314466E"/>
    <w:rsid w:val="331704BD"/>
    <w:rsid w:val="331C3BCF"/>
    <w:rsid w:val="331C5AD4"/>
    <w:rsid w:val="331D35FA"/>
    <w:rsid w:val="331F3816"/>
    <w:rsid w:val="33211AB3"/>
    <w:rsid w:val="33284E9D"/>
    <w:rsid w:val="332F614F"/>
    <w:rsid w:val="333015F2"/>
    <w:rsid w:val="333170A5"/>
    <w:rsid w:val="33330BA6"/>
    <w:rsid w:val="33337555"/>
    <w:rsid w:val="333D4D26"/>
    <w:rsid w:val="3341378C"/>
    <w:rsid w:val="33446DD8"/>
    <w:rsid w:val="334613BF"/>
    <w:rsid w:val="334848CB"/>
    <w:rsid w:val="33492641"/>
    <w:rsid w:val="334B6320"/>
    <w:rsid w:val="334D0383"/>
    <w:rsid w:val="334D2CFB"/>
    <w:rsid w:val="33513241"/>
    <w:rsid w:val="335214F5"/>
    <w:rsid w:val="335B15EE"/>
    <w:rsid w:val="33615BDC"/>
    <w:rsid w:val="336851BD"/>
    <w:rsid w:val="336B4F56"/>
    <w:rsid w:val="33764922"/>
    <w:rsid w:val="337954A8"/>
    <w:rsid w:val="33835B53"/>
    <w:rsid w:val="33837901"/>
    <w:rsid w:val="33884F17"/>
    <w:rsid w:val="338B0EAB"/>
    <w:rsid w:val="338E250E"/>
    <w:rsid w:val="339119A9"/>
    <w:rsid w:val="3392201A"/>
    <w:rsid w:val="339715FE"/>
    <w:rsid w:val="339935C8"/>
    <w:rsid w:val="339A2904"/>
    <w:rsid w:val="339A2E9C"/>
    <w:rsid w:val="339C09C3"/>
    <w:rsid w:val="339E545C"/>
    <w:rsid w:val="33A107AE"/>
    <w:rsid w:val="33A361F5"/>
    <w:rsid w:val="33A61841"/>
    <w:rsid w:val="33A855B9"/>
    <w:rsid w:val="33AB6E58"/>
    <w:rsid w:val="33AD0E22"/>
    <w:rsid w:val="33B10912"/>
    <w:rsid w:val="33BF2733"/>
    <w:rsid w:val="33C57F19"/>
    <w:rsid w:val="33CC5EDA"/>
    <w:rsid w:val="33CD3874"/>
    <w:rsid w:val="33D0589E"/>
    <w:rsid w:val="33D4063A"/>
    <w:rsid w:val="33D740F0"/>
    <w:rsid w:val="33D934D4"/>
    <w:rsid w:val="33DC34B5"/>
    <w:rsid w:val="33E02FA5"/>
    <w:rsid w:val="33E15D35"/>
    <w:rsid w:val="33E276B6"/>
    <w:rsid w:val="33E670B1"/>
    <w:rsid w:val="33EB6B30"/>
    <w:rsid w:val="33EF31E8"/>
    <w:rsid w:val="33EF407A"/>
    <w:rsid w:val="33F97846"/>
    <w:rsid w:val="33FE2F6A"/>
    <w:rsid w:val="340D0A8B"/>
    <w:rsid w:val="340E07E5"/>
    <w:rsid w:val="340E4848"/>
    <w:rsid w:val="34101DF0"/>
    <w:rsid w:val="34117602"/>
    <w:rsid w:val="341E1C91"/>
    <w:rsid w:val="341E1F50"/>
    <w:rsid w:val="342235BE"/>
    <w:rsid w:val="342310E4"/>
    <w:rsid w:val="34235BF7"/>
    <w:rsid w:val="342509B8"/>
    <w:rsid w:val="342C56A3"/>
    <w:rsid w:val="342E63AB"/>
    <w:rsid w:val="3434509F"/>
    <w:rsid w:val="34350CEC"/>
    <w:rsid w:val="343F294B"/>
    <w:rsid w:val="34467B67"/>
    <w:rsid w:val="34494B32"/>
    <w:rsid w:val="344E1D4D"/>
    <w:rsid w:val="34534AEC"/>
    <w:rsid w:val="34555FB4"/>
    <w:rsid w:val="34580D8D"/>
    <w:rsid w:val="34587D48"/>
    <w:rsid w:val="34594B05"/>
    <w:rsid w:val="345D2848"/>
    <w:rsid w:val="345E5DC7"/>
    <w:rsid w:val="34607C42"/>
    <w:rsid w:val="346251C2"/>
    <w:rsid w:val="346516FC"/>
    <w:rsid w:val="346626FB"/>
    <w:rsid w:val="34670FD0"/>
    <w:rsid w:val="346A6D13"/>
    <w:rsid w:val="346C4839"/>
    <w:rsid w:val="347100A1"/>
    <w:rsid w:val="34711E4F"/>
    <w:rsid w:val="34726BA7"/>
    <w:rsid w:val="347A76B1"/>
    <w:rsid w:val="347D2154"/>
    <w:rsid w:val="347E456C"/>
    <w:rsid w:val="3482508F"/>
    <w:rsid w:val="3482720B"/>
    <w:rsid w:val="34865C6F"/>
    <w:rsid w:val="348A41D4"/>
    <w:rsid w:val="348E47AF"/>
    <w:rsid w:val="349124F1"/>
    <w:rsid w:val="349321A3"/>
    <w:rsid w:val="34952414"/>
    <w:rsid w:val="349618B6"/>
    <w:rsid w:val="349705D8"/>
    <w:rsid w:val="34974D67"/>
    <w:rsid w:val="3497569D"/>
    <w:rsid w:val="349A18AA"/>
    <w:rsid w:val="349A5F6F"/>
    <w:rsid w:val="349B53FB"/>
    <w:rsid w:val="349C5C11"/>
    <w:rsid w:val="34A075E3"/>
    <w:rsid w:val="34AA7605"/>
    <w:rsid w:val="34AD05F3"/>
    <w:rsid w:val="34AD57ED"/>
    <w:rsid w:val="34AE6BFF"/>
    <w:rsid w:val="34AF0B3B"/>
    <w:rsid w:val="34AF4725"/>
    <w:rsid w:val="34B306BA"/>
    <w:rsid w:val="34B66963"/>
    <w:rsid w:val="34B814BB"/>
    <w:rsid w:val="34B96155"/>
    <w:rsid w:val="34BD5094"/>
    <w:rsid w:val="34BD6E42"/>
    <w:rsid w:val="34C208FD"/>
    <w:rsid w:val="34C46423"/>
    <w:rsid w:val="34C93A39"/>
    <w:rsid w:val="34CE34F0"/>
    <w:rsid w:val="34D11AC4"/>
    <w:rsid w:val="34D11B93"/>
    <w:rsid w:val="34D66156"/>
    <w:rsid w:val="34D670AE"/>
    <w:rsid w:val="34DA12D0"/>
    <w:rsid w:val="34DB100A"/>
    <w:rsid w:val="34E02B31"/>
    <w:rsid w:val="34E15227"/>
    <w:rsid w:val="34E75451"/>
    <w:rsid w:val="34EC1B26"/>
    <w:rsid w:val="34F34F5A"/>
    <w:rsid w:val="34F4342E"/>
    <w:rsid w:val="34F43D78"/>
    <w:rsid w:val="34F82570"/>
    <w:rsid w:val="34FF356E"/>
    <w:rsid w:val="35066A3B"/>
    <w:rsid w:val="350862A8"/>
    <w:rsid w:val="350927CF"/>
    <w:rsid w:val="350F7DC1"/>
    <w:rsid w:val="35110BDE"/>
    <w:rsid w:val="351153E0"/>
    <w:rsid w:val="351463C4"/>
    <w:rsid w:val="35156C7E"/>
    <w:rsid w:val="351A21F6"/>
    <w:rsid w:val="351B1DBB"/>
    <w:rsid w:val="351B36B1"/>
    <w:rsid w:val="351C7F63"/>
    <w:rsid w:val="351D0619"/>
    <w:rsid w:val="351F5D4F"/>
    <w:rsid w:val="352539D7"/>
    <w:rsid w:val="352549E8"/>
    <w:rsid w:val="352C4F21"/>
    <w:rsid w:val="35326AB7"/>
    <w:rsid w:val="35357321"/>
    <w:rsid w:val="35372467"/>
    <w:rsid w:val="353B3B4E"/>
    <w:rsid w:val="353C245D"/>
    <w:rsid w:val="353D61D5"/>
    <w:rsid w:val="353F63CD"/>
    <w:rsid w:val="35415CC5"/>
    <w:rsid w:val="35474341"/>
    <w:rsid w:val="3548397A"/>
    <w:rsid w:val="35497409"/>
    <w:rsid w:val="354B08F2"/>
    <w:rsid w:val="35505F08"/>
    <w:rsid w:val="35527ED3"/>
    <w:rsid w:val="35571045"/>
    <w:rsid w:val="355A0B35"/>
    <w:rsid w:val="35611E1C"/>
    <w:rsid w:val="35653148"/>
    <w:rsid w:val="356814A4"/>
    <w:rsid w:val="356A3B8A"/>
    <w:rsid w:val="356D6ABA"/>
    <w:rsid w:val="35700359"/>
    <w:rsid w:val="35702926"/>
    <w:rsid w:val="35747E49"/>
    <w:rsid w:val="35775B9C"/>
    <w:rsid w:val="35776273"/>
    <w:rsid w:val="35830E46"/>
    <w:rsid w:val="35834C37"/>
    <w:rsid w:val="358B6361"/>
    <w:rsid w:val="358C5FA8"/>
    <w:rsid w:val="358D4A67"/>
    <w:rsid w:val="359526FD"/>
    <w:rsid w:val="35956011"/>
    <w:rsid w:val="359855EC"/>
    <w:rsid w:val="35A02D1F"/>
    <w:rsid w:val="35A24298"/>
    <w:rsid w:val="35A63D7A"/>
    <w:rsid w:val="35A70F03"/>
    <w:rsid w:val="35A818A1"/>
    <w:rsid w:val="35AC69F7"/>
    <w:rsid w:val="35AD335B"/>
    <w:rsid w:val="35B14FAB"/>
    <w:rsid w:val="35B46497"/>
    <w:rsid w:val="35BC70FA"/>
    <w:rsid w:val="35BD43E7"/>
    <w:rsid w:val="35C0063F"/>
    <w:rsid w:val="35C15DF1"/>
    <w:rsid w:val="35C16E06"/>
    <w:rsid w:val="35C366DA"/>
    <w:rsid w:val="35C66B54"/>
    <w:rsid w:val="35CE6E2D"/>
    <w:rsid w:val="35D46B3A"/>
    <w:rsid w:val="35DF0233"/>
    <w:rsid w:val="35E46651"/>
    <w:rsid w:val="35EA3AA9"/>
    <w:rsid w:val="35EF127D"/>
    <w:rsid w:val="35F1149A"/>
    <w:rsid w:val="35F11DA3"/>
    <w:rsid w:val="35F42D38"/>
    <w:rsid w:val="35F8428A"/>
    <w:rsid w:val="35FA64CE"/>
    <w:rsid w:val="35FF348B"/>
    <w:rsid w:val="360243C9"/>
    <w:rsid w:val="36026D35"/>
    <w:rsid w:val="36054F45"/>
    <w:rsid w:val="36056CF3"/>
    <w:rsid w:val="36072A81"/>
    <w:rsid w:val="36074A7F"/>
    <w:rsid w:val="360A1AA8"/>
    <w:rsid w:val="36154A5C"/>
    <w:rsid w:val="36186477"/>
    <w:rsid w:val="3619454C"/>
    <w:rsid w:val="361B02C4"/>
    <w:rsid w:val="361C5DEB"/>
    <w:rsid w:val="361C5E8C"/>
    <w:rsid w:val="362311BF"/>
    <w:rsid w:val="36274EBB"/>
    <w:rsid w:val="362A675A"/>
    <w:rsid w:val="362C0724"/>
    <w:rsid w:val="363475D8"/>
    <w:rsid w:val="36373EC5"/>
    <w:rsid w:val="36380E61"/>
    <w:rsid w:val="363843B9"/>
    <w:rsid w:val="363950D2"/>
    <w:rsid w:val="363C3DE7"/>
    <w:rsid w:val="363E2928"/>
    <w:rsid w:val="364041CF"/>
    <w:rsid w:val="36413AA3"/>
    <w:rsid w:val="36435A6D"/>
    <w:rsid w:val="36457B93"/>
    <w:rsid w:val="36474000"/>
    <w:rsid w:val="364F51DC"/>
    <w:rsid w:val="36511AF1"/>
    <w:rsid w:val="365372D3"/>
    <w:rsid w:val="36551B9B"/>
    <w:rsid w:val="36557C1C"/>
    <w:rsid w:val="365612FD"/>
    <w:rsid w:val="36575075"/>
    <w:rsid w:val="365D6B2F"/>
    <w:rsid w:val="366249EF"/>
    <w:rsid w:val="36637EBD"/>
    <w:rsid w:val="366559E4"/>
    <w:rsid w:val="3667175C"/>
    <w:rsid w:val="36714FFA"/>
    <w:rsid w:val="36730100"/>
    <w:rsid w:val="36783969"/>
    <w:rsid w:val="367B6FB5"/>
    <w:rsid w:val="3680281D"/>
    <w:rsid w:val="368045CB"/>
    <w:rsid w:val="36835E6A"/>
    <w:rsid w:val="36877708"/>
    <w:rsid w:val="368E4F3A"/>
    <w:rsid w:val="36923549"/>
    <w:rsid w:val="36932326"/>
    <w:rsid w:val="36967571"/>
    <w:rsid w:val="369A1373"/>
    <w:rsid w:val="369E4A52"/>
    <w:rsid w:val="36A67EDF"/>
    <w:rsid w:val="36AA1648"/>
    <w:rsid w:val="36AA33F6"/>
    <w:rsid w:val="36AE1139"/>
    <w:rsid w:val="36B10C29"/>
    <w:rsid w:val="36B3674F"/>
    <w:rsid w:val="36B424C7"/>
    <w:rsid w:val="36B64491"/>
    <w:rsid w:val="36B6623F"/>
    <w:rsid w:val="36B67579"/>
    <w:rsid w:val="36B75FBF"/>
    <w:rsid w:val="36B81FB7"/>
    <w:rsid w:val="36B97C37"/>
    <w:rsid w:val="36BA5D2F"/>
    <w:rsid w:val="36BB5FE3"/>
    <w:rsid w:val="36BD0C45"/>
    <w:rsid w:val="36BE1000"/>
    <w:rsid w:val="36BE50F4"/>
    <w:rsid w:val="36BE5483"/>
    <w:rsid w:val="36BF3346"/>
    <w:rsid w:val="36C941C4"/>
    <w:rsid w:val="36CC15BF"/>
    <w:rsid w:val="36D41257"/>
    <w:rsid w:val="36D70F64"/>
    <w:rsid w:val="36DA1F2E"/>
    <w:rsid w:val="36E25286"/>
    <w:rsid w:val="36E326B9"/>
    <w:rsid w:val="36E7289C"/>
    <w:rsid w:val="36EA4032"/>
    <w:rsid w:val="36EC3A0F"/>
    <w:rsid w:val="36EE59D9"/>
    <w:rsid w:val="36F8416A"/>
    <w:rsid w:val="36F9352D"/>
    <w:rsid w:val="36FD773C"/>
    <w:rsid w:val="370425A6"/>
    <w:rsid w:val="37060F75"/>
    <w:rsid w:val="3709636F"/>
    <w:rsid w:val="370A0339"/>
    <w:rsid w:val="370C5E5F"/>
    <w:rsid w:val="37103BA1"/>
    <w:rsid w:val="37123D39"/>
    <w:rsid w:val="37152F66"/>
    <w:rsid w:val="37180854"/>
    <w:rsid w:val="37182A56"/>
    <w:rsid w:val="371B2546"/>
    <w:rsid w:val="371B60A2"/>
    <w:rsid w:val="371C1F09"/>
    <w:rsid w:val="372056DB"/>
    <w:rsid w:val="37296DA1"/>
    <w:rsid w:val="372B09DB"/>
    <w:rsid w:val="372D208E"/>
    <w:rsid w:val="372E04CB"/>
    <w:rsid w:val="37306549"/>
    <w:rsid w:val="373D13D9"/>
    <w:rsid w:val="37427AD3"/>
    <w:rsid w:val="3745194B"/>
    <w:rsid w:val="374A795A"/>
    <w:rsid w:val="374E6900"/>
    <w:rsid w:val="375515B4"/>
    <w:rsid w:val="37560F03"/>
    <w:rsid w:val="375B253A"/>
    <w:rsid w:val="375C0B95"/>
    <w:rsid w:val="376143FD"/>
    <w:rsid w:val="37623CD1"/>
    <w:rsid w:val="37630058"/>
    <w:rsid w:val="37643EED"/>
    <w:rsid w:val="37661A13"/>
    <w:rsid w:val="376A0BCB"/>
    <w:rsid w:val="376E08C8"/>
    <w:rsid w:val="37713322"/>
    <w:rsid w:val="377133E6"/>
    <w:rsid w:val="37715EA1"/>
    <w:rsid w:val="37757EA8"/>
    <w:rsid w:val="37781747"/>
    <w:rsid w:val="377C03A4"/>
    <w:rsid w:val="377D52FE"/>
    <w:rsid w:val="3781684D"/>
    <w:rsid w:val="37842CA0"/>
    <w:rsid w:val="37895702"/>
    <w:rsid w:val="378F2616"/>
    <w:rsid w:val="37976071"/>
    <w:rsid w:val="37977BBC"/>
    <w:rsid w:val="37977E1F"/>
    <w:rsid w:val="379876F3"/>
    <w:rsid w:val="37991DE9"/>
    <w:rsid w:val="379A16BD"/>
    <w:rsid w:val="379B110E"/>
    <w:rsid w:val="379F47A7"/>
    <w:rsid w:val="37A60062"/>
    <w:rsid w:val="37A95DA4"/>
    <w:rsid w:val="37B07132"/>
    <w:rsid w:val="37B7401D"/>
    <w:rsid w:val="37B92C2C"/>
    <w:rsid w:val="37BE35FD"/>
    <w:rsid w:val="37C16ECA"/>
    <w:rsid w:val="37C36CED"/>
    <w:rsid w:val="37C52BDE"/>
    <w:rsid w:val="37C8238F"/>
    <w:rsid w:val="37C93D50"/>
    <w:rsid w:val="37D70AE6"/>
    <w:rsid w:val="37DC3A83"/>
    <w:rsid w:val="37DE78AC"/>
    <w:rsid w:val="37E00298"/>
    <w:rsid w:val="37E1553E"/>
    <w:rsid w:val="37E56DDC"/>
    <w:rsid w:val="37E868CC"/>
    <w:rsid w:val="37EA7562"/>
    <w:rsid w:val="37F442AD"/>
    <w:rsid w:val="37F52D97"/>
    <w:rsid w:val="37F8044D"/>
    <w:rsid w:val="37FA13BA"/>
    <w:rsid w:val="37FC4126"/>
    <w:rsid w:val="380134EA"/>
    <w:rsid w:val="380354B4"/>
    <w:rsid w:val="38044D88"/>
    <w:rsid w:val="38062C0C"/>
    <w:rsid w:val="38062F6D"/>
    <w:rsid w:val="38082ACA"/>
    <w:rsid w:val="380A086B"/>
    <w:rsid w:val="3810040D"/>
    <w:rsid w:val="3811560C"/>
    <w:rsid w:val="381551E7"/>
    <w:rsid w:val="38161734"/>
    <w:rsid w:val="38166A4B"/>
    <w:rsid w:val="38172D0E"/>
    <w:rsid w:val="38174ABC"/>
    <w:rsid w:val="38190834"/>
    <w:rsid w:val="381A0E21"/>
    <w:rsid w:val="381E409C"/>
    <w:rsid w:val="38216165"/>
    <w:rsid w:val="3825367C"/>
    <w:rsid w:val="3825542A"/>
    <w:rsid w:val="382962C0"/>
    <w:rsid w:val="38337A8F"/>
    <w:rsid w:val="38346F80"/>
    <w:rsid w:val="3836588A"/>
    <w:rsid w:val="383733B0"/>
    <w:rsid w:val="3837565C"/>
    <w:rsid w:val="383B12CD"/>
    <w:rsid w:val="383C2330"/>
    <w:rsid w:val="384310C9"/>
    <w:rsid w:val="384C6E5B"/>
    <w:rsid w:val="38543C4F"/>
    <w:rsid w:val="38545D10"/>
    <w:rsid w:val="385E2FE6"/>
    <w:rsid w:val="38604955"/>
    <w:rsid w:val="38635F53"/>
    <w:rsid w:val="38685317"/>
    <w:rsid w:val="386D0B7F"/>
    <w:rsid w:val="386E4E64"/>
    <w:rsid w:val="3875047F"/>
    <w:rsid w:val="38766CAF"/>
    <w:rsid w:val="387737AC"/>
    <w:rsid w:val="387803EF"/>
    <w:rsid w:val="38797524"/>
    <w:rsid w:val="387B329C"/>
    <w:rsid w:val="387C2327"/>
    <w:rsid w:val="387E7C97"/>
    <w:rsid w:val="38861C4E"/>
    <w:rsid w:val="3887040A"/>
    <w:rsid w:val="388D076C"/>
    <w:rsid w:val="38934A8A"/>
    <w:rsid w:val="3894435E"/>
    <w:rsid w:val="38951F36"/>
    <w:rsid w:val="38963634"/>
    <w:rsid w:val="38963B0E"/>
    <w:rsid w:val="38971254"/>
    <w:rsid w:val="38A00F55"/>
    <w:rsid w:val="38A26A7B"/>
    <w:rsid w:val="38A547BD"/>
    <w:rsid w:val="38A74091"/>
    <w:rsid w:val="38A85953"/>
    <w:rsid w:val="38A87E0A"/>
    <w:rsid w:val="38AF73EA"/>
    <w:rsid w:val="38B302F9"/>
    <w:rsid w:val="38BA0D7C"/>
    <w:rsid w:val="38BD1B07"/>
    <w:rsid w:val="38CC40EB"/>
    <w:rsid w:val="38D07081"/>
    <w:rsid w:val="38D17360"/>
    <w:rsid w:val="38D7609A"/>
    <w:rsid w:val="38DF68F7"/>
    <w:rsid w:val="38E2331B"/>
    <w:rsid w:val="38E56968"/>
    <w:rsid w:val="38E81AF1"/>
    <w:rsid w:val="38EA08E9"/>
    <w:rsid w:val="38F12CD3"/>
    <w:rsid w:val="38F47AFC"/>
    <w:rsid w:val="38F66DC7"/>
    <w:rsid w:val="38F769F2"/>
    <w:rsid w:val="38F80D91"/>
    <w:rsid w:val="38F8674C"/>
    <w:rsid w:val="38F94775"/>
    <w:rsid w:val="38FE7A29"/>
    <w:rsid w:val="390414E4"/>
    <w:rsid w:val="3905700A"/>
    <w:rsid w:val="390A2872"/>
    <w:rsid w:val="39140B71"/>
    <w:rsid w:val="39167FE5"/>
    <w:rsid w:val="391B4A7F"/>
    <w:rsid w:val="391D07F7"/>
    <w:rsid w:val="39202096"/>
    <w:rsid w:val="39256A2D"/>
    <w:rsid w:val="392626A2"/>
    <w:rsid w:val="392751D2"/>
    <w:rsid w:val="392971ED"/>
    <w:rsid w:val="392A119D"/>
    <w:rsid w:val="392C4597"/>
    <w:rsid w:val="392D520A"/>
    <w:rsid w:val="392E6561"/>
    <w:rsid w:val="39314D61"/>
    <w:rsid w:val="39325651"/>
    <w:rsid w:val="39347209"/>
    <w:rsid w:val="393643E1"/>
    <w:rsid w:val="393C6ED0"/>
    <w:rsid w:val="393D446D"/>
    <w:rsid w:val="393F42CA"/>
    <w:rsid w:val="394418E0"/>
    <w:rsid w:val="394C2E8B"/>
    <w:rsid w:val="394D7A13"/>
    <w:rsid w:val="39551D3F"/>
    <w:rsid w:val="3958327F"/>
    <w:rsid w:val="395F76C9"/>
    <w:rsid w:val="396113E5"/>
    <w:rsid w:val="39664F7B"/>
    <w:rsid w:val="3969488C"/>
    <w:rsid w:val="396C0E37"/>
    <w:rsid w:val="39706B79"/>
    <w:rsid w:val="3971644D"/>
    <w:rsid w:val="39741F95"/>
    <w:rsid w:val="39744120"/>
    <w:rsid w:val="397F2C43"/>
    <w:rsid w:val="398E7F8B"/>
    <w:rsid w:val="399035CA"/>
    <w:rsid w:val="3991089E"/>
    <w:rsid w:val="39953421"/>
    <w:rsid w:val="399D36E6"/>
    <w:rsid w:val="399F70A4"/>
    <w:rsid w:val="39A0725D"/>
    <w:rsid w:val="39A139C2"/>
    <w:rsid w:val="39A14050"/>
    <w:rsid w:val="39A46823"/>
    <w:rsid w:val="39A5511D"/>
    <w:rsid w:val="39A956DF"/>
    <w:rsid w:val="39AB53AF"/>
    <w:rsid w:val="39AE683F"/>
    <w:rsid w:val="39B6327B"/>
    <w:rsid w:val="39B70DF4"/>
    <w:rsid w:val="39BA4298"/>
    <w:rsid w:val="39BE7AD1"/>
    <w:rsid w:val="39BF18AF"/>
    <w:rsid w:val="39C26CA9"/>
    <w:rsid w:val="39C3314D"/>
    <w:rsid w:val="39C80763"/>
    <w:rsid w:val="39CC23D3"/>
    <w:rsid w:val="39CE3D64"/>
    <w:rsid w:val="39D4604D"/>
    <w:rsid w:val="39D849A7"/>
    <w:rsid w:val="39DA0497"/>
    <w:rsid w:val="39DE1D35"/>
    <w:rsid w:val="39E430C3"/>
    <w:rsid w:val="39E62997"/>
    <w:rsid w:val="39EB26A4"/>
    <w:rsid w:val="39F13DDD"/>
    <w:rsid w:val="39F25531"/>
    <w:rsid w:val="39F27208"/>
    <w:rsid w:val="39F42C97"/>
    <w:rsid w:val="39F54294"/>
    <w:rsid w:val="39F5660A"/>
    <w:rsid w:val="39F70F56"/>
    <w:rsid w:val="39F96B6F"/>
    <w:rsid w:val="39FC7A06"/>
    <w:rsid w:val="39FE23D7"/>
    <w:rsid w:val="39FE4185"/>
    <w:rsid w:val="3A06128C"/>
    <w:rsid w:val="3A064DE8"/>
    <w:rsid w:val="3A092B2A"/>
    <w:rsid w:val="3A0A6A21"/>
    <w:rsid w:val="3A0B4AF4"/>
    <w:rsid w:val="3A0E0970"/>
    <w:rsid w:val="3A12378C"/>
    <w:rsid w:val="3A134A26"/>
    <w:rsid w:val="3A184B1B"/>
    <w:rsid w:val="3A1E0383"/>
    <w:rsid w:val="3A1E053A"/>
    <w:rsid w:val="3A223CF2"/>
    <w:rsid w:val="3A241712"/>
    <w:rsid w:val="3A245162"/>
    <w:rsid w:val="3A267238"/>
    <w:rsid w:val="3A281202"/>
    <w:rsid w:val="3A34221E"/>
    <w:rsid w:val="3A345DF9"/>
    <w:rsid w:val="3A3A0F35"/>
    <w:rsid w:val="3A404C33"/>
    <w:rsid w:val="3A427935"/>
    <w:rsid w:val="3A541FF7"/>
    <w:rsid w:val="3A577D39"/>
    <w:rsid w:val="3A606BEE"/>
    <w:rsid w:val="3A634DC8"/>
    <w:rsid w:val="3A6B7341"/>
    <w:rsid w:val="3A6D30B9"/>
    <w:rsid w:val="3A70725B"/>
    <w:rsid w:val="3A717A42"/>
    <w:rsid w:val="3A78307D"/>
    <w:rsid w:val="3A84182A"/>
    <w:rsid w:val="3A84411F"/>
    <w:rsid w:val="3A872856"/>
    <w:rsid w:val="3A876887"/>
    <w:rsid w:val="3A894F51"/>
    <w:rsid w:val="3A8B1822"/>
    <w:rsid w:val="3A920D71"/>
    <w:rsid w:val="3A944AE9"/>
    <w:rsid w:val="3A946897"/>
    <w:rsid w:val="3A9829EA"/>
    <w:rsid w:val="3A990B2D"/>
    <w:rsid w:val="3A992100"/>
    <w:rsid w:val="3AA05E2F"/>
    <w:rsid w:val="3AA71AA2"/>
    <w:rsid w:val="3AA942C4"/>
    <w:rsid w:val="3AAD49B5"/>
    <w:rsid w:val="3AB007F2"/>
    <w:rsid w:val="3AB5515E"/>
    <w:rsid w:val="3AB6680E"/>
    <w:rsid w:val="3AB7091A"/>
    <w:rsid w:val="3AB807D8"/>
    <w:rsid w:val="3ABC194A"/>
    <w:rsid w:val="3ABE543E"/>
    <w:rsid w:val="3ABF334D"/>
    <w:rsid w:val="3AC07CE4"/>
    <w:rsid w:val="3AC12290"/>
    <w:rsid w:val="3AC27832"/>
    <w:rsid w:val="3AC5600A"/>
    <w:rsid w:val="3AC96C9F"/>
    <w:rsid w:val="3AC978F5"/>
    <w:rsid w:val="3AC97C2D"/>
    <w:rsid w:val="3ACC060E"/>
    <w:rsid w:val="3ACF5B21"/>
    <w:rsid w:val="3ACF78CF"/>
    <w:rsid w:val="3AD2518E"/>
    <w:rsid w:val="3AD7419F"/>
    <w:rsid w:val="3AD82C28"/>
    <w:rsid w:val="3AE8273F"/>
    <w:rsid w:val="3AEC0481"/>
    <w:rsid w:val="3AEC222F"/>
    <w:rsid w:val="3AEE3A67"/>
    <w:rsid w:val="3AF1125F"/>
    <w:rsid w:val="3AF128FC"/>
    <w:rsid w:val="3AF25BA7"/>
    <w:rsid w:val="3AF26695"/>
    <w:rsid w:val="3AF45588"/>
    <w:rsid w:val="3AF47336"/>
    <w:rsid w:val="3AF53EA3"/>
    <w:rsid w:val="3AF64E5C"/>
    <w:rsid w:val="3AF92B9E"/>
    <w:rsid w:val="3AFE38F2"/>
    <w:rsid w:val="3B027CA5"/>
    <w:rsid w:val="3B0357CB"/>
    <w:rsid w:val="3B057795"/>
    <w:rsid w:val="3B0716FF"/>
    <w:rsid w:val="3B0A0908"/>
    <w:rsid w:val="3B0A6B5A"/>
    <w:rsid w:val="3B11425B"/>
    <w:rsid w:val="3B11613A"/>
    <w:rsid w:val="3B173F81"/>
    <w:rsid w:val="3B1A7ECA"/>
    <w:rsid w:val="3B1D063B"/>
    <w:rsid w:val="3B1F0857"/>
    <w:rsid w:val="3B205D69"/>
    <w:rsid w:val="3B221F85"/>
    <w:rsid w:val="3B2220F5"/>
    <w:rsid w:val="3B225449"/>
    <w:rsid w:val="3B27770B"/>
    <w:rsid w:val="3B2850A6"/>
    <w:rsid w:val="3B291D83"/>
    <w:rsid w:val="3B2A2D58"/>
    <w:rsid w:val="3B2C2F74"/>
    <w:rsid w:val="3B3763D1"/>
    <w:rsid w:val="3B3A7F88"/>
    <w:rsid w:val="3B4E6A46"/>
    <w:rsid w:val="3B512426"/>
    <w:rsid w:val="3B527CF0"/>
    <w:rsid w:val="3B550425"/>
    <w:rsid w:val="3B5605A5"/>
    <w:rsid w:val="3B64626A"/>
    <w:rsid w:val="3B650F43"/>
    <w:rsid w:val="3B664493"/>
    <w:rsid w:val="3B6D363A"/>
    <w:rsid w:val="3B712735"/>
    <w:rsid w:val="3B7220E0"/>
    <w:rsid w:val="3B7839DE"/>
    <w:rsid w:val="3B893937"/>
    <w:rsid w:val="3B8C756F"/>
    <w:rsid w:val="3B9763AB"/>
    <w:rsid w:val="3B996698"/>
    <w:rsid w:val="3B9C5EB1"/>
    <w:rsid w:val="3B9D5AEF"/>
    <w:rsid w:val="3B9F3746"/>
    <w:rsid w:val="3BA448B8"/>
    <w:rsid w:val="3BAA5C47"/>
    <w:rsid w:val="3BB058DF"/>
    <w:rsid w:val="3BB16FD5"/>
    <w:rsid w:val="3BB22DDF"/>
    <w:rsid w:val="3BB26FB4"/>
    <w:rsid w:val="3BB3778E"/>
    <w:rsid w:val="3BBB4E29"/>
    <w:rsid w:val="3BCB0097"/>
    <w:rsid w:val="3BCB592E"/>
    <w:rsid w:val="3BD3472A"/>
    <w:rsid w:val="3BD4494A"/>
    <w:rsid w:val="3BD771F0"/>
    <w:rsid w:val="3BDA477E"/>
    <w:rsid w:val="3BEB24E7"/>
    <w:rsid w:val="3BEC6400"/>
    <w:rsid w:val="3BEF63FE"/>
    <w:rsid w:val="3BF07AFD"/>
    <w:rsid w:val="3BF21AC7"/>
    <w:rsid w:val="3BF53366"/>
    <w:rsid w:val="3BFB1E94"/>
    <w:rsid w:val="3BFD221A"/>
    <w:rsid w:val="3C030267"/>
    <w:rsid w:val="3C043622"/>
    <w:rsid w:val="3C051998"/>
    <w:rsid w:val="3C067321"/>
    <w:rsid w:val="3C0812EB"/>
    <w:rsid w:val="3C0B0DDB"/>
    <w:rsid w:val="3C103098"/>
    <w:rsid w:val="3C105A6C"/>
    <w:rsid w:val="3C132B37"/>
    <w:rsid w:val="3C182965"/>
    <w:rsid w:val="3C187054"/>
    <w:rsid w:val="3C1D1761"/>
    <w:rsid w:val="3C1D5CAB"/>
    <w:rsid w:val="3C2123AD"/>
    <w:rsid w:val="3C222F26"/>
    <w:rsid w:val="3C256B33"/>
    <w:rsid w:val="3C28373B"/>
    <w:rsid w:val="3C2F3CE5"/>
    <w:rsid w:val="3C2F6E1E"/>
    <w:rsid w:val="3C3B16E8"/>
    <w:rsid w:val="3C410359"/>
    <w:rsid w:val="3C433145"/>
    <w:rsid w:val="3C4416F2"/>
    <w:rsid w:val="3C4F64BA"/>
    <w:rsid w:val="3C4F6F1A"/>
    <w:rsid w:val="3C5067EE"/>
    <w:rsid w:val="3C575DCE"/>
    <w:rsid w:val="3C5938F5"/>
    <w:rsid w:val="3C5F3AF9"/>
    <w:rsid w:val="3C601127"/>
    <w:rsid w:val="3C627FC1"/>
    <w:rsid w:val="3C683B38"/>
    <w:rsid w:val="3C6A1695"/>
    <w:rsid w:val="3C6D114E"/>
    <w:rsid w:val="3C720E5A"/>
    <w:rsid w:val="3C7374BE"/>
    <w:rsid w:val="3C7618F5"/>
    <w:rsid w:val="3C797AF3"/>
    <w:rsid w:val="3C80486B"/>
    <w:rsid w:val="3C81574B"/>
    <w:rsid w:val="3C827FA2"/>
    <w:rsid w:val="3C8A61A4"/>
    <w:rsid w:val="3C8B3CCA"/>
    <w:rsid w:val="3C8B49F2"/>
    <w:rsid w:val="3C8D17F0"/>
    <w:rsid w:val="3C8D566B"/>
    <w:rsid w:val="3C9012E0"/>
    <w:rsid w:val="3C94492D"/>
    <w:rsid w:val="3C9549EA"/>
    <w:rsid w:val="3C9568F7"/>
    <w:rsid w:val="3C9601F6"/>
    <w:rsid w:val="3C9708C1"/>
    <w:rsid w:val="3C9A11D3"/>
    <w:rsid w:val="3C9C1A33"/>
    <w:rsid w:val="3C9C5ED7"/>
    <w:rsid w:val="3C9F11E4"/>
    <w:rsid w:val="3CA449FA"/>
    <w:rsid w:val="3CA754C2"/>
    <w:rsid w:val="3CA97EC6"/>
    <w:rsid w:val="3CB11F04"/>
    <w:rsid w:val="3CB72D11"/>
    <w:rsid w:val="3CB74ABF"/>
    <w:rsid w:val="3CBA5FE3"/>
    <w:rsid w:val="3CBC3E83"/>
    <w:rsid w:val="3CBD2094"/>
    <w:rsid w:val="3CBE5061"/>
    <w:rsid w:val="3CC03974"/>
    <w:rsid w:val="3CC5637C"/>
    <w:rsid w:val="3CCD376A"/>
    <w:rsid w:val="3CCD42E3"/>
    <w:rsid w:val="3CD25455"/>
    <w:rsid w:val="3CD45671"/>
    <w:rsid w:val="3CD67C0E"/>
    <w:rsid w:val="3CDA245A"/>
    <w:rsid w:val="3CE21B3C"/>
    <w:rsid w:val="3CE533DA"/>
    <w:rsid w:val="3CE753A4"/>
    <w:rsid w:val="3CE77152"/>
    <w:rsid w:val="3CED6733"/>
    <w:rsid w:val="3CEE4DE9"/>
    <w:rsid w:val="3CEF6007"/>
    <w:rsid w:val="3CF90C34"/>
    <w:rsid w:val="3CF96E86"/>
    <w:rsid w:val="3CFD3079"/>
    <w:rsid w:val="3D015D3A"/>
    <w:rsid w:val="3D042BFD"/>
    <w:rsid w:val="3D055587"/>
    <w:rsid w:val="3D061434"/>
    <w:rsid w:val="3D0D2931"/>
    <w:rsid w:val="3D165930"/>
    <w:rsid w:val="3D1E069A"/>
    <w:rsid w:val="3D1E06B7"/>
    <w:rsid w:val="3D21748E"/>
    <w:rsid w:val="3D2A703F"/>
    <w:rsid w:val="3D386C2C"/>
    <w:rsid w:val="3D3879AE"/>
    <w:rsid w:val="3D3B749E"/>
    <w:rsid w:val="3D3D70D6"/>
    <w:rsid w:val="3D412388"/>
    <w:rsid w:val="3D44252F"/>
    <w:rsid w:val="3D477A19"/>
    <w:rsid w:val="3D49014B"/>
    <w:rsid w:val="3D4F4CF8"/>
    <w:rsid w:val="3D55206C"/>
    <w:rsid w:val="3D560417"/>
    <w:rsid w:val="3D581DFE"/>
    <w:rsid w:val="3D5B369C"/>
    <w:rsid w:val="3D6A3C59"/>
    <w:rsid w:val="3D6C7658"/>
    <w:rsid w:val="3D6E02CF"/>
    <w:rsid w:val="3D6E33D0"/>
    <w:rsid w:val="3D766728"/>
    <w:rsid w:val="3D7F382F"/>
    <w:rsid w:val="3D8209BA"/>
    <w:rsid w:val="3D830802"/>
    <w:rsid w:val="3D830A0A"/>
    <w:rsid w:val="3D842BF3"/>
    <w:rsid w:val="3D87426F"/>
    <w:rsid w:val="3D90067D"/>
    <w:rsid w:val="3D935587"/>
    <w:rsid w:val="3D980C48"/>
    <w:rsid w:val="3D992C08"/>
    <w:rsid w:val="3D9C595F"/>
    <w:rsid w:val="3D9D1F07"/>
    <w:rsid w:val="3DA05553"/>
    <w:rsid w:val="3DA30C11"/>
    <w:rsid w:val="3DA9265A"/>
    <w:rsid w:val="3DAF5796"/>
    <w:rsid w:val="3DB31AA0"/>
    <w:rsid w:val="3DBB238D"/>
    <w:rsid w:val="3DBC3224"/>
    <w:rsid w:val="3DC80AA2"/>
    <w:rsid w:val="3DC96858"/>
    <w:rsid w:val="3DCE20C0"/>
    <w:rsid w:val="3DCE23CC"/>
    <w:rsid w:val="3DD23C8F"/>
    <w:rsid w:val="3DD84CED"/>
    <w:rsid w:val="3DD94132"/>
    <w:rsid w:val="3DE178D3"/>
    <w:rsid w:val="3DE43692"/>
    <w:rsid w:val="3DE47B36"/>
    <w:rsid w:val="3DE605FC"/>
    <w:rsid w:val="3DE9514C"/>
    <w:rsid w:val="3DEC0798"/>
    <w:rsid w:val="3DF17B5D"/>
    <w:rsid w:val="3DFA1107"/>
    <w:rsid w:val="3DFC4BC0"/>
    <w:rsid w:val="3DFD29A6"/>
    <w:rsid w:val="3DFD4754"/>
    <w:rsid w:val="3DFF671E"/>
    <w:rsid w:val="3E067AAC"/>
    <w:rsid w:val="3E0E100F"/>
    <w:rsid w:val="3E192169"/>
    <w:rsid w:val="3E1A4C4F"/>
    <w:rsid w:val="3E1D4DF6"/>
    <w:rsid w:val="3E214DD2"/>
    <w:rsid w:val="3E271EB8"/>
    <w:rsid w:val="3E273D4F"/>
    <w:rsid w:val="3E29379B"/>
    <w:rsid w:val="3E2C1FF1"/>
    <w:rsid w:val="3E3028DF"/>
    <w:rsid w:val="3E304B29"/>
    <w:rsid w:val="3E3327CA"/>
    <w:rsid w:val="3E347BA4"/>
    <w:rsid w:val="3E367206"/>
    <w:rsid w:val="3E39633A"/>
    <w:rsid w:val="3E3A59A8"/>
    <w:rsid w:val="3E3B17BE"/>
    <w:rsid w:val="3E3C34CE"/>
    <w:rsid w:val="3E3F4D6C"/>
    <w:rsid w:val="3E444130"/>
    <w:rsid w:val="3E44637A"/>
    <w:rsid w:val="3E481E73"/>
    <w:rsid w:val="3E4B191C"/>
    <w:rsid w:val="3E50515E"/>
    <w:rsid w:val="3E543B88"/>
    <w:rsid w:val="3E594080"/>
    <w:rsid w:val="3E596110"/>
    <w:rsid w:val="3E5E3444"/>
    <w:rsid w:val="3E6267D6"/>
    <w:rsid w:val="3E640AD1"/>
    <w:rsid w:val="3E653E0C"/>
    <w:rsid w:val="3E6B69A4"/>
    <w:rsid w:val="3E6C2918"/>
    <w:rsid w:val="3E6D7B2B"/>
    <w:rsid w:val="3E6E3FEF"/>
    <w:rsid w:val="3E7013C9"/>
    <w:rsid w:val="3E712E94"/>
    <w:rsid w:val="3E736AE4"/>
    <w:rsid w:val="3E751042"/>
    <w:rsid w:val="3E7762B4"/>
    <w:rsid w:val="3E7A152A"/>
    <w:rsid w:val="3E7B6A37"/>
    <w:rsid w:val="3E7F160D"/>
    <w:rsid w:val="3E80785E"/>
    <w:rsid w:val="3E815385"/>
    <w:rsid w:val="3E832EAB"/>
    <w:rsid w:val="3E857429"/>
    <w:rsid w:val="3E861B68"/>
    <w:rsid w:val="3E8F7AA2"/>
    <w:rsid w:val="3E953B9C"/>
    <w:rsid w:val="3E96207C"/>
    <w:rsid w:val="3E974BA8"/>
    <w:rsid w:val="3E9A79BE"/>
    <w:rsid w:val="3EA04847"/>
    <w:rsid w:val="3EA378C0"/>
    <w:rsid w:val="3EA847D5"/>
    <w:rsid w:val="3EAD43CC"/>
    <w:rsid w:val="3EAF2EDB"/>
    <w:rsid w:val="3EB05890"/>
    <w:rsid w:val="3EB07A18"/>
    <w:rsid w:val="3EB170BC"/>
    <w:rsid w:val="3EB3505F"/>
    <w:rsid w:val="3EB968CD"/>
    <w:rsid w:val="3EBE2135"/>
    <w:rsid w:val="3EC027B1"/>
    <w:rsid w:val="3EC043D8"/>
    <w:rsid w:val="3EC05EAD"/>
    <w:rsid w:val="3EC51715"/>
    <w:rsid w:val="3EC73BA6"/>
    <w:rsid w:val="3ECD4126"/>
    <w:rsid w:val="3ECF4342"/>
    <w:rsid w:val="3ECF7E9E"/>
    <w:rsid w:val="3ED01E68"/>
    <w:rsid w:val="3ED100BA"/>
    <w:rsid w:val="3ED261E9"/>
    <w:rsid w:val="3ED41E3E"/>
    <w:rsid w:val="3EDA0523"/>
    <w:rsid w:val="3EE17BD1"/>
    <w:rsid w:val="3EE62855"/>
    <w:rsid w:val="3EE7052F"/>
    <w:rsid w:val="3EE85404"/>
    <w:rsid w:val="3EE92624"/>
    <w:rsid w:val="3EEC6CA2"/>
    <w:rsid w:val="3EEC727B"/>
    <w:rsid w:val="3EEC7440"/>
    <w:rsid w:val="3EED2A1A"/>
    <w:rsid w:val="3EF06066"/>
    <w:rsid w:val="3EF142B8"/>
    <w:rsid w:val="3EF43DA9"/>
    <w:rsid w:val="3EF66B94"/>
    <w:rsid w:val="3EF7084B"/>
    <w:rsid w:val="3EF73899"/>
    <w:rsid w:val="3EF75647"/>
    <w:rsid w:val="3EF8279E"/>
    <w:rsid w:val="3EF86CC4"/>
    <w:rsid w:val="3EFE0783"/>
    <w:rsid w:val="3F0057A8"/>
    <w:rsid w:val="3F0062A9"/>
    <w:rsid w:val="3F013713"/>
    <w:rsid w:val="3F094AF3"/>
    <w:rsid w:val="3F0A35CC"/>
    <w:rsid w:val="3F161DB5"/>
    <w:rsid w:val="3F165ACD"/>
    <w:rsid w:val="3F1B00AC"/>
    <w:rsid w:val="3F1E25E5"/>
    <w:rsid w:val="3F253F62"/>
    <w:rsid w:val="3F255D10"/>
    <w:rsid w:val="3F27786B"/>
    <w:rsid w:val="3F360B85"/>
    <w:rsid w:val="3F370788"/>
    <w:rsid w:val="3F424B14"/>
    <w:rsid w:val="3F43088C"/>
    <w:rsid w:val="3F446379"/>
    <w:rsid w:val="3F473FBB"/>
    <w:rsid w:val="3F4A7E6C"/>
    <w:rsid w:val="3F4C5993"/>
    <w:rsid w:val="3F4C7FC4"/>
    <w:rsid w:val="3F4D34B9"/>
    <w:rsid w:val="3F4E6C0D"/>
    <w:rsid w:val="3F4F05DB"/>
    <w:rsid w:val="3F550811"/>
    <w:rsid w:val="3F584337"/>
    <w:rsid w:val="3F5860E5"/>
    <w:rsid w:val="3F5D7BA0"/>
    <w:rsid w:val="3F620D12"/>
    <w:rsid w:val="3F674FAA"/>
    <w:rsid w:val="3F6902F3"/>
    <w:rsid w:val="3F697F50"/>
    <w:rsid w:val="3F6C1B91"/>
    <w:rsid w:val="3F6D54EC"/>
    <w:rsid w:val="3F6F78D3"/>
    <w:rsid w:val="3F713CF6"/>
    <w:rsid w:val="3F760401"/>
    <w:rsid w:val="3F7B3236"/>
    <w:rsid w:val="3F7E18C4"/>
    <w:rsid w:val="3F830EED"/>
    <w:rsid w:val="3F836EDA"/>
    <w:rsid w:val="3F8A0269"/>
    <w:rsid w:val="3F8E2D51"/>
    <w:rsid w:val="3F900920"/>
    <w:rsid w:val="3F966B9F"/>
    <w:rsid w:val="3F975E82"/>
    <w:rsid w:val="3F9F483E"/>
    <w:rsid w:val="3FA05C87"/>
    <w:rsid w:val="3FA31A99"/>
    <w:rsid w:val="3FA4132B"/>
    <w:rsid w:val="3FA62141"/>
    <w:rsid w:val="3FA806EF"/>
    <w:rsid w:val="3FAC0217"/>
    <w:rsid w:val="3FAD415A"/>
    <w:rsid w:val="3FBD419A"/>
    <w:rsid w:val="3FC138C0"/>
    <w:rsid w:val="3FC419CD"/>
    <w:rsid w:val="3FC512A1"/>
    <w:rsid w:val="3FC6302D"/>
    <w:rsid w:val="3FCF119E"/>
    <w:rsid w:val="3FD03432"/>
    <w:rsid w:val="3FD17C46"/>
    <w:rsid w:val="3FDA1060"/>
    <w:rsid w:val="3FDE4BEB"/>
    <w:rsid w:val="3FDF2363"/>
    <w:rsid w:val="3FE45BCB"/>
    <w:rsid w:val="3FF40E24"/>
    <w:rsid w:val="3FF658FE"/>
    <w:rsid w:val="3FF73B50"/>
    <w:rsid w:val="3FF81676"/>
    <w:rsid w:val="3FF83425"/>
    <w:rsid w:val="3FF953E8"/>
    <w:rsid w:val="3FFA719D"/>
    <w:rsid w:val="3FFD0A3B"/>
    <w:rsid w:val="3FFD2EB8"/>
    <w:rsid w:val="3FFD37D3"/>
    <w:rsid w:val="3FFE0954"/>
    <w:rsid w:val="3FFF2DFA"/>
    <w:rsid w:val="400036BB"/>
    <w:rsid w:val="4004626D"/>
    <w:rsid w:val="40083317"/>
    <w:rsid w:val="400E0E9A"/>
    <w:rsid w:val="40114D03"/>
    <w:rsid w:val="4013025E"/>
    <w:rsid w:val="40132D84"/>
    <w:rsid w:val="401A783F"/>
    <w:rsid w:val="4021297B"/>
    <w:rsid w:val="40275B6E"/>
    <w:rsid w:val="402C7C10"/>
    <w:rsid w:val="403027DE"/>
    <w:rsid w:val="4033445D"/>
    <w:rsid w:val="403A57EB"/>
    <w:rsid w:val="403C38DC"/>
    <w:rsid w:val="40416B7A"/>
    <w:rsid w:val="40442B0E"/>
    <w:rsid w:val="40466AC6"/>
    <w:rsid w:val="404D2D8E"/>
    <w:rsid w:val="405014B2"/>
    <w:rsid w:val="40541C2A"/>
    <w:rsid w:val="405B7363"/>
    <w:rsid w:val="4068122B"/>
    <w:rsid w:val="406916DC"/>
    <w:rsid w:val="406960D0"/>
    <w:rsid w:val="406A1BDF"/>
    <w:rsid w:val="406D34EE"/>
    <w:rsid w:val="406E6287"/>
    <w:rsid w:val="40714F85"/>
    <w:rsid w:val="407231D7"/>
    <w:rsid w:val="40772419"/>
    <w:rsid w:val="40781946"/>
    <w:rsid w:val="407A6407"/>
    <w:rsid w:val="407D392A"/>
    <w:rsid w:val="407E6CF4"/>
    <w:rsid w:val="40815B74"/>
    <w:rsid w:val="408263AE"/>
    <w:rsid w:val="40844CB8"/>
    <w:rsid w:val="40871356"/>
    <w:rsid w:val="40880C4C"/>
    <w:rsid w:val="40896772"/>
    <w:rsid w:val="408B55D9"/>
    <w:rsid w:val="408D0B68"/>
    <w:rsid w:val="408E3D89"/>
    <w:rsid w:val="408F7CC0"/>
    <w:rsid w:val="40903CA0"/>
    <w:rsid w:val="4093186B"/>
    <w:rsid w:val="4094508C"/>
    <w:rsid w:val="40972C3D"/>
    <w:rsid w:val="409749EB"/>
    <w:rsid w:val="409A64BD"/>
    <w:rsid w:val="409E08A0"/>
    <w:rsid w:val="40A37882"/>
    <w:rsid w:val="40A81D7A"/>
    <w:rsid w:val="40A92971"/>
    <w:rsid w:val="40AF61D9"/>
    <w:rsid w:val="40B15156"/>
    <w:rsid w:val="40B27A77"/>
    <w:rsid w:val="40B73FAB"/>
    <w:rsid w:val="40B80017"/>
    <w:rsid w:val="40B97411"/>
    <w:rsid w:val="40BB6362"/>
    <w:rsid w:val="40BC6B48"/>
    <w:rsid w:val="40C078D9"/>
    <w:rsid w:val="40C1415E"/>
    <w:rsid w:val="40C27E91"/>
    <w:rsid w:val="40C41559"/>
    <w:rsid w:val="40CB0B39"/>
    <w:rsid w:val="40CB2B9E"/>
    <w:rsid w:val="40D13E07"/>
    <w:rsid w:val="40D27557"/>
    <w:rsid w:val="40DA0D7C"/>
    <w:rsid w:val="40DC4C6A"/>
    <w:rsid w:val="40E1035D"/>
    <w:rsid w:val="40E85247"/>
    <w:rsid w:val="40ED6D01"/>
    <w:rsid w:val="40F0011E"/>
    <w:rsid w:val="40F02F9B"/>
    <w:rsid w:val="40F24F08"/>
    <w:rsid w:val="40F408A6"/>
    <w:rsid w:val="40F63E08"/>
    <w:rsid w:val="40FB2FC6"/>
    <w:rsid w:val="40FC0CF2"/>
    <w:rsid w:val="40FE0F0E"/>
    <w:rsid w:val="40FF07E3"/>
    <w:rsid w:val="4102378D"/>
    <w:rsid w:val="41062167"/>
    <w:rsid w:val="41074430"/>
    <w:rsid w:val="410A5214"/>
    <w:rsid w:val="410D733C"/>
    <w:rsid w:val="410D73A4"/>
    <w:rsid w:val="411424E0"/>
    <w:rsid w:val="411918A4"/>
    <w:rsid w:val="411B28BE"/>
    <w:rsid w:val="411C1395"/>
    <w:rsid w:val="411E510D"/>
    <w:rsid w:val="41210759"/>
    <w:rsid w:val="4125649B"/>
    <w:rsid w:val="41262753"/>
    <w:rsid w:val="41263F2F"/>
    <w:rsid w:val="412A7CBF"/>
    <w:rsid w:val="412D35A2"/>
    <w:rsid w:val="41326E0A"/>
    <w:rsid w:val="41344930"/>
    <w:rsid w:val="413466DE"/>
    <w:rsid w:val="41393CF5"/>
    <w:rsid w:val="413B5CBF"/>
    <w:rsid w:val="413E42B8"/>
    <w:rsid w:val="41432DC5"/>
    <w:rsid w:val="41433130"/>
    <w:rsid w:val="4149157D"/>
    <w:rsid w:val="414A2D3D"/>
    <w:rsid w:val="414C1C7A"/>
    <w:rsid w:val="414D3AB6"/>
    <w:rsid w:val="414F5FEB"/>
    <w:rsid w:val="415154E2"/>
    <w:rsid w:val="41524DB6"/>
    <w:rsid w:val="4159180A"/>
    <w:rsid w:val="415B1EBD"/>
    <w:rsid w:val="415D5C35"/>
    <w:rsid w:val="4162324B"/>
    <w:rsid w:val="41630928"/>
    <w:rsid w:val="41634ED9"/>
    <w:rsid w:val="416A4DFF"/>
    <w:rsid w:val="4170087C"/>
    <w:rsid w:val="417116E0"/>
    <w:rsid w:val="4171357B"/>
    <w:rsid w:val="41735459"/>
    <w:rsid w:val="41764F49"/>
    <w:rsid w:val="417A02E9"/>
    <w:rsid w:val="41815E93"/>
    <w:rsid w:val="418238EE"/>
    <w:rsid w:val="4185518C"/>
    <w:rsid w:val="41856F3A"/>
    <w:rsid w:val="41870F04"/>
    <w:rsid w:val="41872CD4"/>
    <w:rsid w:val="41886A2A"/>
    <w:rsid w:val="418A09F4"/>
    <w:rsid w:val="418E2292"/>
    <w:rsid w:val="41905C83"/>
    <w:rsid w:val="41941C1C"/>
    <w:rsid w:val="419604EA"/>
    <w:rsid w:val="41994793"/>
    <w:rsid w:val="419B050B"/>
    <w:rsid w:val="41A35612"/>
    <w:rsid w:val="41AA4BF2"/>
    <w:rsid w:val="41AC1E01"/>
    <w:rsid w:val="41AF4012"/>
    <w:rsid w:val="41B11DC3"/>
    <w:rsid w:val="41B24CC0"/>
    <w:rsid w:val="41B36869"/>
    <w:rsid w:val="41B4046D"/>
    <w:rsid w:val="41BB295C"/>
    <w:rsid w:val="41BD7413"/>
    <w:rsid w:val="41BE4C75"/>
    <w:rsid w:val="41C04416"/>
    <w:rsid w:val="41C537DA"/>
    <w:rsid w:val="41C71300"/>
    <w:rsid w:val="41C9151C"/>
    <w:rsid w:val="41CC4B69"/>
    <w:rsid w:val="41CE6B33"/>
    <w:rsid w:val="41D55555"/>
    <w:rsid w:val="41D63C39"/>
    <w:rsid w:val="41D65226"/>
    <w:rsid w:val="41D97A91"/>
    <w:rsid w:val="41DE664A"/>
    <w:rsid w:val="41E071D3"/>
    <w:rsid w:val="41E14F6E"/>
    <w:rsid w:val="41E86996"/>
    <w:rsid w:val="41F13F3D"/>
    <w:rsid w:val="41F334F4"/>
    <w:rsid w:val="41FA16D6"/>
    <w:rsid w:val="4200449D"/>
    <w:rsid w:val="420460B1"/>
    <w:rsid w:val="42063687"/>
    <w:rsid w:val="420A5691"/>
    <w:rsid w:val="420C1409"/>
    <w:rsid w:val="4214206C"/>
    <w:rsid w:val="421A58D4"/>
    <w:rsid w:val="421B068E"/>
    <w:rsid w:val="421B789E"/>
    <w:rsid w:val="42220C2D"/>
    <w:rsid w:val="422361C1"/>
    <w:rsid w:val="422A6283"/>
    <w:rsid w:val="422B7AE1"/>
    <w:rsid w:val="422F340F"/>
    <w:rsid w:val="423313A8"/>
    <w:rsid w:val="42337B46"/>
    <w:rsid w:val="42360234"/>
    <w:rsid w:val="423746D8"/>
    <w:rsid w:val="423A3BCC"/>
    <w:rsid w:val="423F4815"/>
    <w:rsid w:val="424010B3"/>
    <w:rsid w:val="42433A8E"/>
    <w:rsid w:val="42435874"/>
    <w:rsid w:val="424B14EF"/>
    <w:rsid w:val="424C018D"/>
    <w:rsid w:val="424C5CAA"/>
    <w:rsid w:val="424E57D2"/>
    <w:rsid w:val="4253528A"/>
    <w:rsid w:val="42547A11"/>
    <w:rsid w:val="42554B5E"/>
    <w:rsid w:val="425B1147"/>
    <w:rsid w:val="425F3C2F"/>
    <w:rsid w:val="42621029"/>
    <w:rsid w:val="4269060A"/>
    <w:rsid w:val="426923B8"/>
    <w:rsid w:val="4269685C"/>
    <w:rsid w:val="426B25D4"/>
    <w:rsid w:val="426D00FA"/>
    <w:rsid w:val="42725710"/>
    <w:rsid w:val="42734FE4"/>
    <w:rsid w:val="42755200"/>
    <w:rsid w:val="4278534B"/>
    <w:rsid w:val="427A45C5"/>
    <w:rsid w:val="42803A2F"/>
    <w:rsid w:val="42823479"/>
    <w:rsid w:val="42830F3D"/>
    <w:rsid w:val="428A312C"/>
    <w:rsid w:val="429513FF"/>
    <w:rsid w:val="42975DB7"/>
    <w:rsid w:val="429C278D"/>
    <w:rsid w:val="429E272E"/>
    <w:rsid w:val="42A930FC"/>
    <w:rsid w:val="42B26C49"/>
    <w:rsid w:val="42B77853"/>
    <w:rsid w:val="42B850ED"/>
    <w:rsid w:val="42B95168"/>
    <w:rsid w:val="42BC4BDD"/>
    <w:rsid w:val="42BE2D43"/>
    <w:rsid w:val="42C33C08"/>
    <w:rsid w:val="42C43A92"/>
    <w:rsid w:val="42C67E7C"/>
    <w:rsid w:val="42CA0B8D"/>
    <w:rsid w:val="42CD0B98"/>
    <w:rsid w:val="42D40179"/>
    <w:rsid w:val="42D55C9F"/>
    <w:rsid w:val="42DC1163"/>
    <w:rsid w:val="42E63A08"/>
    <w:rsid w:val="42E80618"/>
    <w:rsid w:val="42EA714E"/>
    <w:rsid w:val="42ED123B"/>
    <w:rsid w:val="42ED4D97"/>
    <w:rsid w:val="42F205FF"/>
    <w:rsid w:val="42F425C9"/>
    <w:rsid w:val="42F74966"/>
    <w:rsid w:val="42FC322C"/>
    <w:rsid w:val="43056584"/>
    <w:rsid w:val="430E1705"/>
    <w:rsid w:val="431515CC"/>
    <w:rsid w:val="4315253F"/>
    <w:rsid w:val="43192859"/>
    <w:rsid w:val="431B7E1C"/>
    <w:rsid w:val="43205E46"/>
    <w:rsid w:val="43223FE7"/>
    <w:rsid w:val="43227B5D"/>
    <w:rsid w:val="43236740"/>
    <w:rsid w:val="43236A0A"/>
    <w:rsid w:val="43277C40"/>
    <w:rsid w:val="432870F4"/>
    <w:rsid w:val="432D1637"/>
    <w:rsid w:val="432F53AF"/>
    <w:rsid w:val="43301127"/>
    <w:rsid w:val="433230F1"/>
    <w:rsid w:val="433429C6"/>
    <w:rsid w:val="433504EC"/>
    <w:rsid w:val="433A6FE6"/>
    <w:rsid w:val="433B1FA6"/>
    <w:rsid w:val="433C187A"/>
    <w:rsid w:val="433F0F98"/>
    <w:rsid w:val="433F1448"/>
    <w:rsid w:val="43465760"/>
    <w:rsid w:val="43480868"/>
    <w:rsid w:val="43497503"/>
    <w:rsid w:val="434F4695"/>
    <w:rsid w:val="4350713C"/>
    <w:rsid w:val="4359047F"/>
    <w:rsid w:val="435C1F1C"/>
    <w:rsid w:val="436076D7"/>
    <w:rsid w:val="436149BE"/>
    <w:rsid w:val="436653E0"/>
    <w:rsid w:val="436808C1"/>
    <w:rsid w:val="436C03B1"/>
    <w:rsid w:val="436D237B"/>
    <w:rsid w:val="43716951"/>
    <w:rsid w:val="43764333"/>
    <w:rsid w:val="437770D4"/>
    <w:rsid w:val="43791977"/>
    <w:rsid w:val="437B05F4"/>
    <w:rsid w:val="437D3EE7"/>
    <w:rsid w:val="437F2299"/>
    <w:rsid w:val="438356FB"/>
    <w:rsid w:val="438448D9"/>
    <w:rsid w:val="438576C5"/>
    <w:rsid w:val="43877C73"/>
    <w:rsid w:val="438D564C"/>
    <w:rsid w:val="438D657A"/>
    <w:rsid w:val="438D7529"/>
    <w:rsid w:val="438F22F2"/>
    <w:rsid w:val="43945EE9"/>
    <w:rsid w:val="43993D9C"/>
    <w:rsid w:val="43994F1E"/>
    <w:rsid w:val="43A03D25"/>
    <w:rsid w:val="43A35D9D"/>
    <w:rsid w:val="43A7763B"/>
    <w:rsid w:val="43AD2778"/>
    <w:rsid w:val="43AE09CA"/>
    <w:rsid w:val="43AF029E"/>
    <w:rsid w:val="43B8312A"/>
    <w:rsid w:val="43B92ECB"/>
    <w:rsid w:val="43BB30E7"/>
    <w:rsid w:val="43BC29BB"/>
    <w:rsid w:val="43BF6B8A"/>
    <w:rsid w:val="43C055C8"/>
    <w:rsid w:val="43C102EA"/>
    <w:rsid w:val="43C22C42"/>
    <w:rsid w:val="43C26223"/>
    <w:rsid w:val="43C401ED"/>
    <w:rsid w:val="43C4431A"/>
    <w:rsid w:val="43C80DEB"/>
    <w:rsid w:val="43CD4BC8"/>
    <w:rsid w:val="43D16466"/>
    <w:rsid w:val="43D2242F"/>
    <w:rsid w:val="43E02B4D"/>
    <w:rsid w:val="43E25291"/>
    <w:rsid w:val="43E268C5"/>
    <w:rsid w:val="43E76178"/>
    <w:rsid w:val="43E837B0"/>
    <w:rsid w:val="43E876EF"/>
    <w:rsid w:val="43EA5459"/>
    <w:rsid w:val="43ED0DC6"/>
    <w:rsid w:val="43F14D5A"/>
    <w:rsid w:val="43F42155"/>
    <w:rsid w:val="43FD5CE8"/>
    <w:rsid w:val="44006D4C"/>
    <w:rsid w:val="4401275F"/>
    <w:rsid w:val="440525B4"/>
    <w:rsid w:val="440700DA"/>
    <w:rsid w:val="440B5E1C"/>
    <w:rsid w:val="44157813"/>
    <w:rsid w:val="441A605F"/>
    <w:rsid w:val="441B3B85"/>
    <w:rsid w:val="441B5933"/>
    <w:rsid w:val="442347E8"/>
    <w:rsid w:val="44286793"/>
    <w:rsid w:val="44290050"/>
    <w:rsid w:val="4433614E"/>
    <w:rsid w:val="44352FB5"/>
    <w:rsid w:val="443706CF"/>
    <w:rsid w:val="443842FC"/>
    <w:rsid w:val="443F400B"/>
    <w:rsid w:val="44466E54"/>
    <w:rsid w:val="444906F3"/>
    <w:rsid w:val="444B6409"/>
    <w:rsid w:val="444C01E3"/>
    <w:rsid w:val="44531513"/>
    <w:rsid w:val="445826E4"/>
    <w:rsid w:val="445B37AC"/>
    <w:rsid w:val="445D3FE9"/>
    <w:rsid w:val="445D5F4C"/>
    <w:rsid w:val="44604BF4"/>
    <w:rsid w:val="44654E01"/>
    <w:rsid w:val="44663053"/>
    <w:rsid w:val="44697B5C"/>
    <w:rsid w:val="446B73A0"/>
    <w:rsid w:val="44701E4E"/>
    <w:rsid w:val="44727ED9"/>
    <w:rsid w:val="44741465"/>
    <w:rsid w:val="44784B34"/>
    <w:rsid w:val="447909DB"/>
    <w:rsid w:val="447B6518"/>
    <w:rsid w:val="448F3990"/>
    <w:rsid w:val="44935E12"/>
    <w:rsid w:val="449851D6"/>
    <w:rsid w:val="449937BE"/>
    <w:rsid w:val="449A2CFC"/>
    <w:rsid w:val="449D5A2E"/>
    <w:rsid w:val="44A06825"/>
    <w:rsid w:val="44A21BB1"/>
    <w:rsid w:val="44A66286"/>
    <w:rsid w:val="44A91191"/>
    <w:rsid w:val="44AD0C81"/>
    <w:rsid w:val="44B00772"/>
    <w:rsid w:val="44B951CC"/>
    <w:rsid w:val="44BB306C"/>
    <w:rsid w:val="44BF54D6"/>
    <w:rsid w:val="44C67F95"/>
    <w:rsid w:val="44C91668"/>
    <w:rsid w:val="44CA7640"/>
    <w:rsid w:val="44CB759D"/>
    <w:rsid w:val="44CD14E0"/>
    <w:rsid w:val="44D023ED"/>
    <w:rsid w:val="44D37FBC"/>
    <w:rsid w:val="44D73F50"/>
    <w:rsid w:val="44DC2727"/>
    <w:rsid w:val="44DF34DD"/>
    <w:rsid w:val="44E623E5"/>
    <w:rsid w:val="44E95A32"/>
    <w:rsid w:val="44F20B0B"/>
    <w:rsid w:val="44F52628"/>
    <w:rsid w:val="44F92119"/>
    <w:rsid w:val="44FE5CB2"/>
    <w:rsid w:val="450051DA"/>
    <w:rsid w:val="45034D45"/>
    <w:rsid w:val="450417C0"/>
    <w:rsid w:val="45085EB8"/>
    <w:rsid w:val="45101210"/>
    <w:rsid w:val="45170723"/>
    <w:rsid w:val="45191FB9"/>
    <w:rsid w:val="451F3201"/>
    <w:rsid w:val="451F76A5"/>
    <w:rsid w:val="451F7897"/>
    <w:rsid w:val="452E5F4C"/>
    <w:rsid w:val="4537679D"/>
    <w:rsid w:val="45396692"/>
    <w:rsid w:val="453D587A"/>
    <w:rsid w:val="453E7B2C"/>
    <w:rsid w:val="453F5652"/>
    <w:rsid w:val="45401AF6"/>
    <w:rsid w:val="4540524C"/>
    <w:rsid w:val="45430CB0"/>
    <w:rsid w:val="45433394"/>
    <w:rsid w:val="4550160D"/>
    <w:rsid w:val="45513D03"/>
    <w:rsid w:val="45527A07"/>
    <w:rsid w:val="455410FD"/>
    <w:rsid w:val="455530C7"/>
    <w:rsid w:val="45575091"/>
    <w:rsid w:val="45592BB7"/>
    <w:rsid w:val="45612018"/>
    <w:rsid w:val="456450B8"/>
    <w:rsid w:val="45652CFB"/>
    <w:rsid w:val="45682DFA"/>
    <w:rsid w:val="45684BA8"/>
    <w:rsid w:val="456D21BF"/>
    <w:rsid w:val="456F5F37"/>
    <w:rsid w:val="45726B02"/>
    <w:rsid w:val="457E261E"/>
    <w:rsid w:val="45852B91"/>
    <w:rsid w:val="4588524B"/>
    <w:rsid w:val="458946E9"/>
    <w:rsid w:val="458A65C0"/>
    <w:rsid w:val="458C4D3B"/>
    <w:rsid w:val="458D7680"/>
    <w:rsid w:val="45901F42"/>
    <w:rsid w:val="459712DC"/>
    <w:rsid w:val="459A0ECF"/>
    <w:rsid w:val="45A278CD"/>
    <w:rsid w:val="45A44BDC"/>
    <w:rsid w:val="45A47C0E"/>
    <w:rsid w:val="45A55DFD"/>
    <w:rsid w:val="45A97F18"/>
    <w:rsid w:val="45AB2CE7"/>
    <w:rsid w:val="45AE237D"/>
    <w:rsid w:val="45B002FD"/>
    <w:rsid w:val="45B20519"/>
    <w:rsid w:val="45B334F1"/>
    <w:rsid w:val="45B524EC"/>
    <w:rsid w:val="45B63B66"/>
    <w:rsid w:val="45B91DA6"/>
    <w:rsid w:val="45B91F3C"/>
    <w:rsid w:val="45BC4EF4"/>
    <w:rsid w:val="45CE5F5C"/>
    <w:rsid w:val="45D43FEC"/>
    <w:rsid w:val="45D71D2E"/>
    <w:rsid w:val="45D7301B"/>
    <w:rsid w:val="45DA5628"/>
    <w:rsid w:val="45E140BB"/>
    <w:rsid w:val="45E2788A"/>
    <w:rsid w:val="45E32481"/>
    <w:rsid w:val="45E52B75"/>
    <w:rsid w:val="45E62F9A"/>
    <w:rsid w:val="45E701C3"/>
    <w:rsid w:val="45EA5AC8"/>
    <w:rsid w:val="45EC4E6D"/>
    <w:rsid w:val="45ED50AE"/>
    <w:rsid w:val="45F428E0"/>
    <w:rsid w:val="45F64FD6"/>
    <w:rsid w:val="45F87292"/>
    <w:rsid w:val="45FB77CB"/>
    <w:rsid w:val="45FF375F"/>
    <w:rsid w:val="46001285"/>
    <w:rsid w:val="46020B59"/>
    <w:rsid w:val="46060B05"/>
    <w:rsid w:val="46081EE8"/>
    <w:rsid w:val="460D74FE"/>
    <w:rsid w:val="460F2026"/>
    <w:rsid w:val="46160AA8"/>
    <w:rsid w:val="461A0599"/>
    <w:rsid w:val="461D1E37"/>
    <w:rsid w:val="461E795D"/>
    <w:rsid w:val="46236D21"/>
    <w:rsid w:val="46244F73"/>
    <w:rsid w:val="46293E90"/>
    <w:rsid w:val="462A4554"/>
    <w:rsid w:val="462F1B6A"/>
    <w:rsid w:val="463311FF"/>
    <w:rsid w:val="46380A1F"/>
    <w:rsid w:val="46396545"/>
    <w:rsid w:val="463B22BD"/>
    <w:rsid w:val="464427D4"/>
    <w:rsid w:val="464A2489"/>
    <w:rsid w:val="464F21FB"/>
    <w:rsid w:val="46577FD6"/>
    <w:rsid w:val="465869CB"/>
    <w:rsid w:val="465E0A5A"/>
    <w:rsid w:val="465F5FAB"/>
    <w:rsid w:val="46607F75"/>
    <w:rsid w:val="46612494"/>
    <w:rsid w:val="4665335B"/>
    <w:rsid w:val="4665733A"/>
    <w:rsid w:val="466674C2"/>
    <w:rsid w:val="46677A1D"/>
    <w:rsid w:val="466B25F0"/>
    <w:rsid w:val="466E2692"/>
    <w:rsid w:val="466F4EAD"/>
    <w:rsid w:val="46713F31"/>
    <w:rsid w:val="46731A57"/>
    <w:rsid w:val="46735EA0"/>
    <w:rsid w:val="467632F5"/>
    <w:rsid w:val="467908E5"/>
    <w:rsid w:val="468100A1"/>
    <w:rsid w:val="468A57B1"/>
    <w:rsid w:val="468E7C63"/>
    <w:rsid w:val="46902609"/>
    <w:rsid w:val="46911EDD"/>
    <w:rsid w:val="469257CF"/>
    <w:rsid w:val="4698617B"/>
    <w:rsid w:val="469B0FAE"/>
    <w:rsid w:val="469D0882"/>
    <w:rsid w:val="469F0A9E"/>
    <w:rsid w:val="46A16A15"/>
    <w:rsid w:val="46A56BDF"/>
    <w:rsid w:val="46A56FCA"/>
    <w:rsid w:val="46A714E9"/>
    <w:rsid w:val="46AA0F82"/>
    <w:rsid w:val="46AD18B1"/>
    <w:rsid w:val="46B24999"/>
    <w:rsid w:val="46B5229B"/>
    <w:rsid w:val="46BF6A4A"/>
    <w:rsid w:val="46C16C66"/>
    <w:rsid w:val="46C3283A"/>
    <w:rsid w:val="46C6427C"/>
    <w:rsid w:val="46D114B0"/>
    <w:rsid w:val="46D1677D"/>
    <w:rsid w:val="46D4142D"/>
    <w:rsid w:val="46D955A7"/>
    <w:rsid w:val="46E16BBD"/>
    <w:rsid w:val="46E22739"/>
    <w:rsid w:val="46E3296F"/>
    <w:rsid w:val="46E3533D"/>
    <w:rsid w:val="46E46470"/>
    <w:rsid w:val="46E62229"/>
    <w:rsid w:val="46F65FB8"/>
    <w:rsid w:val="46F804CD"/>
    <w:rsid w:val="470152B5"/>
    <w:rsid w:val="4706325F"/>
    <w:rsid w:val="47075C71"/>
    <w:rsid w:val="470B6133"/>
    <w:rsid w:val="470D5A07"/>
    <w:rsid w:val="470F3D6D"/>
    <w:rsid w:val="47133957"/>
    <w:rsid w:val="4714729C"/>
    <w:rsid w:val="47150D60"/>
    <w:rsid w:val="471635C5"/>
    <w:rsid w:val="47174E33"/>
    <w:rsid w:val="471903BF"/>
    <w:rsid w:val="471A45C8"/>
    <w:rsid w:val="471D19C3"/>
    <w:rsid w:val="472114B3"/>
    <w:rsid w:val="472270CC"/>
    <w:rsid w:val="472A0B03"/>
    <w:rsid w:val="472B7423"/>
    <w:rsid w:val="472D42FC"/>
    <w:rsid w:val="472F544F"/>
    <w:rsid w:val="47302720"/>
    <w:rsid w:val="47305B9A"/>
    <w:rsid w:val="473200CF"/>
    <w:rsid w:val="473276AB"/>
    <w:rsid w:val="47355BAF"/>
    <w:rsid w:val="473C009B"/>
    <w:rsid w:val="473E6E6D"/>
    <w:rsid w:val="473F7B8B"/>
    <w:rsid w:val="47400DF1"/>
    <w:rsid w:val="474358CD"/>
    <w:rsid w:val="474D04FA"/>
    <w:rsid w:val="47525B10"/>
    <w:rsid w:val="475353E4"/>
    <w:rsid w:val="4755115C"/>
    <w:rsid w:val="47552E0E"/>
    <w:rsid w:val="47596E9F"/>
    <w:rsid w:val="47655843"/>
    <w:rsid w:val="4766336A"/>
    <w:rsid w:val="4768372D"/>
    <w:rsid w:val="476A5CE9"/>
    <w:rsid w:val="476D64A6"/>
    <w:rsid w:val="47723ABC"/>
    <w:rsid w:val="47740D54"/>
    <w:rsid w:val="477B4524"/>
    <w:rsid w:val="47805514"/>
    <w:rsid w:val="47840BBD"/>
    <w:rsid w:val="479512E9"/>
    <w:rsid w:val="47953C4F"/>
    <w:rsid w:val="47975C19"/>
    <w:rsid w:val="479954ED"/>
    <w:rsid w:val="479E1742"/>
    <w:rsid w:val="47A07E0C"/>
    <w:rsid w:val="47A25B33"/>
    <w:rsid w:val="47A82838"/>
    <w:rsid w:val="47A923AE"/>
    <w:rsid w:val="47B02837"/>
    <w:rsid w:val="47B70069"/>
    <w:rsid w:val="47BB4A8E"/>
    <w:rsid w:val="47BF0D9C"/>
    <w:rsid w:val="47CC06FD"/>
    <w:rsid w:val="47CF06F2"/>
    <w:rsid w:val="47D15E5A"/>
    <w:rsid w:val="47D573B9"/>
    <w:rsid w:val="47D97FDF"/>
    <w:rsid w:val="47DF0FED"/>
    <w:rsid w:val="47E154BA"/>
    <w:rsid w:val="47E44480"/>
    <w:rsid w:val="47E62E88"/>
    <w:rsid w:val="47EB186B"/>
    <w:rsid w:val="47EB386F"/>
    <w:rsid w:val="47EF15B1"/>
    <w:rsid w:val="47F169C4"/>
    <w:rsid w:val="47F170D7"/>
    <w:rsid w:val="47F210A1"/>
    <w:rsid w:val="47F941DE"/>
    <w:rsid w:val="47FB2286"/>
    <w:rsid w:val="47FB7F56"/>
    <w:rsid w:val="47FD4FD1"/>
    <w:rsid w:val="47FF091A"/>
    <w:rsid w:val="47FF1846"/>
    <w:rsid w:val="48030BB8"/>
    <w:rsid w:val="480C3F11"/>
    <w:rsid w:val="480D14A6"/>
    <w:rsid w:val="480D6778"/>
    <w:rsid w:val="48166B3E"/>
    <w:rsid w:val="481903DC"/>
    <w:rsid w:val="481B4D41"/>
    <w:rsid w:val="48223734"/>
    <w:rsid w:val="482374AD"/>
    <w:rsid w:val="4828061F"/>
    <w:rsid w:val="482A25E9"/>
    <w:rsid w:val="482A6164"/>
    <w:rsid w:val="482E7724"/>
    <w:rsid w:val="4831301C"/>
    <w:rsid w:val="48360F8E"/>
    <w:rsid w:val="48362D3C"/>
    <w:rsid w:val="4837657F"/>
    <w:rsid w:val="48396CD0"/>
    <w:rsid w:val="483D056E"/>
    <w:rsid w:val="483D231C"/>
    <w:rsid w:val="483D7C31"/>
    <w:rsid w:val="48403BBB"/>
    <w:rsid w:val="48427933"/>
    <w:rsid w:val="48467D61"/>
    <w:rsid w:val="484713ED"/>
    <w:rsid w:val="484C07B1"/>
    <w:rsid w:val="484D0086"/>
    <w:rsid w:val="48502A53"/>
    <w:rsid w:val="485338EE"/>
    <w:rsid w:val="48541414"/>
    <w:rsid w:val="48554C4E"/>
    <w:rsid w:val="48561630"/>
    <w:rsid w:val="485633DE"/>
    <w:rsid w:val="48587156"/>
    <w:rsid w:val="48593DA2"/>
    <w:rsid w:val="485B09F4"/>
    <w:rsid w:val="485E04E5"/>
    <w:rsid w:val="485E2122"/>
    <w:rsid w:val="485F3B3D"/>
    <w:rsid w:val="486224FA"/>
    <w:rsid w:val="48624BE6"/>
    <w:rsid w:val="48657AC5"/>
    <w:rsid w:val="486D1B5F"/>
    <w:rsid w:val="486D24D6"/>
    <w:rsid w:val="486E0728"/>
    <w:rsid w:val="486F26F2"/>
    <w:rsid w:val="4870272E"/>
    <w:rsid w:val="48733219"/>
    <w:rsid w:val="48783354"/>
    <w:rsid w:val="487A69FA"/>
    <w:rsid w:val="487E731E"/>
    <w:rsid w:val="487F0B87"/>
    <w:rsid w:val="488066AD"/>
    <w:rsid w:val="488471E2"/>
    <w:rsid w:val="488B752C"/>
    <w:rsid w:val="488D67A1"/>
    <w:rsid w:val="489034D1"/>
    <w:rsid w:val="48904B42"/>
    <w:rsid w:val="489143CF"/>
    <w:rsid w:val="489363E0"/>
    <w:rsid w:val="48966B6E"/>
    <w:rsid w:val="48981DE2"/>
    <w:rsid w:val="48AA44CD"/>
    <w:rsid w:val="48AC575F"/>
    <w:rsid w:val="48AC74A2"/>
    <w:rsid w:val="48AE4FC8"/>
    <w:rsid w:val="48B16866"/>
    <w:rsid w:val="48B843DB"/>
    <w:rsid w:val="48BB22CE"/>
    <w:rsid w:val="48BC5937"/>
    <w:rsid w:val="48C04CFB"/>
    <w:rsid w:val="48C10E41"/>
    <w:rsid w:val="48CC18F2"/>
    <w:rsid w:val="48CD2759"/>
    <w:rsid w:val="48D10CB7"/>
    <w:rsid w:val="48D21FBE"/>
    <w:rsid w:val="48D92C6C"/>
    <w:rsid w:val="48DA5DBD"/>
    <w:rsid w:val="48DD5C45"/>
    <w:rsid w:val="48DD7AFE"/>
    <w:rsid w:val="48DF6834"/>
    <w:rsid w:val="48E24C72"/>
    <w:rsid w:val="48E704DA"/>
    <w:rsid w:val="48E74156"/>
    <w:rsid w:val="48E90CF6"/>
    <w:rsid w:val="48EA619F"/>
    <w:rsid w:val="48EB621C"/>
    <w:rsid w:val="48EC789E"/>
    <w:rsid w:val="48F50E49"/>
    <w:rsid w:val="48F55AC9"/>
    <w:rsid w:val="48FE7548"/>
    <w:rsid w:val="48FF1A38"/>
    <w:rsid w:val="490270C2"/>
    <w:rsid w:val="49044BE8"/>
    <w:rsid w:val="4907292A"/>
    <w:rsid w:val="490B5584"/>
    <w:rsid w:val="490D6193"/>
    <w:rsid w:val="49107A31"/>
    <w:rsid w:val="49153299"/>
    <w:rsid w:val="491606B6"/>
    <w:rsid w:val="4916411F"/>
    <w:rsid w:val="491653D6"/>
    <w:rsid w:val="49170DBF"/>
    <w:rsid w:val="491747A3"/>
    <w:rsid w:val="491E63C1"/>
    <w:rsid w:val="492632AB"/>
    <w:rsid w:val="49266B0E"/>
    <w:rsid w:val="49296D45"/>
    <w:rsid w:val="49322375"/>
    <w:rsid w:val="49343511"/>
    <w:rsid w:val="49364BB3"/>
    <w:rsid w:val="49374FBE"/>
    <w:rsid w:val="493F211E"/>
    <w:rsid w:val="49421133"/>
    <w:rsid w:val="49441489"/>
    <w:rsid w:val="49463CD6"/>
    <w:rsid w:val="49472035"/>
    <w:rsid w:val="494A0AFF"/>
    <w:rsid w:val="494F4E40"/>
    <w:rsid w:val="4956348F"/>
    <w:rsid w:val="49575660"/>
    <w:rsid w:val="495844F4"/>
    <w:rsid w:val="49595997"/>
    <w:rsid w:val="495A3E1B"/>
    <w:rsid w:val="495A710D"/>
    <w:rsid w:val="495C75C0"/>
    <w:rsid w:val="495D7F48"/>
    <w:rsid w:val="49643A3A"/>
    <w:rsid w:val="49647D7D"/>
    <w:rsid w:val="496670A4"/>
    <w:rsid w:val="496714D0"/>
    <w:rsid w:val="496D09DF"/>
    <w:rsid w:val="496D26B2"/>
    <w:rsid w:val="49730D9E"/>
    <w:rsid w:val="4976512F"/>
    <w:rsid w:val="4977360C"/>
    <w:rsid w:val="49777AB0"/>
    <w:rsid w:val="49787384"/>
    <w:rsid w:val="497E0E3E"/>
    <w:rsid w:val="49830203"/>
    <w:rsid w:val="498C6F86"/>
    <w:rsid w:val="498F2559"/>
    <w:rsid w:val="49926698"/>
    <w:rsid w:val="499344C8"/>
    <w:rsid w:val="49942410"/>
    <w:rsid w:val="49971E7D"/>
    <w:rsid w:val="499C3073"/>
    <w:rsid w:val="499D27D0"/>
    <w:rsid w:val="499E328F"/>
    <w:rsid w:val="499F2B63"/>
    <w:rsid w:val="49A32653"/>
    <w:rsid w:val="49A332E5"/>
    <w:rsid w:val="49A47386"/>
    <w:rsid w:val="49A65799"/>
    <w:rsid w:val="49A87C69"/>
    <w:rsid w:val="49AB59AC"/>
    <w:rsid w:val="49AD1724"/>
    <w:rsid w:val="49AD702E"/>
    <w:rsid w:val="49B26D3A"/>
    <w:rsid w:val="49B74350"/>
    <w:rsid w:val="49BC3715"/>
    <w:rsid w:val="49BD2527"/>
    <w:rsid w:val="49C65F48"/>
    <w:rsid w:val="49C804CD"/>
    <w:rsid w:val="49C873F0"/>
    <w:rsid w:val="49CC6DF4"/>
    <w:rsid w:val="49D539E9"/>
    <w:rsid w:val="49D6398F"/>
    <w:rsid w:val="49D943C1"/>
    <w:rsid w:val="49DC3DB7"/>
    <w:rsid w:val="49DC7715"/>
    <w:rsid w:val="49DE1536"/>
    <w:rsid w:val="49DE368B"/>
    <w:rsid w:val="49DF00AD"/>
    <w:rsid w:val="49DF0DDC"/>
    <w:rsid w:val="49DF11B1"/>
    <w:rsid w:val="49E07403"/>
    <w:rsid w:val="49E2451E"/>
    <w:rsid w:val="49E36EF3"/>
    <w:rsid w:val="49E54986"/>
    <w:rsid w:val="49E57AE0"/>
    <w:rsid w:val="49E93AD9"/>
    <w:rsid w:val="49EA0282"/>
    <w:rsid w:val="49ED1B20"/>
    <w:rsid w:val="49EF65FB"/>
    <w:rsid w:val="49F42EAF"/>
    <w:rsid w:val="49FA686F"/>
    <w:rsid w:val="49FB2932"/>
    <w:rsid w:val="49FC7FB5"/>
    <w:rsid w:val="49FE3E4D"/>
    <w:rsid w:val="4A023139"/>
    <w:rsid w:val="4A04380C"/>
    <w:rsid w:val="4A082B5D"/>
    <w:rsid w:val="4A0C24A1"/>
    <w:rsid w:val="4A111CB3"/>
    <w:rsid w:val="4A162E25"/>
    <w:rsid w:val="4A1B668D"/>
    <w:rsid w:val="4A206A16"/>
    <w:rsid w:val="4A212CBA"/>
    <w:rsid w:val="4A2944C3"/>
    <w:rsid w:val="4A2A4B22"/>
    <w:rsid w:val="4A325785"/>
    <w:rsid w:val="4A326C87"/>
    <w:rsid w:val="4A3634C7"/>
    <w:rsid w:val="4A374645"/>
    <w:rsid w:val="4A3971B0"/>
    <w:rsid w:val="4A3C74E0"/>
    <w:rsid w:val="4A3D4856"/>
    <w:rsid w:val="4A3E237C"/>
    <w:rsid w:val="4A4060F4"/>
    <w:rsid w:val="4A4356F7"/>
    <w:rsid w:val="4A452632"/>
    <w:rsid w:val="4A4831FA"/>
    <w:rsid w:val="4A547DF1"/>
    <w:rsid w:val="4A5743B7"/>
    <w:rsid w:val="4A5C2802"/>
    <w:rsid w:val="4A5D0A54"/>
    <w:rsid w:val="4A5E47CC"/>
    <w:rsid w:val="4A600FF0"/>
    <w:rsid w:val="4A6028DF"/>
    <w:rsid w:val="4A62606A"/>
    <w:rsid w:val="4A635ECD"/>
    <w:rsid w:val="4A6670CD"/>
    <w:rsid w:val="4A673681"/>
    <w:rsid w:val="4A6A13C3"/>
    <w:rsid w:val="4A6C6EE9"/>
    <w:rsid w:val="4A6D6C6D"/>
    <w:rsid w:val="4A7213E5"/>
    <w:rsid w:val="4A730277"/>
    <w:rsid w:val="4A762128"/>
    <w:rsid w:val="4A767D68"/>
    <w:rsid w:val="4A7B576F"/>
    <w:rsid w:val="4A82269A"/>
    <w:rsid w:val="4A871F75"/>
    <w:rsid w:val="4A8736B7"/>
    <w:rsid w:val="4A8A093A"/>
    <w:rsid w:val="4A8A4887"/>
    <w:rsid w:val="4A946440"/>
    <w:rsid w:val="4A9D3546"/>
    <w:rsid w:val="4AA80D26"/>
    <w:rsid w:val="4AA815CC"/>
    <w:rsid w:val="4AA8548E"/>
    <w:rsid w:val="4AAD70D8"/>
    <w:rsid w:val="4AB10DA0"/>
    <w:rsid w:val="4AB40161"/>
    <w:rsid w:val="4AB47C22"/>
    <w:rsid w:val="4AB50890"/>
    <w:rsid w:val="4AB52ED6"/>
    <w:rsid w:val="4ABC78BD"/>
    <w:rsid w:val="4AC911A0"/>
    <w:rsid w:val="4AC97E97"/>
    <w:rsid w:val="4ACA3C0F"/>
    <w:rsid w:val="4ACE3700"/>
    <w:rsid w:val="4ACE54AE"/>
    <w:rsid w:val="4AD04F18"/>
    <w:rsid w:val="4AD54A8E"/>
    <w:rsid w:val="4AD628FD"/>
    <w:rsid w:val="4AD65667"/>
    <w:rsid w:val="4AD73C7C"/>
    <w:rsid w:val="4ADC4A06"/>
    <w:rsid w:val="4AE66C9B"/>
    <w:rsid w:val="4AF561A9"/>
    <w:rsid w:val="4AFA62A3"/>
    <w:rsid w:val="4AFC5A7E"/>
    <w:rsid w:val="4AFD5C6D"/>
    <w:rsid w:val="4B025B2A"/>
    <w:rsid w:val="4B0435C5"/>
    <w:rsid w:val="4B0444B6"/>
    <w:rsid w:val="4B093340"/>
    <w:rsid w:val="4B14080F"/>
    <w:rsid w:val="4B1478A9"/>
    <w:rsid w:val="4B174A2D"/>
    <w:rsid w:val="4B187071"/>
    <w:rsid w:val="4B242568"/>
    <w:rsid w:val="4B257098"/>
    <w:rsid w:val="4B296B88"/>
    <w:rsid w:val="4B332BBA"/>
    <w:rsid w:val="4B372A55"/>
    <w:rsid w:val="4B384BD5"/>
    <w:rsid w:val="4B3C2D5F"/>
    <w:rsid w:val="4B3D0AC6"/>
    <w:rsid w:val="4B3D1569"/>
    <w:rsid w:val="4B415787"/>
    <w:rsid w:val="4B43714F"/>
    <w:rsid w:val="4B49547C"/>
    <w:rsid w:val="4B49722A"/>
    <w:rsid w:val="4B4E4840"/>
    <w:rsid w:val="4B5001BC"/>
    <w:rsid w:val="4B527A7B"/>
    <w:rsid w:val="4B5819E1"/>
    <w:rsid w:val="4B5A31E5"/>
    <w:rsid w:val="4B5A6F67"/>
    <w:rsid w:val="4B5B5E8A"/>
    <w:rsid w:val="4B5D4A84"/>
    <w:rsid w:val="4B5E0F27"/>
    <w:rsid w:val="4B616322"/>
    <w:rsid w:val="4B647BC0"/>
    <w:rsid w:val="4B663309"/>
    <w:rsid w:val="4B676B09"/>
    <w:rsid w:val="4B683F27"/>
    <w:rsid w:val="4B6877E6"/>
    <w:rsid w:val="4B710D89"/>
    <w:rsid w:val="4B775958"/>
    <w:rsid w:val="4B7818BD"/>
    <w:rsid w:val="4B790E0E"/>
    <w:rsid w:val="4B7D18C7"/>
    <w:rsid w:val="4B7D19B8"/>
    <w:rsid w:val="4B7D2656"/>
    <w:rsid w:val="4B7D653D"/>
    <w:rsid w:val="4B7F0E9E"/>
    <w:rsid w:val="4B814263"/>
    <w:rsid w:val="4B824F83"/>
    <w:rsid w:val="4B870ABA"/>
    <w:rsid w:val="4B872FAE"/>
    <w:rsid w:val="4B8D5369"/>
    <w:rsid w:val="4B94339F"/>
    <w:rsid w:val="4B9506C1"/>
    <w:rsid w:val="4B991A45"/>
    <w:rsid w:val="4BA12BC2"/>
    <w:rsid w:val="4BA91A77"/>
    <w:rsid w:val="4BAB1C93"/>
    <w:rsid w:val="4BAD0B5E"/>
    <w:rsid w:val="4BAE27DB"/>
    <w:rsid w:val="4BB24DCF"/>
    <w:rsid w:val="4BB40B47"/>
    <w:rsid w:val="4BB82E19"/>
    <w:rsid w:val="4BB8589E"/>
    <w:rsid w:val="4BB90F29"/>
    <w:rsid w:val="4BBC5C4E"/>
    <w:rsid w:val="4BBC79FC"/>
    <w:rsid w:val="4BBE2C42"/>
    <w:rsid w:val="4BBE3774"/>
    <w:rsid w:val="4BC44B03"/>
    <w:rsid w:val="4BC85C71"/>
    <w:rsid w:val="4BC915E4"/>
    <w:rsid w:val="4BCD39B7"/>
    <w:rsid w:val="4BCD7E5B"/>
    <w:rsid w:val="4BD069EB"/>
    <w:rsid w:val="4BE00C77"/>
    <w:rsid w:val="4BE11211"/>
    <w:rsid w:val="4BE156B5"/>
    <w:rsid w:val="4BE529EF"/>
    <w:rsid w:val="4BE54D33"/>
    <w:rsid w:val="4BE73D81"/>
    <w:rsid w:val="4BE82E40"/>
    <w:rsid w:val="4BEB349F"/>
    <w:rsid w:val="4BEC289F"/>
    <w:rsid w:val="4BED5E07"/>
    <w:rsid w:val="4BF12E75"/>
    <w:rsid w:val="4BF83601"/>
    <w:rsid w:val="4BFA5C54"/>
    <w:rsid w:val="4BFB49C8"/>
    <w:rsid w:val="4BFB6776"/>
    <w:rsid w:val="4BFC429C"/>
    <w:rsid w:val="4BFC42FC"/>
    <w:rsid w:val="4BFE1DC3"/>
    <w:rsid w:val="4BFF06FD"/>
    <w:rsid w:val="4C0163F1"/>
    <w:rsid w:val="4C017B05"/>
    <w:rsid w:val="4C0849EF"/>
    <w:rsid w:val="4C0A0767"/>
    <w:rsid w:val="4C0D64AA"/>
    <w:rsid w:val="4C143394"/>
    <w:rsid w:val="4C15710C"/>
    <w:rsid w:val="4C231829"/>
    <w:rsid w:val="4C251A45"/>
    <w:rsid w:val="4C2C538B"/>
    <w:rsid w:val="4C2F01CE"/>
    <w:rsid w:val="4C303F46"/>
    <w:rsid w:val="4C307B77"/>
    <w:rsid w:val="4C3103EA"/>
    <w:rsid w:val="4C3D39E2"/>
    <w:rsid w:val="4C433C79"/>
    <w:rsid w:val="4C437DD5"/>
    <w:rsid w:val="4C4523A2"/>
    <w:rsid w:val="4C457FEC"/>
    <w:rsid w:val="4C465518"/>
    <w:rsid w:val="4C4961A5"/>
    <w:rsid w:val="4C4A0649"/>
    <w:rsid w:val="4C4F0870"/>
    <w:rsid w:val="4C54548E"/>
    <w:rsid w:val="4C5502AB"/>
    <w:rsid w:val="4C57284D"/>
    <w:rsid w:val="4C5916EF"/>
    <w:rsid w:val="4C59300A"/>
    <w:rsid w:val="4C5953AF"/>
    <w:rsid w:val="4C61091F"/>
    <w:rsid w:val="4C68073A"/>
    <w:rsid w:val="4C68144D"/>
    <w:rsid w:val="4C6A57DA"/>
    <w:rsid w:val="4C6B6C98"/>
    <w:rsid w:val="4C725B5C"/>
    <w:rsid w:val="4C760D25"/>
    <w:rsid w:val="4C7622A1"/>
    <w:rsid w:val="4C787DC7"/>
    <w:rsid w:val="4C7B3413"/>
    <w:rsid w:val="4C7E5ECA"/>
    <w:rsid w:val="4C83676C"/>
    <w:rsid w:val="4C876AA5"/>
    <w:rsid w:val="4C876DD7"/>
    <w:rsid w:val="4C8A3393"/>
    <w:rsid w:val="4C8D1F64"/>
    <w:rsid w:val="4C8F3363"/>
    <w:rsid w:val="4C9E35A6"/>
    <w:rsid w:val="4CA24E44"/>
    <w:rsid w:val="4CA70BB8"/>
    <w:rsid w:val="4CA94424"/>
    <w:rsid w:val="4CA961D2"/>
    <w:rsid w:val="4CAC5CC3"/>
    <w:rsid w:val="4CAD6516"/>
    <w:rsid w:val="4CAF1F96"/>
    <w:rsid w:val="4CAF20F1"/>
    <w:rsid w:val="4CB40B2E"/>
    <w:rsid w:val="4CB411E8"/>
    <w:rsid w:val="4CB66B41"/>
    <w:rsid w:val="4CB751DE"/>
    <w:rsid w:val="4CB82293"/>
    <w:rsid w:val="4CB93F3C"/>
    <w:rsid w:val="4CBD7954"/>
    <w:rsid w:val="4CBF57B2"/>
    <w:rsid w:val="4CBF59F6"/>
    <w:rsid w:val="4CBF5BC9"/>
    <w:rsid w:val="4CC0176E"/>
    <w:rsid w:val="4CC16771"/>
    <w:rsid w:val="4CC254E6"/>
    <w:rsid w:val="4CC843D6"/>
    <w:rsid w:val="4CCE3E8B"/>
    <w:rsid w:val="4CCE79E7"/>
    <w:rsid w:val="4CD009E1"/>
    <w:rsid w:val="4CD26B56"/>
    <w:rsid w:val="4CD64AED"/>
    <w:rsid w:val="4CDC2CE3"/>
    <w:rsid w:val="4CDC5B92"/>
    <w:rsid w:val="4CDD40CE"/>
    <w:rsid w:val="4CDF7E46"/>
    <w:rsid w:val="4CE45E63"/>
    <w:rsid w:val="4CE4720A"/>
    <w:rsid w:val="4CE853CE"/>
    <w:rsid w:val="4CEA67EB"/>
    <w:rsid w:val="4CEE473D"/>
    <w:rsid w:val="4CF63551"/>
    <w:rsid w:val="4CF84A64"/>
    <w:rsid w:val="4CFC1132"/>
    <w:rsid w:val="4CFF4044"/>
    <w:rsid w:val="4D030E27"/>
    <w:rsid w:val="4D04464F"/>
    <w:rsid w:val="4D07114B"/>
    <w:rsid w:val="4D0E00FB"/>
    <w:rsid w:val="4D0F0ADB"/>
    <w:rsid w:val="4D176606"/>
    <w:rsid w:val="4D184EC9"/>
    <w:rsid w:val="4D1B499A"/>
    <w:rsid w:val="4D1C0555"/>
    <w:rsid w:val="4D1F6494"/>
    <w:rsid w:val="4D22429A"/>
    <w:rsid w:val="4D2B308B"/>
    <w:rsid w:val="4D2E777B"/>
    <w:rsid w:val="4D2F64B6"/>
    <w:rsid w:val="4D334D60"/>
    <w:rsid w:val="4D340718"/>
    <w:rsid w:val="4D350454"/>
    <w:rsid w:val="4D3929B9"/>
    <w:rsid w:val="4D3D2DBF"/>
    <w:rsid w:val="4D4001B9"/>
    <w:rsid w:val="4D4544C1"/>
    <w:rsid w:val="4D4D58E0"/>
    <w:rsid w:val="4D503223"/>
    <w:rsid w:val="4D5315AB"/>
    <w:rsid w:val="4D545710"/>
    <w:rsid w:val="4D551EB6"/>
    <w:rsid w:val="4D565C2E"/>
    <w:rsid w:val="4D574E8C"/>
    <w:rsid w:val="4D5A74CD"/>
    <w:rsid w:val="4D5C3245"/>
    <w:rsid w:val="4D5E00F5"/>
    <w:rsid w:val="4D5E13AE"/>
    <w:rsid w:val="4D604D4B"/>
    <w:rsid w:val="4D64659D"/>
    <w:rsid w:val="4D6754E9"/>
    <w:rsid w:val="4D705B66"/>
    <w:rsid w:val="4D73233C"/>
    <w:rsid w:val="4D761509"/>
    <w:rsid w:val="4D7935D0"/>
    <w:rsid w:val="4D7A7353"/>
    <w:rsid w:val="4D7A784B"/>
    <w:rsid w:val="4D7D31BB"/>
    <w:rsid w:val="4D7F0CE1"/>
    <w:rsid w:val="4D8031C4"/>
    <w:rsid w:val="4D8128A7"/>
    <w:rsid w:val="4D8C33FE"/>
    <w:rsid w:val="4D93478D"/>
    <w:rsid w:val="4D9A1FBF"/>
    <w:rsid w:val="4D9D560B"/>
    <w:rsid w:val="4D9F75D5"/>
    <w:rsid w:val="4DA06861"/>
    <w:rsid w:val="4DA14831"/>
    <w:rsid w:val="4DA16EA9"/>
    <w:rsid w:val="4DA62712"/>
    <w:rsid w:val="4DA92202"/>
    <w:rsid w:val="4DAA0962"/>
    <w:rsid w:val="4DAB49EF"/>
    <w:rsid w:val="4DAB5F7A"/>
    <w:rsid w:val="4DAD3AA0"/>
    <w:rsid w:val="4DB03590"/>
    <w:rsid w:val="4DBA7F6B"/>
    <w:rsid w:val="4DC464C6"/>
    <w:rsid w:val="4DC54880"/>
    <w:rsid w:val="4DC65D35"/>
    <w:rsid w:val="4DC808DA"/>
    <w:rsid w:val="4DC94652"/>
    <w:rsid w:val="4DC978E4"/>
    <w:rsid w:val="4DCB3B7F"/>
    <w:rsid w:val="4DCC3EE3"/>
    <w:rsid w:val="4DDF5C24"/>
    <w:rsid w:val="4DE05B34"/>
    <w:rsid w:val="4DE1374A"/>
    <w:rsid w:val="4DE1483E"/>
    <w:rsid w:val="4DE841A9"/>
    <w:rsid w:val="4DE94B51"/>
    <w:rsid w:val="4DE95C88"/>
    <w:rsid w:val="4DEC4FB0"/>
    <w:rsid w:val="4DEF5F99"/>
    <w:rsid w:val="4DF0398D"/>
    <w:rsid w:val="4DF10155"/>
    <w:rsid w:val="4DF304AF"/>
    <w:rsid w:val="4DF43D07"/>
    <w:rsid w:val="4DF5104E"/>
    <w:rsid w:val="4DF65160"/>
    <w:rsid w:val="4DF711BF"/>
    <w:rsid w:val="4DF74D1B"/>
    <w:rsid w:val="4DFB3AC0"/>
    <w:rsid w:val="4DFC6E26"/>
    <w:rsid w:val="4DFD4E42"/>
    <w:rsid w:val="4E037C78"/>
    <w:rsid w:val="4E071A4D"/>
    <w:rsid w:val="4E075D8A"/>
    <w:rsid w:val="4E076149"/>
    <w:rsid w:val="4E086F29"/>
    <w:rsid w:val="4E094D93"/>
    <w:rsid w:val="4E0D5249"/>
    <w:rsid w:val="4E0D53D9"/>
    <w:rsid w:val="4E1952EE"/>
    <w:rsid w:val="4E1E61D3"/>
    <w:rsid w:val="4E1F64C8"/>
    <w:rsid w:val="4E234C10"/>
    <w:rsid w:val="4E252003"/>
    <w:rsid w:val="4E2646DB"/>
    <w:rsid w:val="4E2B17E0"/>
    <w:rsid w:val="4E2D4BE1"/>
    <w:rsid w:val="4E31219A"/>
    <w:rsid w:val="4E3138C7"/>
    <w:rsid w:val="4E323FA5"/>
    <w:rsid w:val="4E3537A3"/>
    <w:rsid w:val="4E353A96"/>
    <w:rsid w:val="4E356AFE"/>
    <w:rsid w:val="4E366E1A"/>
    <w:rsid w:val="4E36799E"/>
    <w:rsid w:val="4E41068C"/>
    <w:rsid w:val="4E434405"/>
    <w:rsid w:val="4E45007C"/>
    <w:rsid w:val="4E473EF5"/>
    <w:rsid w:val="4E475A56"/>
    <w:rsid w:val="4E4762E4"/>
    <w:rsid w:val="4E481A1B"/>
    <w:rsid w:val="4E491D67"/>
    <w:rsid w:val="4E4C00AB"/>
    <w:rsid w:val="4E4F4759"/>
    <w:rsid w:val="4E52289A"/>
    <w:rsid w:val="4E557C94"/>
    <w:rsid w:val="4E5910D6"/>
    <w:rsid w:val="4E593C28"/>
    <w:rsid w:val="4E5A52AA"/>
    <w:rsid w:val="4E5B4E73"/>
    <w:rsid w:val="4E5C7274"/>
    <w:rsid w:val="4E6600F3"/>
    <w:rsid w:val="4E6B34D3"/>
    <w:rsid w:val="4E730BCD"/>
    <w:rsid w:val="4E7414EF"/>
    <w:rsid w:val="4E775E5C"/>
    <w:rsid w:val="4E7B3B9E"/>
    <w:rsid w:val="4E802F63"/>
    <w:rsid w:val="4E830F9E"/>
    <w:rsid w:val="4E8409A5"/>
    <w:rsid w:val="4E8567CB"/>
    <w:rsid w:val="4E863C6F"/>
    <w:rsid w:val="4E8739F4"/>
    <w:rsid w:val="4E8D051A"/>
    <w:rsid w:val="4E8D5680"/>
    <w:rsid w:val="4E8D742E"/>
    <w:rsid w:val="4E9133C2"/>
    <w:rsid w:val="4E943EEE"/>
    <w:rsid w:val="4E947478"/>
    <w:rsid w:val="4E993A44"/>
    <w:rsid w:val="4E99761F"/>
    <w:rsid w:val="4E9B1B4B"/>
    <w:rsid w:val="4E9C58C3"/>
    <w:rsid w:val="4E9E5ADF"/>
    <w:rsid w:val="4EA053B3"/>
    <w:rsid w:val="4EA65806"/>
    <w:rsid w:val="4EA76741"/>
    <w:rsid w:val="4EA773CC"/>
    <w:rsid w:val="4EAC43F9"/>
    <w:rsid w:val="4EAD7AD0"/>
    <w:rsid w:val="4EAF3848"/>
    <w:rsid w:val="4EB33338"/>
    <w:rsid w:val="4EB46FB4"/>
    <w:rsid w:val="4EB470B0"/>
    <w:rsid w:val="4EB946C7"/>
    <w:rsid w:val="4EBD6A8F"/>
    <w:rsid w:val="4EC00FAD"/>
    <w:rsid w:val="4EC458DE"/>
    <w:rsid w:val="4EC54E1A"/>
    <w:rsid w:val="4ED24BC6"/>
    <w:rsid w:val="4ED27537"/>
    <w:rsid w:val="4ED80859"/>
    <w:rsid w:val="4ED81BD9"/>
    <w:rsid w:val="4ED908C5"/>
    <w:rsid w:val="4EDE412D"/>
    <w:rsid w:val="4EDE7C89"/>
    <w:rsid w:val="4EE011FE"/>
    <w:rsid w:val="4EE01C53"/>
    <w:rsid w:val="4EE23C1E"/>
    <w:rsid w:val="4EE764E7"/>
    <w:rsid w:val="4EF53D52"/>
    <w:rsid w:val="4EF676C9"/>
    <w:rsid w:val="4EFD0A57"/>
    <w:rsid w:val="4F0040A4"/>
    <w:rsid w:val="4F00767D"/>
    <w:rsid w:val="4F043B94"/>
    <w:rsid w:val="4F06566B"/>
    <w:rsid w:val="4F082F58"/>
    <w:rsid w:val="4F0911AA"/>
    <w:rsid w:val="4F0A0A7E"/>
    <w:rsid w:val="4F0A4F22"/>
    <w:rsid w:val="4F0D4B7E"/>
    <w:rsid w:val="4F0E63CE"/>
    <w:rsid w:val="4F11005F"/>
    <w:rsid w:val="4F111E0D"/>
    <w:rsid w:val="4F155DA1"/>
    <w:rsid w:val="4F1D2EA8"/>
    <w:rsid w:val="4F1F277C"/>
    <w:rsid w:val="4F20588B"/>
    <w:rsid w:val="4F266C65"/>
    <w:rsid w:val="4F271630"/>
    <w:rsid w:val="4F2732DA"/>
    <w:rsid w:val="4F2F3C97"/>
    <w:rsid w:val="4F314814"/>
    <w:rsid w:val="4F322AC9"/>
    <w:rsid w:val="4F38521B"/>
    <w:rsid w:val="4F3B3C7C"/>
    <w:rsid w:val="4F3C03F9"/>
    <w:rsid w:val="4F3C6881"/>
    <w:rsid w:val="4F4C72E9"/>
    <w:rsid w:val="4F4E12B3"/>
    <w:rsid w:val="4F4E1725"/>
    <w:rsid w:val="4F50502B"/>
    <w:rsid w:val="4F530677"/>
    <w:rsid w:val="4F5379B6"/>
    <w:rsid w:val="4F576A76"/>
    <w:rsid w:val="4F585C8E"/>
    <w:rsid w:val="4F5A37B4"/>
    <w:rsid w:val="4F5F701C"/>
    <w:rsid w:val="4F61342E"/>
    <w:rsid w:val="4F666568"/>
    <w:rsid w:val="4F691C49"/>
    <w:rsid w:val="4F712E54"/>
    <w:rsid w:val="4F7314EF"/>
    <w:rsid w:val="4F7505EE"/>
    <w:rsid w:val="4F754A92"/>
    <w:rsid w:val="4F7800DE"/>
    <w:rsid w:val="4F7B4353"/>
    <w:rsid w:val="4F7D3946"/>
    <w:rsid w:val="4F7F2E3E"/>
    <w:rsid w:val="4F87191D"/>
    <w:rsid w:val="4F8905E5"/>
    <w:rsid w:val="4F891D00"/>
    <w:rsid w:val="4F934CCB"/>
    <w:rsid w:val="4F950761"/>
    <w:rsid w:val="4F9843DC"/>
    <w:rsid w:val="4F992A2E"/>
    <w:rsid w:val="4F9A62A6"/>
    <w:rsid w:val="4F9C201E"/>
    <w:rsid w:val="4FA5332D"/>
    <w:rsid w:val="4FAC4779"/>
    <w:rsid w:val="4FAD667C"/>
    <w:rsid w:val="4FAE58AE"/>
    <w:rsid w:val="4FAF69C7"/>
    <w:rsid w:val="4FB21842"/>
    <w:rsid w:val="4FB76E58"/>
    <w:rsid w:val="4FB82BD0"/>
    <w:rsid w:val="4FB87166"/>
    <w:rsid w:val="4FBA284E"/>
    <w:rsid w:val="4FC21359"/>
    <w:rsid w:val="4FC275AB"/>
    <w:rsid w:val="4FC34E3D"/>
    <w:rsid w:val="4FC357E8"/>
    <w:rsid w:val="4FC357FD"/>
    <w:rsid w:val="4FC62A8C"/>
    <w:rsid w:val="4FC6709B"/>
    <w:rsid w:val="4FC774A8"/>
    <w:rsid w:val="4FC8015F"/>
    <w:rsid w:val="4FCB1AB9"/>
    <w:rsid w:val="4FD00A0E"/>
    <w:rsid w:val="4FD12620"/>
    <w:rsid w:val="4FD506C1"/>
    <w:rsid w:val="4FD735FD"/>
    <w:rsid w:val="4FD86DCF"/>
    <w:rsid w:val="4FDA2B47"/>
    <w:rsid w:val="4FDE2637"/>
    <w:rsid w:val="4FE20F0D"/>
    <w:rsid w:val="4FE27A7A"/>
    <w:rsid w:val="4FE51552"/>
    <w:rsid w:val="4FEB0411"/>
    <w:rsid w:val="4FEB4D54"/>
    <w:rsid w:val="4FEB7D89"/>
    <w:rsid w:val="4FED4628"/>
    <w:rsid w:val="4FEE03A0"/>
    <w:rsid w:val="4FEE2F94"/>
    <w:rsid w:val="4FF0236A"/>
    <w:rsid w:val="4FF31800"/>
    <w:rsid w:val="4FF43C88"/>
    <w:rsid w:val="4FF51ACD"/>
    <w:rsid w:val="4FF63749"/>
    <w:rsid w:val="4FFC486B"/>
    <w:rsid w:val="4FFF25AD"/>
    <w:rsid w:val="5001388B"/>
    <w:rsid w:val="5005671C"/>
    <w:rsid w:val="500656EA"/>
    <w:rsid w:val="500F0A42"/>
    <w:rsid w:val="50106568"/>
    <w:rsid w:val="501778F7"/>
    <w:rsid w:val="501A0F72"/>
    <w:rsid w:val="501A1687"/>
    <w:rsid w:val="501D7113"/>
    <w:rsid w:val="501E0C85"/>
    <w:rsid w:val="501E227E"/>
    <w:rsid w:val="50203374"/>
    <w:rsid w:val="50210776"/>
    <w:rsid w:val="502135A5"/>
    <w:rsid w:val="502142D2"/>
    <w:rsid w:val="50243CF3"/>
    <w:rsid w:val="50277AA8"/>
    <w:rsid w:val="502B2A69"/>
    <w:rsid w:val="502B33A2"/>
    <w:rsid w:val="502D0EC8"/>
    <w:rsid w:val="502F4C40"/>
    <w:rsid w:val="5032028D"/>
    <w:rsid w:val="5039786D"/>
    <w:rsid w:val="503A35E5"/>
    <w:rsid w:val="503C55AF"/>
    <w:rsid w:val="503D6394"/>
    <w:rsid w:val="50416722"/>
    <w:rsid w:val="50462171"/>
    <w:rsid w:val="50474314"/>
    <w:rsid w:val="50483F54"/>
    <w:rsid w:val="504F7091"/>
    <w:rsid w:val="50502E09"/>
    <w:rsid w:val="50504C4B"/>
    <w:rsid w:val="5052092F"/>
    <w:rsid w:val="50586E5B"/>
    <w:rsid w:val="505C355C"/>
    <w:rsid w:val="505E040E"/>
    <w:rsid w:val="5069589A"/>
    <w:rsid w:val="506A647C"/>
    <w:rsid w:val="506B19F1"/>
    <w:rsid w:val="506B7C43"/>
    <w:rsid w:val="506D7517"/>
    <w:rsid w:val="5074708F"/>
    <w:rsid w:val="50795EBC"/>
    <w:rsid w:val="507960A6"/>
    <w:rsid w:val="507A1E30"/>
    <w:rsid w:val="507A7CD0"/>
    <w:rsid w:val="507B7E86"/>
    <w:rsid w:val="508036EE"/>
    <w:rsid w:val="5080549C"/>
    <w:rsid w:val="50812FC2"/>
    <w:rsid w:val="50821F1C"/>
    <w:rsid w:val="508825A3"/>
    <w:rsid w:val="508D51C5"/>
    <w:rsid w:val="50992972"/>
    <w:rsid w:val="509947B0"/>
    <w:rsid w:val="509C6E7C"/>
    <w:rsid w:val="50A85EBB"/>
    <w:rsid w:val="50AA60EF"/>
    <w:rsid w:val="50AB003F"/>
    <w:rsid w:val="50AD135C"/>
    <w:rsid w:val="50AD153D"/>
    <w:rsid w:val="50B058D6"/>
    <w:rsid w:val="50B1456A"/>
    <w:rsid w:val="50B25872"/>
    <w:rsid w:val="50B46AC0"/>
    <w:rsid w:val="50B52C6C"/>
    <w:rsid w:val="50BA3270"/>
    <w:rsid w:val="50BF262F"/>
    <w:rsid w:val="50C23D07"/>
    <w:rsid w:val="50C85B35"/>
    <w:rsid w:val="50CD34F7"/>
    <w:rsid w:val="50CE4264"/>
    <w:rsid w:val="50D92B4F"/>
    <w:rsid w:val="50DD28EE"/>
    <w:rsid w:val="50E21CB3"/>
    <w:rsid w:val="50E33C7D"/>
    <w:rsid w:val="50E63289"/>
    <w:rsid w:val="50E853D1"/>
    <w:rsid w:val="50EA6DB9"/>
    <w:rsid w:val="50EC48E0"/>
    <w:rsid w:val="50ED0658"/>
    <w:rsid w:val="50EF43D0"/>
    <w:rsid w:val="50F31B9A"/>
    <w:rsid w:val="50F6575E"/>
    <w:rsid w:val="50F87FAC"/>
    <w:rsid w:val="510042CE"/>
    <w:rsid w:val="510065DD"/>
    <w:rsid w:val="51047C53"/>
    <w:rsid w:val="510734C7"/>
    <w:rsid w:val="510C4F82"/>
    <w:rsid w:val="510D2153"/>
    <w:rsid w:val="510D30A1"/>
    <w:rsid w:val="510F4A72"/>
    <w:rsid w:val="51112598"/>
    <w:rsid w:val="51133F3C"/>
    <w:rsid w:val="51145BE4"/>
    <w:rsid w:val="51181D4C"/>
    <w:rsid w:val="511A2324"/>
    <w:rsid w:val="511B51C5"/>
    <w:rsid w:val="512247A5"/>
    <w:rsid w:val="51271DBC"/>
    <w:rsid w:val="51281690"/>
    <w:rsid w:val="51285CB7"/>
    <w:rsid w:val="512A365A"/>
    <w:rsid w:val="512F0C70"/>
    <w:rsid w:val="513242BC"/>
    <w:rsid w:val="51346287"/>
    <w:rsid w:val="51385D77"/>
    <w:rsid w:val="513C2280"/>
    <w:rsid w:val="51416568"/>
    <w:rsid w:val="514209A3"/>
    <w:rsid w:val="51453FF0"/>
    <w:rsid w:val="514839CF"/>
    <w:rsid w:val="51491D32"/>
    <w:rsid w:val="514A766A"/>
    <w:rsid w:val="514B553F"/>
    <w:rsid w:val="514F30C0"/>
    <w:rsid w:val="515108BD"/>
    <w:rsid w:val="515212D7"/>
    <w:rsid w:val="515272E8"/>
    <w:rsid w:val="515372AB"/>
    <w:rsid w:val="515D758B"/>
    <w:rsid w:val="515E50B1"/>
    <w:rsid w:val="51617AA8"/>
    <w:rsid w:val="5162104E"/>
    <w:rsid w:val="51674528"/>
    <w:rsid w:val="5167539E"/>
    <w:rsid w:val="5167665C"/>
    <w:rsid w:val="516A1CA8"/>
    <w:rsid w:val="516C3570"/>
    <w:rsid w:val="51765D63"/>
    <w:rsid w:val="517F0F92"/>
    <w:rsid w:val="517F39A6"/>
    <w:rsid w:val="518014CC"/>
    <w:rsid w:val="5184720E"/>
    <w:rsid w:val="51864D34"/>
    <w:rsid w:val="5187285A"/>
    <w:rsid w:val="51873BC2"/>
    <w:rsid w:val="51874608"/>
    <w:rsid w:val="518B5659"/>
    <w:rsid w:val="518C7E71"/>
    <w:rsid w:val="518E2DCE"/>
    <w:rsid w:val="51940CA3"/>
    <w:rsid w:val="519531C9"/>
    <w:rsid w:val="51964435"/>
    <w:rsid w:val="5199174F"/>
    <w:rsid w:val="519A07DF"/>
    <w:rsid w:val="519F1952"/>
    <w:rsid w:val="519F7BA4"/>
    <w:rsid w:val="51A76A58"/>
    <w:rsid w:val="51A87F76"/>
    <w:rsid w:val="51AB50F9"/>
    <w:rsid w:val="51AC0513"/>
    <w:rsid w:val="51B353FD"/>
    <w:rsid w:val="51BE685C"/>
    <w:rsid w:val="51BF7CD3"/>
    <w:rsid w:val="51C8234F"/>
    <w:rsid w:val="51D74AB3"/>
    <w:rsid w:val="51D8527A"/>
    <w:rsid w:val="51D90A22"/>
    <w:rsid w:val="51E23F34"/>
    <w:rsid w:val="51E43FE9"/>
    <w:rsid w:val="51E541D6"/>
    <w:rsid w:val="51E97E54"/>
    <w:rsid w:val="51EB2DE9"/>
    <w:rsid w:val="51EB4B97"/>
    <w:rsid w:val="51ED0921"/>
    <w:rsid w:val="51F22B48"/>
    <w:rsid w:val="51F242F7"/>
    <w:rsid w:val="51F3748D"/>
    <w:rsid w:val="51F532CA"/>
    <w:rsid w:val="51F64E82"/>
    <w:rsid w:val="51F779E0"/>
    <w:rsid w:val="51FF11C7"/>
    <w:rsid w:val="51FF4AE6"/>
    <w:rsid w:val="52043EAB"/>
    <w:rsid w:val="520642DD"/>
    <w:rsid w:val="52065479"/>
    <w:rsid w:val="52067C23"/>
    <w:rsid w:val="5208399B"/>
    <w:rsid w:val="520A3281"/>
    <w:rsid w:val="52104ACE"/>
    <w:rsid w:val="52196F0A"/>
    <w:rsid w:val="521B468E"/>
    <w:rsid w:val="5221129C"/>
    <w:rsid w:val="522602C5"/>
    <w:rsid w:val="522A797E"/>
    <w:rsid w:val="522D0A30"/>
    <w:rsid w:val="522D1654"/>
    <w:rsid w:val="523264AA"/>
    <w:rsid w:val="52326C6A"/>
    <w:rsid w:val="523522B6"/>
    <w:rsid w:val="52397FF8"/>
    <w:rsid w:val="523E560F"/>
    <w:rsid w:val="524644C3"/>
    <w:rsid w:val="52495D62"/>
    <w:rsid w:val="524A3FB4"/>
    <w:rsid w:val="525070F0"/>
    <w:rsid w:val="5252508D"/>
    <w:rsid w:val="52536A27"/>
    <w:rsid w:val="525420E5"/>
    <w:rsid w:val="52595FA5"/>
    <w:rsid w:val="525A1D1D"/>
    <w:rsid w:val="525A4D5C"/>
    <w:rsid w:val="525D1CCF"/>
    <w:rsid w:val="525E1935"/>
    <w:rsid w:val="52603894"/>
    <w:rsid w:val="5265190D"/>
    <w:rsid w:val="52734B8D"/>
    <w:rsid w:val="527B708C"/>
    <w:rsid w:val="527F3531"/>
    <w:rsid w:val="528258A8"/>
    <w:rsid w:val="528374C6"/>
    <w:rsid w:val="52846D9A"/>
    <w:rsid w:val="52851C11"/>
    <w:rsid w:val="528656AE"/>
    <w:rsid w:val="5288688A"/>
    <w:rsid w:val="528C76D0"/>
    <w:rsid w:val="528D20F2"/>
    <w:rsid w:val="528E6335"/>
    <w:rsid w:val="5290573F"/>
    <w:rsid w:val="5296487D"/>
    <w:rsid w:val="52967C59"/>
    <w:rsid w:val="529B581A"/>
    <w:rsid w:val="52B23907"/>
    <w:rsid w:val="52B4639C"/>
    <w:rsid w:val="52B61649"/>
    <w:rsid w:val="52B87298"/>
    <w:rsid w:val="52BC29D7"/>
    <w:rsid w:val="52C13B4A"/>
    <w:rsid w:val="52C5188C"/>
    <w:rsid w:val="52C71AFC"/>
    <w:rsid w:val="52C74D84"/>
    <w:rsid w:val="52C75604"/>
    <w:rsid w:val="52CB49C9"/>
    <w:rsid w:val="52CC3DEA"/>
    <w:rsid w:val="52D25D57"/>
    <w:rsid w:val="52D374D1"/>
    <w:rsid w:val="52D43E29"/>
    <w:rsid w:val="52D47D21"/>
    <w:rsid w:val="52D7361C"/>
    <w:rsid w:val="52D7511B"/>
    <w:rsid w:val="52D970E6"/>
    <w:rsid w:val="52DD61F2"/>
    <w:rsid w:val="52DE46FC"/>
    <w:rsid w:val="52E258A1"/>
    <w:rsid w:val="52E33AC0"/>
    <w:rsid w:val="52E46A6D"/>
    <w:rsid w:val="52E5007E"/>
    <w:rsid w:val="52E71802"/>
    <w:rsid w:val="52EF59D3"/>
    <w:rsid w:val="52F61A46"/>
    <w:rsid w:val="52F715A0"/>
    <w:rsid w:val="52FF0513"/>
    <w:rsid w:val="53037164"/>
    <w:rsid w:val="530443EF"/>
    <w:rsid w:val="53044CDD"/>
    <w:rsid w:val="530530D4"/>
    <w:rsid w:val="53091129"/>
    <w:rsid w:val="530E0072"/>
    <w:rsid w:val="531356F0"/>
    <w:rsid w:val="531445C2"/>
    <w:rsid w:val="53165C44"/>
    <w:rsid w:val="531B0C23"/>
    <w:rsid w:val="531E2D4A"/>
    <w:rsid w:val="532365B3"/>
    <w:rsid w:val="532A5B93"/>
    <w:rsid w:val="532C190B"/>
    <w:rsid w:val="532E5232"/>
    <w:rsid w:val="53394028"/>
    <w:rsid w:val="533F163E"/>
    <w:rsid w:val="53407D89"/>
    <w:rsid w:val="534126A3"/>
    <w:rsid w:val="53422EDD"/>
    <w:rsid w:val="53430A03"/>
    <w:rsid w:val="534327B1"/>
    <w:rsid w:val="53434365"/>
    <w:rsid w:val="534529CD"/>
    <w:rsid w:val="534530AA"/>
    <w:rsid w:val="534B52B4"/>
    <w:rsid w:val="534D0ABF"/>
    <w:rsid w:val="534F73A8"/>
    <w:rsid w:val="53513120"/>
    <w:rsid w:val="535350EA"/>
    <w:rsid w:val="5358770E"/>
    <w:rsid w:val="535D1AC5"/>
    <w:rsid w:val="536015B5"/>
    <w:rsid w:val="53654E1D"/>
    <w:rsid w:val="5366248E"/>
    <w:rsid w:val="536C0F21"/>
    <w:rsid w:val="536C630A"/>
    <w:rsid w:val="536D0954"/>
    <w:rsid w:val="5372133A"/>
    <w:rsid w:val="537A0781"/>
    <w:rsid w:val="53876B42"/>
    <w:rsid w:val="538B16E4"/>
    <w:rsid w:val="538D5DA0"/>
    <w:rsid w:val="53943AE8"/>
    <w:rsid w:val="53961250"/>
    <w:rsid w:val="53A039CC"/>
    <w:rsid w:val="53A1505A"/>
    <w:rsid w:val="53A44BBD"/>
    <w:rsid w:val="53A879CA"/>
    <w:rsid w:val="53AC65A8"/>
    <w:rsid w:val="53AF7399"/>
    <w:rsid w:val="53B042EA"/>
    <w:rsid w:val="53B26EE4"/>
    <w:rsid w:val="53B316E5"/>
    <w:rsid w:val="53B36E5E"/>
    <w:rsid w:val="53BA0CC5"/>
    <w:rsid w:val="53BB0FE1"/>
    <w:rsid w:val="53BF452D"/>
    <w:rsid w:val="53C86289"/>
    <w:rsid w:val="53CB2ED2"/>
    <w:rsid w:val="53CC456C"/>
    <w:rsid w:val="53D537C4"/>
    <w:rsid w:val="53D53D51"/>
    <w:rsid w:val="53D61877"/>
    <w:rsid w:val="53D6676E"/>
    <w:rsid w:val="53DC06BF"/>
    <w:rsid w:val="53DF697E"/>
    <w:rsid w:val="53E142ED"/>
    <w:rsid w:val="53E915AA"/>
    <w:rsid w:val="53EA4F69"/>
    <w:rsid w:val="53EC109A"/>
    <w:rsid w:val="53EC4BF7"/>
    <w:rsid w:val="53ED3E58"/>
    <w:rsid w:val="53F20A27"/>
    <w:rsid w:val="53F51CFD"/>
    <w:rsid w:val="53F73CC7"/>
    <w:rsid w:val="53FE5345"/>
    <w:rsid w:val="53FF4E44"/>
    <w:rsid w:val="54046603"/>
    <w:rsid w:val="54063E08"/>
    <w:rsid w:val="54097539"/>
    <w:rsid w:val="540E13C0"/>
    <w:rsid w:val="540F0C6A"/>
    <w:rsid w:val="5415239F"/>
    <w:rsid w:val="5415414D"/>
    <w:rsid w:val="541859EC"/>
    <w:rsid w:val="54197654"/>
    <w:rsid w:val="541D1934"/>
    <w:rsid w:val="54221624"/>
    <w:rsid w:val="54221F7B"/>
    <w:rsid w:val="542645AC"/>
    <w:rsid w:val="54273293"/>
    <w:rsid w:val="5427446D"/>
    <w:rsid w:val="54295E4B"/>
    <w:rsid w:val="542B1BC3"/>
    <w:rsid w:val="542E520F"/>
    <w:rsid w:val="54300F87"/>
    <w:rsid w:val="543437E8"/>
    <w:rsid w:val="5434795B"/>
    <w:rsid w:val="54354E9B"/>
    <w:rsid w:val="54355F96"/>
    <w:rsid w:val="54394593"/>
    <w:rsid w:val="543F11CA"/>
    <w:rsid w:val="543F741C"/>
    <w:rsid w:val="54416F62"/>
    <w:rsid w:val="54501629"/>
    <w:rsid w:val="54540089"/>
    <w:rsid w:val="54556C40"/>
    <w:rsid w:val="545A24A8"/>
    <w:rsid w:val="546155E5"/>
    <w:rsid w:val="54624EB9"/>
    <w:rsid w:val="54684BC5"/>
    <w:rsid w:val="546A7752"/>
    <w:rsid w:val="546E1AAF"/>
    <w:rsid w:val="547217D4"/>
    <w:rsid w:val="5474132A"/>
    <w:rsid w:val="54742D2A"/>
    <w:rsid w:val="547E7968"/>
    <w:rsid w:val="548136DA"/>
    <w:rsid w:val="548202E7"/>
    <w:rsid w:val="5486504B"/>
    <w:rsid w:val="548B60F4"/>
    <w:rsid w:val="549E05E7"/>
    <w:rsid w:val="54A01FF8"/>
    <w:rsid w:val="54A13C33"/>
    <w:rsid w:val="54A35BFD"/>
    <w:rsid w:val="54A61249"/>
    <w:rsid w:val="54A86D6F"/>
    <w:rsid w:val="54AA5530"/>
    <w:rsid w:val="54B43F19"/>
    <w:rsid w:val="54B5148C"/>
    <w:rsid w:val="54B73456"/>
    <w:rsid w:val="54C01DBA"/>
    <w:rsid w:val="54C3004D"/>
    <w:rsid w:val="54C811C0"/>
    <w:rsid w:val="54CB0CB0"/>
    <w:rsid w:val="54D02EA2"/>
    <w:rsid w:val="54D1276A"/>
    <w:rsid w:val="54D9517B"/>
    <w:rsid w:val="54D95365"/>
    <w:rsid w:val="54D9691A"/>
    <w:rsid w:val="54DC2EBD"/>
    <w:rsid w:val="54E51D72"/>
    <w:rsid w:val="54E87AB4"/>
    <w:rsid w:val="54EE0C49"/>
    <w:rsid w:val="54F02A10"/>
    <w:rsid w:val="54F2593F"/>
    <w:rsid w:val="54F2623D"/>
    <w:rsid w:val="54F63F7F"/>
    <w:rsid w:val="54F73313"/>
    <w:rsid w:val="54F75F49"/>
    <w:rsid w:val="54F80955"/>
    <w:rsid w:val="54FB1595"/>
    <w:rsid w:val="54FC332C"/>
    <w:rsid w:val="54FE72D7"/>
    <w:rsid w:val="550C37A2"/>
    <w:rsid w:val="550F6DEF"/>
    <w:rsid w:val="55110DB9"/>
    <w:rsid w:val="551268DF"/>
    <w:rsid w:val="55164621"/>
    <w:rsid w:val="55172147"/>
    <w:rsid w:val="55192D16"/>
    <w:rsid w:val="551A1CC2"/>
    <w:rsid w:val="551B39E5"/>
    <w:rsid w:val="5527238A"/>
    <w:rsid w:val="552761DC"/>
    <w:rsid w:val="552A00CC"/>
    <w:rsid w:val="552A1E7A"/>
    <w:rsid w:val="552D4FDB"/>
    <w:rsid w:val="55313209"/>
    <w:rsid w:val="553D00C3"/>
    <w:rsid w:val="554275E0"/>
    <w:rsid w:val="554747DA"/>
    <w:rsid w:val="554C748D"/>
    <w:rsid w:val="555170A7"/>
    <w:rsid w:val="555313D1"/>
    <w:rsid w:val="55583CBE"/>
    <w:rsid w:val="5559450E"/>
    <w:rsid w:val="555C3FD6"/>
    <w:rsid w:val="555D0627"/>
    <w:rsid w:val="555D2250"/>
    <w:rsid w:val="555E63C0"/>
    <w:rsid w:val="555E7D76"/>
    <w:rsid w:val="55630CE0"/>
    <w:rsid w:val="55684751"/>
    <w:rsid w:val="5571695E"/>
    <w:rsid w:val="557430F6"/>
    <w:rsid w:val="55747201"/>
    <w:rsid w:val="55763667"/>
    <w:rsid w:val="557B13D1"/>
    <w:rsid w:val="557C1D14"/>
    <w:rsid w:val="557C4123"/>
    <w:rsid w:val="557D644E"/>
    <w:rsid w:val="5587536D"/>
    <w:rsid w:val="55884DB1"/>
    <w:rsid w:val="558A0B6B"/>
    <w:rsid w:val="558D37CC"/>
    <w:rsid w:val="558D77A7"/>
    <w:rsid w:val="55902691"/>
    <w:rsid w:val="55913CA7"/>
    <w:rsid w:val="559317CE"/>
    <w:rsid w:val="5595656E"/>
    <w:rsid w:val="559B174B"/>
    <w:rsid w:val="559B2D78"/>
    <w:rsid w:val="559D089E"/>
    <w:rsid w:val="559D43FA"/>
    <w:rsid w:val="559E08BC"/>
    <w:rsid w:val="55A06583"/>
    <w:rsid w:val="55A25EB5"/>
    <w:rsid w:val="55A35124"/>
    <w:rsid w:val="55A363DC"/>
    <w:rsid w:val="55A46BAD"/>
    <w:rsid w:val="55A625C8"/>
    <w:rsid w:val="55AA34E3"/>
    <w:rsid w:val="55AD1DF6"/>
    <w:rsid w:val="55B12F5F"/>
    <w:rsid w:val="55B23C34"/>
    <w:rsid w:val="55BD1AF8"/>
    <w:rsid w:val="55C220B3"/>
    <w:rsid w:val="55CC4ED6"/>
    <w:rsid w:val="55CE0A58"/>
    <w:rsid w:val="55CE0CF4"/>
    <w:rsid w:val="55DB4F23"/>
    <w:rsid w:val="55E335A1"/>
    <w:rsid w:val="55EB13F3"/>
    <w:rsid w:val="55EE10FA"/>
    <w:rsid w:val="55F06868"/>
    <w:rsid w:val="55F43DB4"/>
    <w:rsid w:val="55FD5D62"/>
    <w:rsid w:val="55FE41C5"/>
    <w:rsid w:val="55FF3307"/>
    <w:rsid w:val="56013882"/>
    <w:rsid w:val="56024BA5"/>
    <w:rsid w:val="560721BC"/>
    <w:rsid w:val="56087301"/>
    <w:rsid w:val="56095F34"/>
    <w:rsid w:val="560B1CAC"/>
    <w:rsid w:val="560F56FB"/>
    <w:rsid w:val="561843C9"/>
    <w:rsid w:val="561A52E3"/>
    <w:rsid w:val="561F2BA6"/>
    <w:rsid w:val="56221093"/>
    <w:rsid w:val="56235D52"/>
    <w:rsid w:val="562C1C22"/>
    <w:rsid w:val="562E7748"/>
    <w:rsid w:val="56310FE7"/>
    <w:rsid w:val="56327239"/>
    <w:rsid w:val="56333909"/>
    <w:rsid w:val="56387CEA"/>
    <w:rsid w:val="563A7E9B"/>
    <w:rsid w:val="564156CE"/>
    <w:rsid w:val="56496330"/>
    <w:rsid w:val="564D4072"/>
    <w:rsid w:val="564F474C"/>
    <w:rsid w:val="565365E0"/>
    <w:rsid w:val="56576C9F"/>
    <w:rsid w:val="56583527"/>
    <w:rsid w:val="565A22EB"/>
    <w:rsid w:val="565F7B5B"/>
    <w:rsid w:val="566273F2"/>
    <w:rsid w:val="566E3FE9"/>
    <w:rsid w:val="56701B0F"/>
    <w:rsid w:val="56707D61"/>
    <w:rsid w:val="56720BCE"/>
    <w:rsid w:val="56732ECD"/>
    <w:rsid w:val="567A298E"/>
    <w:rsid w:val="567A2F8D"/>
    <w:rsid w:val="567F473B"/>
    <w:rsid w:val="5681172A"/>
    <w:rsid w:val="568126DC"/>
    <w:rsid w:val="56824382"/>
    <w:rsid w:val="568747BA"/>
    <w:rsid w:val="56876E58"/>
    <w:rsid w:val="56927CD7"/>
    <w:rsid w:val="56936EBC"/>
    <w:rsid w:val="569972B8"/>
    <w:rsid w:val="569B2350"/>
    <w:rsid w:val="569C09D1"/>
    <w:rsid w:val="569C6DA8"/>
    <w:rsid w:val="56A30136"/>
    <w:rsid w:val="56A7023F"/>
    <w:rsid w:val="56A8574D"/>
    <w:rsid w:val="56B22A9C"/>
    <w:rsid w:val="56BA722E"/>
    <w:rsid w:val="56BC2FA6"/>
    <w:rsid w:val="56BE3ED2"/>
    <w:rsid w:val="56C105BC"/>
    <w:rsid w:val="56C11AAE"/>
    <w:rsid w:val="56C1236A"/>
    <w:rsid w:val="56C540E1"/>
    <w:rsid w:val="56C63E25"/>
    <w:rsid w:val="56D04896"/>
    <w:rsid w:val="56D77DE0"/>
    <w:rsid w:val="56DC53F6"/>
    <w:rsid w:val="56DE116E"/>
    <w:rsid w:val="56E46774"/>
    <w:rsid w:val="56E55C74"/>
    <w:rsid w:val="56E83D9B"/>
    <w:rsid w:val="56ED029F"/>
    <w:rsid w:val="56EE4F51"/>
    <w:rsid w:val="56F33C85"/>
    <w:rsid w:val="56F3629C"/>
    <w:rsid w:val="56F40992"/>
    <w:rsid w:val="56FB3ACE"/>
    <w:rsid w:val="570109B9"/>
    <w:rsid w:val="57014E5D"/>
    <w:rsid w:val="57016C0B"/>
    <w:rsid w:val="570332CE"/>
    <w:rsid w:val="570A1F63"/>
    <w:rsid w:val="570A5ABF"/>
    <w:rsid w:val="570B2CBD"/>
    <w:rsid w:val="570C4711"/>
    <w:rsid w:val="570D3802"/>
    <w:rsid w:val="570E53B4"/>
    <w:rsid w:val="571050A0"/>
    <w:rsid w:val="5712706A"/>
    <w:rsid w:val="57146FBF"/>
    <w:rsid w:val="571C1C97"/>
    <w:rsid w:val="571E5B23"/>
    <w:rsid w:val="572052E3"/>
    <w:rsid w:val="57227457"/>
    <w:rsid w:val="57297951"/>
    <w:rsid w:val="572A43B4"/>
    <w:rsid w:val="572D5C52"/>
    <w:rsid w:val="57325016"/>
    <w:rsid w:val="57367EB4"/>
    <w:rsid w:val="5737262D"/>
    <w:rsid w:val="57393C58"/>
    <w:rsid w:val="573A347B"/>
    <w:rsid w:val="573B211D"/>
    <w:rsid w:val="573C5E95"/>
    <w:rsid w:val="573E1C0D"/>
    <w:rsid w:val="5740685D"/>
    <w:rsid w:val="57407733"/>
    <w:rsid w:val="574134AB"/>
    <w:rsid w:val="57437223"/>
    <w:rsid w:val="574674A4"/>
    <w:rsid w:val="574865E8"/>
    <w:rsid w:val="574A6804"/>
    <w:rsid w:val="574B7E86"/>
    <w:rsid w:val="575001A5"/>
    <w:rsid w:val="57560D05"/>
    <w:rsid w:val="575925A3"/>
    <w:rsid w:val="575E405D"/>
    <w:rsid w:val="5760151B"/>
    <w:rsid w:val="57605A0D"/>
    <w:rsid w:val="57637240"/>
    <w:rsid w:val="5765363E"/>
    <w:rsid w:val="576553EC"/>
    <w:rsid w:val="57672F12"/>
    <w:rsid w:val="576770D1"/>
    <w:rsid w:val="57691452"/>
    <w:rsid w:val="5769223F"/>
    <w:rsid w:val="576A47B0"/>
    <w:rsid w:val="576F4E40"/>
    <w:rsid w:val="576F626A"/>
    <w:rsid w:val="57707A82"/>
    <w:rsid w:val="577725CB"/>
    <w:rsid w:val="577B4C0F"/>
    <w:rsid w:val="577B69BD"/>
    <w:rsid w:val="577C3C28"/>
    <w:rsid w:val="577E46F5"/>
    <w:rsid w:val="57887AB4"/>
    <w:rsid w:val="57892EB7"/>
    <w:rsid w:val="578A4360"/>
    <w:rsid w:val="578D2339"/>
    <w:rsid w:val="57931F59"/>
    <w:rsid w:val="57934723"/>
    <w:rsid w:val="57961A49"/>
    <w:rsid w:val="57A564C1"/>
    <w:rsid w:val="57A94E1F"/>
    <w:rsid w:val="57AA2DFF"/>
    <w:rsid w:val="57AA386C"/>
    <w:rsid w:val="57AA3FFE"/>
    <w:rsid w:val="57AD6FAC"/>
    <w:rsid w:val="57AF6667"/>
    <w:rsid w:val="57B176C6"/>
    <w:rsid w:val="57B63E99"/>
    <w:rsid w:val="57B70543"/>
    <w:rsid w:val="57B72A76"/>
    <w:rsid w:val="57B73430"/>
    <w:rsid w:val="57B91294"/>
    <w:rsid w:val="57BC2B1E"/>
    <w:rsid w:val="57BE68AA"/>
    <w:rsid w:val="57C3426C"/>
    <w:rsid w:val="57CC546B"/>
    <w:rsid w:val="57CE1F93"/>
    <w:rsid w:val="57CF4D40"/>
    <w:rsid w:val="57D17792"/>
    <w:rsid w:val="57D87A93"/>
    <w:rsid w:val="57D9014C"/>
    <w:rsid w:val="57D97F8A"/>
    <w:rsid w:val="57DA6BF6"/>
    <w:rsid w:val="57DD1F86"/>
    <w:rsid w:val="57E00F16"/>
    <w:rsid w:val="57E02CC4"/>
    <w:rsid w:val="57E36310"/>
    <w:rsid w:val="57F04EB9"/>
    <w:rsid w:val="57F1209E"/>
    <w:rsid w:val="57F443B0"/>
    <w:rsid w:val="57F64296"/>
    <w:rsid w:val="57F6438B"/>
    <w:rsid w:val="57F65106"/>
    <w:rsid w:val="57F8000E"/>
    <w:rsid w:val="57FB7AFE"/>
    <w:rsid w:val="57FF37D8"/>
    <w:rsid w:val="5805272B"/>
    <w:rsid w:val="580B5F93"/>
    <w:rsid w:val="580E7831"/>
    <w:rsid w:val="58112E7E"/>
    <w:rsid w:val="5814296E"/>
    <w:rsid w:val="58186CDC"/>
    <w:rsid w:val="58190516"/>
    <w:rsid w:val="581B1F4E"/>
    <w:rsid w:val="581B3CFC"/>
    <w:rsid w:val="58256929"/>
    <w:rsid w:val="582708F3"/>
    <w:rsid w:val="582E1E3F"/>
    <w:rsid w:val="583004F8"/>
    <w:rsid w:val="58310E7B"/>
    <w:rsid w:val="58336D4A"/>
    <w:rsid w:val="58354144"/>
    <w:rsid w:val="58354DBE"/>
    <w:rsid w:val="583628E4"/>
    <w:rsid w:val="58382B00"/>
    <w:rsid w:val="583B7EFB"/>
    <w:rsid w:val="58417C07"/>
    <w:rsid w:val="5847689F"/>
    <w:rsid w:val="584D2F1D"/>
    <w:rsid w:val="585711D8"/>
    <w:rsid w:val="585A4825"/>
    <w:rsid w:val="585E7C8F"/>
    <w:rsid w:val="585F62DF"/>
    <w:rsid w:val="5860365A"/>
    <w:rsid w:val="58611413"/>
    <w:rsid w:val="58623249"/>
    <w:rsid w:val="58647451"/>
    <w:rsid w:val="58670CF0"/>
    <w:rsid w:val="586A7801"/>
    <w:rsid w:val="586B6A32"/>
    <w:rsid w:val="586C4558"/>
    <w:rsid w:val="586E7672"/>
    <w:rsid w:val="5871390D"/>
    <w:rsid w:val="58727DC0"/>
    <w:rsid w:val="5875165E"/>
    <w:rsid w:val="5878114F"/>
    <w:rsid w:val="587D49B7"/>
    <w:rsid w:val="587D6765"/>
    <w:rsid w:val="58810003"/>
    <w:rsid w:val="58816255"/>
    <w:rsid w:val="58847AF3"/>
    <w:rsid w:val="5886386C"/>
    <w:rsid w:val="588743D1"/>
    <w:rsid w:val="58874AA2"/>
    <w:rsid w:val="58875047"/>
    <w:rsid w:val="5887575A"/>
    <w:rsid w:val="5887701A"/>
    <w:rsid w:val="588E2720"/>
    <w:rsid w:val="58913D18"/>
    <w:rsid w:val="5893000F"/>
    <w:rsid w:val="589C6BEB"/>
    <w:rsid w:val="58A3441E"/>
    <w:rsid w:val="58A41F44"/>
    <w:rsid w:val="58A957AC"/>
    <w:rsid w:val="58AB32D2"/>
    <w:rsid w:val="58AB3744"/>
    <w:rsid w:val="58AB6E2E"/>
    <w:rsid w:val="58B167EE"/>
    <w:rsid w:val="58BE1257"/>
    <w:rsid w:val="58C12AF6"/>
    <w:rsid w:val="58C61EBA"/>
    <w:rsid w:val="58C75A8B"/>
    <w:rsid w:val="58C93758"/>
    <w:rsid w:val="58CB127E"/>
    <w:rsid w:val="58CD1630"/>
    <w:rsid w:val="58CF5213"/>
    <w:rsid w:val="58D26AB1"/>
    <w:rsid w:val="58D36385"/>
    <w:rsid w:val="58DF5113"/>
    <w:rsid w:val="58E41B6D"/>
    <w:rsid w:val="58E660B8"/>
    <w:rsid w:val="58F06F37"/>
    <w:rsid w:val="58F509F1"/>
    <w:rsid w:val="58F61A76"/>
    <w:rsid w:val="58F92290"/>
    <w:rsid w:val="58FA1B64"/>
    <w:rsid w:val="59032119"/>
    <w:rsid w:val="5906675A"/>
    <w:rsid w:val="590B1A0F"/>
    <w:rsid w:val="591137E1"/>
    <w:rsid w:val="5915074C"/>
    <w:rsid w:val="59154BEF"/>
    <w:rsid w:val="59180F87"/>
    <w:rsid w:val="5919648E"/>
    <w:rsid w:val="591A2206"/>
    <w:rsid w:val="591E3AA4"/>
    <w:rsid w:val="591F3BD0"/>
    <w:rsid w:val="591F781C"/>
    <w:rsid w:val="59250677"/>
    <w:rsid w:val="592E180D"/>
    <w:rsid w:val="592F5CB1"/>
    <w:rsid w:val="593060D3"/>
    <w:rsid w:val="5934151A"/>
    <w:rsid w:val="5934562A"/>
    <w:rsid w:val="593F488D"/>
    <w:rsid w:val="59407EBE"/>
    <w:rsid w:val="59414987"/>
    <w:rsid w:val="594554D5"/>
    <w:rsid w:val="595474C6"/>
    <w:rsid w:val="59590F80"/>
    <w:rsid w:val="59594F9B"/>
    <w:rsid w:val="595D1257"/>
    <w:rsid w:val="59600520"/>
    <w:rsid w:val="59605E6B"/>
    <w:rsid w:val="59610B9F"/>
    <w:rsid w:val="596247F9"/>
    <w:rsid w:val="59626D62"/>
    <w:rsid w:val="59637709"/>
    <w:rsid w:val="59653481"/>
    <w:rsid w:val="59685A85"/>
    <w:rsid w:val="596A4F3B"/>
    <w:rsid w:val="596A6CE9"/>
    <w:rsid w:val="597319E6"/>
    <w:rsid w:val="59750590"/>
    <w:rsid w:val="597B07F8"/>
    <w:rsid w:val="5980650D"/>
    <w:rsid w:val="598558D1"/>
    <w:rsid w:val="59874200"/>
    <w:rsid w:val="598853C1"/>
    <w:rsid w:val="59893D04"/>
    <w:rsid w:val="598D70D4"/>
    <w:rsid w:val="59A0095D"/>
    <w:rsid w:val="59A14D2F"/>
    <w:rsid w:val="59A26483"/>
    <w:rsid w:val="59A33FA9"/>
    <w:rsid w:val="59A45D72"/>
    <w:rsid w:val="59A55F73"/>
    <w:rsid w:val="59AF79A9"/>
    <w:rsid w:val="59B56D87"/>
    <w:rsid w:val="59BA5201"/>
    <w:rsid w:val="59C0439F"/>
    <w:rsid w:val="59C10BE6"/>
    <w:rsid w:val="59C75EEA"/>
    <w:rsid w:val="59C81701"/>
    <w:rsid w:val="59CE7257"/>
    <w:rsid w:val="59D312AD"/>
    <w:rsid w:val="59D340C5"/>
    <w:rsid w:val="59D423B5"/>
    <w:rsid w:val="59D5087A"/>
    <w:rsid w:val="59D6612D"/>
    <w:rsid w:val="59DF76D7"/>
    <w:rsid w:val="59E06FAB"/>
    <w:rsid w:val="59E24AD2"/>
    <w:rsid w:val="59E66FC0"/>
    <w:rsid w:val="59EB23A0"/>
    <w:rsid w:val="59ED312F"/>
    <w:rsid w:val="59EE16C8"/>
    <w:rsid w:val="59EE791A"/>
    <w:rsid w:val="59FA4645"/>
    <w:rsid w:val="59FE3454"/>
    <w:rsid w:val="59FE5684"/>
    <w:rsid w:val="5A063596"/>
    <w:rsid w:val="5A094754"/>
    <w:rsid w:val="5A0A227A"/>
    <w:rsid w:val="5A0A5DD6"/>
    <w:rsid w:val="5A0E2615"/>
    <w:rsid w:val="5A1804F3"/>
    <w:rsid w:val="5A193510"/>
    <w:rsid w:val="5A1B6236"/>
    <w:rsid w:val="5A1D027A"/>
    <w:rsid w:val="5A1D1FAE"/>
    <w:rsid w:val="5A1D4000"/>
    <w:rsid w:val="5A2055FA"/>
    <w:rsid w:val="5A236E98"/>
    <w:rsid w:val="5A284CE3"/>
    <w:rsid w:val="5A2A4F77"/>
    <w:rsid w:val="5A2E5F69"/>
    <w:rsid w:val="5A2E6F78"/>
    <w:rsid w:val="5A303C95"/>
    <w:rsid w:val="5A30655D"/>
    <w:rsid w:val="5A366BCB"/>
    <w:rsid w:val="5A387C36"/>
    <w:rsid w:val="5A3A00FB"/>
    <w:rsid w:val="5A3D61AC"/>
    <w:rsid w:val="5A403EEE"/>
    <w:rsid w:val="5A455061"/>
    <w:rsid w:val="5A504B62"/>
    <w:rsid w:val="5A5342D1"/>
    <w:rsid w:val="5A5761B6"/>
    <w:rsid w:val="5A5A50AA"/>
    <w:rsid w:val="5A5D4BDB"/>
    <w:rsid w:val="5A5F25C6"/>
    <w:rsid w:val="5A690D4F"/>
    <w:rsid w:val="5A7140A7"/>
    <w:rsid w:val="5A736072"/>
    <w:rsid w:val="5A7A55ED"/>
    <w:rsid w:val="5A7B0A82"/>
    <w:rsid w:val="5A800520"/>
    <w:rsid w:val="5A871448"/>
    <w:rsid w:val="5A886203"/>
    <w:rsid w:val="5A8E2EAB"/>
    <w:rsid w:val="5A924E6D"/>
    <w:rsid w:val="5A9C7376"/>
    <w:rsid w:val="5AA165C3"/>
    <w:rsid w:val="5AA1673B"/>
    <w:rsid w:val="5AA636FF"/>
    <w:rsid w:val="5AAC3262"/>
    <w:rsid w:val="5AAC7348"/>
    <w:rsid w:val="5AAD1584"/>
    <w:rsid w:val="5AB07990"/>
    <w:rsid w:val="5AB126F6"/>
    <w:rsid w:val="5AB13C9A"/>
    <w:rsid w:val="5AB14005"/>
    <w:rsid w:val="5AB346C0"/>
    <w:rsid w:val="5AB61AD0"/>
    <w:rsid w:val="5ABA5A4E"/>
    <w:rsid w:val="5ABC3575"/>
    <w:rsid w:val="5ABE2233"/>
    <w:rsid w:val="5ABF3065"/>
    <w:rsid w:val="5ABF4E13"/>
    <w:rsid w:val="5AC66016"/>
    <w:rsid w:val="5AC90AD5"/>
    <w:rsid w:val="5AC91A28"/>
    <w:rsid w:val="5AC979A3"/>
    <w:rsid w:val="5AC97A40"/>
    <w:rsid w:val="5ACC4A7B"/>
    <w:rsid w:val="5AD07020"/>
    <w:rsid w:val="5AD20FEA"/>
    <w:rsid w:val="5AD54636"/>
    <w:rsid w:val="5AD563E4"/>
    <w:rsid w:val="5AD84127"/>
    <w:rsid w:val="5ADA7E9F"/>
    <w:rsid w:val="5AE34FA5"/>
    <w:rsid w:val="5AE456F3"/>
    <w:rsid w:val="5AE96334"/>
    <w:rsid w:val="5AEA090D"/>
    <w:rsid w:val="5AEB11FC"/>
    <w:rsid w:val="5AEB20AC"/>
    <w:rsid w:val="5AEC372E"/>
    <w:rsid w:val="5AEE3BE5"/>
    <w:rsid w:val="5AEE5A5C"/>
    <w:rsid w:val="5AEE74A6"/>
    <w:rsid w:val="5AF01470"/>
    <w:rsid w:val="5AF0321E"/>
    <w:rsid w:val="5AF51FFA"/>
    <w:rsid w:val="5AF86B29"/>
    <w:rsid w:val="5AFC7E15"/>
    <w:rsid w:val="5B046CCA"/>
    <w:rsid w:val="5B0647F0"/>
    <w:rsid w:val="5B0957E3"/>
    <w:rsid w:val="5B0B44FC"/>
    <w:rsid w:val="5B0D0F7A"/>
    <w:rsid w:val="5B0D3DD0"/>
    <w:rsid w:val="5B105EB0"/>
    <w:rsid w:val="5B170351"/>
    <w:rsid w:val="5B1A383E"/>
    <w:rsid w:val="5B1F079D"/>
    <w:rsid w:val="5B1F6672"/>
    <w:rsid w:val="5B2A2BD4"/>
    <w:rsid w:val="5B2D7FCE"/>
    <w:rsid w:val="5B2F5419"/>
    <w:rsid w:val="5B305D11"/>
    <w:rsid w:val="5B306BB7"/>
    <w:rsid w:val="5B307139"/>
    <w:rsid w:val="5B322FCC"/>
    <w:rsid w:val="5B33135D"/>
    <w:rsid w:val="5B336626"/>
    <w:rsid w:val="5B353327"/>
    <w:rsid w:val="5B365DCC"/>
    <w:rsid w:val="5B3F5F54"/>
    <w:rsid w:val="5B403B2D"/>
    <w:rsid w:val="5B415032"/>
    <w:rsid w:val="5B417F1E"/>
    <w:rsid w:val="5B436EF6"/>
    <w:rsid w:val="5B44356A"/>
    <w:rsid w:val="5B473814"/>
    <w:rsid w:val="5B4B48F9"/>
    <w:rsid w:val="5B597015"/>
    <w:rsid w:val="5B5A316B"/>
    <w:rsid w:val="5B5A3297"/>
    <w:rsid w:val="5B5A3CF2"/>
    <w:rsid w:val="5B5F2152"/>
    <w:rsid w:val="5B607C49"/>
    <w:rsid w:val="5B637E94"/>
    <w:rsid w:val="5B6B4F9B"/>
    <w:rsid w:val="5B6B758B"/>
    <w:rsid w:val="5B6E6663"/>
    <w:rsid w:val="5B70610D"/>
    <w:rsid w:val="5B7D7BBE"/>
    <w:rsid w:val="5B822213"/>
    <w:rsid w:val="5B857E0A"/>
    <w:rsid w:val="5B863B83"/>
    <w:rsid w:val="5B8A71CF"/>
    <w:rsid w:val="5B932D4D"/>
    <w:rsid w:val="5B94004E"/>
    <w:rsid w:val="5B942EAB"/>
    <w:rsid w:val="5B9938B6"/>
    <w:rsid w:val="5B9B44F1"/>
    <w:rsid w:val="5B9C5154"/>
    <w:rsid w:val="5B9E5DAF"/>
    <w:rsid w:val="5BA04C44"/>
    <w:rsid w:val="5BA477BA"/>
    <w:rsid w:val="5BA82DCA"/>
    <w:rsid w:val="5BA94567"/>
    <w:rsid w:val="5BAA7871"/>
    <w:rsid w:val="5BAC183B"/>
    <w:rsid w:val="5BAC35E9"/>
    <w:rsid w:val="5BAF2BC1"/>
    <w:rsid w:val="5BB2716C"/>
    <w:rsid w:val="5BB46942"/>
    <w:rsid w:val="5BB71F8E"/>
    <w:rsid w:val="5BB73D3C"/>
    <w:rsid w:val="5BC00E43"/>
    <w:rsid w:val="5BC07095"/>
    <w:rsid w:val="5BC528FD"/>
    <w:rsid w:val="5BCD17B1"/>
    <w:rsid w:val="5BD13050"/>
    <w:rsid w:val="5BD62414"/>
    <w:rsid w:val="5BD95B9B"/>
    <w:rsid w:val="5BDB7A2A"/>
    <w:rsid w:val="5BDF5D95"/>
    <w:rsid w:val="5BE07737"/>
    <w:rsid w:val="5BEC7FED"/>
    <w:rsid w:val="5BF34EC9"/>
    <w:rsid w:val="5BF9503A"/>
    <w:rsid w:val="5BFC518B"/>
    <w:rsid w:val="5BFE7528"/>
    <w:rsid w:val="5BFE794B"/>
    <w:rsid w:val="5C084598"/>
    <w:rsid w:val="5C0A6562"/>
    <w:rsid w:val="5C0C4088"/>
    <w:rsid w:val="5C0F3B78"/>
    <w:rsid w:val="5C0F47B3"/>
    <w:rsid w:val="5C12407C"/>
    <w:rsid w:val="5C133668"/>
    <w:rsid w:val="5C135D05"/>
    <w:rsid w:val="5C14118E"/>
    <w:rsid w:val="5C170194"/>
    <w:rsid w:val="5C1B42CB"/>
    <w:rsid w:val="5C1C22DC"/>
    <w:rsid w:val="5C225CAF"/>
    <w:rsid w:val="5C2313D1"/>
    <w:rsid w:val="5C2515ED"/>
    <w:rsid w:val="5C26663F"/>
    <w:rsid w:val="5C2E58F3"/>
    <w:rsid w:val="5C2F7D76"/>
    <w:rsid w:val="5C3039CB"/>
    <w:rsid w:val="5C311D40"/>
    <w:rsid w:val="5C326ED8"/>
    <w:rsid w:val="5C367984"/>
    <w:rsid w:val="5C3B496D"/>
    <w:rsid w:val="5C473312"/>
    <w:rsid w:val="5C4739C5"/>
    <w:rsid w:val="5C4A6129"/>
    <w:rsid w:val="5C4B3BA1"/>
    <w:rsid w:val="5C4C6B7A"/>
    <w:rsid w:val="5C553C81"/>
    <w:rsid w:val="5C5A57AB"/>
    <w:rsid w:val="5C69772C"/>
    <w:rsid w:val="5C6C2D27"/>
    <w:rsid w:val="5C6E089F"/>
    <w:rsid w:val="5C700ABB"/>
    <w:rsid w:val="5C7026BF"/>
    <w:rsid w:val="5C724ADE"/>
    <w:rsid w:val="5C7829FF"/>
    <w:rsid w:val="5C7A036A"/>
    <w:rsid w:val="5C7A36E7"/>
    <w:rsid w:val="5C7C320E"/>
    <w:rsid w:val="5C8021B4"/>
    <w:rsid w:val="5C814A76"/>
    <w:rsid w:val="5C846314"/>
    <w:rsid w:val="5C865AB6"/>
    <w:rsid w:val="5C922E5E"/>
    <w:rsid w:val="5C941A9F"/>
    <w:rsid w:val="5C967740"/>
    <w:rsid w:val="5C99723D"/>
    <w:rsid w:val="5CA3354E"/>
    <w:rsid w:val="5CA423E1"/>
    <w:rsid w:val="5CAC3FB1"/>
    <w:rsid w:val="5CAC7D41"/>
    <w:rsid w:val="5CAC7EE0"/>
    <w:rsid w:val="5CAE0A1A"/>
    <w:rsid w:val="5CB0535B"/>
    <w:rsid w:val="5CB415A6"/>
    <w:rsid w:val="5CB53E50"/>
    <w:rsid w:val="5CB62246"/>
    <w:rsid w:val="5CBB0364"/>
    <w:rsid w:val="5CBF559E"/>
    <w:rsid w:val="5CC3271E"/>
    <w:rsid w:val="5CC93D27"/>
    <w:rsid w:val="5CCB6A3F"/>
    <w:rsid w:val="5CCB6E96"/>
    <w:rsid w:val="5CCE3A33"/>
    <w:rsid w:val="5CD23113"/>
    <w:rsid w:val="5CD54DC2"/>
    <w:rsid w:val="5CD573E6"/>
    <w:rsid w:val="5CDD5A24"/>
    <w:rsid w:val="5CE903D4"/>
    <w:rsid w:val="5CEB6393"/>
    <w:rsid w:val="5CEE19DF"/>
    <w:rsid w:val="5CF35248"/>
    <w:rsid w:val="5CF53A3B"/>
    <w:rsid w:val="5CFC05B7"/>
    <w:rsid w:val="5CFF3025"/>
    <w:rsid w:val="5D017965"/>
    <w:rsid w:val="5D0440FF"/>
    <w:rsid w:val="5D0638AC"/>
    <w:rsid w:val="5D0B07E3"/>
    <w:rsid w:val="5D0E6B66"/>
    <w:rsid w:val="5D103AAF"/>
    <w:rsid w:val="5D11502E"/>
    <w:rsid w:val="5D1551BE"/>
    <w:rsid w:val="5D194ACB"/>
    <w:rsid w:val="5D1A469B"/>
    <w:rsid w:val="5D202983"/>
    <w:rsid w:val="5D221317"/>
    <w:rsid w:val="5D2573B8"/>
    <w:rsid w:val="5D276C9F"/>
    <w:rsid w:val="5D296EBB"/>
    <w:rsid w:val="5D2A007F"/>
    <w:rsid w:val="5D2B344E"/>
    <w:rsid w:val="5D2B49E2"/>
    <w:rsid w:val="5D2D4B48"/>
    <w:rsid w:val="5D2E6280"/>
    <w:rsid w:val="5D30024A"/>
    <w:rsid w:val="5D323FC2"/>
    <w:rsid w:val="5D3E4715"/>
    <w:rsid w:val="5D3F66DF"/>
    <w:rsid w:val="5D46181B"/>
    <w:rsid w:val="5D4B3932"/>
    <w:rsid w:val="5D504448"/>
    <w:rsid w:val="5D504B48"/>
    <w:rsid w:val="5D53561A"/>
    <w:rsid w:val="5D5551B2"/>
    <w:rsid w:val="5D573851"/>
    <w:rsid w:val="5D574ED5"/>
    <w:rsid w:val="5D59154F"/>
    <w:rsid w:val="5D5F468B"/>
    <w:rsid w:val="5D63417B"/>
    <w:rsid w:val="5D687E71"/>
    <w:rsid w:val="5D722610"/>
    <w:rsid w:val="5D753EAF"/>
    <w:rsid w:val="5D7A1EC1"/>
    <w:rsid w:val="5D7C6FEB"/>
    <w:rsid w:val="5D886189"/>
    <w:rsid w:val="5D8B2B4B"/>
    <w:rsid w:val="5D8B722E"/>
    <w:rsid w:val="5D8E6234"/>
    <w:rsid w:val="5D904D84"/>
    <w:rsid w:val="5D9174DC"/>
    <w:rsid w:val="5D9205BD"/>
    <w:rsid w:val="5D92680F"/>
    <w:rsid w:val="5D951EA0"/>
    <w:rsid w:val="5D982E7B"/>
    <w:rsid w:val="5D9C074F"/>
    <w:rsid w:val="5DA010A9"/>
    <w:rsid w:val="5DA060A4"/>
    <w:rsid w:val="5DA0717E"/>
    <w:rsid w:val="5DA54437"/>
    <w:rsid w:val="5DAB5B22"/>
    <w:rsid w:val="5DB14382"/>
    <w:rsid w:val="5DB2635B"/>
    <w:rsid w:val="5DB40B34"/>
    <w:rsid w:val="5DB449D7"/>
    <w:rsid w:val="5DB524FD"/>
    <w:rsid w:val="5DB9023F"/>
    <w:rsid w:val="5DBD47D0"/>
    <w:rsid w:val="5DC07EB0"/>
    <w:rsid w:val="5DC458CC"/>
    <w:rsid w:val="5DC6470A"/>
    <w:rsid w:val="5DCA7D57"/>
    <w:rsid w:val="5DCD157E"/>
    <w:rsid w:val="5DD13A18"/>
    <w:rsid w:val="5DD60DF1"/>
    <w:rsid w:val="5DDA12DA"/>
    <w:rsid w:val="5DE11901"/>
    <w:rsid w:val="5DE309A7"/>
    <w:rsid w:val="5DE3706A"/>
    <w:rsid w:val="5DE4677F"/>
    <w:rsid w:val="5DE74DAC"/>
    <w:rsid w:val="5DEB5F1F"/>
    <w:rsid w:val="5DF34FB1"/>
    <w:rsid w:val="5E023994"/>
    <w:rsid w:val="5E062D59"/>
    <w:rsid w:val="5E0A7B48"/>
    <w:rsid w:val="5E0C1B5C"/>
    <w:rsid w:val="5E1611EE"/>
    <w:rsid w:val="5E181EBE"/>
    <w:rsid w:val="5E19260A"/>
    <w:rsid w:val="5E192A8C"/>
    <w:rsid w:val="5E196F30"/>
    <w:rsid w:val="5E1D74D9"/>
    <w:rsid w:val="5E1E21D5"/>
    <w:rsid w:val="5E2467F1"/>
    <w:rsid w:val="5E2751A9"/>
    <w:rsid w:val="5E2D4789"/>
    <w:rsid w:val="5E2D7838"/>
    <w:rsid w:val="5E2E19DF"/>
    <w:rsid w:val="5E2E1BDE"/>
    <w:rsid w:val="5E3028FF"/>
    <w:rsid w:val="5E307D3A"/>
    <w:rsid w:val="5E337FF2"/>
    <w:rsid w:val="5E341D32"/>
    <w:rsid w:val="5E345B18"/>
    <w:rsid w:val="5E3A26B8"/>
    <w:rsid w:val="5E3D2503"/>
    <w:rsid w:val="5E3D2C1E"/>
    <w:rsid w:val="5E406E54"/>
    <w:rsid w:val="5E437B09"/>
    <w:rsid w:val="5E455888"/>
    <w:rsid w:val="5E457D25"/>
    <w:rsid w:val="5E483371"/>
    <w:rsid w:val="5E4915C3"/>
    <w:rsid w:val="5E4A70E9"/>
    <w:rsid w:val="5E4F64AE"/>
    <w:rsid w:val="5E505C84"/>
    <w:rsid w:val="5E5166CA"/>
    <w:rsid w:val="5E607227"/>
    <w:rsid w:val="5E644C39"/>
    <w:rsid w:val="5E6463FD"/>
    <w:rsid w:val="5E653F23"/>
    <w:rsid w:val="5E6737F7"/>
    <w:rsid w:val="5E677CDF"/>
    <w:rsid w:val="5E7124CF"/>
    <w:rsid w:val="5E736640"/>
    <w:rsid w:val="5E766130"/>
    <w:rsid w:val="5E7C30F9"/>
    <w:rsid w:val="5E8034A2"/>
    <w:rsid w:val="5E8072DA"/>
    <w:rsid w:val="5E811505"/>
    <w:rsid w:val="5E821F1B"/>
    <w:rsid w:val="5E832564"/>
    <w:rsid w:val="5E8453AC"/>
    <w:rsid w:val="5E87550F"/>
    <w:rsid w:val="5E884C91"/>
    <w:rsid w:val="5E895E64"/>
    <w:rsid w:val="5E9345EC"/>
    <w:rsid w:val="5E96232F"/>
    <w:rsid w:val="5E994DEE"/>
    <w:rsid w:val="5E9B58CD"/>
    <w:rsid w:val="5E9F68D7"/>
    <w:rsid w:val="5EA060A0"/>
    <w:rsid w:val="5EA205F9"/>
    <w:rsid w:val="5EA20CD3"/>
    <w:rsid w:val="5EA410AC"/>
    <w:rsid w:val="5EAB6FE9"/>
    <w:rsid w:val="5EAC5B0F"/>
    <w:rsid w:val="5EAE3DE5"/>
    <w:rsid w:val="5EAF6F31"/>
    <w:rsid w:val="5EAF7A32"/>
    <w:rsid w:val="5EB17168"/>
    <w:rsid w:val="5EB32EE1"/>
    <w:rsid w:val="5EB5626F"/>
    <w:rsid w:val="5EB56C59"/>
    <w:rsid w:val="5EB760DF"/>
    <w:rsid w:val="5EBE53E1"/>
    <w:rsid w:val="5ECA6B27"/>
    <w:rsid w:val="5ECC5D50"/>
    <w:rsid w:val="5ED15115"/>
    <w:rsid w:val="5ED31927"/>
    <w:rsid w:val="5ED510A9"/>
    <w:rsid w:val="5ED6097D"/>
    <w:rsid w:val="5ED74E21"/>
    <w:rsid w:val="5EDB4A36"/>
    <w:rsid w:val="5EDC4FA5"/>
    <w:rsid w:val="5EDD1B51"/>
    <w:rsid w:val="5EDD1D0C"/>
    <w:rsid w:val="5EE05F8B"/>
    <w:rsid w:val="5EE17A4E"/>
    <w:rsid w:val="5EE412EC"/>
    <w:rsid w:val="5EE95C19"/>
    <w:rsid w:val="5EEA7A25"/>
    <w:rsid w:val="5EEC1F4F"/>
    <w:rsid w:val="5EEE3F19"/>
    <w:rsid w:val="5EF07C91"/>
    <w:rsid w:val="5EF37781"/>
    <w:rsid w:val="5EF377A9"/>
    <w:rsid w:val="5EF7638A"/>
    <w:rsid w:val="5EF808F3"/>
    <w:rsid w:val="5EFD23AE"/>
    <w:rsid w:val="5EFD5F0A"/>
    <w:rsid w:val="5F013C4C"/>
    <w:rsid w:val="5F0A2466"/>
    <w:rsid w:val="5F0B6879"/>
    <w:rsid w:val="5F1020E1"/>
    <w:rsid w:val="5F13397F"/>
    <w:rsid w:val="5F1576F7"/>
    <w:rsid w:val="5F183496"/>
    <w:rsid w:val="5F1A2B43"/>
    <w:rsid w:val="5F1C6CD8"/>
    <w:rsid w:val="5F1E4D57"/>
    <w:rsid w:val="5F24793A"/>
    <w:rsid w:val="5F2707DC"/>
    <w:rsid w:val="5F2711D9"/>
    <w:rsid w:val="5F2B64BA"/>
    <w:rsid w:val="5F3062DF"/>
    <w:rsid w:val="5F334021"/>
    <w:rsid w:val="5F347BB8"/>
    <w:rsid w:val="5F35040E"/>
    <w:rsid w:val="5F3538F6"/>
    <w:rsid w:val="5F3574A0"/>
    <w:rsid w:val="5F377628"/>
    <w:rsid w:val="5F37766E"/>
    <w:rsid w:val="5F396A7A"/>
    <w:rsid w:val="5F3A0508"/>
    <w:rsid w:val="5F3D09FC"/>
    <w:rsid w:val="5F4105C0"/>
    <w:rsid w:val="5F422AF8"/>
    <w:rsid w:val="5F441D8B"/>
    <w:rsid w:val="5F480E71"/>
    <w:rsid w:val="5F4B3119"/>
    <w:rsid w:val="5F4E49B7"/>
    <w:rsid w:val="5F4E75E8"/>
    <w:rsid w:val="5F531FCE"/>
    <w:rsid w:val="5F5425A7"/>
    <w:rsid w:val="5F546472"/>
    <w:rsid w:val="5F557AF4"/>
    <w:rsid w:val="5F5A7800"/>
    <w:rsid w:val="5F5C5326"/>
    <w:rsid w:val="5F5D3118"/>
    <w:rsid w:val="5F5F0972"/>
    <w:rsid w:val="5F665894"/>
    <w:rsid w:val="5F697A43"/>
    <w:rsid w:val="5F6A42C5"/>
    <w:rsid w:val="5F6C64CA"/>
    <w:rsid w:val="5F6E5059"/>
    <w:rsid w:val="5F700DD2"/>
    <w:rsid w:val="5F7355AC"/>
    <w:rsid w:val="5F740B3A"/>
    <w:rsid w:val="5F744F17"/>
    <w:rsid w:val="5F756D19"/>
    <w:rsid w:val="5F773F0E"/>
    <w:rsid w:val="5F774D66"/>
    <w:rsid w:val="5F781A34"/>
    <w:rsid w:val="5F795FCF"/>
    <w:rsid w:val="5F7A39FE"/>
    <w:rsid w:val="5F822B97"/>
    <w:rsid w:val="5F830B05"/>
    <w:rsid w:val="5F887EC9"/>
    <w:rsid w:val="5F8959EF"/>
    <w:rsid w:val="5F92798F"/>
    <w:rsid w:val="5F97635E"/>
    <w:rsid w:val="5F993E84"/>
    <w:rsid w:val="5F9A1C76"/>
    <w:rsid w:val="5FA16C56"/>
    <w:rsid w:val="5FA2743C"/>
    <w:rsid w:val="5FA32F55"/>
    <w:rsid w:val="5FA43509"/>
    <w:rsid w:val="5FA8056B"/>
    <w:rsid w:val="5FAB005C"/>
    <w:rsid w:val="5FAF237A"/>
    <w:rsid w:val="5FB07420"/>
    <w:rsid w:val="5FB23534"/>
    <w:rsid w:val="5FB54A36"/>
    <w:rsid w:val="5FB57A3D"/>
    <w:rsid w:val="5FB707AE"/>
    <w:rsid w:val="5FB837BB"/>
    <w:rsid w:val="5FC95A7A"/>
    <w:rsid w:val="5FCB317A"/>
    <w:rsid w:val="5FD27396"/>
    <w:rsid w:val="5FDC0215"/>
    <w:rsid w:val="5FE67A17"/>
    <w:rsid w:val="5FE80968"/>
    <w:rsid w:val="5FED2422"/>
    <w:rsid w:val="5FEF6815"/>
    <w:rsid w:val="5FEF7F48"/>
    <w:rsid w:val="5FF437B1"/>
    <w:rsid w:val="5FF5385E"/>
    <w:rsid w:val="5FF612D7"/>
    <w:rsid w:val="5FF67C26"/>
    <w:rsid w:val="60023E8E"/>
    <w:rsid w:val="600339F4"/>
    <w:rsid w:val="6005246F"/>
    <w:rsid w:val="60077352"/>
    <w:rsid w:val="60090296"/>
    <w:rsid w:val="60091FC0"/>
    <w:rsid w:val="600A1178"/>
    <w:rsid w:val="600A4D82"/>
    <w:rsid w:val="601259E5"/>
    <w:rsid w:val="601654D5"/>
    <w:rsid w:val="6017124D"/>
    <w:rsid w:val="60192532"/>
    <w:rsid w:val="601B0D3D"/>
    <w:rsid w:val="601B50D8"/>
    <w:rsid w:val="601C6864"/>
    <w:rsid w:val="60217CC4"/>
    <w:rsid w:val="6022031E"/>
    <w:rsid w:val="60234096"/>
    <w:rsid w:val="60255718"/>
    <w:rsid w:val="602704B4"/>
    <w:rsid w:val="6028345A"/>
    <w:rsid w:val="6031230F"/>
    <w:rsid w:val="6038114B"/>
    <w:rsid w:val="603C0CB4"/>
    <w:rsid w:val="603E2C7E"/>
    <w:rsid w:val="603E67DA"/>
    <w:rsid w:val="604007A4"/>
    <w:rsid w:val="604069F6"/>
    <w:rsid w:val="60442369"/>
    <w:rsid w:val="60476939"/>
    <w:rsid w:val="60495B45"/>
    <w:rsid w:val="604C09AD"/>
    <w:rsid w:val="604E7C68"/>
    <w:rsid w:val="604F345F"/>
    <w:rsid w:val="604F35E3"/>
    <w:rsid w:val="60500D00"/>
    <w:rsid w:val="60506F00"/>
    <w:rsid w:val="6051650D"/>
    <w:rsid w:val="60561D75"/>
    <w:rsid w:val="605E6E7C"/>
    <w:rsid w:val="60617581"/>
    <w:rsid w:val="60622778"/>
    <w:rsid w:val="6065645C"/>
    <w:rsid w:val="60675D31"/>
    <w:rsid w:val="607448F1"/>
    <w:rsid w:val="607466A0"/>
    <w:rsid w:val="607618B8"/>
    <w:rsid w:val="60765F74"/>
    <w:rsid w:val="60787E19"/>
    <w:rsid w:val="607B5C80"/>
    <w:rsid w:val="607C4315"/>
    <w:rsid w:val="607C5421"/>
    <w:rsid w:val="607D004F"/>
    <w:rsid w:val="6082251F"/>
    <w:rsid w:val="60824488"/>
    <w:rsid w:val="608711EF"/>
    <w:rsid w:val="608D0C1C"/>
    <w:rsid w:val="60902F4F"/>
    <w:rsid w:val="60911000"/>
    <w:rsid w:val="6098238E"/>
    <w:rsid w:val="609B7910"/>
    <w:rsid w:val="609D3831"/>
    <w:rsid w:val="609E3227"/>
    <w:rsid w:val="60A41A75"/>
    <w:rsid w:val="60A61CD8"/>
    <w:rsid w:val="60AA20C1"/>
    <w:rsid w:val="60AA24C4"/>
    <w:rsid w:val="60B46A9C"/>
    <w:rsid w:val="60B53531"/>
    <w:rsid w:val="60B62814"/>
    <w:rsid w:val="60B92304"/>
    <w:rsid w:val="60BD3BA3"/>
    <w:rsid w:val="60BF2442"/>
    <w:rsid w:val="60C70EC5"/>
    <w:rsid w:val="60C72C73"/>
    <w:rsid w:val="60C969EB"/>
    <w:rsid w:val="60CA5515"/>
    <w:rsid w:val="60CB38E5"/>
    <w:rsid w:val="60CC2038"/>
    <w:rsid w:val="60CC405A"/>
    <w:rsid w:val="60CD5DBF"/>
    <w:rsid w:val="60D158A0"/>
    <w:rsid w:val="60D33262"/>
    <w:rsid w:val="60D36183"/>
    <w:rsid w:val="60DB671F"/>
    <w:rsid w:val="60E2185B"/>
    <w:rsid w:val="60E540DB"/>
    <w:rsid w:val="60E70C20"/>
    <w:rsid w:val="60E73121"/>
    <w:rsid w:val="60EC2117"/>
    <w:rsid w:val="60EC2541"/>
    <w:rsid w:val="60F11A9E"/>
    <w:rsid w:val="60F90953"/>
    <w:rsid w:val="60FA1F45"/>
    <w:rsid w:val="60FD5A3B"/>
    <w:rsid w:val="60FF56E8"/>
    <w:rsid w:val="610125B0"/>
    <w:rsid w:val="6104052C"/>
    <w:rsid w:val="61043D59"/>
    <w:rsid w:val="61045C75"/>
    <w:rsid w:val="61050A1F"/>
    <w:rsid w:val="6106379C"/>
    <w:rsid w:val="61091EFD"/>
    <w:rsid w:val="610D2B35"/>
    <w:rsid w:val="61131A15"/>
    <w:rsid w:val="61171CE9"/>
    <w:rsid w:val="6118702B"/>
    <w:rsid w:val="611A2DA3"/>
    <w:rsid w:val="6121079E"/>
    <w:rsid w:val="612260FC"/>
    <w:rsid w:val="61227EAA"/>
    <w:rsid w:val="61252B10"/>
    <w:rsid w:val="61273712"/>
    <w:rsid w:val="61281730"/>
    <w:rsid w:val="61293C2F"/>
    <w:rsid w:val="61295F97"/>
    <w:rsid w:val="613846E1"/>
    <w:rsid w:val="61406582"/>
    <w:rsid w:val="61412A26"/>
    <w:rsid w:val="61444A27"/>
    <w:rsid w:val="6146003C"/>
    <w:rsid w:val="61471C93"/>
    <w:rsid w:val="61483574"/>
    <w:rsid w:val="61497B2C"/>
    <w:rsid w:val="614C14DD"/>
    <w:rsid w:val="6151253D"/>
    <w:rsid w:val="61534507"/>
    <w:rsid w:val="615362B5"/>
    <w:rsid w:val="61587D6F"/>
    <w:rsid w:val="615D1AB0"/>
    <w:rsid w:val="615E0043"/>
    <w:rsid w:val="615E3C0C"/>
    <w:rsid w:val="615F2EAC"/>
    <w:rsid w:val="615F6CBE"/>
    <w:rsid w:val="6161613B"/>
    <w:rsid w:val="6162474A"/>
    <w:rsid w:val="616404C2"/>
    <w:rsid w:val="6166248C"/>
    <w:rsid w:val="61665FE8"/>
    <w:rsid w:val="616E5E75"/>
    <w:rsid w:val="61776447"/>
    <w:rsid w:val="617F0441"/>
    <w:rsid w:val="61801BEF"/>
    <w:rsid w:val="6183303E"/>
    <w:rsid w:val="6186668A"/>
    <w:rsid w:val="61882403"/>
    <w:rsid w:val="61897900"/>
    <w:rsid w:val="618B3CA1"/>
    <w:rsid w:val="619229C7"/>
    <w:rsid w:val="61923277"/>
    <w:rsid w:val="6192502F"/>
    <w:rsid w:val="619568CD"/>
    <w:rsid w:val="619743F4"/>
    <w:rsid w:val="6198016C"/>
    <w:rsid w:val="619F1863"/>
    <w:rsid w:val="61A158C4"/>
    <w:rsid w:val="61A36343"/>
    <w:rsid w:val="61A905CB"/>
    <w:rsid w:val="61A960FA"/>
    <w:rsid w:val="61AD00BB"/>
    <w:rsid w:val="61AE798F"/>
    <w:rsid w:val="61AF3E33"/>
    <w:rsid w:val="61B31B18"/>
    <w:rsid w:val="61BB52E0"/>
    <w:rsid w:val="61BC02FE"/>
    <w:rsid w:val="61BF3BE6"/>
    <w:rsid w:val="61C64CD9"/>
    <w:rsid w:val="61C827FF"/>
    <w:rsid w:val="61D4389A"/>
    <w:rsid w:val="61D54F1C"/>
    <w:rsid w:val="61D60CCD"/>
    <w:rsid w:val="61D61932"/>
    <w:rsid w:val="61DA0EC2"/>
    <w:rsid w:val="61DB4C28"/>
    <w:rsid w:val="61DC62AA"/>
    <w:rsid w:val="61E03A3B"/>
    <w:rsid w:val="61E11B13"/>
    <w:rsid w:val="61E215D8"/>
    <w:rsid w:val="61E36B13"/>
    <w:rsid w:val="61EB4DDB"/>
    <w:rsid w:val="61EF2482"/>
    <w:rsid w:val="61F3782F"/>
    <w:rsid w:val="61F53810"/>
    <w:rsid w:val="6208709F"/>
    <w:rsid w:val="620D46B6"/>
    <w:rsid w:val="620F48D2"/>
    <w:rsid w:val="62153F6B"/>
    <w:rsid w:val="621B3775"/>
    <w:rsid w:val="621C1F04"/>
    <w:rsid w:val="62214605"/>
    <w:rsid w:val="6223212B"/>
    <w:rsid w:val="6225736E"/>
    <w:rsid w:val="6226514C"/>
    <w:rsid w:val="622D2FAA"/>
    <w:rsid w:val="623152C1"/>
    <w:rsid w:val="623460E6"/>
    <w:rsid w:val="623524FF"/>
    <w:rsid w:val="6236244C"/>
    <w:rsid w:val="62364782"/>
    <w:rsid w:val="62373E29"/>
    <w:rsid w:val="62391B1B"/>
    <w:rsid w:val="623C143F"/>
    <w:rsid w:val="623E4EAA"/>
    <w:rsid w:val="624251A1"/>
    <w:rsid w:val="62447516"/>
    <w:rsid w:val="62487DE4"/>
    <w:rsid w:val="624D3785"/>
    <w:rsid w:val="624D4C50"/>
    <w:rsid w:val="625C1AFB"/>
    <w:rsid w:val="6260512D"/>
    <w:rsid w:val="62612C54"/>
    <w:rsid w:val="6265307B"/>
    <w:rsid w:val="626544F2"/>
    <w:rsid w:val="626F711E"/>
    <w:rsid w:val="627055B2"/>
    <w:rsid w:val="62707008"/>
    <w:rsid w:val="62724E61"/>
    <w:rsid w:val="627604AD"/>
    <w:rsid w:val="627666FF"/>
    <w:rsid w:val="62790460"/>
    <w:rsid w:val="627B15C2"/>
    <w:rsid w:val="627B3D15"/>
    <w:rsid w:val="627E00A2"/>
    <w:rsid w:val="627F48F3"/>
    <w:rsid w:val="62845813"/>
    <w:rsid w:val="628C5F22"/>
    <w:rsid w:val="628F77C1"/>
    <w:rsid w:val="62922E0D"/>
    <w:rsid w:val="629372B1"/>
    <w:rsid w:val="62950C57"/>
    <w:rsid w:val="629628FD"/>
    <w:rsid w:val="6299419B"/>
    <w:rsid w:val="62997C20"/>
    <w:rsid w:val="629B3E2D"/>
    <w:rsid w:val="62A019CE"/>
    <w:rsid w:val="62A0552A"/>
    <w:rsid w:val="62A274F4"/>
    <w:rsid w:val="62A3501A"/>
    <w:rsid w:val="62A414BE"/>
    <w:rsid w:val="62A80882"/>
    <w:rsid w:val="62AC7412"/>
    <w:rsid w:val="62B611F1"/>
    <w:rsid w:val="62BA5DD6"/>
    <w:rsid w:val="62C03E1E"/>
    <w:rsid w:val="62C1160E"/>
    <w:rsid w:val="62C27B96"/>
    <w:rsid w:val="62C31218"/>
    <w:rsid w:val="62C35B09"/>
    <w:rsid w:val="62C531E2"/>
    <w:rsid w:val="62CE653B"/>
    <w:rsid w:val="62CF17FE"/>
    <w:rsid w:val="62D3765F"/>
    <w:rsid w:val="62D40B35"/>
    <w:rsid w:val="62DA4EE0"/>
    <w:rsid w:val="62DA54F3"/>
    <w:rsid w:val="62E02C69"/>
    <w:rsid w:val="62E278F0"/>
    <w:rsid w:val="62E33669"/>
    <w:rsid w:val="62E55633"/>
    <w:rsid w:val="62E96ED1"/>
    <w:rsid w:val="62EE2739"/>
    <w:rsid w:val="62F31AFE"/>
    <w:rsid w:val="62F67840"/>
    <w:rsid w:val="62F85366"/>
    <w:rsid w:val="62FA388F"/>
    <w:rsid w:val="62FD6CA8"/>
    <w:rsid w:val="63001AC8"/>
    <w:rsid w:val="63027F93"/>
    <w:rsid w:val="63034D55"/>
    <w:rsid w:val="63041BFB"/>
    <w:rsid w:val="630A499F"/>
    <w:rsid w:val="630A5BB9"/>
    <w:rsid w:val="630C2BBF"/>
    <w:rsid w:val="630C7063"/>
    <w:rsid w:val="63110A97"/>
    <w:rsid w:val="6311467A"/>
    <w:rsid w:val="63121E7C"/>
    <w:rsid w:val="631303F2"/>
    <w:rsid w:val="63185A08"/>
    <w:rsid w:val="63201202"/>
    <w:rsid w:val="63212B0F"/>
    <w:rsid w:val="632C14B3"/>
    <w:rsid w:val="632F3D51"/>
    <w:rsid w:val="63381C06"/>
    <w:rsid w:val="633839B4"/>
    <w:rsid w:val="633D592E"/>
    <w:rsid w:val="633D721D"/>
    <w:rsid w:val="63402869"/>
    <w:rsid w:val="63410636"/>
    <w:rsid w:val="63414F5F"/>
    <w:rsid w:val="63422A85"/>
    <w:rsid w:val="634E142A"/>
    <w:rsid w:val="63505631"/>
    <w:rsid w:val="63506F50"/>
    <w:rsid w:val="63576530"/>
    <w:rsid w:val="635B58F5"/>
    <w:rsid w:val="635B76A3"/>
    <w:rsid w:val="635C3945"/>
    <w:rsid w:val="63604BF0"/>
    <w:rsid w:val="636649C5"/>
    <w:rsid w:val="636724EC"/>
    <w:rsid w:val="63690012"/>
    <w:rsid w:val="637013A0"/>
    <w:rsid w:val="63755B76"/>
    <w:rsid w:val="63773304"/>
    <w:rsid w:val="637C1792"/>
    <w:rsid w:val="637F626F"/>
    <w:rsid w:val="638210D3"/>
    <w:rsid w:val="6384309D"/>
    <w:rsid w:val="638766EA"/>
    <w:rsid w:val="63894210"/>
    <w:rsid w:val="638C0940"/>
    <w:rsid w:val="638E1826"/>
    <w:rsid w:val="63927AF6"/>
    <w:rsid w:val="6394356A"/>
    <w:rsid w:val="63972DD1"/>
    <w:rsid w:val="6397692D"/>
    <w:rsid w:val="63A2226E"/>
    <w:rsid w:val="63A31776"/>
    <w:rsid w:val="63AC7EFE"/>
    <w:rsid w:val="63B350F7"/>
    <w:rsid w:val="63BE035D"/>
    <w:rsid w:val="63BF7ED9"/>
    <w:rsid w:val="63C35C1C"/>
    <w:rsid w:val="63C37A41"/>
    <w:rsid w:val="63C416EC"/>
    <w:rsid w:val="63C61B2C"/>
    <w:rsid w:val="63CB65D6"/>
    <w:rsid w:val="63CB7D1B"/>
    <w:rsid w:val="63D04086"/>
    <w:rsid w:val="63D40BE9"/>
    <w:rsid w:val="63DC4C88"/>
    <w:rsid w:val="63DD630A"/>
    <w:rsid w:val="63DD700C"/>
    <w:rsid w:val="63E63410"/>
    <w:rsid w:val="63EA034B"/>
    <w:rsid w:val="63EA73A4"/>
    <w:rsid w:val="63ED0C43"/>
    <w:rsid w:val="63F0428F"/>
    <w:rsid w:val="63F0603D"/>
    <w:rsid w:val="63F54C8B"/>
    <w:rsid w:val="63F55D49"/>
    <w:rsid w:val="63F84A67"/>
    <w:rsid w:val="63FB1B4E"/>
    <w:rsid w:val="64047D3A"/>
    <w:rsid w:val="640F6E0B"/>
    <w:rsid w:val="64102431"/>
    <w:rsid w:val="641206A9"/>
    <w:rsid w:val="641B0D30"/>
    <w:rsid w:val="641B57B0"/>
    <w:rsid w:val="641E0DFC"/>
    <w:rsid w:val="64216B3E"/>
    <w:rsid w:val="642503DD"/>
    <w:rsid w:val="64250F8F"/>
    <w:rsid w:val="642548B0"/>
    <w:rsid w:val="642A59F3"/>
    <w:rsid w:val="642A6FCC"/>
    <w:rsid w:val="642A77A1"/>
    <w:rsid w:val="642B41B1"/>
    <w:rsid w:val="642D103F"/>
    <w:rsid w:val="642D782D"/>
    <w:rsid w:val="643E324C"/>
    <w:rsid w:val="6440340D"/>
    <w:rsid w:val="64487C27"/>
    <w:rsid w:val="6449399F"/>
    <w:rsid w:val="644A6332"/>
    <w:rsid w:val="644D4854"/>
    <w:rsid w:val="644E54AA"/>
    <w:rsid w:val="64526CF8"/>
    <w:rsid w:val="64562410"/>
    <w:rsid w:val="64572560"/>
    <w:rsid w:val="64587714"/>
    <w:rsid w:val="645B6EED"/>
    <w:rsid w:val="645E744B"/>
    <w:rsid w:val="645F7349"/>
    <w:rsid w:val="64664551"/>
    <w:rsid w:val="646802C9"/>
    <w:rsid w:val="646A2293"/>
    <w:rsid w:val="646A4041"/>
    <w:rsid w:val="646D34E5"/>
    <w:rsid w:val="64701C7F"/>
    <w:rsid w:val="64740A1C"/>
    <w:rsid w:val="647A695C"/>
    <w:rsid w:val="647B7FFD"/>
    <w:rsid w:val="64803865"/>
    <w:rsid w:val="64840487"/>
    <w:rsid w:val="648D601A"/>
    <w:rsid w:val="648E18DE"/>
    <w:rsid w:val="648E660E"/>
    <w:rsid w:val="649317EA"/>
    <w:rsid w:val="649376F5"/>
    <w:rsid w:val="64950BBA"/>
    <w:rsid w:val="64994282"/>
    <w:rsid w:val="64A00315"/>
    <w:rsid w:val="64A05CB5"/>
    <w:rsid w:val="64A5243A"/>
    <w:rsid w:val="64A532CB"/>
    <w:rsid w:val="64A86918"/>
    <w:rsid w:val="64AD3F2E"/>
    <w:rsid w:val="64AF414A"/>
    <w:rsid w:val="64B21544"/>
    <w:rsid w:val="64B229AA"/>
    <w:rsid w:val="64B61035"/>
    <w:rsid w:val="64BD6867"/>
    <w:rsid w:val="64BD73CE"/>
    <w:rsid w:val="64C03C61"/>
    <w:rsid w:val="64C5571C"/>
    <w:rsid w:val="64CA4413"/>
    <w:rsid w:val="64CD15F1"/>
    <w:rsid w:val="64CF20F6"/>
    <w:rsid w:val="64D84C97"/>
    <w:rsid w:val="64D911C7"/>
    <w:rsid w:val="64DB6CED"/>
    <w:rsid w:val="64E2007C"/>
    <w:rsid w:val="64E7390D"/>
    <w:rsid w:val="64E8140A"/>
    <w:rsid w:val="64EC5DC6"/>
    <w:rsid w:val="64EE6031"/>
    <w:rsid w:val="64F0616E"/>
    <w:rsid w:val="64F531DE"/>
    <w:rsid w:val="64F8164D"/>
    <w:rsid w:val="6502427A"/>
    <w:rsid w:val="650D376B"/>
    <w:rsid w:val="65110961"/>
    <w:rsid w:val="6511270F"/>
    <w:rsid w:val="651165AF"/>
    <w:rsid w:val="65130235"/>
    <w:rsid w:val="65136487"/>
    <w:rsid w:val="65195EE4"/>
    <w:rsid w:val="65197815"/>
    <w:rsid w:val="651B5C6C"/>
    <w:rsid w:val="652A1A23"/>
    <w:rsid w:val="652A37D1"/>
    <w:rsid w:val="652A557F"/>
    <w:rsid w:val="652E1513"/>
    <w:rsid w:val="65332B38"/>
    <w:rsid w:val="6535464F"/>
    <w:rsid w:val="65373578"/>
    <w:rsid w:val="653B59DE"/>
    <w:rsid w:val="65424385"/>
    <w:rsid w:val="65444892"/>
    <w:rsid w:val="654523B9"/>
    <w:rsid w:val="654A5C21"/>
    <w:rsid w:val="654C7BEB"/>
    <w:rsid w:val="654E6A2A"/>
    <w:rsid w:val="65536629"/>
    <w:rsid w:val="65562818"/>
    <w:rsid w:val="655A2308"/>
    <w:rsid w:val="655B7E2E"/>
    <w:rsid w:val="655E0773"/>
    <w:rsid w:val="656211BC"/>
    <w:rsid w:val="65643ABA"/>
    <w:rsid w:val="65663C4D"/>
    <w:rsid w:val="65673681"/>
    <w:rsid w:val="65674A25"/>
    <w:rsid w:val="656A1E1F"/>
    <w:rsid w:val="656B62C3"/>
    <w:rsid w:val="656D7044"/>
    <w:rsid w:val="65723D46"/>
    <w:rsid w:val="65774B59"/>
    <w:rsid w:val="657A6506"/>
    <w:rsid w:val="657D7DA4"/>
    <w:rsid w:val="65815AE7"/>
    <w:rsid w:val="6583159D"/>
    <w:rsid w:val="65856C59"/>
    <w:rsid w:val="6586391D"/>
    <w:rsid w:val="65887A32"/>
    <w:rsid w:val="65924308"/>
    <w:rsid w:val="6594028C"/>
    <w:rsid w:val="65960E66"/>
    <w:rsid w:val="659962E6"/>
    <w:rsid w:val="659B4699"/>
    <w:rsid w:val="659D1604"/>
    <w:rsid w:val="65A200F0"/>
    <w:rsid w:val="65A43583"/>
    <w:rsid w:val="65AD68DC"/>
    <w:rsid w:val="65B732B6"/>
    <w:rsid w:val="65B75E88"/>
    <w:rsid w:val="65BA6903"/>
    <w:rsid w:val="65BE5407"/>
    <w:rsid w:val="65BE569D"/>
    <w:rsid w:val="65CB6D62"/>
    <w:rsid w:val="65D5198E"/>
    <w:rsid w:val="65D530C1"/>
    <w:rsid w:val="65D613C8"/>
    <w:rsid w:val="65D774B5"/>
    <w:rsid w:val="65E676F8"/>
    <w:rsid w:val="65E9368C"/>
    <w:rsid w:val="65F067C8"/>
    <w:rsid w:val="65F22540"/>
    <w:rsid w:val="65F55B8D"/>
    <w:rsid w:val="65FC161E"/>
    <w:rsid w:val="660032AC"/>
    <w:rsid w:val="660404C6"/>
    <w:rsid w:val="66065F8A"/>
    <w:rsid w:val="66065FEC"/>
    <w:rsid w:val="660724BC"/>
    <w:rsid w:val="660758C0"/>
    <w:rsid w:val="66091638"/>
    <w:rsid w:val="660A5ADC"/>
    <w:rsid w:val="660D17C1"/>
    <w:rsid w:val="661068EE"/>
    <w:rsid w:val="66107FCF"/>
    <w:rsid w:val="66110D10"/>
    <w:rsid w:val="66124991"/>
    <w:rsid w:val="661334EF"/>
    <w:rsid w:val="66171FA7"/>
    <w:rsid w:val="661A1459"/>
    <w:rsid w:val="66206484"/>
    <w:rsid w:val="66224E6B"/>
    <w:rsid w:val="662B15AE"/>
    <w:rsid w:val="66372649"/>
    <w:rsid w:val="66375E48"/>
    <w:rsid w:val="664A237C"/>
    <w:rsid w:val="66516D76"/>
    <w:rsid w:val="66522FDF"/>
    <w:rsid w:val="665578D7"/>
    <w:rsid w:val="66567B85"/>
    <w:rsid w:val="665808D4"/>
    <w:rsid w:val="665C20B0"/>
    <w:rsid w:val="665C3E5E"/>
    <w:rsid w:val="665D6480"/>
    <w:rsid w:val="665D7FDF"/>
    <w:rsid w:val="665F56FC"/>
    <w:rsid w:val="66652D12"/>
    <w:rsid w:val="66662B3C"/>
    <w:rsid w:val="66677675"/>
    <w:rsid w:val="666A6355"/>
    <w:rsid w:val="666D220A"/>
    <w:rsid w:val="66716863"/>
    <w:rsid w:val="667B0788"/>
    <w:rsid w:val="667E04D7"/>
    <w:rsid w:val="66805D9E"/>
    <w:rsid w:val="668313EA"/>
    <w:rsid w:val="6683763C"/>
    <w:rsid w:val="668A19AF"/>
    <w:rsid w:val="668D6370"/>
    <w:rsid w:val="668F1B3D"/>
    <w:rsid w:val="668F3B89"/>
    <w:rsid w:val="668F69C2"/>
    <w:rsid w:val="66903B07"/>
    <w:rsid w:val="669432D4"/>
    <w:rsid w:val="669435F8"/>
    <w:rsid w:val="669453A6"/>
    <w:rsid w:val="6699265D"/>
    <w:rsid w:val="669F37FC"/>
    <w:rsid w:val="669F4100"/>
    <w:rsid w:val="66A54FAE"/>
    <w:rsid w:val="66AA556B"/>
    <w:rsid w:val="66AD6467"/>
    <w:rsid w:val="66AE5783"/>
    <w:rsid w:val="66AF21DF"/>
    <w:rsid w:val="66B002A9"/>
    <w:rsid w:val="66B21CD0"/>
    <w:rsid w:val="66C0263F"/>
    <w:rsid w:val="66C13CC1"/>
    <w:rsid w:val="66CB7C1F"/>
    <w:rsid w:val="66CC2D91"/>
    <w:rsid w:val="66CD6B09"/>
    <w:rsid w:val="66CF2882"/>
    <w:rsid w:val="66D042B2"/>
    <w:rsid w:val="66D1515F"/>
    <w:rsid w:val="66D20BDB"/>
    <w:rsid w:val="66D24120"/>
    <w:rsid w:val="66DB00B9"/>
    <w:rsid w:val="66E3632D"/>
    <w:rsid w:val="66E520A5"/>
    <w:rsid w:val="66E71979"/>
    <w:rsid w:val="66E8749F"/>
    <w:rsid w:val="66EC1117"/>
    <w:rsid w:val="66EC6F90"/>
    <w:rsid w:val="66F127F8"/>
    <w:rsid w:val="66F34C71"/>
    <w:rsid w:val="66F61BBC"/>
    <w:rsid w:val="66F67E0E"/>
    <w:rsid w:val="670544F5"/>
    <w:rsid w:val="67090E09"/>
    <w:rsid w:val="6709781C"/>
    <w:rsid w:val="670B5423"/>
    <w:rsid w:val="670F1F3D"/>
    <w:rsid w:val="67181231"/>
    <w:rsid w:val="671F124A"/>
    <w:rsid w:val="67220901"/>
    <w:rsid w:val="67222B43"/>
    <w:rsid w:val="6726659E"/>
    <w:rsid w:val="67277FC8"/>
    <w:rsid w:val="67281F92"/>
    <w:rsid w:val="672A0BF1"/>
    <w:rsid w:val="672C3830"/>
    <w:rsid w:val="672D1356"/>
    <w:rsid w:val="672F65EE"/>
    <w:rsid w:val="673152EA"/>
    <w:rsid w:val="67380427"/>
    <w:rsid w:val="673A02B8"/>
    <w:rsid w:val="673D3C8F"/>
    <w:rsid w:val="673D77EB"/>
    <w:rsid w:val="673F3B40"/>
    <w:rsid w:val="674473E3"/>
    <w:rsid w:val="674B5BB6"/>
    <w:rsid w:val="674C1A45"/>
    <w:rsid w:val="674C5C80"/>
    <w:rsid w:val="674F5770"/>
    <w:rsid w:val="675039C2"/>
    <w:rsid w:val="675114E9"/>
    <w:rsid w:val="67561D44"/>
    <w:rsid w:val="6759333E"/>
    <w:rsid w:val="675966CC"/>
    <w:rsid w:val="675F3C06"/>
    <w:rsid w:val="676927E5"/>
    <w:rsid w:val="67694116"/>
    <w:rsid w:val="676B07FC"/>
    <w:rsid w:val="677108A1"/>
    <w:rsid w:val="677304EC"/>
    <w:rsid w:val="67780823"/>
    <w:rsid w:val="677A33C6"/>
    <w:rsid w:val="677A5B20"/>
    <w:rsid w:val="677B0314"/>
    <w:rsid w:val="677D0530"/>
    <w:rsid w:val="677D5E3A"/>
    <w:rsid w:val="677F2331"/>
    <w:rsid w:val="677F7E04"/>
    <w:rsid w:val="67875FF6"/>
    <w:rsid w:val="6787618F"/>
    <w:rsid w:val="67892A30"/>
    <w:rsid w:val="678A7E42"/>
    <w:rsid w:val="678E6299"/>
    <w:rsid w:val="678F3DBF"/>
    <w:rsid w:val="67964180"/>
    <w:rsid w:val="67A1421E"/>
    <w:rsid w:val="67A21D44"/>
    <w:rsid w:val="67A27F96"/>
    <w:rsid w:val="67A55390"/>
    <w:rsid w:val="67AE2497"/>
    <w:rsid w:val="67B101D9"/>
    <w:rsid w:val="67B11F87"/>
    <w:rsid w:val="67B6134C"/>
    <w:rsid w:val="67BA20FD"/>
    <w:rsid w:val="67BA708E"/>
    <w:rsid w:val="67BC2E06"/>
    <w:rsid w:val="67BF6452"/>
    <w:rsid w:val="67C41CBB"/>
    <w:rsid w:val="67C63C85"/>
    <w:rsid w:val="67C717AB"/>
    <w:rsid w:val="67CC4524"/>
    <w:rsid w:val="67CD1E66"/>
    <w:rsid w:val="67D55C76"/>
    <w:rsid w:val="67D85766"/>
    <w:rsid w:val="67DB0DB2"/>
    <w:rsid w:val="67DF1992"/>
    <w:rsid w:val="67E1286C"/>
    <w:rsid w:val="67E4235D"/>
    <w:rsid w:val="67E43684"/>
    <w:rsid w:val="67E81B99"/>
    <w:rsid w:val="67E8467C"/>
    <w:rsid w:val="67F03E7F"/>
    <w:rsid w:val="67F66A9F"/>
    <w:rsid w:val="67F81964"/>
    <w:rsid w:val="67F9245C"/>
    <w:rsid w:val="67FA1B80"/>
    <w:rsid w:val="67FA230B"/>
    <w:rsid w:val="67FF0F45"/>
    <w:rsid w:val="680058B9"/>
    <w:rsid w:val="68030A35"/>
    <w:rsid w:val="680315E9"/>
    <w:rsid w:val="68060525"/>
    <w:rsid w:val="680A1939"/>
    <w:rsid w:val="680E1188"/>
    <w:rsid w:val="68136F6D"/>
    <w:rsid w:val="68155A75"/>
    <w:rsid w:val="681840BE"/>
    <w:rsid w:val="681F6961"/>
    <w:rsid w:val="68212685"/>
    <w:rsid w:val="682126DE"/>
    <w:rsid w:val="6828049B"/>
    <w:rsid w:val="68307A21"/>
    <w:rsid w:val="6833299C"/>
    <w:rsid w:val="68376930"/>
    <w:rsid w:val="6838096D"/>
    <w:rsid w:val="683A3D2B"/>
    <w:rsid w:val="683E0BCB"/>
    <w:rsid w:val="683E676D"/>
    <w:rsid w:val="68442DFB"/>
    <w:rsid w:val="684626D0"/>
    <w:rsid w:val="68491856"/>
    <w:rsid w:val="684B58E3"/>
    <w:rsid w:val="684C5A3C"/>
    <w:rsid w:val="684D3079"/>
    <w:rsid w:val="685036D3"/>
    <w:rsid w:val="6852376A"/>
    <w:rsid w:val="68533F35"/>
    <w:rsid w:val="685A706C"/>
    <w:rsid w:val="685C1945"/>
    <w:rsid w:val="685D3E2D"/>
    <w:rsid w:val="685E10D7"/>
    <w:rsid w:val="685E3EBD"/>
    <w:rsid w:val="685F2FA6"/>
    <w:rsid w:val="68610A2F"/>
    <w:rsid w:val="686142B9"/>
    <w:rsid w:val="6861575B"/>
    <w:rsid w:val="68625CD8"/>
    <w:rsid w:val="6864524C"/>
    <w:rsid w:val="68662D72"/>
    <w:rsid w:val="6870620A"/>
    <w:rsid w:val="68753131"/>
    <w:rsid w:val="687C4877"/>
    <w:rsid w:val="687C7BEE"/>
    <w:rsid w:val="687F14F3"/>
    <w:rsid w:val="68805514"/>
    <w:rsid w:val="688B43B1"/>
    <w:rsid w:val="688B44B8"/>
    <w:rsid w:val="688D2FE3"/>
    <w:rsid w:val="68975621"/>
    <w:rsid w:val="689773CF"/>
    <w:rsid w:val="689A0C6D"/>
    <w:rsid w:val="689D78B9"/>
    <w:rsid w:val="68AD6DB4"/>
    <w:rsid w:val="68B25A40"/>
    <w:rsid w:val="68B25FB7"/>
    <w:rsid w:val="68B52CC7"/>
    <w:rsid w:val="68B72F1C"/>
    <w:rsid w:val="68BC01EC"/>
    <w:rsid w:val="68BC0BE4"/>
    <w:rsid w:val="68BC6E36"/>
    <w:rsid w:val="68C105FD"/>
    <w:rsid w:val="68C115DC"/>
    <w:rsid w:val="68C22AFA"/>
    <w:rsid w:val="68CA2EDC"/>
    <w:rsid w:val="68CB245D"/>
    <w:rsid w:val="68CF4DBB"/>
    <w:rsid w:val="68D128E1"/>
    <w:rsid w:val="68D20407"/>
    <w:rsid w:val="68D45F2D"/>
    <w:rsid w:val="68DB3760"/>
    <w:rsid w:val="68E1689C"/>
    <w:rsid w:val="68E24AEE"/>
    <w:rsid w:val="68E81C4C"/>
    <w:rsid w:val="68F01271"/>
    <w:rsid w:val="68F16ADF"/>
    <w:rsid w:val="68F26745"/>
    <w:rsid w:val="68F559CB"/>
    <w:rsid w:val="68F71C1C"/>
    <w:rsid w:val="68F96EBD"/>
    <w:rsid w:val="68FA2CDC"/>
    <w:rsid w:val="68FE2FAA"/>
    <w:rsid w:val="690069D6"/>
    <w:rsid w:val="69047AC8"/>
    <w:rsid w:val="690507DD"/>
    <w:rsid w:val="69072CDE"/>
    <w:rsid w:val="690A339E"/>
    <w:rsid w:val="69116F83"/>
    <w:rsid w:val="691837FD"/>
    <w:rsid w:val="691E189E"/>
    <w:rsid w:val="691F15AB"/>
    <w:rsid w:val="69207721"/>
    <w:rsid w:val="69252C2D"/>
    <w:rsid w:val="69286279"/>
    <w:rsid w:val="692D1AE1"/>
    <w:rsid w:val="692E1AC6"/>
    <w:rsid w:val="693115D2"/>
    <w:rsid w:val="69316E2F"/>
    <w:rsid w:val="69317AAB"/>
    <w:rsid w:val="69381D5F"/>
    <w:rsid w:val="693C6044"/>
    <w:rsid w:val="693E3CEF"/>
    <w:rsid w:val="693E784B"/>
    <w:rsid w:val="693F065E"/>
    <w:rsid w:val="694A2693"/>
    <w:rsid w:val="694A377B"/>
    <w:rsid w:val="694E2071"/>
    <w:rsid w:val="694E356F"/>
    <w:rsid w:val="694E3F32"/>
    <w:rsid w:val="69513A22"/>
    <w:rsid w:val="69517B1E"/>
    <w:rsid w:val="69601EB7"/>
    <w:rsid w:val="696E2F06"/>
    <w:rsid w:val="69766163"/>
    <w:rsid w:val="69794D27"/>
    <w:rsid w:val="697A3B33"/>
    <w:rsid w:val="697B3427"/>
    <w:rsid w:val="697C5D38"/>
    <w:rsid w:val="69885E85"/>
    <w:rsid w:val="698A2A81"/>
    <w:rsid w:val="698C7D63"/>
    <w:rsid w:val="698E7A0E"/>
    <w:rsid w:val="698F00A6"/>
    <w:rsid w:val="699102C2"/>
    <w:rsid w:val="69920F8D"/>
    <w:rsid w:val="69925248"/>
    <w:rsid w:val="699658D9"/>
    <w:rsid w:val="699833FF"/>
    <w:rsid w:val="699D27C3"/>
    <w:rsid w:val="699E66D4"/>
    <w:rsid w:val="699F7E00"/>
    <w:rsid w:val="69A47FF6"/>
    <w:rsid w:val="69A73642"/>
    <w:rsid w:val="69A90240"/>
    <w:rsid w:val="69AF4317"/>
    <w:rsid w:val="69B12712"/>
    <w:rsid w:val="69B13904"/>
    <w:rsid w:val="69B271C7"/>
    <w:rsid w:val="69B53FB1"/>
    <w:rsid w:val="69B67D29"/>
    <w:rsid w:val="69BF041A"/>
    <w:rsid w:val="69BF17E2"/>
    <w:rsid w:val="69C45FA2"/>
    <w:rsid w:val="69C97A5C"/>
    <w:rsid w:val="69D02B99"/>
    <w:rsid w:val="69D33990"/>
    <w:rsid w:val="69D44760"/>
    <w:rsid w:val="69D65CD5"/>
    <w:rsid w:val="69DA7573"/>
    <w:rsid w:val="69DB150E"/>
    <w:rsid w:val="69DD3507"/>
    <w:rsid w:val="69DF102E"/>
    <w:rsid w:val="69E16283"/>
    <w:rsid w:val="69E83666"/>
    <w:rsid w:val="69E860BE"/>
    <w:rsid w:val="69ED6602"/>
    <w:rsid w:val="69ED6697"/>
    <w:rsid w:val="69EE74C3"/>
    <w:rsid w:val="69EF0838"/>
    <w:rsid w:val="69F10D61"/>
    <w:rsid w:val="69F33B01"/>
    <w:rsid w:val="69F72041"/>
    <w:rsid w:val="69FD110F"/>
    <w:rsid w:val="69FD3262"/>
    <w:rsid w:val="69FD7706"/>
    <w:rsid w:val="6A040A94"/>
    <w:rsid w:val="6A06480C"/>
    <w:rsid w:val="6A136F29"/>
    <w:rsid w:val="6A1707C7"/>
    <w:rsid w:val="6A1D00C0"/>
    <w:rsid w:val="6A1F6E67"/>
    <w:rsid w:val="6A206591"/>
    <w:rsid w:val="6A250911"/>
    <w:rsid w:val="6A276531"/>
    <w:rsid w:val="6A28694E"/>
    <w:rsid w:val="6A2D7FEB"/>
    <w:rsid w:val="6A3002BD"/>
    <w:rsid w:val="6A331379"/>
    <w:rsid w:val="6A37344E"/>
    <w:rsid w:val="6A3C2EA7"/>
    <w:rsid w:val="6A3C4A04"/>
    <w:rsid w:val="6A3D7EF0"/>
    <w:rsid w:val="6A3E1614"/>
    <w:rsid w:val="6A4175F2"/>
    <w:rsid w:val="6A4A4974"/>
    <w:rsid w:val="6A4B66C3"/>
    <w:rsid w:val="6A505A87"/>
    <w:rsid w:val="6A517688"/>
    <w:rsid w:val="6A520EC7"/>
    <w:rsid w:val="6A54388A"/>
    <w:rsid w:val="6A593EEE"/>
    <w:rsid w:val="6A5D5710"/>
    <w:rsid w:val="6A607681"/>
    <w:rsid w:val="6A647492"/>
    <w:rsid w:val="6A661111"/>
    <w:rsid w:val="6A681023"/>
    <w:rsid w:val="6A694D9B"/>
    <w:rsid w:val="6A6B28C1"/>
    <w:rsid w:val="6A6D6639"/>
    <w:rsid w:val="6A701C86"/>
    <w:rsid w:val="6A71662E"/>
    <w:rsid w:val="6A753740"/>
    <w:rsid w:val="6A773014"/>
    <w:rsid w:val="6A7A2B04"/>
    <w:rsid w:val="6A7D1F7C"/>
    <w:rsid w:val="6A822EB7"/>
    <w:rsid w:val="6A874465"/>
    <w:rsid w:val="6A8D0A8A"/>
    <w:rsid w:val="6A8F07C7"/>
    <w:rsid w:val="6A9516EC"/>
    <w:rsid w:val="6A9557F0"/>
    <w:rsid w:val="6A986E80"/>
    <w:rsid w:val="6A99742E"/>
    <w:rsid w:val="6A9C6F1F"/>
    <w:rsid w:val="6A9D62C5"/>
    <w:rsid w:val="6AA031D0"/>
    <w:rsid w:val="6AA10091"/>
    <w:rsid w:val="6AA162E3"/>
    <w:rsid w:val="6AA23D91"/>
    <w:rsid w:val="6AA3205B"/>
    <w:rsid w:val="6AA37B22"/>
    <w:rsid w:val="6AA95198"/>
    <w:rsid w:val="6AAB05D4"/>
    <w:rsid w:val="6AAD6A36"/>
    <w:rsid w:val="6AB343F1"/>
    <w:rsid w:val="6ABA45C1"/>
    <w:rsid w:val="6ABF49BB"/>
    <w:rsid w:val="6AC10733"/>
    <w:rsid w:val="6AC173F6"/>
    <w:rsid w:val="6AC41FD2"/>
    <w:rsid w:val="6ACB15B2"/>
    <w:rsid w:val="6ACD532A"/>
    <w:rsid w:val="6AD62431"/>
    <w:rsid w:val="6ADB7A47"/>
    <w:rsid w:val="6AE0505D"/>
    <w:rsid w:val="6AEA3F05"/>
    <w:rsid w:val="6AEA6711"/>
    <w:rsid w:val="6AEA7C8A"/>
    <w:rsid w:val="6AED1559"/>
    <w:rsid w:val="6AEF52A0"/>
    <w:rsid w:val="6AEF704E"/>
    <w:rsid w:val="6AF24D91"/>
    <w:rsid w:val="6AF758B5"/>
    <w:rsid w:val="6AF87E20"/>
    <w:rsid w:val="6AFA082D"/>
    <w:rsid w:val="6AFB3C45"/>
    <w:rsid w:val="6AFC7B7C"/>
    <w:rsid w:val="6AFE6FAA"/>
    <w:rsid w:val="6AFF300A"/>
    <w:rsid w:val="6B0074AE"/>
    <w:rsid w:val="6B046D05"/>
    <w:rsid w:val="6B076A6C"/>
    <w:rsid w:val="6B0D3978"/>
    <w:rsid w:val="6B106FC5"/>
    <w:rsid w:val="6B140DF8"/>
    <w:rsid w:val="6B1417BB"/>
    <w:rsid w:val="6B142F59"/>
    <w:rsid w:val="6B1765A5"/>
    <w:rsid w:val="6B19231D"/>
    <w:rsid w:val="6B1D1097"/>
    <w:rsid w:val="6B1E7934"/>
    <w:rsid w:val="6B2955A5"/>
    <w:rsid w:val="6B2D197B"/>
    <w:rsid w:val="6B2D401B"/>
    <w:rsid w:val="6B322639"/>
    <w:rsid w:val="6B32518D"/>
    <w:rsid w:val="6B3378BD"/>
    <w:rsid w:val="6B3453A9"/>
    <w:rsid w:val="6B39651C"/>
    <w:rsid w:val="6B476812"/>
    <w:rsid w:val="6B4C26F3"/>
    <w:rsid w:val="6B5415A7"/>
    <w:rsid w:val="6B572E46"/>
    <w:rsid w:val="6B580B82"/>
    <w:rsid w:val="6B5C045C"/>
    <w:rsid w:val="6B5C083C"/>
    <w:rsid w:val="6B5E41D4"/>
    <w:rsid w:val="6B6535F5"/>
    <w:rsid w:val="6B6562D0"/>
    <w:rsid w:val="6B686E01"/>
    <w:rsid w:val="6B6D35B4"/>
    <w:rsid w:val="6B7068C8"/>
    <w:rsid w:val="6B775726"/>
    <w:rsid w:val="6B79100E"/>
    <w:rsid w:val="6B8312D6"/>
    <w:rsid w:val="6B882FFF"/>
    <w:rsid w:val="6B885886"/>
    <w:rsid w:val="6B8C0D41"/>
    <w:rsid w:val="6B8C6F93"/>
    <w:rsid w:val="6B8F2421"/>
    <w:rsid w:val="6B910106"/>
    <w:rsid w:val="6B914E9E"/>
    <w:rsid w:val="6B915AA3"/>
    <w:rsid w:val="6B933430"/>
    <w:rsid w:val="6B9C3CB7"/>
    <w:rsid w:val="6B9D33DE"/>
    <w:rsid w:val="6B9D4CFC"/>
    <w:rsid w:val="6BA02A3F"/>
    <w:rsid w:val="6BA51E03"/>
    <w:rsid w:val="6BA60733"/>
    <w:rsid w:val="6BA72DEE"/>
    <w:rsid w:val="6BA75B7B"/>
    <w:rsid w:val="6BAC0503"/>
    <w:rsid w:val="6BB66D52"/>
    <w:rsid w:val="6BB7316F"/>
    <w:rsid w:val="6BBC41B5"/>
    <w:rsid w:val="6BBF1117"/>
    <w:rsid w:val="6BC02799"/>
    <w:rsid w:val="6BC56001"/>
    <w:rsid w:val="6BCD2E8B"/>
    <w:rsid w:val="6BCF0C2E"/>
    <w:rsid w:val="6BD46244"/>
    <w:rsid w:val="6BDB3A77"/>
    <w:rsid w:val="6BE0108D"/>
    <w:rsid w:val="6BE05D30"/>
    <w:rsid w:val="6BE7241B"/>
    <w:rsid w:val="6BE96194"/>
    <w:rsid w:val="6BED59C8"/>
    <w:rsid w:val="6BED6CE1"/>
    <w:rsid w:val="6BF14D2F"/>
    <w:rsid w:val="6BF16408"/>
    <w:rsid w:val="6BF16D52"/>
    <w:rsid w:val="6BF40694"/>
    <w:rsid w:val="6BF91FF2"/>
    <w:rsid w:val="6BFA3EFD"/>
    <w:rsid w:val="6BFA6E39"/>
    <w:rsid w:val="6BFB0E5C"/>
    <w:rsid w:val="6BFB5E4D"/>
    <w:rsid w:val="6BFD7E31"/>
    <w:rsid w:val="6C0703C8"/>
    <w:rsid w:val="6C0905E4"/>
    <w:rsid w:val="6C124A4D"/>
    <w:rsid w:val="6C13106C"/>
    <w:rsid w:val="6C132E5F"/>
    <w:rsid w:val="6C162E52"/>
    <w:rsid w:val="6C187EE7"/>
    <w:rsid w:val="6C1D6024"/>
    <w:rsid w:val="6C1E7E65"/>
    <w:rsid w:val="6C2076DB"/>
    <w:rsid w:val="6C2471CC"/>
    <w:rsid w:val="6C256267"/>
    <w:rsid w:val="6C375B66"/>
    <w:rsid w:val="6C376EFF"/>
    <w:rsid w:val="6C3D04B5"/>
    <w:rsid w:val="6C3D6CC4"/>
    <w:rsid w:val="6C4B0A40"/>
    <w:rsid w:val="6C4B6D67"/>
    <w:rsid w:val="6C53185F"/>
    <w:rsid w:val="6C554E98"/>
    <w:rsid w:val="6C586E75"/>
    <w:rsid w:val="6C5A0B52"/>
    <w:rsid w:val="6C5A2BED"/>
    <w:rsid w:val="6C5C1314"/>
    <w:rsid w:val="6C5C6984"/>
    <w:rsid w:val="6C5D623A"/>
    <w:rsid w:val="6C5F6456"/>
    <w:rsid w:val="6C613F7C"/>
    <w:rsid w:val="6C635F46"/>
    <w:rsid w:val="6C636C38"/>
    <w:rsid w:val="6C64581A"/>
    <w:rsid w:val="6C663340"/>
    <w:rsid w:val="6C6725D8"/>
    <w:rsid w:val="6C674488"/>
    <w:rsid w:val="6C6C4469"/>
    <w:rsid w:val="6C6C6EB0"/>
    <w:rsid w:val="6C702411"/>
    <w:rsid w:val="6C741194"/>
    <w:rsid w:val="6C7517D5"/>
    <w:rsid w:val="6C761219"/>
    <w:rsid w:val="6C7D4B2E"/>
    <w:rsid w:val="6C8313EB"/>
    <w:rsid w:val="6C835DF0"/>
    <w:rsid w:val="6C8C4C05"/>
    <w:rsid w:val="6C943D1E"/>
    <w:rsid w:val="6C9500C9"/>
    <w:rsid w:val="6C963E60"/>
    <w:rsid w:val="6C965D26"/>
    <w:rsid w:val="6C967816"/>
    <w:rsid w:val="6C991968"/>
    <w:rsid w:val="6CA1081C"/>
    <w:rsid w:val="6CA42148"/>
    <w:rsid w:val="6CB036C6"/>
    <w:rsid w:val="6CB318B4"/>
    <w:rsid w:val="6CB31998"/>
    <w:rsid w:val="6CC12C6C"/>
    <w:rsid w:val="6CC1614B"/>
    <w:rsid w:val="6CC70929"/>
    <w:rsid w:val="6CC70A14"/>
    <w:rsid w:val="6CCB5899"/>
    <w:rsid w:val="6CD81D64"/>
    <w:rsid w:val="6CE55163"/>
    <w:rsid w:val="6CEB1A97"/>
    <w:rsid w:val="6CEB7CE9"/>
    <w:rsid w:val="6CEE3336"/>
    <w:rsid w:val="6CEE6086"/>
    <w:rsid w:val="6CEE6218"/>
    <w:rsid w:val="6CF43042"/>
    <w:rsid w:val="6CF50B68"/>
    <w:rsid w:val="6CF7421D"/>
    <w:rsid w:val="6CF7668E"/>
    <w:rsid w:val="6CFC3CA5"/>
    <w:rsid w:val="6CFC6C30"/>
    <w:rsid w:val="6CFF5543"/>
    <w:rsid w:val="6CFF5E84"/>
    <w:rsid w:val="6D031098"/>
    <w:rsid w:val="6D035033"/>
    <w:rsid w:val="6D0D4104"/>
    <w:rsid w:val="6D0F4A3E"/>
    <w:rsid w:val="6D134E6B"/>
    <w:rsid w:val="6D140CF4"/>
    <w:rsid w:val="6D170ADE"/>
    <w:rsid w:val="6D176D30"/>
    <w:rsid w:val="6D1833A8"/>
    <w:rsid w:val="6D1C7394"/>
    <w:rsid w:val="6D1D2957"/>
    <w:rsid w:val="6D2154B9"/>
    <w:rsid w:val="6D2C569C"/>
    <w:rsid w:val="6D2F407A"/>
    <w:rsid w:val="6D3276C6"/>
    <w:rsid w:val="6D371181"/>
    <w:rsid w:val="6D3C3782"/>
    <w:rsid w:val="6D3E42BD"/>
    <w:rsid w:val="6D401DE3"/>
    <w:rsid w:val="6D413DAD"/>
    <w:rsid w:val="6D417958"/>
    <w:rsid w:val="6D437B25"/>
    <w:rsid w:val="6D464F20"/>
    <w:rsid w:val="6D4D4500"/>
    <w:rsid w:val="6D556455"/>
    <w:rsid w:val="6D602485"/>
    <w:rsid w:val="6D617FAC"/>
    <w:rsid w:val="6D6261FE"/>
    <w:rsid w:val="6D6C3217"/>
    <w:rsid w:val="6D6D06FE"/>
    <w:rsid w:val="6D6F4477"/>
    <w:rsid w:val="6D741A8D"/>
    <w:rsid w:val="6D793547"/>
    <w:rsid w:val="6D8018BE"/>
    <w:rsid w:val="6D831B87"/>
    <w:rsid w:val="6D8617C0"/>
    <w:rsid w:val="6D8669BA"/>
    <w:rsid w:val="6D8819DC"/>
    <w:rsid w:val="6D8D0DA1"/>
    <w:rsid w:val="6D8D4EC4"/>
    <w:rsid w:val="6D9143ED"/>
    <w:rsid w:val="6D986116"/>
    <w:rsid w:val="6D9B170F"/>
    <w:rsid w:val="6DA06D26"/>
    <w:rsid w:val="6DA47010"/>
    <w:rsid w:val="6DAE1E93"/>
    <w:rsid w:val="6DB30807"/>
    <w:rsid w:val="6DB33371"/>
    <w:rsid w:val="6DB33789"/>
    <w:rsid w:val="6DB34098"/>
    <w:rsid w:val="6DB545B6"/>
    <w:rsid w:val="6DB56BE2"/>
    <w:rsid w:val="6DB63E53"/>
    <w:rsid w:val="6DB86795"/>
    <w:rsid w:val="6DBD1686"/>
    <w:rsid w:val="6DBD3434"/>
    <w:rsid w:val="6DBE0F5A"/>
    <w:rsid w:val="6DC56B21"/>
    <w:rsid w:val="6DC72BE1"/>
    <w:rsid w:val="6DC96B9A"/>
    <w:rsid w:val="6DD12DF0"/>
    <w:rsid w:val="6DD8026E"/>
    <w:rsid w:val="6DDE15FC"/>
    <w:rsid w:val="6DE02FB4"/>
    <w:rsid w:val="6DE44E65"/>
    <w:rsid w:val="6DE95E0F"/>
    <w:rsid w:val="6DEC288D"/>
    <w:rsid w:val="6DEE183F"/>
    <w:rsid w:val="6DF25B0C"/>
    <w:rsid w:val="6DF40E20"/>
    <w:rsid w:val="6DF61446"/>
    <w:rsid w:val="6DF80910"/>
    <w:rsid w:val="6DF84ABD"/>
    <w:rsid w:val="6DFA3DB4"/>
    <w:rsid w:val="6DFD7CD4"/>
    <w:rsid w:val="6DFF56C3"/>
    <w:rsid w:val="6E070B53"/>
    <w:rsid w:val="6E0813FF"/>
    <w:rsid w:val="6E0A23F1"/>
    <w:rsid w:val="6E0A6D4E"/>
    <w:rsid w:val="6E0B2D4F"/>
    <w:rsid w:val="6E0C7F17"/>
    <w:rsid w:val="6E1119FB"/>
    <w:rsid w:val="6E1312A6"/>
    <w:rsid w:val="6E13397E"/>
    <w:rsid w:val="6E153FB5"/>
    <w:rsid w:val="6E181F02"/>
    <w:rsid w:val="6E184B0E"/>
    <w:rsid w:val="6E1F40EF"/>
    <w:rsid w:val="6E217E67"/>
    <w:rsid w:val="6E270359"/>
    <w:rsid w:val="6E272310"/>
    <w:rsid w:val="6E2B134B"/>
    <w:rsid w:val="6E2C680B"/>
    <w:rsid w:val="6E2D3FEB"/>
    <w:rsid w:val="6E2F3C06"/>
    <w:rsid w:val="6E31378F"/>
    <w:rsid w:val="6E31797E"/>
    <w:rsid w:val="6E336DE8"/>
    <w:rsid w:val="6E342961"/>
    <w:rsid w:val="6E38387A"/>
    <w:rsid w:val="6E427644"/>
    <w:rsid w:val="6E427DDD"/>
    <w:rsid w:val="6E4476B1"/>
    <w:rsid w:val="6E4A73F0"/>
    <w:rsid w:val="6E4B6196"/>
    <w:rsid w:val="6E4C6576"/>
    <w:rsid w:val="6E4D57C7"/>
    <w:rsid w:val="6E511517"/>
    <w:rsid w:val="6E514CED"/>
    <w:rsid w:val="6E5518BE"/>
    <w:rsid w:val="6E58315D"/>
    <w:rsid w:val="6E6164B5"/>
    <w:rsid w:val="6E655AB1"/>
    <w:rsid w:val="6E662F59"/>
    <w:rsid w:val="6E69536A"/>
    <w:rsid w:val="6E6A37AF"/>
    <w:rsid w:val="6E703D36"/>
    <w:rsid w:val="6E712470"/>
    <w:rsid w:val="6E713512"/>
    <w:rsid w:val="6E731D44"/>
    <w:rsid w:val="6E744B15"/>
    <w:rsid w:val="6E755ABD"/>
    <w:rsid w:val="6E775CD9"/>
    <w:rsid w:val="6E792698"/>
    <w:rsid w:val="6E7C3ACA"/>
    <w:rsid w:val="6E7D7067"/>
    <w:rsid w:val="6E7F06E9"/>
    <w:rsid w:val="6E801813"/>
    <w:rsid w:val="6E8020C0"/>
    <w:rsid w:val="6E82642B"/>
    <w:rsid w:val="6E851A78"/>
    <w:rsid w:val="6E855956"/>
    <w:rsid w:val="6E8B6B29"/>
    <w:rsid w:val="6E8D72AA"/>
    <w:rsid w:val="6E92169B"/>
    <w:rsid w:val="6E985C4F"/>
    <w:rsid w:val="6E9F0D8B"/>
    <w:rsid w:val="6EA55627"/>
    <w:rsid w:val="6EAD16FA"/>
    <w:rsid w:val="6EB04D47"/>
    <w:rsid w:val="6EB26D11"/>
    <w:rsid w:val="6EB563D5"/>
    <w:rsid w:val="6EB81E4D"/>
    <w:rsid w:val="6EBB2A73"/>
    <w:rsid w:val="6EC30F1E"/>
    <w:rsid w:val="6EC34705"/>
    <w:rsid w:val="6ECE3A37"/>
    <w:rsid w:val="6ED6166D"/>
    <w:rsid w:val="6ED92677"/>
    <w:rsid w:val="6EDA6267"/>
    <w:rsid w:val="6EDC1FE0"/>
    <w:rsid w:val="6EDD3949"/>
    <w:rsid w:val="6EE22835"/>
    <w:rsid w:val="6EE353F4"/>
    <w:rsid w:val="6EE375E6"/>
    <w:rsid w:val="6EEE06E4"/>
    <w:rsid w:val="6EEE3AC1"/>
    <w:rsid w:val="6EEF0E44"/>
    <w:rsid w:val="6EF015E7"/>
    <w:rsid w:val="6EF94940"/>
    <w:rsid w:val="6EFD36EC"/>
    <w:rsid w:val="6EFD5AB2"/>
    <w:rsid w:val="6F0357BE"/>
    <w:rsid w:val="6F051E80"/>
    <w:rsid w:val="6F15104E"/>
    <w:rsid w:val="6F166CB7"/>
    <w:rsid w:val="6F1C3F38"/>
    <w:rsid w:val="6F1F1ECC"/>
    <w:rsid w:val="6F1F40F3"/>
    <w:rsid w:val="6F2179F2"/>
    <w:rsid w:val="6F223AF6"/>
    <w:rsid w:val="6F225983"/>
    <w:rsid w:val="6F243C90"/>
    <w:rsid w:val="6F2A5C70"/>
    <w:rsid w:val="6F2B6AC3"/>
    <w:rsid w:val="6F3239AE"/>
    <w:rsid w:val="6F3251F0"/>
    <w:rsid w:val="6F327E52"/>
    <w:rsid w:val="6F362522"/>
    <w:rsid w:val="6F370FC4"/>
    <w:rsid w:val="6F3755D1"/>
    <w:rsid w:val="6F3C482C"/>
    <w:rsid w:val="6F4157E9"/>
    <w:rsid w:val="6F4162E7"/>
    <w:rsid w:val="6F435BBB"/>
    <w:rsid w:val="6F453457"/>
    <w:rsid w:val="6F46060C"/>
    <w:rsid w:val="6F464A38"/>
    <w:rsid w:val="6F4A5606"/>
    <w:rsid w:val="6F4F27B2"/>
    <w:rsid w:val="6F4F4560"/>
    <w:rsid w:val="6F5002D8"/>
    <w:rsid w:val="6F5755BF"/>
    <w:rsid w:val="6F5953DE"/>
    <w:rsid w:val="6F5E47A3"/>
    <w:rsid w:val="6F5F5F6E"/>
    <w:rsid w:val="6F6061B4"/>
    <w:rsid w:val="6F637C2C"/>
    <w:rsid w:val="6F643647"/>
    <w:rsid w:val="6F665B7C"/>
    <w:rsid w:val="6F6873CF"/>
    <w:rsid w:val="6F6F075E"/>
    <w:rsid w:val="6F712728"/>
    <w:rsid w:val="6F726C1F"/>
    <w:rsid w:val="6F74582E"/>
    <w:rsid w:val="6F7642FD"/>
    <w:rsid w:val="6F7A732F"/>
    <w:rsid w:val="6F7C10CD"/>
    <w:rsid w:val="6F7C486D"/>
    <w:rsid w:val="6F7F4719"/>
    <w:rsid w:val="6F814935"/>
    <w:rsid w:val="6F825E68"/>
    <w:rsid w:val="6F827EC5"/>
    <w:rsid w:val="6F8F7A5B"/>
    <w:rsid w:val="6F912DCA"/>
    <w:rsid w:val="6F962FBC"/>
    <w:rsid w:val="6F975F07"/>
    <w:rsid w:val="6F985649"/>
    <w:rsid w:val="6F986848"/>
    <w:rsid w:val="6F991C7F"/>
    <w:rsid w:val="6F9E25D4"/>
    <w:rsid w:val="6F9F0AFF"/>
    <w:rsid w:val="6FA10D10"/>
    <w:rsid w:val="6FA36815"/>
    <w:rsid w:val="6FA7439C"/>
    <w:rsid w:val="6FB10D76"/>
    <w:rsid w:val="6FB74D42"/>
    <w:rsid w:val="6FBD3BBF"/>
    <w:rsid w:val="6FBF6270"/>
    <w:rsid w:val="6FC00FB9"/>
    <w:rsid w:val="6FC32B00"/>
    <w:rsid w:val="6FC36CFC"/>
    <w:rsid w:val="6FC64095"/>
    <w:rsid w:val="6FC7059A"/>
    <w:rsid w:val="6FC767EC"/>
    <w:rsid w:val="6FD22E10"/>
    <w:rsid w:val="6FD277BB"/>
    <w:rsid w:val="6FD64CD8"/>
    <w:rsid w:val="6FD74555"/>
    <w:rsid w:val="6FD827A7"/>
    <w:rsid w:val="6FD9689F"/>
    <w:rsid w:val="6FDB2297"/>
    <w:rsid w:val="6FDE231C"/>
    <w:rsid w:val="6FE45318"/>
    <w:rsid w:val="6FE80510"/>
    <w:rsid w:val="6FF05272"/>
    <w:rsid w:val="6FF173C5"/>
    <w:rsid w:val="6FF46EB5"/>
    <w:rsid w:val="6FF84BF7"/>
    <w:rsid w:val="6FF869A5"/>
    <w:rsid w:val="6FF9271D"/>
    <w:rsid w:val="6FF94465"/>
    <w:rsid w:val="6FFC5590"/>
    <w:rsid w:val="6FFE5A04"/>
    <w:rsid w:val="70003AAC"/>
    <w:rsid w:val="70064935"/>
    <w:rsid w:val="70082960"/>
    <w:rsid w:val="70100CCB"/>
    <w:rsid w:val="70121783"/>
    <w:rsid w:val="70121EF0"/>
    <w:rsid w:val="70125550"/>
    <w:rsid w:val="70180DF5"/>
    <w:rsid w:val="7019691C"/>
    <w:rsid w:val="701C4660"/>
    <w:rsid w:val="70204502"/>
    <w:rsid w:val="70205EFC"/>
    <w:rsid w:val="70223344"/>
    <w:rsid w:val="702459EC"/>
    <w:rsid w:val="70247817"/>
    <w:rsid w:val="702B07A3"/>
    <w:rsid w:val="70310109"/>
    <w:rsid w:val="70311EB7"/>
    <w:rsid w:val="70342CAF"/>
    <w:rsid w:val="70351D46"/>
    <w:rsid w:val="70383246"/>
    <w:rsid w:val="703B52D0"/>
    <w:rsid w:val="703D085C"/>
    <w:rsid w:val="703D2510"/>
    <w:rsid w:val="703E6382"/>
    <w:rsid w:val="70411BB9"/>
    <w:rsid w:val="70441BEA"/>
    <w:rsid w:val="70466442"/>
    <w:rsid w:val="70481468"/>
    <w:rsid w:val="70501F1F"/>
    <w:rsid w:val="705067E1"/>
    <w:rsid w:val="7051343B"/>
    <w:rsid w:val="70540E46"/>
    <w:rsid w:val="70611B8C"/>
    <w:rsid w:val="706C452F"/>
    <w:rsid w:val="706D1DD0"/>
    <w:rsid w:val="70700C31"/>
    <w:rsid w:val="707324D0"/>
    <w:rsid w:val="70763D6E"/>
    <w:rsid w:val="70781894"/>
    <w:rsid w:val="707D50FC"/>
    <w:rsid w:val="7080699B"/>
    <w:rsid w:val="70820965"/>
    <w:rsid w:val="70821C8C"/>
    <w:rsid w:val="70826104"/>
    <w:rsid w:val="7084790A"/>
    <w:rsid w:val="7085197A"/>
    <w:rsid w:val="70856B87"/>
    <w:rsid w:val="708741CD"/>
    <w:rsid w:val="708C3591"/>
    <w:rsid w:val="70950698"/>
    <w:rsid w:val="70A00DEB"/>
    <w:rsid w:val="70A66401"/>
    <w:rsid w:val="70A81F46"/>
    <w:rsid w:val="70A95017"/>
    <w:rsid w:val="70A97C9F"/>
    <w:rsid w:val="70AD6FB2"/>
    <w:rsid w:val="70B0102E"/>
    <w:rsid w:val="70B2100A"/>
    <w:rsid w:val="70B23BE9"/>
    <w:rsid w:val="70B30B1E"/>
    <w:rsid w:val="70B328CC"/>
    <w:rsid w:val="70B732A1"/>
    <w:rsid w:val="70BC4122"/>
    <w:rsid w:val="70BF27A7"/>
    <w:rsid w:val="70C66AA3"/>
    <w:rsid w:val="70C83C84"/>
    <w:rsid w:val="70CC7967"/>
    <w:rsid w:val="70D527EE"/>
    <w:rsid w:val="70D66F9D"/>
    <w:rsid w:val="70DA254F"/>
    <w:rsid w:val="70DF7B65"/>
    <w:rsid w:val="70F01D72"/>
    <w:rsid w:val="70F03B20"/>
    <w:rsid w:val="70F25AEA"/>
    <w:rsid w:val="70F52EE5"/>
    <w:rsid w:val="71015D2D"/>
    <w:rsid w:val="710249ED"/>
    <w:rsid w:val="71055929"/>
    <w:rsid w:val="710870BC"/>
    <w:rsid w:val="710B7EEF"/>
    <w:rsid w:val="710F044A"/>
    <w:rsid w:val="711A6DEF"/>
    <w:rsid w:val="711B0821"/>
    <w:rsid w:val="711C1A04"/>
    <w:rsid w:val="711E6CD9"/>
    <w:rsid w:val="711F61B4"/>
    <w:rsid w:val="71246DF1"/>
    <w:rsid w:val="71290DE0"/>
    <w:rsid w:val="712E63F7"/>
    <w:rsid w:val="712F289B"/>
    <w:rsid w:val="71312C91"/>
    <w:rsid w:val="713270CA"/>
    <w:rsid w:val="71330B4C"/>
    <w:rsid w:val="7137174F"/>
    <w:rsid w:val="71373925"/>
    <w:rsid w:val="713B7D60"/>
    <w:rsid w:val="71431EA2"/>
    <w:rsid w:val="71440868"/>
    <w:rsid w:val="714678F4"/>
    <w:rsid w:val="71540913"/>
    <w:rsid w:val="71573B9F"/>
    <w:rsid w:val="715776FB"/>
    <w:rsid w:val="715916C6"/>
    <w:rsid w:val="715B5300"/>
    <w:rsid w:val="7161057A"/>
    <w:rsid w:val="7162677A"/>
    <w:rsid w:val="716342F2"/>
    <w:rsid w:val="71677537"/>
    <w:rsid w:val="716C7693"/>
    <w:rsid w:val="717007BD"/>
    <w:rsid w:val="717209D9"/>
    <w:rsid w:val="71722787"/>
    <w:rsid w:val="717402AD"/>
    <w:rsid w:val="71741A48"/>
    <w:rsid w:val="71744751"/>
    <w:rsid w:val="71775FF0"/>
    <w:rsid w:val="717C53B4"/>
    <w:rsid w:val="717E2EDA"/>
    <w:rsid w:val="718030F6"/>
    <w:rsid w:val="71864485"/>
    <w:rsid w:val="71884DC5"/>
    <w:rsid w:val="71896C8F"/>
    <w:rsid w:val="719171AE"/>
    <w:rsid w:val="71922E29"/>
    <w:rsid w:val="71950224"/>
    <w:rsid w:val="719646C8"/>
    <w:rsid w:val="719C7EFF"/>
    <w:rsid w:val="719E532A"/>
    <w:rsid w:val="71A1306D"/>
    <w:rsid w:val="71A3115B"/>
    <w:rsid w:val="71A462ED"/>
    <w:rsid w:val="71A768D5"/>
    <w:rsid w:val="71A843FB"/>
    <w:rsid w:val="71AE5D56"/>
    <w:rsid w:val="71AF12E6"/>
    <w:rsid w:val="71B608C6"/>
    <w:rsid w:val="71B92946"/>
    <w:rsid w:val="71C07997"/>
    <w:rsid w:val="71C1721C"/>
    <w:rsid w:val="71C23F7E"/>
    <w:rsid w:val="71C25D77"/>
    <w:rsid w:val="71C6221A"/>
    <w:rsid w:val="71C76119"/>
    <w:rsid w:val="71C823A7"/>
    <w:rsid w:val="71C93F61"/>
    <w:rsid w:val="71CA4371"/>
    <w:rsid w:val="71CD0A4E"/>
    <w:rsid w:val="71CD6589"/>
    <w:rsid w:val="71D27F8A"/>
    <w:rsid w:val="71D60506"/>
    <w:rsid w:val="71D95DCE"/>
    <w:rsid w:val="71D963A4"/>
    <w:rsid w:val="71E05943"/>
    <w:rsid w:val="71E116BB"/>
    <w:rsid w:val="71E60A7F"/>
    <w:rsid w:val="71E76CD1"/>
    <w:rsid w:val="71E80C9B"/>
    <w:rsid w:val="71EB4EDE"/>
    <w:rsid w:val="71ED1E0E"/>
    <w:rsid w:val="71F17B50"/>
    <w:rsid w:val="71F65166"/>
    <w:rsid w:val="71F66C04"/>
    <w:rsid w:val="71F92EA9"/>
    <w:rsid w:val="72023B0B"/>
    <w:rsid w:val="7203001D"/>
    <w:rsid w:val="72070B3D"/>
    <w:rsid w:val="72081F9B"/>
    <w:rsid w:val="720930EC"/>
    <w:rsid w:val="720D20DA"/>
    <w:rsid w:val="720E1E50"/>
    <w:rsid w:val="72114980"/>
    <w:rsid w:val="721675B7"/>
    <w:rsid w:val="72170B15"/>
    <w:rsid w:val="72203F91"/>
    <w:rsid w:val="72233A82"/>
    <w:rsid w:val="7225308B"/>
    <w:rsid w:val="722A3062"/>
    <w:rsid w:val="722A42E2"/>
    <w:rsid w:val="72315845"/>
    <w:rsid w:val="7234129A"/>
    <w:rsid w:val="723511AD"/>
    <w:rsid w:val="723B7CFE"/>
    <w:rsid w:val="723D4B43"/>
    <w:rsid w:val="724265FE"/>
    <w:rsid w:val="72430BC0"/>
    <w:rsid w:val="72435BC0"/>
    <w:rsid w:val="72444124"/>
    <w:rsid w:val="724759C2"/>
    <w:rsid w:val="72495A79"/>
    <w:rsid w:val="724E6D50"/>
    <w:rsid w:val="725105EF"/>
    <w:rsid w:val="72553024"/>
    <w:rsid w:val="72556331"/>
    <w:rsid w:val="72574E57"/>
    <w:rsid w:val="725956F5"/>
    <w:rsid w:val="725A2021"/>
    <w:rsid w:val="725D6F93"/>
    <w:rsid w:val="726F4F19"/>
    <w:rsid w:val="727050CA"/>
    <w:rsid w:val="72866EC3"/>
    <w:rsid w:val="728E76C6"/>
    <w:rsid w:val="728F133B"/>
    <w:rsid w:val="72907369"/>
    <w:rsid w:val="7298446F"/>
    <w:rsid w:val="729C3F60"/>
    <w:rsid w:val="72A252EE"/>
    <w:rsid w:val="72AA71E9"/>
    <w:rsid w:val="72AE5A41"/>
    <w:rsid w:val="72B8241C"/>
    <w:rsid w:val="72BB0D0F"/>
    <w:rsid w:val="72C139C6"/>
    <w:rsid w:val="72C241AB"/>
    <w:rsid w:val="72C43C4E"/>
    <w:rsid w:val="72C62D8B"/>
    <w:rsid w:val="72C90F6B"/>
    <w:rsid w:val="72CB65F3"/>
    <w:rsid w:val="72CF55E1"/>
    <w:rsid w:val="72D03C09"/>
    <w:rsid w:val="72D130E8"/>
    <w:rsid w:val="72D265ED"/>
    <w:rsid w:val="72D47C59"/>
    <w:rsid w:val="72D97F16"/>
    <w:rsid w:val="72DD1E82"/>
    <w:rsid w:val="72DF209E"/>
    <w:rsid w:val="72E01973"/>
    <w:rsid w:val="72E05368"/>
    <w:rsid w:val="72E90827"/>
    <w:rsid w:val="72FA0C86"/>
    <w:rsid w:val="72FA6ED8"/>
    <w:rsid w:val="72FB64EF"/>
    <w:rsid w:val="730168F4"/>
    <w:rsid w:val="73027B3B"/>
    <w:rsid w:val="730343CE"/>
    <w:rsid w:val="73060F5E"/>
    <w:rsid w:val="73075151"/>
    <w:rsid w:val="73076EFF"/>
    <w:rsid w:val="73090EC9"/>
    <w:rsid w:val="730A6BA6"/>
    <w:rsid w:val="730B2E93"/>
    <w:rsid w:val="730F7253"/>
    <w:rsid w:val="73122968"/>
    <w:rsid w:val="73142A39"/>
    <w:rsid w:val="731C6E4F"/>
    <w:rsid w:val="731E4248"/>
    <w:rsid w:val="731F5D5E"/>
    <w:rsid w:val="732653D3"/>
    <w:rsid w:val="732B52E4"/>
    <w:rsid w:val="732C5D20"/>
    <w:rsid w:val="732D105C"/>
    <w:rsid w:val="73307800"/>
    <w:rsid w:val="73351CBE"/>
    <w:rsid w:val="73371E33"/>
    <w:rsid w:val="734069EF"/>
    <w:rsid w:val="73465C7A"/>
    <w:rsid w:val="734939BC"/>
    <w:rsid w:val="734A27AC"/>
    <w:rsid w:val="734B14E2"/>
    <w:rsid w:val="734E4B69"/>
    <w:rsid w:val="734F0FD2"/>
    <w:rsid w:val="73505624"/>
    <w:rsid w:val="73526D91"/>
    <w:rsid w:val="73536D73"/>
    <w:rsid w:val="735A1725"/>
    <w:rsid w:val="73614861"/>
    <w:rsid w:val="73634A7D"/>
    <w:rsid w:val="736D3206"/>
    <w:rsid w:val="736D799B"/>
    <w:rsid w:val="7372081D"/>
    <w:rsid w:val="73732C84"/>
    <w:rsid w:val="7375030D"/>
    <w:rsid w:val="73767605"/>
    <w:rsid w:val="737D1A8E"/>
    <w:rsid w:val="737F2F9A"/>
    <w:rsid w:val="73811B30"/>
    <w:rsid w:val="738528D9"/>
    <w:rsid w:val="738535A7"/>
    <w:rsid w:val="73862967"/>
    <w:rsid w:val="738C38C8"/>
    <w:rsid w:val="738E13CF"/>
    <w:rsid w:val="7392291A"/>
    <w:rsid w:val="739369E5"/>
    <w:rsid w:val="73966C01"/>
    <w:rsid w:val="73974727"/>
    <w:rsid w:val="739D41C5"/>
    <w:rsid w:val="73A27303"/>
    <w:rsid w:val="73A330CC"/>
    <w:rsid w:val="73A34E7A"/>
    <w:rsid w:val="73A702D9"/>
    <w:rsid w:val="73A925B8"/>
    <w:rsid w:val="73AD3F4B"/>
    <w:rsid w:val="73AE39E8"/>
    <w:rsid w:val="73B250BD"/>
    <w:rsid w:val="73B61D45"/>
    <w:rsid w:val="73BA21C4"/>
    <w:rsid w:val="73C3551C"/>
    <w:rsid w:val="73C51AD5"/>
    <w:rsid w:val="73C66DBA"/>
    <w:rsid w:val="73C82B32"/>
    <w:rsid w:val="73C86B31"/>
    <w:rsid w:val="73CB3AE2"/>
    <w:rsid w:val="73CB43D1"/>
    <w:rsid w:val="73D107FD"/>
    <w:rsid w:val="73D74111"/>
    <w:rsid w:val="73DA5D85"/>
    <w:rsid w:val="73DC6B05"/>
    <w:rsid w:val="73DF3DC7"/>
    <w:rsid w:val="73E22D96"/>
    <w:rsid w:val="73E323AC"/>
    <w:rsid w:val="73E3796C"/>
    <w:rsid w:val="73EA0CFB"/>
    <w:rsid w:val="73EA5CF5"/>
    <w:rsid w:val="73EB05CF"/>
    <w:rsid w:val="73EB27AA"/>
    <w:rsid w:val="73EE6D18"/>
    <w:rsid w:val="73EF6F82"/>
    <w:rsid w:val="73F34460"/>
    <w:rsid w:val="73F367C4"/>
    <w:rsid w:val="73F51CD5"/>
    <w:rsid w:val="73F53EF2"/>
    <w:rsid w:val="73FC0A2E"/>
    <w:rsid w:val="73FD750E"/>
    <w:rsid w:val="74066A0D"/>
    <w:rsid w:val="7407365B"/>
    <w:rsid w:val="74074AEC"/>
    <w:rsid w:val="740873D3"/>
    <w:rsid w:val="740C6868"/>
    <w:rsid w:val="74100036"/>
    <w:rsid w:val="7411148D"/>
    <w:rsid w:val="74145D78"/>
    <w:rsid w:val="74185868"/>
    <w:rsid w:val="741B7106"/>
    <w:rsid w:val="741E793C"/>
    <w:rsid w:val="74237D69"/>
    <w:rsid w:val="742A7349"/>
    <w:rsid w:val="7431692A"/>
    <w:rsid w:val="74372A51"/>
    <w:rsid w:val="74382CF5"/>
    <w:rsid w:val="743957DE"/>
    <w:rsid w:val="743976B7"/>
    <w:rsid w:val="743B7929"/>
    <w:rsid w:val="743D707D"/>
    <w:rsid w:val="743E2DF5"/>
    <w:rsid w:val="74455F31"/>
    <w:rsid w:val="744A1799"/>
    <w:rsid w:val="744C3764"/>
    <w:rsid w:val="7452064E"/>
    <w:rsid w:val="74535B2F"/>
    <w:rsid w:val="74554C72"/>
    <w:rsid w:val="74561EEC"/>
    <w:rsid w:val="74566F42"/>
    <w:rsid w:val="745B5755"/>
    <w:rsid w:val="745E3944"/>
    <w:rsid w:val="745F0FFE"/>
    <w:rsid w:val="74640AAD"/>
    <w:rsid w:val="74681C20"/>
    <w:rsid w:val="746A3BEA"/>
    <w:rsid w:val="746D5D1A"/>
    <w:rsid w:val="74721F92"/>
    <w:rsid w:val="74786307"/>
    <w:rsid w:val="747B74EE"/>
    <w:rsid w:val="747B7C0F"/>
    <w:rsid w:val="74806F69"/>
    <w:rsid w:val="74822CE1"/>
    <w:rsid w:val="74827185"/>
    <w:rsid w:val="74864704"/>
    <w:rsid w:val="74890514"/>
    <w:rsid w:val="748A3CDB"/>
    <w:rsid w:val="748A603A"/>
    <w:rsid w:val="748E624C"/>
    <w:rsid w:val="749018A2"/>
    <w:rsid w:val="74906915"/>
    <w:rsid w:val="74911176"/>
    <w:rsid w:val="749E3893"/>
    <w:rsid w:val="74A013B9"/>
    <w:rsid w:val="74A06E4F"/>
    <w:rsid w:val="74A16328"/>
    <w:rsid w:val="74A40EAA"/>
    <w:rsid w:val="74A748A2"/>
    <w:rsid w:val="74A92964"/>
    <w:rsid w:val="74B027DB"/>
    <w:rsid w:val="74B17A6A"/>
    <w:rsid w:val="74B54387"/>
    <w:rsid w:val="74B833FB"/>
    <w:rsid w:val="74B94727"/>
    <w:rsid w:val="74BC0906"/>
    <w:rsid w:val="74C50E20"/>
    <w:rsid w:val="74CE4179"/>
    <w:rsid w:val="74D07EF1"/>
    <w:rsid w:val="74D12A5E"/>
    <w:rsid w:val="74D3178F"/>
    <w:rsid w:val="74D86DA5"/>
    <w:rsid w:val="74DA0D6F"/>
    <w:rsid w:val="74DA49A5"/>
    <w:rsid w:val="74DD616A"/>
    <w:rsid w:val="74E03EAC"/>
    <w:rsid w:val="74E4399C"/>
    <w:rsid w:val="74E67714"/>
    <w:rsid w:val="74EB4D2A"/>
    <w:rsid w:val="74EC2851"/>
    <w:rsid w:val="74FA4F6E"/>
    <w:rsid w:val="74FD3F03"/>
    <w:rsid w:val="74FF6492"/>
    <w:rsid w:val="75041948"/>
    <w:rsid w:val="750C6A4F"/>
    <w:rsid w:val="75110B58"/>
    <w:rsid w:val="75145C30"/>
    <w:rsid w:val="75174DA3"/>
    <w:rsid w:val="75175B20"/>
    <w:rsid w:val="752210EB"/>
    <w:rsid w:val="752913AF"/>
    <w:rsid w:val="75295853"/>
    <w:rsid w:val="752B1E6F"/>
    <w:rsid w:val="753164B5"/>
    <w:rsid w:val="75322959"/>
    <w:rsid w:val="75385A96"/>
    <w:rsid w:val="753A7A60"/>
    <w:rsid w:val="754157DE"/>
    <w:rsid w:val="7542400F"/>
    <w:rsid w:val="754937FF"/>
    <w:rsid w:val="754B7057"/>
    <w:rsid w:val="75526B58"/>
    <w:rsid w:val="75583F30"/>
    <w:rsid w:val="755D1755"/>
    <w:rsid w:val="755F365A"/>
    <w:rsid w:val="75610B49"/>
    <w:rsid w:val="75614FED"/>
    <w:rsid w:val="75640268"/>
    <w:rsid w:val="756845CD"/>
    <w:rsid w:val="756D1BE3"/>
    <w:rsid w:val="757044A0"/>
    <w:rsid w:val="75713F63"/>
    <w:rsid w:val="757B5576"/>
    <w:rsid w:val="75846F2D"/>
    <w:rsid w:val="75874327"/>
    <w:rsid w:val="75897CC2"/>
    <w:rsid w:val="758D5DE2"/>
    <w:rsid w:val="758F0772"/>
    <w:rsid w:val="759233F8"/>
    <w:rsid w:val="75936D7D"/>
    <w:rsid w:val="759A7BB2"/>
    <w:rsid w:val="759C7DD3"/>
    <w:rsid w:val="75A34D0C"/>
    <w:rsid w:val="75A90742"/>
    <w:rsid w:val="75AE09DC"/>
    <w:rsid w:val="75AE7B06"/>
    <w:rsid w:val="75B00A0E"/>
    <w:rsid w:val="75B710B1"/>
    <w:rsid w:val="75B74776"/>
    <w:rsid w:val="75C057B1"/>
    <w:rsid w:val="75C31803"/>
    <w:rsid w:val="75C6129B"/>
    <w:rsid w:val="75C630A2"/>
    <w:rsid w:val="75CD61DE"/>
    <w:rsid w:val="75CF63FA"/>
    <w:rsid w:val="75D06B4B"/>
    <w:rsid w:val="75D21A46"/>
    <w:rsid w:val="75D8109E"/>
    <w:rsid w:val="75D85B38"/>
    <w:rsid w:val="75D94B83"/>
    <w:rsid w:val="75DC0B17"/>
    <w:rsid w:val="75DD76E0"/>
    <w:rsid w:val="75DF5F11"/>
    <w:rsid w:val="75E50446"/>
    <w:rsid w:val="75E706DE"/>
    <w:rsid w:val="75E8126A"/>
    <w:rsid w:val="75EB0D5A"/>
    <w:rsid w:val="75F44DBA"/>
    <w:rsid w:val="75F50C40"/>
    <w:rsid w:val="75F6664F"/>
    <w:rsid w:val="7601057E"/>
    <w:rsid w:val="76013C93"/>
    <w:rsid w:val="760360A4"/>
    <w:rsid w:val="76053BCA"/>
    <w:rsid w:val="7605530C"/>
    <w:rsid w:val="76061B84"/>
    <w:rsid w:val="76085468"/>
    <w:rsid w:val="7609728D"/>
    <w:rsid w:val="760B4F58"/>
    <w:rsid w:val="760B6D06"/>
    <w:rsid w:val="760F2C9B"/>
    <w:rsid w:val="760F67F7"/>
    <w:rsid w:val="760F73BE"/>
    <w:rsid w:val="76116A13"/>
    <w:rsid w:val="76165DD7"/>
    <w:rsid w:val="761B163F"/>
    <w:rsid w:val="761C7166"/>
    <w:rsid w:val="761D3DE5"/>
    <w:rsid w:val="762027B2"/>
    <w:rsid w:val="76204E7F"/>
    <w:rsid w:val="76206C56"/>
    <w:rsid w:val="76236746"/>
    <w:rsid w:val="76240FA0"/>
    <w:rsid w:val="7625426C"/>
    <w:rsid w:val="762878B8"/>
    <w:rsid w:val="7629727C"/>
    <w:rsid w:val="762A1882"/>
    <w:rsid w:val="762A646F"/>
    <w:rsid w:val="762C55FB"/>
    <w:rsid w:val="762F50EB"/>
    <w:rsid w:val="763149BF"/>
    <w:rsid w:val="7635099D"/>
    <w:rsid w:val="76377AFB"/>
    <w:rsid w:val="763C5112"/>
    <w:rsid w:val="763C5E07"/>
    <w:rsid w:val="76414B86"/>
    <w:rsid w:val="764D731F"/>
    <w:rsid w:val="765015DC"/>
    <w:rsid w:val="76522B87"/>
    <w:rsid w:val="7656399C"/>
    <w:rsid w:val="765C57B4"/>
    <w:rsid w:val="765D3A06"/>
    <w:rsid w:val="765E152C"/>
    <w:rsid w:val="765E777E"/>
    <w:rsid w:val="76654812"/>
    <w:rsid w:val="766703E1"/>
    <w:rsid w:val="766C3C49"/>
    <w:rsid w:val="766C666A"/>
    <w:rsid w:val="766F35DD"/>
    <w:rsid w:val="76740D50"/>
    <w:rsid w:val="76746FA2"/>
    <w:rsid w:val="7677439C"/>
    <w:rsid w:val="767820F9"/>
    <w:rsid w:val="76832D41"/>
    <w:rsid w:val="768A40CF"/>
    <w:rsid w:val="768F16E6"/>
    <w:rsid w:val="769C570D"/>
    <w:rsid w:val="769E7B7B"/>
    <w:rsid w:val="769F401E"/>
    <w:rsid w:val="76A809F9"/>
    <w:rsid w:val="76A827A7"/>
    <w:rsid w:val="76BB072D"/>
    <w:rsid w:val="76BD26F7"/>
    <w:rsid w:val="76BF021D"/>
    <w:rsid w:val="76CC293A"/>
    <w:rsid w:val="76D96E05"/>
    <w:rsid w:val="76DA5EF6"/>
    <w:rsid w:val="76DD68F5"/>
    <w:rsid w:val="76DF18DF"/>
    <w:rsid w:val="76E2215D"/>
    <w:rsid w:val="76E22A9F"/>
    <w:rsid w:val="76E51777"/>
    <w:rsid w:val="76E83D71"/>
    <w:rsid w:val="76EA2DC0"/>
    <w:rsid w:val="76EB7264"/>
    <w:rsid w:val="76EC08E6"/>
    <w:rsid w:val="76EF79CF"/>
    <w:rsid w:val="76F05B4B"/>
    <w:rsid w:val="76F105F2"/>
    <w:rsid w:val="76F25E15"/>
    <w:rsid w:val="77000835"/>
    <w:rsid w:val="770245AD"/>
    <w:rsid w:val="7709510F"/>
    <w:rsid w:val="770B219A"/>
    <w:rsid w:val="7712127E"/>
    <w:rsid w:val="7717683B"/>
    <w:rsid w:val="771F2A69"/>
    <w:rsid w:val="7725204A"/>
    <w:rsid w:val="77272E3B"/>
    <w:rsid w:val="77274014"/>
    <w:rsid w:val="7727782A"/>
    <w:rsid w:val="7728305F"/>
    <w:rsid w:val="772A20B9"/>
    <w:rsid w:val="773C3102"/>
    <w:rsid w:val="77422BFC"/>
    <w:rsid w:val="77470212"/>
    <w:rsid w:val="7747223C"/>
    <w:rsid w:val="77495D38"/>
    <w:rsid w:val="774B7D02"/>
    <w:rsid w:val="7758241F"/>
    <w:rsid w:val="775869E5"/>
    <w:rsid w:val="775A6197"/>
    <w:rsid w:val="775A7F45"/>
    <w:rsid w:val="775B5A6C"/>
    <w:rsid w:val="775B6FB3"/>
    <w:rsid w:val="775D2D9A"/>
    <w:rsid w:val="775D63F7"/>
    <w:rsid w:val="775F34D3"/>
    <w:rsid w:val="77606F0A"/>
    <w:rsid w:val="77626161"/>
    <w:rsid w:val="776963DA"/>
    <w:rsid w:val="776B2153"/>
    <w:rsid w:val="776C7C79"/>
    <w:rsid w:val="776E1C43"/>
    <w:rsid w:val="77707769"/>
    <w:rsid w:val="7771703D"/>
    <w:rsid w:val="77722A89"/>
    <w:rsid w:val="77762421"/>
    <w:rsid w:val="77770AF7"/>
    <w:rsid w:val="77780E9B"/>
    <w:rsid w:val="777A05E8"/>
    <w:rsid w:val="777A2396"/>
    <w:rsid w:val="777C610E"/>
    <w:rsid w:val="77884AB3"/>
    <w:rsid w:val="778A0CAD"/>
    <w:rsid w:val="778D031B"/>
    <w:rsid w:val="778E4599"/>
    <w:rsid w:val="77906835"/>
    <w:rsid w:val="779E42D6"/>
    <w:rsid w:val="77A13DC6"/>
    <w:rsid w:val="77A6318B"/>
    <w:rsid w:val="77A76BB2"/>
    <w:rsid w:val="77AB69F3"/>
    <w:rsid w:val="77AD4519"/>
    <w:rsid w:val="77B07B65"/>
    <w:rsid w:val="77B358A8"/>
    <w:rsid w:val="77B533CE"/>
    <w:rsid w:val="77B56B1F"/>
    <w:rsid w:val="77B740AC"/>
    <w:rsid w:val="77BC475C"/>
    <w:rsid w:val="77C005BD"/>
    <w:rsid w:val="77C36AC4"/>
    <w:rsid w:val="77C80A37"/>
    <w:rsid w:val="77C93268"/>
    <w:rsid w:val="77CB1D1A"/>
    <w:rsid w:val="77D56A02"/>
    <w:rsid w:val="77D575CC"/>
    <w:rsid w:val="77D92A37"/>
    <w:rsid w:val="77DB7101"/>
    <w:rsid w:val="77E30CBB"/>
    <w:rsid w:val="77E32CA3"/>
    <w:rsid w:val="77ED0DBA"/>
    <w:rsid w:val="77EE13A7"/>
    <w:rsid w:val="77EE4792"/>
    <w:rsid w:val="77EF7648"/>
    <w:rsid w:val="77F02658"/>
    <w:rsid w:val="77F35CA4"/>
    <w:rsid w:val="77F52384"/>
    <w:rsid w:val="77F57C58"/>
    <w:rsid w:val="77F57C6E"/>
    <w:rsid w:val="77F60C91"/>
    <w:rsid w:val="77F61967"/>
    <w:rsid w:val="77F95F9C"/>
    <w:rsid w:val="78063C29"/>
    <w:rsid w:val="78095792"/>
    <w:rsid w:val="780D428F"/>
    <w:rsid w:val="780F09F4"/>
    <w:rsid w:val="78122FF0"/>
    <w:rsid w:val="78126A72"/>
    <w:rsid w:val="78171398"/>
    <w:rsid w:val="7819395D"/>
    <w:rsid w:val="781C344D"/>
    <w:rsid w:val="781E0F73"/>
    <w:rsid w:val="78216CB5"/>
    <w:rsid w:val="782628B8"/>
    <w:rsid w:val="78267E28"/>
    <w:rsid w:val="782B5746"/>
    <w:rsid w:val="782D3AA0"/>
    <w:rsid w:val="782F4F2E"/>
    <w:rsid w:val="783764D9"/>
    <w:rsid w:val="783D5770"/>
    <w:rsid w:val="78411105"/>
    <w:rsid w:val="78417A70"/>
    <w:rsid w:val="78441237"/>
    <w:rsid w:val="784825A1"/>
    <w:rsid w:val="784C30A3"/>
    <w:rsid w:val="78542BE7"/>
    <w:rsid w:val="78547E94"/>
    <w:rsid w:val="785B5D23"/>
    <w:rsid w:val="785E1CB7"/>
    <w:rsid w:val="786077DD"/>
    <w:rsid w:val="7860799F"/>
    <w:rsid w:val="786363E1"/>
    <w:rsid w:val="7867302D"/>
    <w:rsid w:val="786B7DDD"/>
    <w:rsid w:val="786F17CF"/>
    <w:rsid w:val="78715547"/>
    <w:rsid w:val="78726E2E"/>
    <w:rsid w:val="7879089F"/>
    <w:rsid w:val="787B2C45"/>
    <w:rsid w:val="787D213D"/>
    <w:rsid w:val="78811502"/>
    <w:rsid w:val="788172EA"/>
    <w:rsid w:val="78827754"/>
    <w:rsid w:val="788F3C1F"/>
    <w:rsid w:val="7896124B"/>
    <w:rsid w:val="789E3E62"/>
    <w:rsid w:val="78A1562B"/>
    <w:rsid w:val="78A771BA"/>
    <w:rsid w:val="78A90480"/>
    <w:rsid w:val="78AA2807"/>
    <w:rsid w:val="78AC02AD"/>
    <w:rsid w:val="78AC47D1"/>
    <w:rsid w:val="78AF42C1"/>
    <w:rsid w:val="78B561E6"/>
    <w:rsid w:val="78B60A34"/>
    <w:rsid w:val="78BB2C66"/>
    <w:rsid w:val="78BE62B2"/>
    <w:rsid w:val="78C0027C"/>
    <w:rsid w:val="78CB71A1"/>
    <w:rsid w:val="78D9665B"/>
    <w:rsid w:val="78DA314D"/>
    <w:rsid w:val="78DB3308"/>
    <w:rsid w:val="78E26444"/>
    <w:rsid w:val="78EC1071"/>
    <w:rsid w:val="78EC72C3"/>
    <w:rsid w:val="78F25F8F"/>
    <w:rsid w:val="78F543CA"/>
    <w:rsid w:val="78FB5758"/>
    <w:rsid w:val="79077C59"/>
    <w:rsid w:val="7908577F"/>
    <w:rsid w:val="790C6FF3"/>
    <w:rsid w:val="790F04C5"/>
    <w:rsid w:val="79206034"/>
    <w:rsid w:val="79224A93"/>
    <w:rsid w:val="79226841"/>
    <w:rsid w:val="7924080B"/>
    <w:rsid w:val="792720A9"/>
    <w:rsid w:val="792A3D2A"/>
    <w:rsid w:val="792B7DEB"/>
    <w:rsid w:val="792E51E6"/>
    <w:rsid w:val="792F71B0"/>
    <w:rsid w:val="79344C86"/>
    <w:rsid w:val="793A1DDD"/>
    <w:rsid w:val="793F73F3"/>
    <w:rsid w:val="79442C5B"/>
    <w:rsid w:val="79460EC9"/>
    <w:rsid w:val="794750FE"/>
    <w:rsid w:val="794A5D98"/>
    <w:rsid w:val="79534C4C"/>
    <w:rsid w:val="79564679"/>
    <w:rsid w:val="795B7E31"/>
    <w:rsid w:val="795D5ACB"/>
    <w:rsid w:val="796055BB"/>
    <w:rsid w:val="7961380D"/>
    <w:rsid w:val="796404F6"/>
    <w:rsid w:val="79673DF7"/>
    <w:rsid w:val="796B643A"/>
    <w:rsid w:val="796C21B2"/>
    <w:rsid w:val="796F62A7"/>
    <w:rsid w:val="79725274"/>
    <w:rsid w:val="79725A1A"/>
    <w:rsid w:val="79742272"/>
    <w:rsid w:val="79752E15"/>
    <w:rsid w:val="79780B57"/>
    <w:rsid w:val="79791865"/>
    <w:rsid w:val="797B119D"/>
    <w:rsid w:val="797B7075"/>
    <w:rsid w:val="797F0137"/>
    <w:rsid w:val="79856BA0"/>
    <w:rsid w:val="798B3BAA"/>
    <w:rsid w:val="798E037A"/>
    <w:rsid w:val="798E2128"/>
    <w:rsid w:val="79915775"/>
    <w:rsid w:val="79920BE0"/>
    <w:rsid w:val="79922FCC"/>
    <w:rsid w:val="79935991"/>
    <w:rsid w:val="7993773F"/>
    <w:rsid w:val="799534B7"/>
    <w:rsid w:val="799A0ACD"/>
    <w:rsid w:val="799B5123"/>
    <w:rsid w:val="79A25187"/>
    <w:rsid w:val="79A822B4"/>
    <w:rsid w:val="79AB6B94"/>
    <w:rsid w:val="79AE4579"/>
    <w:rsid w:val="79B111C0"/>
    <w:rsid w:val="79B150E2"/>
    <w:rsid w:val="79B2048F"/>
    <w:rsid w:val="79B24DBC"/>
    <w:rsid w:val="79B569C7"/>
    <w:rsid w:val="79B60053"/>
    <w:rsid w:val="79B61ECB"/>
    <w:rsid w:val="79BA116F"/>
    <w:rsid w:val="79BC6C95"/>
    <w:rsid w:val="79C124FE"/>
    <w:rsid w:val="79C21DD2"/>
    <w:rsid w:val="79C610A2"/>
    <w:rsid w:val="79C63670"/>
    <w:rsid w:val="79C80AF5"/>
    <w:rsid w:val="79CB1B91"/>
    <w:rsid w:val="79D10355"/>
    <w:rsid w:val="79D532DB"/>
    <w:rsid w:val="79D833A4"/>
    <w:rsid w:val="79D92F4C"/>
    <w:rsid w:val="79DE3E08"/>
    <w:rsid w:val="79E24BD0"/>
    <w:rsid w:val="79F00D89"/>
    <w:rsid w:val="79F521A7"/>
    <w:rsid w:val="79F611B9"/>
    <w:rsid w:val="7A007411"/>
    <w:rsid w:val="7A015DCF"/>
    <w:rsid w:val="7A0348C4"/>
    <w:rsid w:val="7A04063C"/>
    <w:rsid w:val="7A0423EA"/>
    <w:rsid w:val="7A06419A"/>
    <w:rsid w:val="7A091CAF"/>
    <w:rsid w:val="7A0A00F4"/>
    <w:rsid w:val="7A173ECC"/>
    <w:rsid w:val="7A195E96"/>
    <w:rsid w:val="7A1F66B5"/>
    <w:rsid w:val="7A230AC3"/>
    <w:rsid w:val="7A2605B3"/>
    <w:rsid w:val="7A2922F7"/>
    <w:rsid w:val="7A2D36EF"/>
    <w:rsid w:val="7A2E1215"/>
    <w:rsid w:val="7A364017"/>
    <w:rsid w:val="7A37631C"/>
    <w:rsid w:val="7A410F49"/>
    <w:rsid w:val="7A431165"/>
    <w:rsid w:val="7A4642E6"/>
    <w:rsid w:val="7A48677B"/>
    <w:rsid w:val="7A4B070A"/>
    <w:rsid w:val="7A505630"/>
    <w:rsid w:val="7A5213C6"/>
    <w:rsid w:val="7A554187"/>
    <w:rsid w:val="7A56130E"/>
    <w:rsid w:val="7A61783D"/>
    <w:rsid w:val="7A6C50C0"/>
    <w:rsid w:val="7A6D2E31"/>
    <w:rsid w:val="7A6D7F90"/>
    <w:rsid w:val="7A6F1F5A"/>
    <w:rsid w:val="7A7237F8"/>
    <w:rsid w:val="7A7632E8"/>
    <w:rsid w:val="7A7C34E6"/>
    <w:rsid w:val="7A7D43B5"/>
    <w:rsid w:val="7A805F15"/>
    <w:rsid w:val="7A8265E1"/>
    <w:rsid w:val="7A844AA3"/>
    <w:rsid w:val="7A8D2A12"/>
    <w:rsid w:val="7A8D418E"/>
    <w:rsid w:val="7A902BE2"/>
    <w:rsid w:val="7A913D38"/>
    <w:rsid w:val="7A9E0413"/>
    <w:rsid w:val="7AA21356"/>
    <w:rsid w:val="7AA63BC3"/>
    <w:rsid w:val="7AAA2F92"/>
    <w:rsid w:val="7AAC6D0A"/>
    <w:rsid w:val="7AAC6D82"/>
    <w:rsid w:val="7AB02A24"/>
    <w:rsid w:val="7AB160CE"/>
    <w:rsid w:val="7ABD6615"/>
    <w:rsid w:val="7ABF3E47"/>
    <w:rsid w:val="7AC022BD"/>
    <w:rsid w:val="7AC45D3E"/>
    <w:rsid w:val="7AC73B44"/>
    <w:rsid w:val="7ACB4769"/>
    <w:rsid w:val="7ACC2F08"/>
    <w:rsid w:val="7AD4000F"/>
    <w:rsid w:val="7AD41DBD"/>
    <w:rsid w:val="7AD63D87"/>
    <w:rsid w:val="7AD87AFF"/>
    <w:rsid w:val="7ADE49EA"/>
    <w:rsid w:val="7ADF08FE"/>
    <w:rsid w:val="7ADF2293"/>
    <w:rsid w:val="7AE01819"/>
    <w:rsid w:val="7AE5221C"/>
    <w:rsid w:val="7AE573F8"/>
    <w:rsid w:val="7AEA7832"/>
    <w:rsid w:val="7AEF4E49"/>
    <w:rsid w:val="7AF661D7"/>
    <w:rsid w:val="7AF746FB"/>
    <w:rsid w:val="7AF75AAB"/>
    <w:rsid w:val="7AF91823"/>
    <w:rsid w:val="7AF92531"/>
    <w:rsid w:val="7AFA5BCD"/>
    <w:rsid w:val="7AFB3E71"/>
    <w:rsid w:val="7AFE28B3"/>
    <w:rsid w:val="7B022DCE"/>
    <w:rsid w:val="7B051E9F"/>
    <w:rsid w:val="7B09415C"/>
    <w:rsid w:val="7B0A0EDB"/>
    <w:rsid w:val="7B0B47FE"/>
    <w:rsid w:val="7B0E3521"/>
    <w:rsid w:val="7B14665D"/>
    <w:rsid w:val="7B152B01"/>
    <w:rsid w:val="7B183395"/>
    <w:rsid w:val="7B18614D"/>
    <w:rsid w:val="7B1C2915"/>
    <w:rsid w:val="7B22521E"/>
    <w:rsid w:val="7B2542CE"/>
    <w:rsid w:val="7B272834"/>
    <w:rsid w:val="7B286449"/>
    <w:rsid w:val="7B2A1C68"/>
    <w:rsid w:val="7B2A40D3"/>
    <w:rsid w:val="7B2B4347"/>
    <w:rsid w:val="7B2F5B90"/>
    <w:rsid w:val="7B301B08"/>
    <w:rsid w:val="7B332F87"/>
    <w:rsid w:val="7B340AAD"/>
    <w:rsid w:val="7B3665D4"/>
    <w:rsid w:val="7B395C50"/>
    <w:rsid w:val="7B3B5C5D"/>
    <w:rsid w:val="7B4056A4"/>
    <w:rsid w:val="7B452510"/>
    <w:rsid w:val="7B4C229B"/>
    <w:rsid w:val="7B4D6575"/>
    <w:rsid w:val="7B4E6013"/>
    <w:rsid w:val="7B542EFE"/>
    <w:rsid w:val="7B5A6766"/>
    <w:rsid w:val="7B5B428C"/>
    <w:rsid w:val="7B5D6256"/>
    <w:rsid w:val="7B5F6136"/>
    <w:rsid w:val="7B607AC7"/>
    <w:rsid w:val="7B686D42"/>
    <w:rsid w:val="7B6B0973"/>
    <w:rsid w:val="7B705F89"/>
    <w:rsid w:val="7B71585E"/>
    <w:rsid w:val="7B784E3E"/>
    <w:rsid w:val="7B793932"/>
    <w:rsid w:val="7B7A0BB6"/>
    <w:rsid w:val="7B7C5503"/>
    <w:rsid w:val="7B7CC3BE"/>
    <w:rsid w:val="7B7D65C9"/>
    <w:rsid w:val="7B841746"/>
    <w:rsid w:val="7B8509AE"/>
    <w:rsid w:val="7B85590D"/>
    <w:rsid w:val="7B892BA7"/>
    <w:rsid w:val="7B8C08E9"/>
    <w:rsid w:val="7B915F00"/>
    <w:rsid w:val="7B94617F"/>
    <w:rsid w:val="7B95154C"/>
    <w:rsid w:val="7B95779E"/>
    <w:rsid w:val="7B9C21F3"/>
    <w:rsid w:val="7BA2010D"/>
    <w:rsid w:val="7BA21EBB"/>
    <w:rsid w:val="7BA43E85"/>
    <w:rsid w:val="7BAB6FC2"/>
    <w:rsid w:val="7BB045D8"/>
    <w:rsid w:val="7BB06386"/>
    <w:rsid w:val="7BB340C8"/>
    <w:rsid w:val="7BB5399C"/>
    <w:rsid w:val="7BB62D2A"/>
    <w:rsid w:val="7BB9515C"/>
    <w:rsid w:val="7BBA0FB3"/>
    <w:rsid w:val="7BBA5457"/>
    <w:rsid w:val="7BC63DFB"/>
    <w:rsid w:val="7BC8057C"/>
    <w:rsid w:val="7BC82BFF"/>
    <w:rsid w:val="7BC9569A"/>
    <w:rsid w:val="7BD076F4"/>
    <w:rsid w:val="7BD11B1C"/>
    <w:rsid w:val="7BD156AE"/>
    <w:rsid w:val="7BD227A0"/>
    <w:rsid w:val="7BD32074"/>
    <w:rsid w:val="7BD55DED"/>
    <w:rsid w:val="7BD61B65"/>
    <w:rsid w:val="7BDD1145"/>
    <w:rsid w:val="7BE168DA"/>
    <w:rsid w:val="7BE40725"/>
    <w:rsid w:val="7BE60210"/>
    <w:rsid w:val="7BE94022"/>
    <w:rsid w:val="7BE97AEA"/>
    <w:rsid w:val="7BED75DA"/>
    <w:rsid w:val="7BEF1922"/>
    <w:rsid w:val="7BF042C6"/>
    <w:rsid w:val="7BF24828"/>
    <w:rsid w:val="7BF72207"/>
    <w:rsid w:val="7BF869BE"/>
    <w:rsid w:val="7BFF730D"/>
    <w:rsid w:val="7C050E74"/>
    <w:rsid w:val="7C0B3B12"/>
    <w:rsid w:val="7C136915"/>
    <w:rsid w:val="7C1728A9"/>
    <w:rsid w:val="7C196FF2"/>
    <w:rsid w:val="7C1C1C6D"/>
    <w:rsid w:val="7C1D7581"/>
    <w:rsid w:val="7C1E2884"/>
    <w:rsid w:val="7C1F46DE"/>
    <w:rsid w:val="7C23381E"/>
    <w:rsid w:val="7C282F7F"/>
    <w:rsid w:val="7C2F7BF3"/>
    <w:rsid w:val="7C350F81"/>
    <w:rsid w:val="7C3945CD"/>
    <w:rsid w:val="7C3B3F3B"/>
    <w:rsid w:val="7C3C2310"/>
    <w:rsid w:val="7C3E721E"/>
    <w:rsid w:val="7C3F770A"/>
    <w:rsid w:val="7C440ADF"/>
    <w:rsid w:val="7C445A66"/>
    <w:rsid w:val="7C464F3C"/>
    <w:rsid w:val="7C53719D"/>
    <w:rsid w:val="7C570EF7"/>
    <w:rsid w:val="7C5C4760"/>
    <w:rsid w:val="7C5D4691"/>
    <w:rsid w:val="7C5E5083"/>
    <w:rsid w:val="7C611D76"/>
    <w:rsid w:val="7C6158D2"/>
    <w:rsid w:val="7C633215"/>
    <w:rsid w:val="7C634A09"/>
    <w:rsid w:val="7C64440A"/>
    <w:rsid w:val="7C690046"/>
    <w:rsid w:val="7C69033E"/>
    <w:rsid w:val="7C6C5AC7"/>
    <w:rsid w:val="7C75184C"/>
    <w:rsid w:val="7C772F8A"/>
    <w:rsid w:val="7C775365"/>
    <w:rsid w:val="7C7A6994"/>
    <w:rsid w:val="7C7C095E"/>
    <w:rsid w:val="7C7D65A8"/>
    <w:rsid w:val="7C7E46D6"/>
    <w:rsid w:val="7C833A9B"/>
    <w:rsid w:val="7C843784"/>
    <w:rsid w:val="7C857813"/>
    <w:rsid w:val="7C876DB8"/>
    <w:rsid w:val="7C885555"/>
    <w:rsid w:val="7C9D4A53"/>
    <w:rsid w:val="7C9F32AD"/>
    <w:rsid w:val="7CA3073B"/>
    <w:rsid w:val="7CA3413D"/>
    <w:rsid w:val="7CA35EEB"/>
    <w:rsid w:val="7CA50FE9"/>
    <w:rsid w:val="7CA67789"/>
    <w:rsid w:val="7CAA0691"/>
    <w:rsid w:val="7CAA54CB"/>
    <w:rsid w:val="7CAF7EB6"/>
    <w:rsid w:val="7CB25F06"/>
    <w:rsid w:val="7CB77E6C"/>
    <w:rsid w:val="7CBC08B6"/>
    <w:rsid w:val="7CBC0D5A"/>
    <w:rsid w:val="7CBD433F"/>
    <w:rsid w:val="7CBE0F77"/>
    <w:rsid w:val="7CBE2D25"/>
    <w:rsid w:val="7CBE4AA9"/>
    <w:rsid w:val="7CC07361"/>
    <w:rsid w:val="7CC52305"/>
    <w:rsid w:val="7CC52470"/>
    <w:rsid w:val="7CC6544B"/>
    <w:rsid w:val="7CCD11BA"/>
    <w:rsid w:val="7CCD4DCC"/>
    <w:rsid w:val="7CCD71C2"/>
    <w:rsid w:val="7CD07C4A"/>
    <w:rsid w:val="7CD662C0"/>
    <w:rsid w:val="7CD9190C"/>
    <w:rsid w:val="7CDB5685"/>
    <w:rsid w:val="7CE12762"/>
    <w:rsid w:val="7CE502B1"/>
    <w:rsid w:val="7CE55081"/>
    <w:rsid w:val="7CE85FF3"/>
    <w:rsid w:val="7CEC1640"/>
    <w:rsid w:val="7CEC5AE4"/>
    <w:rsid w:val="7CF130FA"/>
    <w:rsid w:val="7CF378E2"/>
    <w:rsid w:val="7CF96AA8"/>
    <w:rsid w:val="7CFD610B"/>
    <w:rsid w:val="7D006E99"/>
    <w:rsid w:val="7D0117D2"/>
    <w:rsid w:val="7D0239FF"/>
    <w:rsid w:val="7D0746CC"/>
    <w:rsid w:val="7D07647A"/>
    <w:rsid w:val="7D0859CB"/>
    <w:rsid w:val="7D146DE8"/>
    <w:rsid w:val="7D1B1F25"/>
    <w:rsid w:val="7D1B3CD3"/>
    <w:rsid w:val="7D1C7A4B"/>
    <w:rsid w:val="7D1D794F"/>
    <w:rsid w:val="7D1E1DE6"/>
    <w:rsid w:val="7D20753B"/>
    <w:rsid w:val="7D2232B3"/>
    <w:rsid w:val="7D227EB9"/>
    <w:rsid w:val="7D2D711D"/>
    <w:rsid w:val="7D3117F9"/>
    <w:rsid w:val="7D337F50"/>
    <w:rsid w:val="7D3905FD"/>
    <w:rsid w:val="7D3908C9"/>
    <w:rsid w:val="7D3923AB"/>
    <w:rsid w:val="7D3B2348"/>
    <w:rsid w:val="7D3D00ED"/>
    <w:rsid w:val="7D3E3E65"/>
    <w:rsid w:val="7D421DE0"/>
    <w:rsid w:val="7D48439C"/>
    <w:rsid w:val="7D4C295A"/>
    <w:rsid w:val="7D4E40A8"/>
    <w:rsid w:val="7D545437"/>
    <w:rsid w:val="7D591FE5"/>
    <w:rsid w:val="7D595C5C"/>
    <w:rsid w:val="7D5A1DEA"/>
    <w:rsid w:val="7D5A7529"/>
    <w:rsid w:val="7D5B67C5"/>
    <w:rsid w:val="7D5D253D"/>
    <w:rsid w:val="7D5E40CD"/>
    <w:rsid w:val="7D6361D5"/>
    <w:rsid w:val="7D641B1E"/>
    <w:rsid w:val="7D676F18"/>
    <w:rsid w:val="7D6A07B6"/>
    <w:rsid w:val="7D6E02A7"/>
    <w:rsid w:val="7D715917"/>
    <w:rsid w:val="7D731D61"/>
    <w:rsid w:val="7D75423C"/>
    <w:rsid w:val="7D756B20"/>
    <w:rsid w:val="7D762483"/>
    <w:rsid w:val="7D782ED3"/>
    <w:rsid w:val="7D7D673C"/>
    <w:rsid w:val="7D8253F9"/>
    <w:rsid w:val="7D831878"/>
    <w:rsid w:val="7D840179"/>
    <w:rsid w:val="7D8950E1"/>
    <w:rsid w:val="7D8C697F"/>
    <w:rsid w:val="7D8E36F9"/>
    <w:rsid w:val="7D8F646F"/>
    <w:rsid w:val="7D91708B"/>
    <w:rsid w:val="7D932AED"/>
    <w:rsid w:val="7D955A0C"/>
    <w:rsid w:val="7D9A0F4F"/>
    <w:rsid w:val="7D9A72EE"/>
    <w:rsid w:val="7D9B4E14"/>
    <w:rsid w:val="7D9D0B8C"/>
    <w:rsid w:val="7D9F0616"/>
    <w:rsid w:val="7DA64827"/>
    <w:rsid w:val="7DA82101"/>
    <w:rsid w:val="7DAE2D99"/>
    <w:rsid w:val="7DAE3DE3"/>
    <w:rsid w:val="7DB76DAD"/>
    <w:rsid w:val="7DB85132"/>
    <w:rsid w:val="7DB859C6"/>
    <w:rsid w:val="7DBB54B6"/>
    <w:rsid w:val="7DBD5D35"/>
    <w:rsid w:val="7DBF0B02"/>
    <w:rsid w:val="7DBF33C3"/>
    <w:rsid w:val="7DBF6D54"/>
    <w:rsid w:val="7DC97BD3"/>
    <w:rsid w:val="7DCD56F2"/>
    <w:rsid w:val="7DCE51E9"/>
    <w:rsid w:val="7DD16A88"/>
    <w:rsid w:val="7DD30A52"/>
    <w:rsid w:val="7DD50326"/>
    <w:rsid w:val="7DD85612"/>
    <w:rsid w:val="7DDA3B8E"/>
    <w:rsid w:val="7DDC7906"/>
    <w:rsid w:val="7DDF73F6"/>
    <w:rsid w:val="7DE03B48"/>
    <w:rsid w:val="7DE467BB"/>
    <w:rsid w:val="7DE631DE"/>
    <w:rsid w:val="7DE93DD1"/>
    <w:rsid w:val="7DEB7B49"/>
    <w:rsid w:val="7DEE13E8"/>
    <w:rsid w:val="7DFD3140"/>
    <w:rsid w:val="7E0230E5"/>
    <w:rsid w:val="7E04461C"/>
    <w:rsid w:val="7E046E5D"/>
    <w:rsid w:val="7E052E04"/>
    <w:rsid w:val="7E064983"/>
    <w:rsid w:val="7E0B407C"/>
    <w:rsid w:val="7E0C3F7D"/>
    <w:rsid w:val="7E0E3838"/>
    <w:rsid w:val="7E105802"/>
    <w:rsid w:val="7E15575E"/>
    <w:rsid w:val="7E1C0BDB"/>
    <w:rsid w:val="7E1C41A7"/>
    <w:rsid w:val="7E1C5F55"/>
    <w:rsid w:val="7E1E756D"/>
    <w:rsid w:val="7E1E7F1F"/>
    <w:rsid w:val="7E21356B"/>
    <w:rsid w:val="7E290672"/>
    <w:rsid w:val="7E2D63B4"/>
    <w:rsid w:val="7E2E7A36"/>
    <w:rsid w:val="7E3374CC"/>
    <w:rsid w:val="7E355268"/>
    <w:rsid w:val="7E395009"/>
    <w:rsid w:val="7E3E236F"/>
    <w:rsid w:val="7E3E4DD9"/>
    <w:rsid w:val="7E40506C"/>
    <w:rsid w:val="7E41627A"/>
    <w:rsid w:val="7E4234E1"/>
    <w:rsid w:val="7E423BEE"/>
    <w:rsid w:val="7E464D80"/>
    <w:rsid w:val="7E4668A5"/>
    <w:rsid w:val="7E4B05E8"/>
    <w:rsid w:val="7E4E01D4"/>
    <w:rsid w:val="7E525E1A"/>
    <w:rsid w:val="7E5B02B6"/>
    <w:rsid w:val="7E5C27F5"/>
    <w:rsid w:val="7E61605D"/>
    <w:rsid w:val="7E62343F"/>
    <w:rsid w:val="7E643124"/>
    <w:rsid w:val="7E670B21"/>
    <w:rsid w:val="7E673213"/>
    <w:rsid w:val="7E687003"/>
    <w:rsid w:val="7E694F12"/>
    <w:rsid w:val="7E6A711D"/>
    <w:rsid w:val="7E6B2A38"/>
    <w:rsid w:val="7E6E693D"/>
    <w:rsid w:val="7E6F0022"/>
    <w:rsid w:val="7E765B8B"/>
    <w:rsid w:val="7E786327"/>
    <w:rsid w:val="7E802BB7"/>
    <w:rsid w:val="7E81400A"/>
    <w:rsid w:val="7E896122"/>
    <w:rsid w:val="7E8B7C0A"/>
    <w:rsid w:val="7E8F7EC5"/>
    <w:rsid w:val="7E917BE5"/>
    <w:rsid w:val="7E9755DB"/>
    <w:rsid w:val="7E9F38CD"/>
    <w:rsid w:val="7EA1212E"/>
    <w:rsid w:val="7EA2426D"/>
    <w:rsid w:val="7EA366EB"/>
    <w:rsid w:val="7EA45F4A"/>
    <w:rsid w:val="7EA47B7B"/>
    <w:rsid w:val="7EA63A70"/>
    <w:rsid w:val="7EA96C28"/>
    <w:rsid w:val="7EAC09C7"/>
    <w:rsid w:val="7EB10D93"/>
    <w:rsid w:val="7EB34363"/>
    <w:rsid w:val="7EB443DF"/>
    <w:rsid w:val="7EB63342"/>
    <w:rsid w:val="7EB663A9"/>
    <w:rsid w:val="7EB73ECF"/>
    <w:rsid w:val="7EBB576E"/>
    <w:rsid w:val="7EC04F15"/>
    <w:rsid w:val="7EC108AA"/>
    <w:rsid w:val="7ED67EFB"/>
    <w:rsid w:val="7EDB0254"/>
    <w:rsid w:val="7EDB5E10"/>
    <w:rsid w:val="7EDE76AE"/>
    <w:rsid w:val="7EE10F4C"/>
    <w:rsid w:val="7EE30820"/>
    <w:rsid w:val="7EE47B1D"/>
    <w:rsid w:val="7EE60311"/>
    <w:rsid w:val="7EE66563"/>
    <w:rsid w:val="7EEA1604"/>
    <w:rsid w:val="7EEB5927"/>
    <w:rsid w:val="7EED78F1"/>
    <w:rsid w:val="7EF40782"/>
    <w:rsid w:val="7EFD1016"/>
    <w:rsid w:val="7EFF6F9C"/>
    <w:rsid w:val="7F001CE7"/>
    <w:rsid w:val="7F005876"/>
    <w:rsid w:val="7F06150E"/>
    <w:rsid w:val="7F074F02"/>
    <w:rsid w:val="7F0864D9"/>
    <w:rsid w:val="7F0B7D77"/>
    <w:rsid w:val="7F0D1D41"/>
    <w:rsid w:val="7F0D52EA"/>
    <w:rsid w:val="7F1046F2"/>
    <w:rsid w:val="7F167AA4"/>
    <w:rsid w:val="7F1725CE"/>
    <w:rsid w:val="7F174669"/>
    <w:rsid w:val="7F17496E"/>
    <w:rsid w:val="7F192494"/>
    <w:rsid w:val="7F1B7FBA"/>
    <w:rsid w:val="7F1C1F84"/>
    <w:rsid w:val="7F1D2F30"/>
    <w:rsid w:val="7F1E3F4E"/>
    <w:rsid w:val="7F201706"/>
    <w:rsid w:val="7F2135AC"/>
    <w:rsid w:val="7F2552DD"/>
    <w:rsid w:val="7F271055"/>
    <w:rsid w:val="7F2A1DFE"/>
    <w:rsid w:val="7F315A30"/>
    <w:rsid w:val="7F355D9E"/>
    <w:rsid w:val="7F37317E"/>
    <w:rsid w:val="7F390D88"/>
    <w:rsid w:val="7F3B68AE"/>
    <w:rsid w:val="7F3E639F"/>
    <w:rsid w:val="7F42628D"/>
    <w:rsid w:val="7F4A08A0"/>
    <w:rsid w:val="7F4A4D43"/>
    <w:rsid w:val="7F4F373A"/>
    <w:rsid w:val="7F5363C3"/>
    <w:rsid w:val="7F572FBC"/>
    <w:rsid w:val="7F587E70"/>
    <w:rsid w:val="7F5D4A77"/>
    <w:rsid w:val="7F6000C3"/>
    <w:rsid w:val="7F605D4B"/>
    <w:rsid w:val="7F610D46"/>
    <w:rsid w:val="7F612812"/>
    <w:rsid w:val="7F67721B"/>
    <w:rsid w:val="7F67755C"/>
    <w:rsid w:val="7F6A04DA"/>
    <w:rsid w:val="7F6B2F97"/>
    <w:rsid w:val="7F6C6A68"/>
    <w:rsid w:val="7F6D458E"/>
    <w:rsid w:val="7F707618"/>
    <w:rsid w:val="7F74049E"/>
    <w:rsid w:val="7F7D0C75"/>
    <w:rsid w:val="7F802513"/>
    <w:rsid w:val="7F803438"/>
    <w:rsid w:val="7F870C79"/>
    <w:rsid w:val="7F8A15E4"/>
    <w:rsid w:val="7F8C2C66"/>
    <w:rsid w:val="7F8F61BD"/>
    <w:rsid w:val="7F912972"/>
    <w:rsid w:val="7F9F0E2D"/>
    <w:rsid w:val="7FA523E6"/>
    <w:rsid w:val="7FA9115C"/>
    <w:rsid w:val="7FAC7558"/>
    <w:rsid w:val="7FBD72C3"/>
    <w:rsid w:val="7FC22B2C"/>
    <w:rsid w:val="7FC92BA5"/>
    <w:rsid w:val="7FCB5E84"/>
    <w:rsid w:val="7FCB7C32"/>
    <w:rsid w:val="7FD060B9"/>
    <w:rsid w:val="7FD20715"/>
    <w:rsid w:val="7FD33E7F"/>
    <w:rsid w:val="7FD50AB1"/>
    <w:rsid w:val="7FDA60C7"/>
    <w:rsid w:val="7FDB3BED"/>
    <w:rsid w:val="7FDC4D33"/>
    <w:rsid w:val="7FDF4D73"/>
    <w:rsid w:val="7FE02FB2"/>
    <w:rsid w:val="7FE24F7C"/>
    <w:rsid w:val="7FE47E50"/>
    <w:rsid w:val="7FE5681A"/>
    <w:rsid w:val="7FED470B"/>
    <w:rsid w:val="7FEE1B73"/>
    <w:rsid w:val="7FEE2B34"/>
    <w:rsid w:val="7FF8479F"/>
    <w:rsid w:val="7FFA22C6"/>
    <w:rsid w:val="7FFA3DD9"/>
    <w:rsid w:val="7FFA4074"/>
    <w:rsid w:val="7FFD1970"/>
    <w:rsid w:val="7FFD7361"/>
    <w:rsid w:val="7FFF168A"/>
    <w:rsid w:val="7FFF78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spacing w:before="50" w:beforeLines="50" w:beforeAutospacing="0" w:after="50" w:afterLines="50" w:afterAutospacing="0" w:line="360" w:lineRule="auto"/>
      <w:outlineLvl w:val="1"/>
    </w:pPr>
    <w:rPr>
      <w:rFonts w:ascii="Arial" w:hAnsi="Arial" w:eastAsia="宋体"/>
      <w:b/>
      <w:sz w:val="24"/>
    </w:rPr>
  </w:style>
  <w:style w:type="paragraph" w:styleId="4">
    <w:name w:val="heading 3"/>
    <w:basedOn w:val="1"/>
    <w:next w:val="1"/>
    <w:unhideWhenUsed/>
    <w:qFormat/>
    <w:locked/>
    <w:uiPriority w:val="0"/>
    <w:pPr>
      <w:keepNext/>
      <w:keepLines/>
      <w:numPr>
        <w:ilvl w:val="2"/>
        <w:numId w:val="1"/>
      </w:numPr>
      <w:spacing w:before="20" w:after="20" w:line="360" w:lineRule="auto"/>
      <w:ind w:left="0" w:firstLine="0" w:firstLineChars="0"/>
      <w:jc w:val="left"/>
      <w:outlineLvl w:val="2"/>
    </w:pPr>
    <w:rPr>
      <w:rFonts w:ascii="Times New Roman" w:hAnsi="Times New Roman" w:eastAsia="宋体" w:cs="Times New Roman"/>
      <w:b/>
      <w:bCs/>
      <w:kern w:val="2"/>
      <w:sz w:val="32"/>
      <w:szCs w:val="32"/>
    </w:rPr>
  </w:style>
  <w:style w:type="character" w:default="1" w:styleId="31">
    <w:name w:val="Default Paragraph Font"/>
    <w:link w:val="32"/>
    <w:semiHidden/>
    <w:qFormat/>
    <w:uiPriority w:val="0"/>
    <w:rPr>
      <w:rFonts w:ascii="宋体" w:hAnsi="宋体" w:eastAsia="宋体"/>
      <w:kern w:val="2"/>
      <w:sz w:val="24"/>
      <w:szCs w:val="24"/>
      <w:lang w:val="en-US" w:eastAsia="zh-CN" w:bidi="ar-SA"/>
    </w:rPr>
  </w:style>
  <w:style w:type="table" w:default="1" w:styleId="29">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locked/>
    <w:uiPriority w:val="0"/>
    <w:pPr>
      <w:adjustRightInd w:val="0"/>
      <w:spacing w:line="312" w:lineRule="atLeast"/>
      <w:ind w:firstLine="420"/>
      <w:textAlignment w:val="baseline"/>
    </w:pPr>
    <w:rPr>
      <w:kern w:val="0"/>
      <w:szCs w:val="20"/>
    </w:rPr>
  </w:style>
  <w:style w:type="paragraph" w:styleId="6">
    <w:name w:val="caption"/>
    <w:basedOn w:val="1"/>
    <w:next w:val="1"/>
    <w:qFormat/>
    <w:locked/>
    <w:uiPriority w:val="0"/>
    <w:pPr>
      <w:widowControl/>
      <w:jc w:val="left"/>
    </w:pPr>
    <w:rPr>
      <w:rFonts w:ascii="Arial" w:hAnsi="Arial" w:eastAsia="黑体" w:cs="Arial"/>
      <w:sz w:val="20"/>
      <w:szCs w:val="20"/>
    </w:rPr>
  </w:style>
  <w:style w:type="paragraph" w:styleId="7">
    <w:name w:val="annotation text"/>
    <w:basedOn w:val="1"/>
    <w:link w:val="38"/>
    <w:semiHidden/>
    <w:qFormat/>
    <w:uiPriority w:val="0"/>
    <w:pPr>
      <w:jc w:val="left"/>
    </w:pPr>
    <w:rPr>
      <w:kern w:val="0"/>
      <w:sz w:val="24"/>
      <w:szCs w:val="20"/>
    </w:rPr>
  </w:style>
  <w:style w:type="paragraph" w:styleId="8">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9">
    <w:name w:val="Body Text Indent"/>
    <w:basedOn w:val="1"/>
    <w:next w:val="10"/>
    <w:link w:val="39"/>
    <w:qFormat/>
    <w:uiPriority w:val="0"/>
    <w:pPr>
      <w:spacing w:after="120"/>
      <w:ind w:left="420" w:leftChars="200"/>
    </w:pPr>
    <w:rPr>
      <w:kern w:val="0"/>
      <w:sz w:val="24"/>
      <w:szCs w:val="20"/>
    </w:rPr>
  </w:style>
  <w:style w:type="paragraph" w:customStyle="1" w:styleId="10">
    <w:name w:val="样式 正文文本缩进 + 行距: 1.5 倍行距"/>
    <w:basedOn w:val="9"/>
    <w:qFormat/>
    <w:uiPriority w:val="0"/>
    <w:pPr>
      <w:spacing w:line="360" w:lineRule="auto"/>
      <w:ind w:left="0" w:leftChars="0" w:firstLine="560" w:firstLineChars="200"/>
    </w:pPr>
    <w:rPr>
      <w:b/>
      <w:bCs/>
      <w:sz w:val="28"/>
    </w:rPr>
  </w:style>
  <w:style w:type="paragraph" w:styleId="11">
    <w:name w:val="List 2"/>
    <w:basedOn w:val="1"/>
    <w:qFormat/>
    <w:locked/>
    <w:uiPriority w:val="0"/>
    <w:pPr>
      <w:ind w:left="100" w:leftChars="200" w:hanging="200" w:hangingChars="200"/>
    </w:pPr>
  </w:style>
  <w:style w:type="paragraph" w:styleId="12">
    <w:name w:val="Block Text"/>
    <w:basedOn w:val="1"/>
    <w:qFormat/>
    <w:locked/>
    <w:uiPriority w:val="0"/>
    <w:pPr>
      <w:spacing w:after="120"/>
      <w:ind w:left="1440" w:leftChars="700" w:right="1440" w:rightChars="700"/>
    </w:pPr>
  </w:style>
  <w:style w:type="paragraph" w:styleId="13">
    <w:name w:val="Plain Text"/>
    <w:basedOn w:val="1"/>
    <w:qFormat/>
    <w:locked/>
    <w:uiPriority w:val="0"/>
    <w:pPr>
      <w:spacing w:line="240" w:lineRule="atLeast"/>
    </w:pPr>
    <w:rPr>
      <w:rFonts w:hint="eastAsia" w:ascii="宋体" w:hAnsi="Courier New"/>
      <w:sz w:val="28"/>
      <w:szCs w:val="21"/>
    </w:rPr>
  </w:style>
  <w:style w:type="paragraph" w:styleId="14">
    <w:name w:val="List Bullet 5"/>
    <w:basedOn w:val="1"/>
    <w:qFormat/>
    <w:locked/>
    <w:uiPriority w:val="0"/>
    <w:pPr>
      <w:numPr>
        <w:ilvl w:val="0"/>
        <w:numId w:val="2"/>
      </w:numPr>
    </w:pPr>
  </w:style>
  <w:style w:type="paragraph" w:styleId="15">
    <w:name w:val="Date"/>
    <w:basedOn w:val="1"/>
    <w:next w:val="1"/>
    <w:link w:val="40"/>
    <w:qFormat/>
    <w:uiPriority w:val="0"/>
    <w:pPr>
      <w:ind w:left="100" w:leftChars="2500"/>
    </w:pPr>
    <w:rPr>
      <w:kern w:val="0"/>
      <w:sz w:val="24"/>
      <w:szCs w:val="20"/>
    </w:rPr>
  </w:style>
  <w:style w:type="paragraph" w:styleId="16">
    <w:name w:val="Body Text Indent 2"/>
    <w:basedOn w:val="1"/>
    <w:qFormat/>
    <w:locked/>
    <w:uiPriority w:val="0"/>
    <w:pPr>
      <w:spacing w:after="120" w:line="480" w:lineRule="auto"/>
      <w:ind w:left="420" w:leftChars="200"/>
    </w:pPr>
  </w:style>
  <w:style w:type="paragraph" w:styleId="17">
    <w:name w:val="Balloon Text"/>
    <w:basedOn w:val="1"/>
    <w:link w:val="41"/>
    <w:semiHidden/>
    <w:qFormat/>
    <w:uiPriority w:val="0"/>
    <w:rPr>
      <w:kern w:val="0"/>
      <w:sz w:val="18"/>
      <w:szCs w:val="20"/>
    </w:rPr>
  </w:style>
  <w:style w:type="paragraph" w:styleId="18">
    <w:name w:val="footer"/>
    <w:basedOn w:val="1"/>
    <w:next w:val="1"/>
    <w:link w:val="42"/>
    <w:qFormat/>
    <w:uiPriority w:val="99"/>
    <w:pPr>
      <w:tabs>
        <w:tab w:val="center" w:pos="4153"/>
        <w:tab w:val="right" w:pos="8306"/>
      </w:tabs>
      <w:snapToGrid w:val="0"/>
      <w:jc w:val="left"/>
    </w:pPr>
    <w:rPr>
      <w:kern w:val="0"/>
      <w:sz w:val="18"/>
      <w:szCs w:val="20"/>
    </w:rPr>
  </w:style>
  <w:style w:type="paragraph" w:styleId="19">
    <w:name w:val="header"/>
    <w:basedOn w:val="1"/>
    <w:next w:val="8"/>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qFormat/>
    <w:locked/>
    <w:uiPriority w:val="0"/>
  </w:style>
  <w:style w:type="paragraph" w:styleId="21">
    <w:name w:val="index heading"/>
    <w:basedOn w:val="1"/>
    <w:next w:val="22"/>
    <w:qFormat/>
    <w:locked/>
    <w:uiPriority w:val="0"/>
    <w:rPr>
      <w:rFonts w:ascii="Arial" w:hAnsi="Arial"/>
      <w:b/>
    </w:rPr>
  </w:style>
  <w:style w:type="paragraph" w:styleId="22">
    <w:name w:val="index 1"/>
    <w:basedOn w:val="1"/>
    <w:next w:val="1"/>
    <w:qFormat/>
    <w:locked/>
    <w:uiPriority w:val="0"/>
    <w:pPr>
      <w:spacing w:line="360" w:lineRule="auto"/>
    </w:pPr>
    <w:rPr>
      <w:sz w:val="24"/>
      <w:szCs w:val="21"/>
    </w:rPr>
  </w:style>
  <w:style w:type="paragraph" w:styleId="23">
    <w:name w:val="List"/>
    <w:basedOn w:val="11"/>
    <w:next w:val="1"/>
    <w:qFormat/>
    <w:locked/>
    <w:uiPriority w:val="0"/>
    <w:pPr>
      <w:ind w:left="200" w:hanging="200" w:hangingChars="200"/>
      <w:contextualSpacing/>
    </w:pPr>
  </w:style>
  <w:style w:type="paragraph" w:styleId="24">
    <w:name w:val="Body Text Indent 3"/>
    <w:basedOn w:val="1"/>
    <w:qFormat/>
    <w:locked/>
    <w:uiPriority w:val="0"/>
    <w:pPr>
      <w:spacing w:after="120"/>
      <w:ind w:left="420" w:leftChars="200"/>
    </w:pPr>
    <w:rPr>
      <w:sz w:val="16"/>
      <w:szCs w:val="16"/>
    </w:rPr>
  </w:style>
  <w:style w:type="paragraph" w:styleId="25">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7"/>
    <w:next w:val="7"/>
    <w:link w:val="45"/>
    <w:semiHidden/>
    <w:qFormat/>
    <w:uiPriority w:val="0"/>
    <w:rPr>
      <w:b/>
      <w:sz w:val="24"/>
      <w:szCs w:val="20"/>
    </w:rPr>
  </w:style>
  <w:style w:type="paragraph" w:styleId="27">
    <w:name w:val="Body Text First Indent"/>
    <w:basedOn w:val="8"/>
    <w:next w:val="1"/>
    <w:unhideWhenUsed/>
    <w:qFormat/>
    <w:locked/>
    <w:uiPriority w:val="99"/>
    <w:pPr>
      <w:ind w:firstLine="420" w:firstLineChars="100"/>
    </w:pPr>
  </w:style>
  <w:style w:type="paragraph" w:styleId="28">
    <w:name w:val="Body Text First Indent 2"/>
    <w:basedOn w:val="1"/>
    <w:next w:val="27"/>
    <w:qFormat/>
    <w:locked/>
    <w:uiPriority w:val="0"/>
    <w:pPr>
      <w:ind w:firstLine="420" w:firstLineChars="200"/>
    </w:p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 Char1 Char Char Char1 Char Char Char Char Char Char Char Char Char Char Char Char"/>
    <w:basedOn w:val="1"/>
    <w:next w:val="1"/>
    <w:link w:val="31"/>
    <w:qFormat/>
    <w:uiPriority w:val="0"/>
    <w:rPr>
      <w:rFonts w:ascii="宋体" w:hAnsi="宋体" w:eastAsia="宋体"/>
      <w:kern w:val="2"/>
      <w:sz w:val="24"/>
      <w:szCs w:val="24"/>
      <w:lang w:val="en-US" w:eastAsia="zh-CN" w:bidi="ar-SA"/>
    </w:rPr>
  </w:style>
  <w:style w:type="character" w:styleId="33">
    <w:name w:val="Strong"/>
    <w:basedOn w:val="31"/>
    <w:qFormat/>
    <w:locked/>
    <w:uiPriority w:val="0"/>
    <w:rPr>
      <w:b/>
    </w:rPr>
  </w:style>
  <w:style w:type="character" w:styleId="34">
    <w:name w:val="page number"/>
    <w:basedOn w:val="31"/>
    <w:qFormat/>
    <w:locked/>
    <w:uiPriority w:val="0"/>
  </w:style>
  <w:style w:type="character" w:styleId="35">
    <w:name w:val="Hyperlink"/>
    <w:basedOn w:val="31"/>
    <w:qFormat/>
    <w:locked/>
    <w:uiPriority w:val="0"/>
    <w:rPr>
      <w:color w:val="0000FF"/>
      <w:u w:val="single"/>
    </w:rPr>
  </w:style>
  <w:style w:type="character" w:styleId="36">
    <w:name w:val="annotation reference"/>
    <w:basedOn w:val="31"/>
    <w:semiHidden/>
    <w:qFormat/>
    <w:uiPriority w:val="0"/>
    <w:rPr>
      <w:sz w:val="21"/>
    </w:rPr>
  </w:style>
  <w:style w:type="character" w:customStyle="1" w:styleId="37">
    <w:name w:val=" Char Char9"/>
    <w:link w:val="8"/>
    <w:qFormat/>
    <w:uiPriority w:val="0"/>
    <w:rPr>
      <w:kern w:val="2"/>
      <w:sz w:val="21"/>
      <w:szCs w:val="24"/>
    </w:rPr>
  </w:style>
  <w:style w:type="character" w:customStyle="1" w:styleId="38">
    <w:name w:val="批注文字 Char"/>
    <w:link w:val="7"/>
    <w:qFormat/>
    <w:locked/>
    <w:uiPriority w:val="0"/>
    <w:rPr>
      <w:rFonts w:ascii="Times New Roman" w:hAnsi="Times New Roman" w:eastAsia="宋体"/>
      <w:sz w:val="24"/>
    </w:rPr>
  </w:style>
  <w:style w:type="character" w:customStyle="1" w:styleId="39">
    <w:name w:val="正文文本缩进 Char"/>
    <w:link w:val="9"/>
    <w:semiHidden/>
    <w:qFormat/>
    <w:locked/>
    <w:uiPriority w:val="0"/>
    <w:rPr>
      <w:rFonts w:ascii="Times New Roman" w:hAnsi="Times New Roman" w:eastAsia="宋体"/>
      <w:sz w:val="24"/>
    </w:rPr>
  </w:style>
  <w:style w:type="character" w:customStyle="1" w:styleId="40">
    <w:name w:val="日期 Char"/>
    <w:link w:val="15"/>
    <w:qFormat/>
    <w:locked/>
    <w:uiPriority w:val="0"/>
    <w:rPr>
      <w:rFonts w:ascii="Times New Roman" w:hAnsi="Times New Roman" w:eastAsia="宋体"/>
      <w:sz w:val="24"/>
    </w:rPr>
  </w:style>
  <w:style w:type="character" w:customStyle="1" w:styleId="41">
    <w:name w:val="批注框文本 Char"/>
    <w:link w:val="17"/>
    <w:semiHidden/>
    <w:qFormat/>
    <w:locked/>
    <w:uiPriority w:val="0"/>
    <w:rPr>
      <w:rFonts w:ascii="Times New Roman" w:hAnsi="Times New Roman" w:eastAsia="宋体"/>
      <w:sz w:val="18"/>
    </w:rPr>
  </w:style>
  <w:style w:type="character" w:customStyle="1" w:styleId="42">
    <w:name w:val="页脚 Char"/>
    <w:link w:val="18"/>
    <w:qFormat/>
    <w:locked/>
    <w:uiPriority w:val="99"/>
    <w:rPr>
      <w:sz w:val="18"/>
    </w:rPr>
  </w:style>
  <w:style w:type="character" w:customStyle="1" w:styleId="43">
    <w:name w:val="页眉 Char"/>
    <w:link w:val="19"/>
    <w:qFormat/>
    <w:locked/>
    <w:uiPriority w:val="0"/>
    <w:rPr>
      <w:sz w:val="18"/>
    </w:rPr>
  </w:style>
  <w:style w:type="character" w:customStyle="1" w:styleId="44">
    <w:name w:val="普通(网站) Char"/>
    <w:link w:val="25"/>
    <w:qFormat/>
    <w:locked/>
    <w:uiPriority w:val="0"/>
    <w:rPr>
      <w:rFonts w:ascii="宋体" w:hAnsi="宋体" w:eastAsia="宋体"/>
      <w:sz w:val="24"/>
    </w:rPr>
  </w:style>
  <w:style w:type="character" w:customStyle="1" w:styleId="45">
    <w:name w:val="批注主题 Char"/>
    <w:link w:val="26"/>
    <w:semiHidden/>
    <w:qFormat/>
    <w:locked/>
    <w:uiPriority w:val="0"/>
    <w:rPr>
      <w:rFonts w:ascii="Times New Roman" w:hAnsi="Times New Roman" w:eastAsia="宋体"/>
      <w:b/>
      <w:kern w:val="2"/>
      <w:sz w:val="24"/>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正文文本 字符1"/>
    <w:semiHidden/>
    <w:qFormat/>
    <w:uiPriority w:val="0"/>
    <w:rPr>
      <w:rFonts w:ascii="Times New Roman" w:hAnsi="Times New Roman" w:eastAsia="宋体"/>
      <w:sz w:val="24"/>
    </w:rPr>
  </w:style>
  <w:style w:type="character" w:customStyle="1" w:styleId="48">
    <w:name w:val="表格 Char"/>
    <w:link w:val="49"/>
    <w:qFormat/>
    <w:locked/>
    <w:uiPriority w:val="0"/>
    <w:rPr>
      <w:rFonts w:ascii="宋体"/>
      <w:sz w:val="21"/>
    </w:rPr>
  </w:style>
  <w:style w:type="paragraph" w:customStyle="1" w:styleId="49">
    <w:name w:val="表格"/>
    <w:basedOn w:val="5"/>
    <w:next w:val="1"/>
    <w:link w:val="48"/>
    <w:qFormat/>
    <w:uiPriority w:val="0"/>
    <w:pPr>
      <w:adjustRightInd w:val="0"/>
      <w:snapToGrid w:val="0"/>
      <w:spacing w:beforeLines="10" w:afterLines="10" w:line="259" w:lineRule="auto"/>
      <w:jc w:val="center"/>
    </w:pPr>
    <w:rPr>
      <w:rFonts w:ascii="宋体"/>
      <w:kern w:val="0"/>
      <w:szCs w:val="20"/>
    </w:rPr>
  </w:style>
  <w:style w:type="character" w:customStyle="1" w:styleId="50">
    <w:name w:val="正文（首行缩进两字） Char1"/>
    <w:qFormat/>
    <w:uiPriority w:val="0"/>
    <w:rPr>
      <w:rFonts w:eastAsia="宋体"/>
      <w:kern w:val="2"/>
      <w:sz w:val="24"/>
      <w:lang w:val="en-US" w:eastAsia="zh-CN"/>
    </w:rPr>
  </w:style>
  <w:style w:type="character" w:customStyle="1" w:styleId="51">
    <w:name w:val="日期 字符"/>
    <w:semiHidden/>
    <w:qFormat/>
    <w:uiPriority w:val="0"/>
    <w:rPr>
      <w:rFonts w:ascii="Times New Roman" w:hAnsi="Times New Roman" w:eastAsia="宋体"/>
      <w:sz w:val="24"/>
    </w:rPr>
  </w:style>
  <w:style w:type="character" w:customStyle="1" w:styleId="52">
    <w:name w:val="正文文本 Char"/>
    <w:basedOn w:val="31"/>
    <w:qFormat/>
    <w:locked/>
    <w:uiPriority w:val="0"/>
    <w:rPr>
      <w:sz w:val="18"/>
    </w:rPr>
  </w:style>
  <w:style w:type="character" w:customStyle="1" w:styleId="53">
    <w:name w:val="页脚 字符"/>
    <w:basedOn w:val="31"/>
    <w:qFormat/>
    <w:uiPriority w:val="99"/>
  </w:style>
  <w:style w:type="character" w:customStyle="1" w:styleId="54">
    <w:name w:val="正文（首行缩进两字） Char"/>
    <w:basedOn w:val="31"/>
    <w:qFormat/>
    <w:uiPriority w:val="0"/>
    <w:rPr>
      <w:rFonts w:ascii="宋体" w:hAnsi="宋体" w:eastAsia="宋体"/>
      <w:kern w:val="2"/>
      <w:sz w:val="24"/>
      <w:szCs w:val="24"/>
      <w:lang w:val="en-US" w:eastAsia="zh-CN" w:bidi="ar-SA"/>
    </w:rPr>
  </w:style>
  <w:style w:type="paragraph" w:customStyle="1" w:styleId="55">
    <w:name w:val="中文报告书"/>
    <w:basedOn w:val="1"/>
    <w:qFormat/>
    <w:uiPriority w:val="0"/>
    <w:pPr>
      <w:adjustRightInd w:val="0"/>
      <w:spacing w:after="80" w:afterLines="0" w:line="420" w:lineRule="atLeast"/>
      <w:jc w:val="left"/>
      <w:textAlignment w:val="baseline"/>
    </w:pPr>
    <w:rPr>
      <w:sz w:val="24"/>
    </w:rPr>
  </w:style>
  <w:style w:type="paragraph" w:customStyle="1" w:styleId="56">
    <w:name w:val="样式 仿宋_GB2312 四号 行距: 固定值 26 磅"/>
    <w:basedOn w:val="1"/>
    <w:qFormat/>
    <w:uiPriority w:val="0"/>
    <w:pPr>
      <w:widowControl w:val="0"/>
      <w:spacing w:line="360" w:lineRule="auto"/>
      <w:ind w:firstLine="480" w:firstLineChars="200"/>
      <w:jc w:val="both"/>
    </w:pPr>
    <w:rPr>
      <w:rFonts w:ascii="宋体" w:hAnsi="宋体" w:cs="宋体"/>
      <w:lang w:eastAsia="zh-CN" w:bidi="ar-SA"/>
    </w:rPr>
  </w:style>
  <w:style w:type="paragraph" w:customStyle="1" w:styleId="57">
    <w:name w:val="正文2"/>
    <w:basedOn w:val="1"/>
    <w:next w:val="1"/>
    <w:qFormat/>
    <w:uiPriority w:val="0"/>
    <w:pPr>
      <w:adjustRightInd w:val="0"/>
      <w:snapToGrid w:val="0"/>
      <w:spacing w:line="360" w:lineRule="auto"/>
      <w:ind w:firstLine="200" w:firstLineChars="200"/>
    </w:pPr>
    <w:rPr>
      <w:rFonts w:cs="宋体"/>
      <w:sz w:val="28"/>
      <w:szCs w:val="28"/>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Char2"/>
    <w:basedOn w:val="1"/>
    <w:qFormat/>
    <w:uiPriority w:val="0"/>
    <w:rPr>
      <w:szCs w:val="24"/>
    </w:rPr>
  </w:style>
  <w:style w:type="paragraph" w:customStyle="1" w:styleId="60">
    <w:name w:val="0"/>
    <w:basedOn w:val="1"/>
    <w:qFormat/>
    <w:uiPriority w:val="0"/>
    <w:pPr>
      <w:widowControl/>
      <w:snapToGrid w:val="0"/>
    </w:pPr>
    <w:rPr>
      <w:kern w:val="0"/>
      <w:szCs w:val="21"/>
    </w:rPr>
  </w:style>
  <w:style w:type="paragraph" w:customStyle="1" w:styleId="61">
    <w:name w:val="明显引用1"/>
    <w:next w:val="1"/>
    <w:qFormat/>
    <w:uiPriority w:val="0"/>
    <w:pPr>
      <w:wordWrap w:val="0"/>
      <w:spacing w:before="360" w:beforeLines="0" w:after="360" w:afterLines="0"/>
      <w:ind w:left="950" w:right="950"/>
      <w:jc w:val="center"/>
    </w:pPr>
    <w:rPr>
      <w:rFonts w:ascii="Times New Roman" w:hAnsi="Times New Roman" w:eastAsia="宋体" w:cs="Times New Roman"/>
      <w:i/>
      <w:sz w:val="21"/>
      <w:lang w:val="en-US" w:eastAsia="zh-CN" w:bidi="ar-SA"/>
    </w:rPr>
  </w:style>
  <w:style w:type="paragraph" w:customStyle="1" w:styleId="62">
    <w:name w:val="样式 中文报告书 + 两端对齐 段前: 7.8 磅 段后: 0 磅 行距: 1.5 倍行距"/>
    <w:basedOn w:val="55"/>
    <w:qFormat/>
    <w:uiPriority w:val="0"/>
    <w:pPr>
      <w:spacing w:after="0" w:afterLines="0" w:line="360" w:lineRule="auto"/>
      <w:jc w:val="both"/>
    </w:pPr>
    <w:rPr>
      <w:rFonts w:cs="宋体"/>
    </w:rPr>
  </w:style>
  <w:style w:type="paragraph" w:customStyle="1" w:styleId="63">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64">
    <w:name w:val="标题4"/>
    <w:basedOn w:val="1"/>
    <w:qFormat/>
    <w:uiPriority w:val="0"/>
    <w:pPr>
      <w:snapToGrid w:val="0"/>
      <w:spacing w:line="480" w:lineRule="atLeast"/>
      <w:jc w:val="center"/>
    </w:pPr>
    <w:rPr>
      <w:b/>
      <w:color w:val="000000"/>
      <w:sz w:val="24"/>
      <w:szCs w:val="20"/>
    </w:rPr>
  </w:style>
  <w:style w:type="paragraph" w:customStyle="1" w:styleId="65">
    <w:name w:val="表体"/>
    <w:basedOn w:val="1"/>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bCs/>
      <w:snapToGrid w:val="0"/>
      <w:color w:val="000000"/>
      <w:kern w:val="32"/>
      <w:sz w:val="21"/>
      <w:lang w:val="zh-CN"/>
    </w:rPr>
  </w:style>
  <w:style w:type="paragraph" w:customStyle="1" w:styleId="66">
    <w:name w:val=" Char"/>
    <w:basedOn w:val="1"/>
    <w:qFormat/>
    <w:uiPriority w:val="0"/>
  </w:style>
  <w:style w:type="paragraph" w:customStyle="1" w:styleId="67">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68">
    <w:name w:val="南华正文"/>
    <w:qFormat/>
    <w:uiPriority w:val="0"/>
    <w:pPr>
      <w:tabs>
        <w:tab w:val="left" w:pos="3795"/>
      </w:tabs>
      <w:spacing w:line="360" w:lineRule="auto"/>
      <w:ind w:firstLine="482" w:firstLineChars="200"/>
    </w:pPr>
    <w:rPr>
      <w:rFonts w:ascii="Times New Roman" w:hAnsi="Times New Roman" w:eastAsia="宋体" w:cs="Times New Roman"/>
      <w:color w:val="000000"/>
      <w:sz w:val="24"/>
      <w:lang w:val="en-US" w:eastAsia="zh-CN" w:bidi="ar-SA"/>
    </w:rPr>
  </w:style>
  <w:style w:type="paragraph" w:customStyle="1" w:styleId="69">
    <w:name w:val="缩进"/>
    <w:basedOn w:val="1"/>
    <w:qFormat/>
    <w:uiPriority w:val="0"/>
    <w:pPr>
      <w:autoSpaceDE w:val="0"/>
      <w:autoSpaceDN w:val="0"/>
      <w:adjustRightInd w:val="0"/>
      <w:spacing w:line="400" w:lineRule="atLeast"/>
      <w:ind w:firstLine="200" w:firstLineChars="200"/>
      <w:textAlignment w:val="baseline"/>
    </w:pPr>
    <w:rPr>
      <w:rFonts w:ascii="Times New Roman" w:hAnsi="Times New Roman"/>
      <w:kern w:val="0"/>
      <w:sz w:val="24"/>
      <w:szCs w:val="20"/>
    </w:rPr>
  </w:style>
  <w:style w:type="paragraph" w:customStyle="1" w:styleId="70">
    <w:name w:val="样式 黑色 首行缩进:  2 字符"/>
    <w:basedOn w:val="1"/>
    <w:qFormat/>
    <w:uiPriority w:val="0"/>
    <w:pPr>
      <w:adjustRightInd w:val="0"/>
      <w:snapToGrid w:val="0"/>
      <w:spacing w:line="360" w:lineRule="auto"/>
      <w:ind w:firstLine="200" w:firstLineChars="200"/>
    </w:pPr>
    <w:rPr>
      <w:rFonts w:cs="宋体"/>
      <w:color w:val="000000"/>
      <w:sz w:val="24"/>
      <w:szCs w:val="20"/>
    </w:rPr>
  </w:style>
  <w:style w:type="paragraph" w:customStyle="1" w:styleId="71">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72">
    <w:name w:val="A-文本格式"/>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73">
    <w:name w:val="文本正文"/>
    <w:basedOn w:val="1"/>
    <w:qFormat/>
    <w:uiPriority w:val="0"/>
    <w:pPr>
      <w:snapToGrid w:val="0"/>
      <w:spacing w:line="360" w:lineRule="auto"/>
      <w:ind w:firstLine="510"/>
      <w:jc w:val="left"/>
    </w:pPr>
    <w:rPr>
      <w:spacing w:val="4"/>
      <w:kern w:val="24"/>
      <w:szCs w:val="24"/>
      <w:lang w:val="zh-CN"/>
    </w:rPr>
  </w:style>
  <w:style w:type="paragraph" w:customStyle="1" w:styleId="74">
    <w:name w:val="标题三 李健"/>
    <w:basedOn w:val="4"/>
    <w:qFormat/>
    <w:uiPriority w:val="0"/>
    <w:pPr>
      <w:spacing w:before="0" w:beforeLines="0" w:after="0" w:afterLines="0" w:line="360" w:lineRule="auto"/>
    </w:pPr>
    <w:rPr>
      <w:rFonts w:eastAsia="黑体"/>
      <w:b w:val="0"/>
      <w:sz w:val="24"/>
      <w:szCs w:val="24"/>
    </w:rPr>
  </w:style>
  <w:style w:type="paragraph" w:customStyle="1" w:styleId="75">
    <w:name w:val="表名"/>
    <w:basedOn w:val="1"/>
    <w:qFormat/>
    <w:uiPriority w:val="0"/>
    <w:pPr>
      <w:widowControl/>
      <w:spacing w:before="240" w:after="240"/>
      <w:jc w:val="center"/>
    </w:pPr>
    <w:rPr>
      <w:rFonts w:ascii="黑体" w:eastAsia="黑体"/>
      <w:sz w:val="24"/>
      <w:lang w:eastAsia="en-US"/>
    </w:rPr>
  </w:style>
  <w:style w:type="paragraph" w:customStyle="1" w:styleId="76">
    <w:name w:val="样式 样式 小四 段前: 7.8 磅 段后: 7.8 磅 行距: 1.5 倍行距 + 首行缩进:  2 字符"/>
    <w:basedOn w:val="77"/>
    <w:qFormat/>
    <w:uiPriority w:val="0"/>
    <w:pPr>
      <w:spacing w:before="156" w:beforeLines="50" w:after="156" w:afterLines="50" w:line="240" w:lineRule="auto"/>
      <w:ind w:firstLine="0" w:firstLineChars="0"/>
      <w:jc w:val="center"/>
    </w:pPr>
    <w:rPr>
      <w:rFonts w:ascii="Times New Roman" w:hAnsi="Times New Roman" w:eastAsia="宋体" w:cs="Times New Roman"/>
      <w:b/>
    </w:rPr>
  </w:style>
  <w:style w:type="paragraph" w:customStyle="1" w:styleId="77">
    <w:name w:val="样式 小四 段前: 7.8 磅 段后: 7.8 磅 行距: 1.5 倍行距"/>
    <w:basedOn w:val="1"/>
    <w:qFormat/>
    <w:uiPriority w:val="0"/>
    <w:pPr>
      <w:spacing w:line="360" w:lineRule="auto"/>
      <w:ind w:firstLine="480" w:firstLineChars="200"/>
    </w:pPr>
    <w:rPr>
      <w:rFonts w:ascii="Times New Roman" w:hAnsi="Times New Roman" w:eastAsia="宋体" w:cs="Times New Roman"/>
      <w:sz w:val="24"/>
    </w:rPr>
  </w:style>
  <w:style w:type="paragraph" w:customStyle="1" w:styleId="78">
    <w:name w:val="p19"/>
    <w:basedOn w:val="1"/>
    <w:qFormat/>
    <w:uiPriority w:val="99"/>
    <w:pPr>
      <w:widowControl/>
      <w:jc w:val="left"/>
    </w:pPr>
    <w:rPr>
      <w:rFonts w:ascii="Arial Unicode MS" w:hAnsi="Arial Unicode MS" w:eastAsia="Arial Unicode MS" w:cs="Arial Unicode MS"/>
      <w:kern w:val="0"/>
      <w:sz w:val="24"/>
    </w:rPr>
  </w:style>
  <w:style w:type="paragraph" w:customStyle="1" w:styleId="79">
    <w:name w:val="魏秀珍   正文"/>
    <w:basedOn w:val="5"/>
    <w:qFormat/>
    <w:uiPriority w:val="0"/>
    <w:rPr>
      <w:rFonts w:cs="宋体"/>
      <w:snapToGrid/>
      <w:color w:val="auto"/>
      <w:kern w:val="0"/>
      <w:szCs w:val="20"/>
    </w:rPr>
  </w:style>
  <w:style w:type="paragraph" w:customStyle="1" w:styleId="80">
    <w:name w:val="正文(首行缩进)"/>
    <w:basedOn w:val="1"/>
    <w:qFormat/>
    <w:uiPriority w:val="0"/>
    <w:pPr>
      <w:adjustRightInd w:val="0"/>
      <w:spacing w:line="500" w:lineRule="atLeast"/>
      <w:ind w:firstLine="448" w:firstLineChars="200"/>
    </w:pPr>
    <w:rPr>
      <w:rFonts w:ascii="宋体" w:hAnsi="宋体"/>
      <w:color w:val="0D0D0D"/>
      <w:spacing w:val="-8"/>
      <w:kern w:val="24"/>
      <w:sz w:val="24"/>
      <w:szCs w:val="24"/>
    </w:rPr>
  </w:style>
  <w:style w:type="paragraph" w:customStyle="1" w:styleId="81">
    <w:name w:val="Table Paragraph"/>
    <w:basedOn w:val="1"/>
    <w:qFormat/>
    <w:uiPriority w:val="1"/>
  </w:style>
  <w:style w:type="paragraph" w:customStyle="1" w:styleId="82">
    <w:name w:val="无间隔1"/>
    <w:basedOn w:val="1"/>
    <w:qFormat/>
    <w:uiPriority w:val="1"/>
    <w:pPr>
      <w:widowControl/>
      <w:spacing w:line="360" w:lineRule="auto"/>
      <w:ind w:firstLine="200" w:firstLineChars="200"/>
      <w:jc w:val="left"/>
    </w:pPr>
    <w:rPr>
      <w:rFonts w:eastAsia="仿宋_GB2312"/>
      <w:kern w:val="0"/>
      <w:sz w:val="24"/>
      <w:szCs w:val="32"/>
      <w:lang w:eastAsia="en-US" w:bidi="en-US"/>
    </w:rPr>
  </w:style>
  <w:style w:type="paragraph" w:customStyle="1" w:styleId="83">
    <w:name w:val="表格文字"/>
    <w:basedOn w:val="1"/>
    <w:qFormat/>
    <w:uiPriority w:val="0"/>
    <w:pPr>
      <w:jc w:val="center"/>
    </w:pPr>
    <w:rPr>
      <w:rFonts w:ascii="宋体" w:hAnsi="宋体" w:eastAsia="宋体"/>
      <w:bCs/>
      <w:szCs w:val="21"/>
    </w:rPr>
  </w:style>
  <w:style w:type="paragraph" w:customStyle="1" w:styleId="8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表格式"/>
    <w:basedOn w:val="23"/>
    <w:qFormat/>
    <w:uiPriority w:val="0"/>
    <w:pPr>
      <w:spacing w:line="400" w:lineRule="exact"/>
      <w:ind w:left="0" w:firstLine="0" w:firstLineChars="0"/>
      <w:jc w:val="center"/>
    </w:pPr>
    <w:rPr>
      <w:rFonts w:ascii="宋体"/>
      <w:szCs w:val="20"/>
    </w:rPr>
  </w:style>
  <w:style w:type="paragraph" w:customStyle="1" w:styleId="86">
    <w:name w:val="样式 标题 1 + 四号 段前: 0 磅 段后: 0 磅 行距: 1.5 倍行距"/>
    <w:basedOn w:val="87"/>
    <w:next w:val="73"/>
    <w:qFormat/>
    <w:uiPriority w:val="0"/>
    <w:pPr>
      <w:spacing w:line="360" w:lineRule="auto"/>
      <w:jc w:val="center"/>
    </w:pPr>
    <w:rPr>
      <w:rFonts w:hAnsi="黑体" w:eastAsia="宋体"/>
      <w:sz w:val="21"/>
    </w:rPr>
  </w:style>
  <w:style w:type="paragraph" w:customStyle="1" w:styleId="87">
    <w:name w:val="1正文"/>
    <w:basedOn w:val="1"/>
    <w:qFormat/>
    <w:uiPriority w:val="0"/>
    <w:pPr>
      <w:spacing w:line="500" w:lineRule="exact"/>
      <w:ind w:firstLine="588" w:firstLineChars="196"/>
    </w:pPr>
    <w:rPr>
      <w:rFonts w:eastAsia="楷体_GB2312"/>
      <w:sz w:val="30"/>
      <w:szCs w:val="30"/>
    </w:rPr>
  </w:style>
  <w:style w:type="paragraph" w:customStyle="1" w:styleId="88">
    <w:name w:val="Normal_6"/>
    <w:qFormat/>
    <w:uiPriority w:val="0"/>
    <w:pPr>
      <w:spacing w:before="120" w:after="240"/>
      <w:jc w:val="both"/>
    </w:pPr>
    <w:rPr>
      <w:rFonts w:ascii="Calibri" w:hAnsi="Calibri" w:eastAsia="Calibri" w:cs="Times New Roman"/>
      <w:sz w:val="22"/>
      <w:szCs w:val="22"/>
      <w:lang w:val="ru-RU" w:eastAsia="en-US" w:bidi="ar-SA"/>
    </w:rPr>
  </w:style>
  <w:style w:type="paragraph" w:customStyle="1" w:styleId="89">
    <w:name w:val="【表头】"/>
    <w:basedOn w:val="1"/>
    <w:qFormat/>
    <w:uiPriority w:val="0"/>
    <w:pPr>
      <w:spacing w:before="120" w:line="312" w:lineRule="auto"/>
      <w:jc w:val="center"/>
    </w:pPr>
    <w:rPr>
      <w:b/>
      <w:szCs w:val="24"/>
    </w:rPr>
  </w:style>
  <w:style w:type="paragraph" w:customStyle="1" w:styleId="90">
    <w:name w:val="p0"/>
    <w:basedOn w:val="1"/>
    <w:qFormat/>
    <w:uiPriority w:val="0"/>
    <w:pPr>
      <w:widowControl/>
    </w:pPr>
    <w:rPr>
      <w:rFonts w:ascii="Times New Roman" w:hAnsi="Times New Roman" w:eastAsia="宋体"/>
      <w:kern w:val="0"/>
      <w:szCs w:val="21"/>
    </w:rPr>
  </w:style>
  <w:style w:type="paragraph" w:customStyle="1" w:styleId="91">
    <w:name w:val="居中表格"/>
    <w:basedOn w:val="1"/>
    <w:qFormat/>
    <w:uiPriority w:val="0"/>
    <w:pPr>
      <w:ind w:firstLine="0" w:firstLineChars="0"/>
      <w:jc w:val="center"/>
    </w:pPr>
    <w:rPr>
      <w:rFonts w:ascii="Times New Roman" w:hAnsi="Times New Roman" w:eastAsia="宋体" w:cs="Times New Roman"/>
      <w:snapToGrid w:val="0"/>
      <w:kern w:val="0"/>
      <w:sz w:val="20"/>
      <w:szCs w:val="21"/>
    </w:rPr>
  </w:style>
  <w:style w:type="paragraph" w:customStyle="1" w:styleId="92">
    <w:name w:val="Char"/>
    <w:basedOn w:val="1"/>
    <w:next w:val="28"/>
    <w:qFormat/>
    <w:uiPriority w:val="0"/>
    <w:pPr>
      <w:spacing w:line="360" w:lineRule="auto"/>
      <w:ind w:firstLine="200" w:firstLineChars="200"/>
    </w:pPr>
    <w:rPr>
      <w:rFonts w:ascii="宋体" w:hAnsi="宋体"/>
      <w:sz w:val="24"/>
    </w:rPr>
  </w:style>
  <w:style w:type="paragraph" w:customStyle="1" w:styleId="93">
    <w:name w:val="表内容"/>
    <w:basedOn w:val="23"/>
    <w:next w:val="1"/>
    <w:qFormat/>
    <w:uiPriority w:val="0"/>
    <w:pPr>
      <w:spacing w:line="280" w:lineRule="exact"/>
      <w:jc w:val="center"/>
    </w:pPr>
    <w:rPr>
      <w:spacing w:val="14"/>
    </w:rPr>
  </w:style>
  <w:style w:type="paragraph" w:styleId="94">
    <w:name w:val="List Paragraph"/>
    <w:basedOn w:val="1"/>
    <w:qFormat/>
    <w:uiPriority w:val="1"/>
    <w:pPr>
      <w:ind w:left="498"/>
    </w:pPr>
    <w:rPr>
      <w:rFonts w:ascii="宋体" w:hAnsi="宋体" w:eastAsia="宋体" w:cs="宋体"/>
      <w:lang w:val="zh-CN" w:eastAsia="zh-CN" w:bidi="zh-CN"/>
    </w:rPr>
  </w:style>
  <w:style w:type="paragraph" w:customStyle="1" w:styleId="95">
    <w:name w:val="表头"/>
    <w:basedOn w:val="1"/>
    <w:next w:val="1"/>
    <w:qFormat/>
    <w:uiPriority w:val="0"/>
    <w:pPr>
      <w:spacing w:line="240" w:lineRule="atLeast"/>
      <w:ind w:firstLine="0" w:firstLineChars="0"/>
      <w:jc w:val="center"/>
    </w:pPr>
    <w:rPr>
      <w:b/>
      <w:bCs/>
      <w:sz w:val="21"/>
      <w:szCs w:val="21"/>
    </w:rPr>
  </w:style>
  <w:style w:type="paragraph" w:customStyle="1" w:styleId="96">
    <w:name w:val="大表格"/>
    <w:basedOn w:val="1"/>
    <w:qFormat/>
    <w:uiPriority w:val="0"/>
    <w:pPr>
      <w:ind w:firstLine="0" w:firstLineChars="0"/>
      <w:jc w:val="center"/>
    </w:pPr>
    <w:rPr>
      <w:rFonts w:hint="eastAsia"/>
    </w:rPr>
  </w:style>
  <w:style w:type="character" w:customStyle="1" w:styleId="97">
    <w:name w:val="表头，图名 Char"/>
    <w:link w:val="98"/>
    <w:qFormat/>
    <w:uiPriority w:val="0"/>
    <w:rPr>
      <w:rFonts w:hint="eastAsia" w:eastAsia="黑体"/>
      <w:sz w:val="21"/>
    </w:rPr>
  </w:style>
  <w:style w:type="paragraph" w:customStyle="1" w:styleId="98">
    <w:name w:val="表头，图名"/>
    <w:basedOn w:val="1"/>
    <w:link w:val="97"/>
    <w:qFormat/>
    <w:uiPriority w:val="0"/>
    <w:pPr>
      <w:ind w:firstLine="0" w:firstLineChars="0"/>
      <w:jc w:val="center"/>
    </w:pPr>
    <w:rPr>
      <w:rFonts w:hint="eastAsia" w:eastAsia="黑体"/>
      <w:sz w:val="21"/>
    </w:rPr>
  </w:style>
  <w:style w:type="character" w:customStyle="1" w:styleId="99">
    <w:name w:val="fontstyle01"/>
    <w:qFormat/>
    <w:uiPriority w:val="0"/>
    <w:rPr>
      <w:rFonts w:ascii="仿宋_GB2312" w:hAnsi="仿宋_GB2312" w:eastAsia="仿宋_GB2312" w:cs="仿宋_GB2312"/>
      <w:color w:val="000000"/>
      <w:sz w:val="30"/>
      <w:szCs w:val="30"/>
    </w:rPr>
  </w:style>
  <w:style w:type="paragraph" w:customStyle="1" w:styleId="100">
    <w:name w:val="正本文字"/>
    <w:basedOn w:val="1"/>
    <w:qFormat/>
    <w:uiPriority w:val="0"/>
    <w:pPr>
      <w:adjustRightInd w:val="0"/>
      <w:snapToGrid w:val="0"/>
      <w:spacing w:line="360" w:lineRule="auto"/>
      <w:ind w:firstLine="200" w:firstLineChars="200"/>
      <w:jc w:val="left"/>
    </w:pPr>
    <w:rPr>
      <w:rFonts w:ascii="Times New Roman" w:hAnsi="Times New Roman" w:eastAsia="宋体" w:cs="宋体"/>
      <w:kern w:val="18"/>
      <w:sz w:val="24"/>
      <w:szCs w:val="20"/>
    </w:rPr>
  </w:style>
  <w:style w:type="paragraph" w:customStyle="1" w:styleId="101">
    <w:name w:val="样式 报告表正文 + 加粗 黑色 左 行距: 多倍行距 1.3 字行"/>
    <w:basedOn w:val="1"/>
    <w:qFormat/>
    <w:uiPriority w:val="0"/>
    <w:pPr>
      <w:adjustRightInd w:val="0"/>
      <w:ind w:left="113" w:right="113" w:firstLine="482"/>
      <w:jc w:val="left"/>
      <w:outlineLvl w:val="0"/>
    </w:pPr>
    <w:rPr>
      <w:b/>
      <w:kern w:val="0"/>
      <w:szCs w:val="20"/>
    </w:rPr>
  </w:style>
  <w:style w:type="paragraph" w:customStyle="1" w:styleId="102">
    <w:name w:val="图表标题"/>
    <w:qFormat/>
    <w:uiPriority w:val="0"/>
    <w:pPr>
      <w:widowControl w:val="0"/>
      <w:autoSpaceDE w:val="0"/>
      <w:autoSpaceDN w:val="0"/>
      <w:adjustRightInd w:val="0"/>
      <w:jc w:val="center"/>
    </w:pPr>
    <w:rPr>
      <w:rFonts w:ascii="Times New Roman" w:hAnsi="Times New Roman" w:eastAsia="宋体" w:cs="Times New Roman"/>
      <w:b/>
      <w:color w:val="000000"/>
      <w:sz w:val="21"/>
      <w:lang w:val="en-US" w:eastAsia="zh-CN" w:bidi="ar-SA"/>
    </w:rPr>
  </w:style>
  <w:style w:type="paragraph" w:customStyle="1" w:styleId="103">
    <w:name w:val="报告表格"/>
    <w:basedOn w:val="1"/>
    <w:qFormat/>
    <w:uiPriority w:val="0"/>
    <w:pPr>
      <w:kinsoku w:val="0"/>
      <w:overflowPunct w:val="0"/>
      <w:autoSpaceDE w:val="0"/>
      <w:autoSpaceDN w:val="0"/>
      <w:adjustRightInd w:val="0"/>
      <w:spacing w:line="240" w:lineRule="auto"/>
      <w:ind w:firstLine="0" w:firstLineChars="0"/>
      <w:jc w:val="center"/>
    </w:pPr>
    <w:rPr>
      <w:kern w:val="0"/>
      <w:sz w:val="21"/>
      <w:szCs w:val="20"/>
    </w:rPr>
  </w:style>
  <w:style w:type="paragraph" w:customStyle="1" w:styleId="104">
    <w:name w:val="正文（修）"/>
    <w:basedOn w:val="1"/>
    <w:qFormat/>
    <w:uiPriority w:val="0"/>
    <w:pPr>
      <w:snapToGrid w:val="0"/>
      <w:jc w:val="left"/>
    </w:pPr>
    <w:rPr>
      <w:rFonts w:ascii="宋体" w:hAnsi="宋体"/>
      <w:szCs w:val="20"/>
    </w:rPr>
  </w:style>
  <w:style w:type="paragraph" w:customStyle="1" w:styleId="105">
    <w:name w:val="CM62"/>
    <w:basedOn w:val="71"/>
    <w:next w:val="71"/>
    <w:qFormat/>
    <w:uiPriority w:val="0"/>
    <w:rPr>
      <w:rFonts w:hAnsi="Calibri"/>
      <w:color w:val="auto"/>
    </w:rPr>
  </w:style>
  <w:style w:type="paragraph" w:customStyle="1" w:styleId="106">
    <w:name w:val="F正文"/>
    <w:basedOn w:val="1"/>
    <w:qFormat/>
    <w:uiPriority w:val="0"/>
    <w:pPr>
      <w:spacing w:line="360" w:lineRule="auto"/>
      <w:ind w:firstLine="482" w:firstLineChars="200"/>
      <w:jc w:val="left"/>
    </w:pPr>
    <w:rPr>
      <w:rFonts w:ascii="宋体" w:hAnsi="宋体"/>
      <w:sz w:val="24"/>
      <w:szCs w:val="24"/>
    </w:rPr>
  </w:style>
  <w:style w:type="paragraph" w:customStyle="1" w:styleId="107">
    <w:name w:val="图+表"/>
    <w:qFormat/>
    <w:uiPriority w:val="0"/>
    <w:pPr>
      <w:adjustRightInd w:val="0"/>
      <w:snapToGrid w:val="0"/>
      <w:spacing w:line="240" w:lineRule="auto"/>
      <w:ind w:firstLine="0" w:firstLineChars="0"/>
      <w:jc w:val="center"/>
    </w:pPr>
    <w:rPr>
      <w:rFonts w:ascii="Times New Roman" w:hAnsi="Times New Roman" w:eastAsia="宋体" w:cs="Times New Roman"/>
      <w:color w:val="000000" w:themeColor="text1"/>
      <w:kern w:val="0"/>
      <w:sz w:val="21"/>
      <w:szCs w:val="21"/>
      <w14:textFill>
        <w14:solidFill>
          <w14:schemeClr w14:val="tx1"/>
        </w14:solidFill>
      </w14:textFill>
    </w:rPr>
  </w:style>
  <w:style w:type="paragraph" w:customStyle="1" w:styleId="108">
    <w:name w:val="表标题"/>
    <w:basedOn w:val="1"/>
    <w:qFormat/>
    <w:uiPriority w:val="0"/>
    <w:pPr>
      <w:spacing w:line="480" w:lineRule="exact"/>
      <w:ind w:firstLine="0" w:firstLineChars="0"/>
      <w:jc w:val="center"/>
    </w:pPr>
    <w:rPr>
      <w:b/>
      <w:kern w:val="0"/>
      <w:sz w:val="22"/>
      <w:szCs w:val="21"/>
    </w:rPr>
  </w:style>
  <w:style w:type="character" w:customStyle="1" w:styleId="109">
    <w:name w:val="font11"/>
    <w:basedOn w:val="31"/>
    <w:qFormat/>
    <w:uiPriority w:val="0"/>
    <w:rPr>
      <w:rFonts w:hint="default" w:ascii="Times New Roman" w:hAnsi="Times New Roman" w:cs="Times New Roman"/>
      <w:color w:val="000000"/>
      <w:sz w:val="21"/>
      <w:szCs w:val="21"/>
      <w:u w:val="none"/>
    </w:rPr>
  </w:style>
  <w:style w:type="table" w:customStyle="1" w:styleId="110">
    <w:name w:val="Table Normal"/>
    <w:semiHidden/>
    <w:unhideWhenUsed/>
    <w:qFormat/>
    <w:uiPriority w:val="0"/>
    <w:tblPr>
      <w:tblCellMar>
        <w:top w:w="0" w:type="dxa"/>
        <w:left w:w="0" w:type="dxa"/>
        <w:bottom w:w="0" w:type="dxa"/>
        <w:right w:w="0" w:type="dxa"/>
      </w:tblCellMar>
    </w:tblPr>
  </w:style>
  <w:style w:type="paragraph" w:customStyle="1" w:styleId="111">
    <w:name w:val="表格内容"/>
    <w:basedOn w:val="1"/>
    <w:qFormat/>
    <w:uiPriority w:val="0"/>
    <w:pPr>
      <w:widowControl/>
      <w:jc w:val="center"/>
    </w:pPr>
    <w:rPr>
      <w:kern w:val="0"/>
      <w:szCs w:val="21"/>
    </w:rPr>
  </w:style>
  <w:style w:type="paragraph" w:customStyle="1" w:styleId="112">
    <w:name w:val="正"/>
    <w:basedOn w:val="1"/>
    <w:qFormat/>
    <w:uiPriority w:val="0"/>
    <w:pPr>
      <w:spacing w:line="360" w:lineRule="auto"/>
      <w:ind w:firstLine="200" w:firstLineChars="200"/>
    </w:pPr>
    <w:rPr>
      <w:kern w:val="0"/>
      <w:sz w:val="24"/>
    </w:rPr>
  </w:style>
  <w:style w:type="paragraph" w:customStyle="1" w:styleId="113">
    <w:name w:val="赵"/>
    <w:basedOn w:val="1"/>
    <w:qFormat/>
    <w:uiPriority w:val="0"/>
    <w:pPr>
      <w:ind w:firstLine="200" w:firstLineChars="200"/>
    </w:pPr>
    <w:rPr>
      <w:rFonts w:ascii="Calibri" w:hAnsi="Calibri" w:cs="Times New Roman"/>
      <w:color w:val="000000"/>
      <w:sz w:val="24"/>
    </w:rPr>
  </w:style>
  <w:style w:type="paragraph" w:customStyle="1" w:styleId="114">
    <w:name w:val="11"/>
    <w:basedOn w:val="8"/>
    <w:next w:val="12"/>
    <w:qFormat/>
    <w:uiPriority w:val="0"/>
    <w:pPr>
      <w:autoSpaceDE w:val="0"/>
      <w:autoSpaceDN w:val="0"/>
      <w:adjustRightInd w:val="0"/>
      <w:spacing w:after="0" w:line="360" w:lineRule="auto"/>
      <w:ind w:firstLine="1320" w:firstLineChars="550"/>
      <w:textAlignment w:val="baseline"/>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wmf"/><Relationship Id="rId40" Type="http://schemas.openxmlformats.org/officeDocument/2006/relationships/oleObject" Target="embeddings/oleObject4.bin"/><Relationship Id="rId4" Type="http://schemas.openxmlformats.org/officeDocument/2006/relationships/footer" Target="footer2.xml"/><Relationship Id="rId39" Type="http://schemas.openxmlformats.org/officeDocument/2006/relationships/image" Target="media/image26.emf"/><Relationship Id="rId38" Type="http://schemas.openxmlformats.org/officeDocument/2006/relationships/oleObject" Target="embeddings/oleObject3.bin"/><Relationship Id="rId37" Type="http://schemas.openxmlformats.org/officeDocument/2006/relationships/image" Target="media/image25.png"/><Relationship Id="rId36" Type="http://schemas.openxmlformats.org/officeDocument/2006/relationships/image" Target="media/image24.emf"/><Relationship Id="rId35" Type="http://schemas.openxmlformats.org/officeDocument/2006/relationships/oleObject" Target="embeddings/oleObject2.bin"/><Relationship Id="rId34" Type="http://schemas.openxmlformats.org/officeDocument/2006/relationships/image" Target="media/image23.emf"/><Relationship Id="rId33" Type="http://schemas.openxmlformats.org/officeDocument/2006/relationships/oleObject" Target="embeddings/oleObject1.bin"/><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gxOTQ4MjM4MjYyIiwKCSJHcm91cElkIiA6ICIxMDcwODMxNTgyIiwKCSJJbWFnZSIgOiAiaVZCT1J3MEtHZ29BQUFBTlNVaEVVZ0FBQVhzQUFBR0FDQVlBQUFCTWE4TFJBQUFBQ1hCSVdYTUFBQXNUQUFBTEV3RUFtcHdZQUFBZ0FFbEVRVlI0bk96ZGVYZ2IxYjAzOE85SXRuYkp0aXpiOHI3R2RtSm44WVFsS1ZCeWdWTDJBbmxaVXlpaExVdUJVaTZsVU1KdHVVQ2hZU21GVXFCbEMwbFowd0JsdTVRMlFLRzBiRkVTWXNkMjRuM2ZaTXVXdFkwbHpmdUhMVmQyWkZ0WjdVVGZ6L1BvaVdmbXpKbWpFL3MzWjg0NU13T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78</Pages>
  <Words>45921</Words>
  <Characters>55045</Characters>
  <Lines>13</Lines>
  <Paragraphs>3</Paragraphs>
  <TotalTime>2</TotalTime>
  <ScaleCrop>false</ScaleCrop>
  <LinksUpToDate>false</LinksUpToDate>
  <CharactersWithSpaces>55137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user</cp:lastModifiedBy>
  <cp:lastPrinted>2022-10-27T11:19:00Z</cp:lastPrinted>
  <dcterms:modified xsi:type="dcterms:W3CDTF">2024-03-07T09:22:01Z</dcterms:modified>
  <dc:title>附件2</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C51162D6BCD04CBBA8B1529EADC6EBB4_13</vt:lpwstr>
  </property>
</Properties>
</file>