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仿宋_GB2312" w:cs="Times New Roman"/>
          <w:color w:val="auto"/>
          <w:sz w:val="36"/>
          <w:szCs w:val="36"/>
          <w:highlight w:val="none"/>
        </w:rPr>
      </w:pPr>
    </w:p>
    <w:p>
      <w:pPr>
        <w:rPr>
          <w:rFonts w:hint="default" w:ascii="Times New Roman" w:hAnsi="Times New Roman" w:eastAsia="仿宋_GB2312" w:cs="Times New Roman"/>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方正小标宋_GBK" w:cs="Times New Roman"/>
          <w:bCs/>
          <w:color w:val="auto"/>
          <w:sz w:val="72"/>
          <w:szCs w:val="72"/>
          <w:highlight w:val="none"/>
        </w:rPr>
      </w:pPr>
      <w:bookmarkStart w:id="0" w:name="_Toc23051"/>
      <w:r>
        <w:rPr>
          <w:rFonts w:hint="default" w:ascii="Times New Roman" w:hAnsi="Times New Roman" w:eastAsia="方正小标宋_GBK" w:cs="Times New Roman"/>
          <w:bCs/>
          <w:color w:val="auto"/>
          <w:sz w:val="72"/>
          <w:szCs w:val="72"/>
          <w:highlight w:val="none"/>
        </w:rPr>
        <w:t>建设项目环境影响报告表</w:t>
      </w:r>
      <w:bookmarkEnd w:id="0"/>
    </w:p>
    <w:p>
      <w:pPr>
        <w:adjustRightInd w:val="0"/>
        <w:snapToGrid w:val="0"/>
        <w:spacing w:before="192" w:beforeLines="80"/>
        <w:jc w:val="center"/>
        <w:rPr>
          <w:rFonts w:hint="default" w:ascii="Times New Roman" w:hAnsi="Times New Roman" w:eastAsia="楷体_GB2312" w:cs="Times New Roman"/>
          <w:bCs/>
          <w:color w:val="auto"/>
          <w:sz w:val="48"/>
          <w:szCs w:val="48"/>
          <w:highlight w:val="none"/>
        </w:rPr>
      </w:pPr>
      <w:r>
        <w:rPr>
          <w:rFonts w:hint="default" w:ascii="Times New Roman" w:hAnsi="Times New Roman" w:eastAsia="楷体_GB2312" w:cs="Times New Roman"/>
          <w:bCs/>
          <w:color w:val="auto"/>
          <w:sz w:val="48"/>
          <w:szCs w:val="48"/>
          <w:highlight w:val="none"/>
        </w:rPr>
        <w:t>（污染影响类）</w:t>
      </w:r>
    </w:p>
    <w:p>
      <w:pPr>
        <w:rPr>
          <w:rFonts w:hint="default" w:ascii="Times New Roman" w:hAnsi="Times New Roman" w:cs="Times New Roman"/>
          <w:color w:val="auto"/>
          <w:highlight w:val="none"/>
        </w:rPr>
      </w:pPr>
    </w:p>
    <w:p>
      <w:pPr>
        <w:adjustRightInd w:val="0"/>
        <w:snapToGrid w:val="0"/>
        <w:spacing w:before="192" w:beforeLines="80"/>
        <w:jc w:val="center"/>
        <w:rPr>
          <w:rFonts w:hint="default" w:ascii="Times New Roman" w:hAnsi="Times New Roman" w:eastAsia="仿宋" w:cs="Times New Roman"/>
          <w:color w:val="auto"/>
          <w:sz w:val="52"/>
          <w:szCs w:val="52"/>
          <w:highlight w:val="none"/>
        </w:rPr>
      </w:pPr>
      <w:r>
        <w:rPr>
          <w:rFonts w:hint="default" w:ascii="Times New Roman" w:hAnsi="Times New Roman" w:eastAsia="楷体_GB2312" w:cs="Times New Roman"/>
          <w:bCs/>
          <w:color w:val="auto"/>
          <w:sz w:val="48"/>
          <w:szCs w:val="48"/>
          <w:highlight w:val="none"/>
        </w:rPr>
        <w:t>（</w:t>
      </w:r>
      <w:r>
        <w:rPr>
          <w:rFonts w:hint="eastAsia" w:eastAsia="楷体_GB2312" w:cs="Times New Roman"/>
          <w:bCs/>
          <w:color w:val="auto"/>
          <w:sz w:val="48"/>
          <w:szCs w:val="48"/>
          <w:highlight w:val="none"/>
          <w:lang w:val="en-US" w:eastAsia="zh-CN"/>
        </w:rPr>
        <w:t>送审稿</w:t>
      </w:r>
      <w:r>
        <w:rPr>
          <w:rFonts w:hint="default" w:ascii="Times New Roman" w:hAnsi="Times New Roman" w:eastAsia="楷体_GB2312" w:cs="Times New Roman"/>
          <w:bCs/>
          <w:color w:val="auto"/>
          <w:sz w:val="48"/>
          <w:szCs w:val="48"/>
          <w:highlight w:val="none"/>
        </w:rPr>
        <w:t>）</w:t>
      </w:r>
    </w:p>
    <w:p>
      <w:pPr>
        <w:ind w:firstLine="1040"/>
        <w:rPr>
          <w:rFonts w:hint="default" w:ascii="Times New Roman" w:hAnsi="Times New Roman" w:eastAsia="仿宋" w:cs="Times New Roman"/>
          <w:color w:val="auto"/>
          <w:sz w:val="44"/>
          <w:szCs w:val="44"/>
          <w:highlight w:val="none"/>
        </w:rPr>
      </w:pPr>
    </w:p>
    <w:p>
      <w:pPr>
        <w:ind w:firstLine="1040"/>
        <w:rPr>
          <w:rFonts w:hint="default" w:ascii="Times New Roman" w:hAnsi="Times New Roman" w:eastAsia="仿宋" w:cs="Times New Roman"/>
          <w:color w:val="auto"/>
          <w:sz w:val="44"/>
          <w:szCs w:val="44"/>
          <w:highlight w:val="none"/>
        </w:rPr>
      </w:pPr>
    </w:p>
    <w:p>
      <w:pPr>
        <w:ind w:firstLine="1040"/>
        <w:rPr>
          <w:rFonts w:hint="default" w:ascii="Times New Roman" w:hAnsi="Times New Roman" w:eastAsia="仿宋" w:cs="Times New Roman"/>
          <w:color w:val="auto"/>
          <w:sz w:val="44"/>
          <w:szCs w:val="44"/>
          <w:highlight w:val="none"/>
        </w:rPr>
      </w:pPr>
    </w:p>
    <w:p>
      <w:pPr>
        <w:ind w:firstLine="1040"/>
        <w:rPr>
          <w:rFonts w:hint="default" w:ascii="Times New Roman" w:hAnsi="Times New Roman" w:eastAsia="仿宋" w:cs="Times New Roman"/>
          <w:color w:val="auto"/>
          <w:sz w:val="44"/>
          <w:szCs w:val="44"/>
          <w:highlight w:val="none"/>
        </w:rPr>
      </w:pPr>
    </w:p>
    <w:p>
      <w:pPr>
        <w:ind w:firstLine="1040"/>
        <w:rPr>
          <w:rFonts w:hint="default" w:ascii="Times New Roman" w:hAnsi="Times New Roman" w:cs="Times New Roman"/>
          <w:color w:val="auto"/>
          <w:highlight w:val="none"/>
        </w:rPr>
      </w:pPr>
    </w:p>
    <w:p>
      <w:pPr>
        <w:pStyle w:val="9"/>
        <w:rPr>
          <w:rFonts w:hint="default" w:ascii="Times New Roman" w:hAnsi="Times New Roman" w:cs="Times New Roman"/>
          <w:color w:val="auto"/>
          <w:highlight w:val="none"/>
        </w:rPr>
      </w:pPr>
    </w:p>
    <w:p>
      <w:pPr>
        <w:ind w:firstLine="1040"/>
        <w:rPr>
          <w:rFonts w:hint="default" w:ascii="Times New Roman" w:hAnsi="Times New Roman" w:eastAsia="仿宋" w:cs="Times New Roman"/>
          <w:color w:val="auto"/>
          <w:sz w:val="44"/>
          <w:szCs w:val="44"/>
          <w:highlight w:val="none"/>
        </w:rPr>
      </w:pPr>
    </w:p>
    <w:p>
      <w:pPr>
        <w:adjustRightInd w:val="0"/>
        <w:snapToGrid w:val="0"/>
        <w:spacing w:line="360" w:lineRule="auto"/>
        <w:rPr>
          <w:rFonts w:hint="default" w:ascii="Times New Roman" w:hAnsi="Times New Roman" w:eastAsia="仿宋_GB2312" w:cs="Times New Roman"/>
          <w:color w:val="auto"/>
          <w:sz w:val="36"/>
          <w:szCs w:val="36"/>
          <w:highlight w:val="none"/>
          <w:u w:val="single"/>
          <w:lang w:val="en-US"/>
        </w:rPr>
      </w:pPr>
      <w:r>
        <w:rPr>
          <w:rFonts w:hint="default" w:ascii="Times New Roman" w:hAnsi="Times New Roman" w:eastAsia="仿宋_GB2312" w:cs="Times New Roman"/>
          <w:color w:val="auto"/>
          <w:sz w:val="36"/>
          <w:szCs w:val="36"/>
          <w:highlight w:val="none"/>
        </w:rPr>
        <w:t>项目名称：</w:t>
      </w:r>
      <w:r>
        <w:rPr>
          <w:rFonts w:hint="eastAsia" w:eastAsia="仿宋_GB2312" w:cs="Times New Roman"/>
          <w:color w:val="auto"/>
          <w:sz w:val="36"/>
          <w:szCs w:val="36"/>
          <w:highlight w:val="none"/>
          <w:u w:val="single"/>
          <w:lang w:val="en-US" w:eastAsia="zh-CN"/>
        </w:rPr>
        <w:t xml:space="preserve">宜良工业园区生物质绿色可再生能源分布式集中供热项目 </w:t>
      </w:r>
    </w:p>
    <w:p>
      <w:pPr>
        <w:adjustRightInd w:val="0"/>
        <w:snapToGrid w:val="0"/>
        <w:spacing w:line="360" w:lineRule="auto"/>
        <w:rPr>
          <w:rFonts w:hint="default" w:ascii="Times New Roman" w:hAnsi="Times New Roman" w:eastAsia="仿宋_GB2312" w:cs="Times New Roman"/>
          <w:color w:val="auto"/>
          <w:sz w:val="36"/>
          <w:szCs w:val="36"/>
          <w:highlight w:val="none"/>
          <w:u w:val="single"/>
          <w:lang w:val="en-US" w:eastAsia="zh-CN"/>
        </w:rPr>
      </w:pPr>
      <w:r>
        <w:rPr>
          <w:rFonts w:hint="default" w:ascii="Times New Roman" w:hAnsi="Times New Roman" w:eastAsia="仿宋_GB2312" w:cs="Times New Roman"/>
          <w:color w:val="auto"/>
          <w:sz w:val="36"/>
          <w:szCs w:val="36"/>
          <w:highlight w:val="none"/>
        </w:rPr>
        <w:t>建设单位（盖章）：</w:t>
      </w:r>
      <w:r>
        <w:rPr>
          <w:rFonts w:hint="eastAsia" w:eastAsia="仿宋_GB2312" w:cs="Times New Roman"/>
          <w:color w:val="auto"/>
          <w:sz w:val="36"/>
          <w:szCs w:val="36"/>
          <w:highlight w:val="none"/>
          <w:u w:val="single"/>
          <w:lang w:val="en-US" w:eastAsia="zh-CN"/>
        </w:rPr>
        <w:t xml:space="preserve">  昆明甲乙木能源技术有限公司 </w:t>
      </w:r>
    </w:p>
    <w:p>
      <w:pPr>
        <w:adjustRightInd w:val="0"/>
        <w:snapToGrid w:val="0"/>
        <w:spacing w:line="360" w:lineRule="auto"/>
        <w:rPr>
          <w:rFonts w:hint="default" w:ascii="Times New Roman" w:hAnsi="Times New Roman" w:eastAsia="仿宋_GB2312" w:cs="Times New Roman"/>
          <w:color w:val="auto"/>
          <w:sz w:val="36"/>
          <w:szCs w:val="36"/>
          <w:highlight w:val="none"/>
          <w:u w:val="single"/>
          <w:lang w:val="en-US" w:eastAsia="zh-CN"/>
        </w:rPr>
      </w:pPr>
      <w:r>
        <w:rPr>
          <w:rFonts w:hint="default" w:ascii="Times New Roman" w:hAnsi="Times New Roman" w:eastAsia="仿宋_GB2312" w:cs="Times New Roman"/>
          <w:color w:val="auto"/>
          <w:sz w:val="36"/>
          <w:szCs w:val="36"/>
          <w:highlight w:val="none"/>
        </w:rPr>
        <w:t>编制日期：</w:t>
      </w:r>
      <w:r>
        <w:rPr>
          <w:rFonts w:hint="eastAsia" w:eastAsia="仿宋_GB2312" w:cs="Times New Roman"/>
          <w:color w:val="auto"/>
          <w:sz w:val="36"/>
          <w:szCs w:val="36"/>
          <w:highlight w:val="none"/>
          <w:u w:val="single"/>
          <w:lang w:val="en-US" w:eastAsia="zh-CN"/>
        </w:rPr>
        <w:t xml:space="preserve">               2</w:t>
      </w:r>
      <w:r>
        <w:rPr>
          <w:rFonts w:hint="default" w:ascii="Times New Roman" w:hAnsi="Times New Roman" w:eastAsia="仿宋_GB2312" w:cs="Times New Roman"/>
          <w:color w:val="auto"/>
          <w:sz w:val="36"/>
          <w:szCs w:val="36"/>
          <w:highlight w:val="none"/>
          <w:u w:val="single"/>
          <w:lang w:val="en-US" w:eastAsia="zh-CN"/>
        </w:rPr>
        <w:t>0</w:t>
      </w:r>
      <w:r>
        <w:rPr>
          <w:rFonts w:hint="eastAsia" w:eastAsia="仿宋_GB2312" w:cs="Times New Roman"/>
          <w:color w:val="auto"/>
          <w:sz w:val="36"/>
          <w:szCs w:val="36"/>
          <w:highlight w:val="none"/>
          <w:u w:val="single"/>
          <w:lang w:val="en-US" w:eastAsia="zh-CN"/>
        </w:rPr>
        <w:t>24</w:t>
      </w:r>
      <w:r>
        <w:rPr>
          <w:rFonts w:hint="default" w:ascii="Times New Roman" w:hAnsi="Times New Roman" w:eastAsia="仿宋_GB2312" w:cs="Times New Roman"/>
          <w:color w:val="auto"/>
          <w:sz w:val="36"/>
          <w:szCs w:val="36"/>
          <w:highlight w:val="none"/>
          <w:u w:val="single"/>
          <w:lang w:val="en-US" w:eastAsia="zh-CN"/>
        </w:rPr>
        <w:t>年</w:t>
      </w:r>
      <w:r>
        <w:rPr>
          <w:rFonts w:hint="eastAsia" w:eastAsia="仿宋_GB2312" w:cs="Times New Roman"/>
          <w:color w:val="auto"/>
          <w:sz w:val="36"/>
          <w:szCs w:val="36"/>
          <w:highlight w:val="none"/>
          <w:u w:val="single"/>
          <w:lang w:val="en-US" w:eastAsia="zh-CN"/>
        </w:rPr>
        <w:t>1</w:t>
      </w:r>
      <w:r>
        <w:rPr>
          <w:rFonts w:hint="default" w:ascii="Times New Roman" w:hAnsi="Times New Roman" w:eastAsia="仿宋_GB2312" w:cs="Times New Roman"/>
          <w:color w:val="auto"/>
          <w:sz w:val="36"/>
          <w:szCs w:val="36"/>
          <w:highlight w:val="none"/>
          <w:u w:val="single"/>
          <w:lang w:val="en-US" w:eastAsia="zh-CN"/>
        </w:rPr>
        <w:t>月</w:t>
      </w:r>
      <w:r>
        <w:rPr>
          <w:rFonts w:hint="eastAsia" w:eastAsia="仿宋_GB2312" w:cs="Times New Roman"/>
          <w:color w:val="auto"/>
          <w:sz w:val="36"/>
          <w:szCs w:val="36"/>
          <w:highlight w:val="none"/>
          <w:u w:val="single"/>
          <w:lang w:val="en-US" w:eastAsia="zh-CN"/>
        </w:rPr>
        <w:t xml:space="preserve">             </w:t>
      </w:r>
    </w:p>
    <w:p>
      <w:pPr>
        <w:adjustRightInd w:val="0"/>
        <w:snapToGrid w:val="0"/>
        <w:spacing w:line="288" w:lineRule="auto"/>
        <w:rPr>
          <w:rFonts w:hint="default" w:ascii="Times New Roman" w:hAnsi="Times New Roman" w:eastAsia="仿宋_GB2312" w:cs="Times New Roman"/>
          <w:color w:val="auto"/>
          <w:sz w:val="36"/>
          <w:szCs w:val="36"/>
          <w:highlight w:val="none"/>
        </w:rPr>
      </w:pPr>
      <w:bookmarkStart w:id="1" w:name="_Hlk57884087"/>
    </w:p>
    <w:p>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pPr>
        <w:ind w:firstLine="1040"/>
        <w:rPr>
          <w:rFonts w:hint="default" w:ascii="Times New Roman" w:hAnsi="Times New Roman" w:eastAsia="仿宋_GB2312" w:cs="Times New Roman"/>
          <w:color w:val="auto"/>
          <w:sz w:val="36"/>
          <w:szCs w:val="36"/>
          <w:highlight w:val="none"/>
        </w:rPr>
      </w:pPr>
    </w:p>
    <w:p>
      <w:pPr>
        <w:ind w:firstLine="1040"/>
        <w:rPr>
          <w:rFonts w:hint="default" w:ascii="Times New Roman" w:hAnsi="Times New Roman" w:cs="Times New Roman"/>
          <w:color w:val="auto"/>
          <w:highlight w:val="none"/>
        </w:rPr>
      </w:pPr>
    </w:p>
    <w:p>
      <w:pPr>
        <w:pStyle w:val="9"/>
        <w:rPr>
          <w:rFonts w:hint="default" w:ascii="Times New Roman" w:hAnsi="Times New Roman" w:cs="Times New Roman"/>
          <w:color w:val="auto"/>
          <w:highlight w:val="none"/>
        </w:rPr>
      </w:pPr>
    </w:p>
    <w:p>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bookmarkEnd w:id="1"/>
    <w:p>
      <w:pPr>
        <w:adjustRightInd w:val="0"/>
        <w:snapToGrid w:val="0"/>
        <w:spacing w:line="288" w:lineRule="auto"/>
        <w:jc w:val="center"/>
        <w:rPr>
          <w:rFonts w:hint="default" w:ascii="Times New Roman" w:hAnsi="Times New Roman" w:eastAsia="仿宋_GB2312" w:cs="Times New Roman"/>
          <w:color w:val="auto"/>
          <w:sz w:val="36"/>
          <w:szCs w:val="36"/>
          <w:highlight w:val="none"/>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r>
        <w:rPr>
          <w:rFonts w:hint="default" w:ascii="Times New Roman" w:hAnsi="Times New Roman" w:eastAsia="楷体_GB2312" w:cs="Times New Roman"/>
          <w:color w:val="auto"/>
          <w:sz w:val="36"/>
          <w:szCs w:val="36"/>
          <w:highlight w:val="none"/>
        </w:rPr>
        <w:t>中华人民共和国生态环境部制</w:t>
      </w:r>
    </w:p>
    <w:p>
      <w:pPr>
        <w:adjustRightInd w:val="0"/>
        <w:snapToGrid w:val="0"/>
        <w:spacing w:line="288" w:lineRule="auto"/>
        <w:jc w:val="center"/>
        <w:rPr>
          <w:rFonts w:hint="eastAsia" w:ascii="宋体" w:hAnsi="宋体" w:eastAsia="宋体" w:cs="宋体"/>
          <w:b/>
          <w:bCs/>
          <w:color w:val="auto"/>
          <w:sz w:val="28"/>
          <w:szCs w:val="28"/>
          <w:highlight w:val="none"/>
          <w:lang w:val="en-US" w:eastAsia="zh-CN"/>
        </w:rPr>
      </w:pPr>
      <w:r>
        <w:rPr>
          <w:rFonts w:hint="eastAsia" w:ascii="宋体" w:hAnsi="宋体" w:cs="宋体"/>
          <w:b/>
          <w:bCs/>
          <w:color w:val="auto"/>
          <w:sz w:val="28"/>
          <w:szCs w:val="28"/>
          <w:highlight w:val="none"/>
          <w:lang w:val="en-US" w:eastAsia="zh-CN"/>
        </w:rPr>
        <w:t>海大供热点</w:t>
      </w:r>
      <w:r>
        <w:rPr>
          <w:rFonts w:hint="eastAsia" w:ascii="宋体" w:hAnsi="宋体" w:eastAsia="宋体" w:cs="宋体"/>
          <w:b/>
          <w:bCs/>
          <w:color w:val="auto"/>
          <w:sz w:val="28"/>
          <w:szCs w:val="28"/>
          <w:highlight w:val="none"/>
          <w:lang w:val="en-US" w:eastAsia="zh-CN"/>
        </w:rPr>
        <w:t>现场图片</w:t>
      </w:r>
    </w:p>
    <w:tbl>
      <w:tblPr>
        <w:tblStyle w:val="29"/>
        <w:tblW w:w="92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3"/>
        <w:gridCol w:w="4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23" w:type="dxa"/>
            <w:noWrap w:val="0"/>
            <w:vAlign w:val="top"/>
          </w:tcPr>
          <w:p>
            <w:pPr>
              <w:ind w:firstLine="0" w:firstLineChars="0"/>
              <w:jc w:val="both"/>
              <w:rPr>
                <w:rFonts w:hint="eastAsia" w:ascii="Times New Roman" w:hAnsi="Times New Roman" w:eastAsia="宋体"/>
                <w:color w:val="auto"/>
                <w:highlight w:val="none"/>
                <w:lang w:eastAsia="zh-CN"/>
              </w:rPr>
            </w:pPr>
            <w:r>
              <w:rPr>
                <w:color w:val="auto"/>
                <w:sz w:val="21"/>
                <w:highlight w:val="none"/>
              </w:rPr>
              <w:drawing>
                <wp:inline distT="0" distB="0" distL="114300" distR="114300">
                  <wp:extent cx="2912110" cy="2181860"/>
                  <wp:effectExtent l="0" t="0" r="2540" b="8890"/>
                  <wp:docPr id="8" name="图片 8" descr="b135e2dd324e9e060e111aefb6c2321f_"/>
                  <wp:cNvGraphicFramePr/>
                  <a:graphic xmlns:a="http://schemas.openxmlformats.org/drawingml/2006/main">
                    <a:graphicData uri="http://schemas.openxmlformats.org/drawingml/2006/picture">
                      <pic:pic xmlns:pic="http://schemas.openxmlformats.org/drawingml/2006/picture">
                        <pic:nvPicPr>
                          <pic:cNvPr id="8" name="图片 8" descr="b135e2dd324e9e060e111aefb6c2321f_"/>
                          <pic:cNvPicPr/>
                        </pic:nvPicPr>
                        <pic:blipFill>
                          <a:blip r:embed="rId11"/>
                          <a:stretch>
                            <a:fillRect/>
                          </a:stretch>
                        </pic:blipFill>
                        <pic:spPr>
                          <a:xfrm>
                            <a:off x="0" y="0"/>
                            <a:ext cx="2912110" cy="2181860"/>
                          </a:xfrm>
                          <a:prstGeom prst="rect">
                            <a:avLst/>
                          </a:prstGeom>
                        </pic:spPr>
                      </pic:pic>
                    </a:graphicData>
                  </a:graphic>
                </wp:inline>
              </w:drawing>
            </w:r>
          </w:p>
        </w:tc>
        <w:tc>
          <w:tcPr>
            <w:tcW w:w="4390" w:type="dxa"/>
            <w:noWrap w:val="0"/>
            <w:vAlign w:val="top"/>
          </w:tcPr>
          <w:p>
            <w:pPr>
              <w:ind w:firstLine="0" w:firstLineChars="0"/>
              <w:jc w:val="both"/>
              <w:rPr>
                <w:rFonts w:hint="eastAsia" w:ascii="Times New Roman" w:hAnsi="Times New Roman" w:eastAsia="宋体"/>
                <w:color w:val="auto"/>
                <w:highlight w:val="none"/>
                <w:lang w:eastAsia="zh-CN"/>
              </w:rPr>
            </w:pPr>
            <w:r>
              <w:rPr>
                <w:color w:val="auto"/>
                <w:sz w:val="21"/>
                <w:highlight w:val="none"/>
              </w:rPr>
              <w:drawing>
                <wp:inline distT="0" distB="0" distL="114300" distR="114300">
                  <wp:extent cx="2678430" cy="2181860"/>
                  <wp:effectExtent l="0" t="0" r="7620" b="8890"/>
                  <wp:docPr id="14" name="图片 14" descr="563543b328770e607d1401c0f6a9bab0_"/>
                  <wp:cNvGraphicFramePr/>
                  <a:graphic xmlns:a="http://schemas.openxmlformats.org/drawingml/2006/main">
                    <a:graphicData uri="http://schemas.openxmlformats.org/drawingml/2006/picture">
                      <pic:pic xmlns:pic="http://schemas.openxmlformats.org/drawingml/2006/picture">
                        <pic:nvPicPr>
                          <pic:cNvPr id="14" name="图片 14" descr="563543b328770e607d1401c0f6a9bab0_"/>
                          <pic:cNvPicPr/>
                        </pic:nvPicPr>
                        <pic:blipFill>
                          <a:blip r:embed="rId12"/>
                          <a:stretch>
                            <a:fillRect/>
                          </a:stretch>
                        </pic:blipFill>
                        <pic:spPr>
                          <a:xfrm>
                            <a:off x="0" y="0"/>
                            <a:ext cx="2678430" cy="21818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23" w:type="dxa"/>
            <w:noWrap w:val="0"/>
            <w:vAlign w:val="top"/>
          </w:tcPr>
          <w:p>
            <w:pPr>
              <w:ind w:firstLine="0" w:firstLineChars="0"/>
              <w:jc w:val="center"/>
              <w:rPr>
                <w:rFonts w:hint="default" w:eastAsia="宋体"/>
                <w:color w:val="auto"/>
                <w:sz w:val="21"/>
                <w:highlight w:val="none"/>
                <w:lang w:val="en-US" w:eastAsia="zh-CN"/>
              </w:rPr>
            </w:pPr>
            <w:r>
              <w:rPr>
                <w:rFonts w:hint="eastAsia"/>
                <w:color w:val="auto"/>
                <w:sz w:val="21"/>
                <w:highlight w:val="none"/>
                <w:lang w:val="en-US" w:eastAsia="zh-CN"/>
              </w:rPr>
              <w:t>已建锅炉房</w:t>
            </w:r>
          </w:p>
        </w:tc>
        <w:tc>
          <w:tcPr>
            <w:tcW w:w="4390" w:type="dxa"/>
            <w:noWrap w:val="0"/>
            <w:vAlign w:val="top"/>
          </w:tcPr>
          <w:p>
            <w:pPr>
              <w:ind w:firstLine="0" w:firstLineChars="0"/>
              <w:jc w:val="center"/>
              <w:rPr>
                <w:rFonts w:hint="default" w:eastAsia="宋体"/>
                <w:color w:val="auto"/>
                <w:sz w:val="21"/>
                <w:highlight w:val="none"/>
                <w:lang w:val="en-US" w:eastAsia="zh-CN"/>
              </w:rPr>
            </w:pPr>
            <w:r>
              <w:rPr>
                <w:rFonts w:hint="eastAsia"/>
                <w:color w:val="auto"/>
                <w:sz w:val="21"/>
                <w:highlight w:val="none"/>
                <w:lang w:val="en-US" w:eastAsia="zh-CN"/>
              </w:rPr>
              <w:t>生物质锅炉（已建4t/h、6t/h锅炉各1台）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23" w:type="dxa"/>
            <w:noWrap w:val="0"/>
            <w:vAlign w:val="top"/>
          </w:tcPr>
          <w:p>
            <w:pPr>
              <w:ind w:firstLine="0" w:firstLineChars="0"/>
              <w:jc w:val="center"/>
              <w:rPr>
                <w:rFonts w:hint="eastAsia"/>
                <w:color w:val="auto"/>
                <w:highlight w:val="none"/>
                <w:lang w:val="en-US" w:eastAsia="zh-CN"/>
              </w:rPr>
            </w:pPr>
            <w:r>
              <w:rPr>
                <w:color w:val="auto"/>
                <w:sz w:val="21"/>
                <w:highlight w:val="none"/>
              </w:rPr>
              <w:drawing>
                <wp:inline distT="0" distB="0" distL="114300" distR="114300">
                  <wp:extent cx="2912110" cy="2181860"/>
                  <wp:effectExtent l="0" t="0" r="2540" b="8890"/>
                  <wp:docPr id="18" name="图片 18" descr="647a575b162d81449e33e121f3349991_"/>
                  <wp:cNvGraphicFramePr/>
                  <a:graphic xmlns:a="http://schemas.openxmlformats.org/drawingml/2006/main">
                    <a:graphicData uri="http://schemas.openxmlformats.org/drawingml/2006/picture">
                      <pic:pic xmlns:pic="http://schemas.openxmlformats.org/drawingml/2006/picture">
                        <pic:nvPicPr>
                          <pic:cNvPr id="18" name="图片 18" descr="647a575b162d81449e33e121f3349991_"/>
                          <pic:cNvPicPr/>
                        </pic:nvPicPr>
                        <pic:blipFill>
                          <a:blip r:embed="rId13"/>
                          <a:stretch>
                            <a:fillRect/>
                          </a:stretch>
                        </pic:blipFill>
                        <pic:spPr>
                          <a:xfrm>
                            <a:off x="0" y="0"/>
                            <a:ext cx="2912110" cy="2181860"/>
                          </a:xfrm>
                          <a:prstGeom prst="rect">
                            <a:avLst/>
                          </a:prstGeom>
                        </pic:spPr>
                      </pic:pic>
                    </a:graphicData>
                  </a:graphic>
                </wp:inline>
              </w:drawing>
            </w:r>
          </w:p>
        </w:tc>
        <w:tc>
          <w:tcPr>
            <w:tcW w:w="4390" w:type="dxa"/>
            <w:noWrap w:val="0"/>
            <w:vAlign w:val="top"/>
          </w:tcPr>
          <w:p>
            <w:pPr>
              <w:ind w:firstLine="0" w:firstLineChars="0"/>
              <w:jc w:val="center"/>
              <w:rPr>
                <w:rFonts w:hint="eastAsia" w:eastAsia="宋体"/>
                <w:color w:val="auto"/>
                <w:highlight w:val="none"/>
                <w:lang w:val="en-US" w:eastAsia="zh-CN"/>
              </w:rPr>
            </w:pPr>
            <w:r>
              <w:rPr>
                <w:color w:val="auto"/>
                <w:sz w:val="21"/>
                <w:highlight w:val="none"/>
              </w:rPr>
              <w:drawing>
                <wp:inline distT="0" distB="0" distL="114300" distR="114300">
                  <wp:extent cx="2678430" cy="2181860"/>
                  <wp:effectExtent l="0" t="0" r="7620" b="8890"/>
                  <wp:docPr id="15" name="图片 15" descr="fbe6f653c79955ee37241388762a8c86_"/>
                  <wp:cNvGraphicFramePr/>
                  <a:graphic xmlns:a="http://schemas.openxmlformats.org/drawingml/2006/main">
                    <a:graphicData uri="http://schemas.openxmlformats.org/drawingml/2006/picture">
                      <pic:pic xmlns:pic="http://schemas.openxmlformats.org/drawingml/2006/picture">
                        <pic:nvPicPr>
                          <pic:cNvPr id="15" name="图片 15" descr="fbe6f653c79955ee37241388762a8c86_"/>
                          <pic:cNvPicPr/>
                        </pic:nvPicPr>
                        <pic:blipFill>
                          <a:blip r:embed="rId14"/>
                          <a:stretch>
                            <a:fillRect/>
                          </a:stretch>
                        </pic:blipFill>
                        <pic:spPr>
                          <a:xfrm>
                            <a:off x="0" y="0"/>
                            <a:ext cx="2678430" cy="21818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23" w:type="dxa"/>
            <w:noWrap w:val="0"/>
            <w:vAlign w:val="top"/>
          </w:tcPr>
          <w:p>
            <w:pPr>
              <w:ind w:firstLine="0" w:firstLineChars="0"/>
              <w:jc w:val="center"/>
              <w:rPr>
                <w:rFonts w:hint="default"/>
                <w:color w:val="auto"/>
                <w:highlight w:val="none"/>
                <w:lang w:val="en-US" w:eastAsia="zh-CN"/>
              </w:rPr>
            </w:pPr>
            <w:r>
              <w:rPr>
                <w:rFonts w:hint="eastAsia"/>
                <w:color w:val="auto"/>
                <w:highlight w:val="none"/>
                <w:lang w:val="en-US" w:eastAsia="zh-CN"/>
              </w:rPr>
              <w:t>生物质燃料装袋存放</w:t>
            </w:r>
          </w:p>
        </w:tc>
        <w:tc>
          <w:tcPr>
            <w:tcW w:w="4390" w:type="dxa"/>
            <w:noWrap w:val="0"/>
            <w:vAlign w:val="top"/>
          </w:tcPr>
          <w:p>
            <w:pPr>
              <w:ind w:firstLine="0" w:firstLineChars="0"/>
              <w:jc w:val="center"/>
              <w:rPr>
                <w:rFonts w:hint="default"/>
                <w:color w:val="auto"/>
                <w:highlight w:val="none"/>
                <w:lang w:val="en-US" w:eastAsia="zh-CN"/>
              </w:rPr>
            </w:pPr>
            <w:r>
              <w:rPr>
                <w:rFonts w:hint="eastAsia"/>
                <w:color w:val="auto"/>
                <w:highlight w:val="none"/>
                <w:lang w:val="en-US" w:eastAsia="zh-CN"/>
              </w:rPr>
              <w:t>灰渣装袋堆存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23" w:type="dxa"/>
            <w:noWrap w:val="0"/>
            <w:vAlign w:val="top"/>
          </w:tcPr>
          <w:p>
            <w:pPr>
              <w:ind w:firstLine="0" w:firstLineChars="0"/>
              <w:jc w:val="center"/>
              <w:rPr>
                <w:rFonts w:hint="eastAsia"/>
                <w:color w:val="auto"/>
                <w:highlight w:val="none"/>
                <w:lang w:val="en-US" w:eastAsia="zh-CN"/>
              </w:rPr>
            </w:pPr>
            <w:r>
              <w:rPr>
                <w:rFonts w:hint="eastAsia"/>
                <w:color w:val="auto"/>
                <w:highlight w:val="none"/>
                <w:lang w:val="en-US" w:eastAsia="zh-CN"/>
              </w:rPr>
              <w:drawing>
                <wp:inline distT="0" distB="0" distL="114300" distR="114300">
                  <wp:extent cx="2912110" cy="2181860"/>
                  <wp:effectExtent l="0" t="0" r="2540" b="8890"/>
                  <wp:docPr id="12" name="图片 12" descr="68a902a0a8df65e67c925bdf3e613fd"/>
                  <wp:cNvGraphicFramePr/>
                  <a:graphic xmlns:a="http://schemas.openxmlformats.org/drawingml/2006/main">
                    <a:graphicData uri="http://schemas.openxmlformats.org/drawingml/2006/picture">
                      <pic:pic xmlns:pic="http://schemas.openxmlformats.org/drawingml/2006/picture">
                        <pic:nvPicPr>
                          <pic:cNvPr id="12" name="图片 12" descr="68a902a0a8df65e67c925bdf3e613fd"/>
                          <pic:cNvPicPr/>
                        </pic:nvPicPr>
                        <pic:blipFill>
                          <a:blip r:embed="rId15"/>
                          <a:stretch>
                            <a:fillRect/>
                          </a:stretch>
                        </pic:blipFill>
                        <pic:spPr>
                          <a:xfrm>
                            <a:off x="0" y="0"/>
                            <a:ext cx="2912110" cy="2181860"/>
                          </a:xfrm>
                          <a:prstGeom prst="rect">
                            <a:avLst/>
                          </a:prstGeom>
                        </pic:spPr>
                      </pic:pic>
                    </a:graphicData>
                  </a:graphic>
                </wp:inline>
              </w:drawing>
            </w:r>
          </w:p>
        </w:tc>
        <w:tc>
          <w:tcPr>
            <w:tcW w:w="4390" w:type="dxa"/>
            <w:noWrap w:val="0"/>
            <w:vAlign w:val="top"/>
          </w:tcPr>
          <w:p>
            <w:pPr>
              <w:ind w:firstLine="0" w:firstLineChars="0"/>
              <w:jc w:val="center"/>
              <w:rPr>
                <w:rFonts w:hint="eastAsia"/>
                <w:color w:val="auto"/>
                <w:highlight w:val="none"/>
                <w:lang w:val="en-US" w:eastAsia="zh-CN"/>
              </w:rPr>
            </w:pPr>
            <w:r>
              <w:rPr>
                <w:color w:val="auto"/>
                <w:sz w:val="21"/>
                <w:highlight w:val="none"/>
              </w:rPr>
              <w:drawing>
                <wp:inline distT="0" distB="0" distL="114300" distR="114300">
                  <wp:extent cx="2678430" cy="2181860"/>
                  <wp:effectExtent l="0" t="0" r="7620" b="8890"/>
                  <wp:docPr id="19" name="图片 19" descr="0b422d58cf3e22f5705f2ef5a1f8c8b8_"/>
                  <wp:cNvGraphicFramePr/>
                  <a:graphic xmlns:a="http://schemas.openxmlformats.org/drawingml/2006/main">
                    <a:graphicData uri="http://schemas.openxmlformats.org/drawingml/2006/picture">
                      <pic:pic xmlns:pic="http://schemas.openxmlformats.org/drawingml/2006/picture">
                        <pic:nvPicPr>
                          <pic:cNvPr id="19" name="图片 19" descr="0b422d58cf3e22f5705f2ef5a1f8c8b8_"/>
                          <pic:cNvPicPr/>
                        </pic:nvPicPr>
                        <pic:blipFill>
                          <a:blip r:embed="rId16"/>
                          <a:stretch>
                            <a:fillRect/>
                          </a:stretch>
                        </pic:blipFill>
                        <pic:spPr>
                          <a:xfrm>
                            <a:off x="0" y="0"/>
                            <a:ext cx="2678430" cy="21818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23" w:type="dxa"/>
            <w:noWrap w:val="0"/>
            <w:vAlign w:val="top"/>
          </w:tcPr>
          <w:p>
            <w:pPr>
              <w:ind w:firstLine="0" w:firstLineChars="0"/>
              <w:jc w:val="center"/>
              <w:rPr>
                <w:rFonts w:hint="default"/>
                <w:color w:val="auto"/>
                <w:highlight w:val="none"/>
                <w:lang w:val="en-US" w:eastAsia="zh-CN"/>
              </w:rPr>
            </w:pPr>
            <w:r>
              <w:rPr>
                <w:rFonts w:hint="default"/>
                <w:color w:val="auto"/>
                <w:highlight w:val="none"/>
                <w:lang w:val="en-US" w:eastAsia="zh-CN"/>
              </w:rPr>
              <w:t>烟气蒸发系统-储水池</w:t>
            </w:r>
          </w:p>
        </w:tc>
        <w:tc>
          <w:tcPr>
            <w:tcW w:w="4390" w:type="dxa"/>
            <w:noWrap w:val="0"/>
            <w:vAlign w:val="top"/>
          </w:tcPr>
          <w:p>
            <w:pPr>
              <w:ind w:firstLine="0" w:firstLineChars="0"/>
              <w:jc w:val="center"/>
              <w:rPr>
                <w:rFonts w:hint="default"/>
                <w:color w:val="auto"/>
                <w:highlight w:val="none"/>
                <w:lang w:val="en-US" w:eastAsia="zh-CN"/>
              </w:rPr>
            </w:pPr>
            <w:r>
              <w:rPr>
                <w:rFonts w:hint="eastAsia"/>
                <w:color w:val="auto"/>
                <w:highlight w:val="none"/>
                <w:lang w:val="en-US" w:eastAsia="zh-CN"/>
              </w:rPr>
              <w:t>烟气蒸发系统、45m烟囱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23" w:type="dxa"/>
            <w:noWrap w:val="0"/>
            <w:vAlign w:val="top"/>
          </w:tcPr>
          <w:p>
            <w:pPr>
              <w:ind w:firstLine="0" w:firstLineChars="0"/>
              <w:jc w:val="center"/>
              <w:rPr>
                <w:rFonts w:hint="eastAsia"/>
                <w:color w:val="auto"/>
                <w:highlight w:val="none"/>
                <w:lang w:val="en-US" w:eastAsia="zh-CN"/>
              </w:rPr>
            </w:pPr>
            <w:r>
              <w:rPr>
                <w:rFonts w:hint="eastAsia"/>
                <w:color w:val="auto"/>
                <w:highlight w:val="none"/>
                <w:lang w:val="en-US" w:eastAsia="zh-CN"/>
              </w:rPr>
              <w:drawing>
                <wp:inline distT="0" distB="0" distL="114300" distR="114300">
                  <wp:extent cx="2912110" cy="2181860"/>
                  <wp:effectExtent l="0" t="0" r="2540" b="8890"/>
                  <wp:docPr id="20" name="图片 20" descr="8769efaa9003ed72a3d8093fade281f1_"/>
                  <wp:cNvGraphicFramePr/>
                  <a:graphic xmlns:a="http://schemas.openxmlformats.org/drawingml/2006/main">
                    <a:graphicData uri="http://schemas.openxmlformats.org/drawingml/2006/picture">
                      <pic:pic xmlns:pic="http://schemas.openxmlformats.org/drawingml/2006/picture">
                        <pic:nvPicPr>
                          <pic:cNvPr id="20" name="图片 20" descr="8769efaa9003ed72a3d8093fade281f1_"/>
                          <pic:cNvPicPr/>
                        </pic:nvPicPr>
                        <pic:blipFill>
                          <a:blip r:embed="rId17"/>
                          <a:stretch>
                            <a:fillRect/>
                          </a:stretch>
                        </pic:blipFill>
                        <pic:spPr>
                          <a:xfrm>
                            <a:off x="0" y="0"/>
                            <a:ext cx="2912110" cy="2181860"/>
                          </a:xfrm>
                          <a:prstGeom prst="rect">
                            <a:avLst/>
                          </a:prstGeom>
                        </pic:spPr>
                      </pic:pic>
                    </a:graphicData>
                  </a:graphic>
                </wp:inline>
              </w:drawing>
            </w:r>
          </w:p>
        </w:tc>
        <w:tc>
          <w:tcPr>
            <w:tcW w:w="4390" w:type="dxa"/>
            <w:noWrap w:val="0"/>
            <w:vAlign w:val="top"/>
          </w:tcPr>
          <w:p>
            <w:pPr>
              <w:ind w:firstLine="0" w:firstLineChars="0"/>
              <w:jc w:val="both"/>
              <w:rPr>
                <w:rFonts w:hint="eastAsia"/>
                <w:color w:val="auto"/>
                <w:highlight w:val="none"/>
                <w:lang w:val="en-US" w:eastAsia="zh-CN"/>
              </w:rPr>
            </w:pPr>
            <w:r>
              <w:rPr>
                <w:rFonts w:hint="eastAsia"/>
                <w:color w:val="auto"/>
                <w:highlight w:val="none"/>
                <w:lang w:val="en-US" w:eastAsia="zh-CN"/>
              </w:rPr>
              <w:drawing>
                <wp:inline distT="0" distB="0" distL="114300" distR="114300">
                  <wp:extent cx="2678430" cy="2181860"/>
                  <wp:effectExtent l="0" t="0" r="7620" b="8890"/>
                  <wp:docPr id="21" name="图片 21" descr="334c017da7e356c20b71d386703adc36_"/>
                  <wp:cNvGraphicFramePr/>
                  <a:graphic xmlns:a="http://schemas.openxmlformats.org/drawingml/2006/main">
                    <a:graphicData uri="http://schemas.openxmlformats.org/drawingml/2006/picture">
                      <pic:pic xmlns:pic="http://schemas.openxmlformats.org/drawingml/2006/picture">
                        <pic:nvPicPr>
                          <pic:cNvPr id="21" name="图片 21" descr="334c017da7e356c20b71d386703adc36_"/>
                          <pic:cNvPicPr/>
                        </pic:nvPicPr>
                        <pic:blipFill>
                          <a:blip r:embed="rId18"/>
                          <a:stretch>
                            <a:fillRect/>
                          </a:stretch>
                        </pic:blipFill>
                        <pic:spPr>
                          <a:xfrm>
                            <a:off x="0" y="0"/>
                            <a:ext cx="2678430" cy="21818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23" w:type="dxa"/>
            <w:noWrap w:val="0"/>
            <w:vAlign w:val="top"/>
          </w:tcPr>
          <w:p>
            <w:pPr>
              <w:ind w:firstLine="0" w:firstLineChars="0"/>
              <w:jc w:val="center"/>
              <w:rPr>
                <w:rFonts w:hint="default"/>
                <w:color w:val="auto"/>
                <w:highlight w:val="none"/>
                <w:lang w:val="en-US" w:eastAsia="zh-CN"/>
              </w:rPr>
            </w:pPr>
            <w:r>
              <w:rPr>
                <w:rFonts w:hint="eastAsia"/>
                <w:color w:val="auto"/>
                <w:highlight w:val="none"/>
                <w:lang w:val="en-US" w:eastAsia="zh-CN"/>
              </w:rPr>
              <w:t>多管旋风除尘器</w:t>
            </w:r>
          </w:p>
        </w:tc>
        <w:tc>
          <w:tcPr>
            <w:tcW w:w="4390" w:type="dxa"/>
            <w:noWrap w:val="0"/>
            <w:vAlign w:val="top"/>
          </w:tcPr>
          <w:p>
            <w:pPr>
              <w:ind w:firstLine="0" w:firstLineChars="0"/>
              <w:jc w:val="center"/>
              <w:rPr>
                <w:rFonts w:hint="default"/>
                <w:color w:val="auto"/>
                <w:highlight w:val="none"/>
                <w:lang w:val="en-US" w:eastAsia="zh-CN"/>
              </w:rPr>
            </w:pPr>
            <w:r>
              <w:rPr>
                <w:rFonts w:hint="eastAsia"/>
                <w:color w:val="auto"/>
                <w:highlight w:val="none"/>
                <w:lang w:val="en-US" w:eastAsia="zh-CN"/>
              </w:rPr>
              <w:t>布袋除尘器</w:t>
            </w:r>
          </w:p>
        </w:tc>
      </w:tr>
    </w:tbl>
    <w:p>
      <w:pPr>
        <w:pStyle w:val="18"/>
        <w:ind w:left="0" w:leftChars="0" w:firstLine="0" w:firstLineChars="0"/>
        <w:rPr>
          <w:rFonts w:hint="default"/>
          <w:color w:val="auto"/>
          <w:highlight w:val="none"/>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eastAsia="宋体" w:cs="宋体"/>
          <w:b/>
          <w:bCs/>
          <w:color w:val="auto"/>
          <w:sz w:val="28"/>
          <w:szCs w:val="28"/>
          <w:highlight w:val="none"/>
          <w:lang w:val="en-US" w:eastAsia="zh-CN"/>
        </w:rPr>
      </w:pPr>
      <w:r>
        <w:rPr>
          <w:rFonts w:hint="eastAsia" w:ascii="宋体" w:hAnsi="宋体" w:cs="宋体"/>
          <w:b/>
          <w:bCs/>
          <w:color w:val="auto"/>
          <w:sz w:val="28"/>
          <w:szCs w:val="28"/>
          <w:highlight w:val="none"/>
          <w:lang w:val="en-US" w:eastAsia="zh-CN"/>
        </w:rPr>
        <w:t>特驱供热点</w:t>
      </w:r>
      <w:r>
        <w:rPr>
          <w:rFonts w:hint="eastAsia" w:ascii="宋体" w:hAnsi="宋体" w:eastAsia="宋体" w:cs="宋体"/>
          <w:b/>
          <w:bCs/>
          <w:color w:val="auto"/>
          <w:sz w:val="28"/>
          <w:szCs w:val="28"/>
          <w:highlight w:val="none"/>
          <w:lang w:val="en-US" w:eastAsia="zh-CN"/>
        </w:rPr>
        <w:t>现场图片</w:t>
      </w:r>
    </w:p>
    <w:tbl>
      <w:tblPr>
        <w:tblStyle w:val="29"/>
        <w:tblW w:w="92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3"/>
        <w:gridCol w:w="4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3" w:type="dxa"/>
            <w:noWrap w:val="0"/>
            <w:vAlign w:val="top"/>
          </w:tcPr>
          <w:p>
            <w:pPr>
              <w:ind w:firstLine="0" w:firstLineChars="0"/>
              <w:jc w:val="both"/>
              <w:rPr>
                <w:rFonts w:hint="eastAsia" w:ascii="Times New Roman" w:hAnsi="Times New Roman" w:eastAsia="宋体"/>
                <w:color w:val="auto"/>
                <w:highlight w:val="none"/>
                <w:lang w:eastAsia="zh-CN"/>
              </w:rPr>
            </w:pPr>
            <w:r>
              <w:rPr>
                <w:color w:val="auto"/>
                <w:sz w:val="21"/>
                <w:highlight w:val="none"/>
              </w:rPr>
              <w:drawing>
                <wp:inline distT="0" distB="0" distL="114300" distR="114300">
                  <wp:extent cx="2912110" cy="2181860"/>
                  <wp:effectExtent l="0" t="0" r="2540" b="8890"/>
                  <wp:docPr id="39" name="图片 39" descr="6a76db93b1301eb0e5640ba92a9cd2bf_"/>
                  <wp:cNvGraphicFramePr/>
                  <a:graphic xmlns:a="http://schemas.openxmlformats.org/drawingml/2006/main">
                    <a:graphicData uri="http://schemas.openxmlformats.org/drawingml/2006/picture">
                      <pic:pic xmlns:pic="http://schemas.openxmlformats.org/drawingml/2006/picture">
                        <pic:nvPicPr>
                          <pic:cNvPr id="39" name="图片 39" descr="6a76db93b1301eb0e5640ba92a9cd2bf_"/>
                          <pic:cNvPicPr/>
                        </pic:nvPicPr>
                        <pic:blipFill>
                          <a:blip r:embed="rId19"/>
                          <a:stretch>
                            <a:fillRect/>
                          </a:stretch>
                        </pic:blipFill>
                        <pic:spPr>
                          <a:xfrm>
                            <a:off x="0" y="0"/>
                            <a:ext cx="2912110" cy="2181860"/>
                          </a:xfrm>
                          <a:prstGeom prst="rect">
                            <a:avLst/>
                          </a:prstGeom>
                        </pic:spPr>
                      </pic:pic>
                    </a:graphicData>
                  </a:graphic>
                </wp:inline>
              </w:drawing>
            </w:r>
            <w:r>
              <w:rPr>
                <w:color w:val="auto"/>
                <w:sz w:val="21"/>
                <w:highlight w:val="none"/>
              </w:rPr>
              <mc:AlternateContent>
                <mc:Choice Requires="wps">
                  <w:drawing>
                    <wp:anchor distT="0" distB="0" distL="114300" distR="114300" simplePos="0" relativeHeight="251664384" behindDoc="0" locked="0" layoutInCell="1" allowOverlap="1">
                      <wp:simplePos x="0" y="0"/>
                      <wp:positionH relativeFrom="column">
                        <wp:posOffset>2147570</wp:posOffset>
                      </wp:positionH>
                      <wp:positionV relativeFrom="paragraph">
                        <wp:posOffset>1936115</wp:posOffset>
                      </wp:positionV>
                      <wp:extent cx="837565" cy="230505"/>
                      <wp:effectExtent l="0" t="0" r="0" b="0"/>
                      <wp:wrapNone/>
                      <wp:docPr id="23" name="文本框 23"/>
                      <wp:cNvGraphicFramePr/>
                      <a:graphic xmlns:a="http://schemas.openxmlformats.org/drawingml/2006/main">
                        <a:graphicData uri="http://schemas.microsoft.com/office/word/2010/wordprocessingShape">
                          <wps:wsp>
                            <wps:cNvSpPr txBox="true"/>
                            <wps:spPr>
                              <a:xfrm>
                                <a:off x="0" y="0"/>
                                <a:ext cx="837565" cy="230505"/>
                              </a:xfrm>
                              <a:prstGeom prst="rect">
                                <a:avLst/>
                              </a:prstGeom>
                              <a:noFill/>
                              <a:ln>
                                <a:noFill/>
                              </a:ln>
                            </wps:spPr>
                            <wps:txbx>
                              <w:txbxContent>
                                <w:p>
                                  <w:pPr>
                                    <w:rPr>
                                      <w:rFonts w:hint="default" w:eastAsia="宋体"/>
                                      <w:color w:val="FF0000"/>
                                      <w:lang w:val="en-US" w:eastAsia="zh-CN"/>
                                    </w:rPr>
                                  </w:pPr>
                                  <w:r>
                                    <w:rPr>
                                      <w:rFonts w:hint="eastAsia"/>
                                      <w:color w:val="FF0000"/>
                                      <w:lang w:val="en-US" w:eastAsia="zh-CN"/>
                                    </w:rPr>
                                    <w:t>2024.1.25</w:t>
                                  </w:r>
                                </w:p>
                              </w:txbxContent>
                            </wps:txbx>
                            <wps:bodyPr upright="true"/>
                          </wps:wsp>
                        </a:graphicData>
                      </a:graphic>
                    </wp:anchor>
                  </w:drawing>
                </mc:Choice>
                <mc:Fallback>
                  <w:pict>
                    <v:shape id="_x0000_s1026" o:spid="_x0000_s1026" o:spt="202" type="#_x0000_t202" style="position:absolute;left:0pt;margin-left:169.1pt;margin-top:152.45pt;height:18.15pt;width:65.95pt;z-index:251664384;mso-width-relative:page;mso-height-relative:page;" filled="f" stroked="f" coordsize="21600,21600" o:gfxdata="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FgAAAGRycy9QSwECFAAUAAAACACHTuJAZWpVodgAAAAL&#10;AQAADwAAAAAAAAABACAAAAA4AAAAZHJzL2Rvd25yZXYueG1sUEsBAhQAFAAAAAgAh07iQBS/5xWU&#10;AQAABwMAAA4AAAAAAAAAAQAgAAAAPQEAAGRycy9lMm9Eb2MueG1sUEsFBgAAAAAGAAYAWQEAAEMF&#10;AAAAAA==&#10;">
                      <v:fill on="f" focussize="0,0"/>
                      <v:stroke on="f"/>
                      <v:imagedata o:title=""/>
                      <o:lock v:ext="edit" aspectratio="f"/>
                      <v:textbox>
                        <w:txbxContent>
                          <w:p>
                            <w:pPr>
                              <w:rPr>
                                <w:rFonts w:hint="default" w:eastAsia="宋体"/>
                                <w:color w:val="FF0000"/>
                                <w:lang w:val="en-US" w:eastAsia="zh-CN"/>
                              </w:rPr>
                            </w:pPr>
                            <w:r>
                              <w:rPr>
                                <w:rFonts w:hint="eastAsia"/>
                                <w:color w:val="FF0000"/>
                                <w:lang w:val="en-US" w:eastAsia="zh-CN"/>
                              </w:rPr>
                              <w:t>2024.1.25</w:t>
                            </w:r>
                          </w:p>
                        </w:txbxContent>
                      </v:textbox>
                    </v:shape>
                  </w:pict>
                </mc:Fallback>
              </mc:AlternateContent>
            </w:r>
          </w:p>
        </w:tc>
        <w:tc>
          <w:tcPr>
            <w:tcW w:w="4390" w:type="dxa"/>
            <w:noWrap w:val="0"/>
            <w:vAlign w:val="top"/>
          </w:tcPr>
          <w:p>
            <w:pPr>
              <w:ind w:firstLine="0" w:firstLineChars="0"/>
              <w:jc w:val="both"/>
              <w:rPr>
                <w:rFonts w:hint="eastAsia" w:ascii="Times New Roman" w:hAnsi="Times New Roman" w:eastAsia="宋体"/>
                <w:color w:val="auto"/>
                <w:highlight w:val="none"/>
                <w:lang w:eastAsia="zh-CN"/>
              </w:rPr>
            </w:pPr>
            <w:r>
              <w:rPr>
                <w:color w:val="auto"/>
                <w:sz w:val="21"/>
                <w:highlight w:val="none"/>
              </w:rPr>
              <w:drawing>
                <wp:inline distT="0" distB="0" distL="114300" distR="114300">
                  <wp:extent cx="2678430" cy="2181860"/>
                  <wp:effectExtent l="0" t="0" r="7620" b="8890"/>
                  <wp:docPr id="40" name="图片 40" descr="d8fa237b61cc8c7ad3c16ac0ab6670bf_"/>
                  <wp:cNvGraphicFramePr/>
                  <a:graphic xmlns:a="http://schemas.openxmlformats.org/drawingml/2006/main">
                    <a:graphicData uri="http://schemas.openxmlformats.org/drawingml/2006/picture">
                      <pic:pic xmlns:pic="http://schemas.openxmlformats.org/drawingml/2006/picture">
                        <pic:nvPicPr>
                          <pic:cNvPr id="40" name="图片 40" descr="d8fa237b61cc8c7ad3c16ac0ab6670bf_"/>
                          <pic:cNvPicPr/>
                        </pic:nvPicPr>
                        <pic:blipFill>
                          <a:blip r:embed="rId20"/>
                          <a:stretch>
                            <a:fillRect/>
                          </a:stretch>
                        </pic:blipFill>
                        <pic:spPr>
                          <a:xfrm>
                            <a:off x="0" y="0"/>
                            <a:ext cx="2678430" cy="2181860"/>
                          </a:xfrm>
                          <a:prstGeom prst="rect">
                            <a:avLst/>
                          </a:prstGeom>
                        </pic:spPr>
                      </pic:pic>
                    </a:graphicData>
                  </a:graphic>
                </wp:inline>
              </w:drawing>
            </w:r>
            <w:r>
              <w:rPr>
                <w:color w:val="auto"/>
                <w:sz w:val="21"/>
                <w:highlight w:val="none"/>
              </w:rPr>
              <mc:AlternateContent>
                <mc:Choice Requires="wps">
                  <w:drawing>
                    <wp:anchor distT="0" distB="0" distL="114300" distR="114300" simplePos="0" relativeHeight="251665408" behindDoc="0" locked="0" layoutInCell="1" allowOverlap="1">
                      <wp:simplePos x="0" y="0"/>
                      <wp:positionH relativeFrom="column">
                        <wp:posOffset>1815465</wp:posOffset>
                      </wp:positionH>
                      <wp:positionV relativeFrom="paragraph">
                        <wp:posOffset>1857375</wp:posOffset>
                      </wp:positionV>
                      <wp:extent cx="811530" cy="230505"/>
                      <wp:effectExtent l="0" t="0" r="0" b="0"/>
                      <wp:wrapNone/>
                      <wp:docPr id="27" name="文本框 27"/>
                      <wp:cNvGraphicFramePr/>
                      <a:graphic xmlns:a="http://schemas.openxmlformats.org/drawingml/2006/main">
                        <a:graphicData uri="http://schemas.microsoft.com/office/word/2010/wordprocessingShape">
                          <wps:wsp>
                            <wps:cNvSpPr txBox="true"/>
                            <wps:spPr>
                              <a:xfrm>
                                <a:off x="0" y="0"/>
                                <a:ext cx="811530" cy="230505"/>
                              </a:xfrm>
                              <a:prstGeom prst="rect">
                                <a:avLst/>
                              </a:prstGeom>
                              <a:noFill/>
                              <a:ln>
                                <a:noFill/>
                              </a:ln>
                            </wps:spPr>
                            <wps:txbx>
                              <w:txbxContent>
                                <w:p>
                                  <w:pPr>
                                    <w:rPr>
                                      <w:rFonts w:hint="default" w:eastAsia="宋体"/>
                                      <w:color w:val="FF0000"/>
                                      <w:lang w:val="en-US" w:eastAsia="zh-CN"/>
                                    </w:rPr>
                                  </w:pPr>
                                  <w:r>
                                    <w:rPr>
                                      <w:rFonts w:hint="eastAsia"/>
                                      <w:color w:val="FF0000"/>
                                      <w:lang w:val="en-US" w:eastAsia="zh-CN"/>
                                    </w:rPr>
                                    <w:t>2024.1.25</w:t>
                                  </w:r>
                                </w:p>
                              </w:txbxContent>
                            </wps:txbx>
                            <wps:bodyPr upright="true"/>
                          </wps:wsp>
                        </a:graphicData>
                      </a:graphic>
                    </wp:anchor>
                  </w:drawing>
                </mc:Choice>
                <mc:Fallback>
                  <w:pict>
                    <v:shape id="_x0000_s1026" o:spid="_x0000_s1026" o:spt="202" type="#_x0000_t202" style="position:absolute;left:0pt;margin-left:142.95pt;margin-top:146.25pt;height:18.15pt;width:63.9pt;z-index:251665408;mso-width-relative:page;mso-height-relative:page;" filled="f" stroked="f" coordsize="21600,21600" o:gfxdata="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BYAAABkcnMvUEsBAhQAFAAAAAgAh07iQDjyQvfZAAAA&#10;CwEAAA8AAAAAAAAAAQAgAAAAOAAAAGRycy9kb3ducmV2LnhtbFBLAQIUABQAAAAIAIdO4kD35NaH&#10;lAEAAAcDAAAOAAAAAAAAAAEAIAAAAD4BAABkcnMvZTJvRG9jLnhtbFBLBQYAAAAABgAGAFkBAABE&#10;BQAAAAA=&#10;">
                      <v:fill on="f" focussize="0,0"/>
                      <v:stroke on="f"/>
                      <v:imagedata o:title=""/>
                      <o:lock v:ext="edit" aspectratio="f"/>
                      <v:textbox>
                        <w:txbxContent>
                          <w:p>
                            <w:pPr>
                              <w:rPr>
                                <w:rFonts w:hint="default" w:eastAsia="宋体"/>
                                <w:color w:val="FF0000"/>
                                <w:lang w:val="en-US" w:eastAsia="zh-CN"/>
                              </w:rPr>
                            </w:pPr>
                            <w:r>
                              <w:rPr>
                                <w:rFonts w:hint="eastAsia"/>
                                <w:color w:val="FF0000"/>
                                <w:lang w:val="en-US" w:eastAsia="zh-CN"/>
                              </w:rPr>
                              <w:t>2024.1.25</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3" w:type="dxa"/>
            <w:noWrap w:val="0"/>
            <w:vAlign w:val="top"/>
          </w:tcPr>
          <w:p>
            <w:pPr>
              <w:ind w:firstLine="0" w:firstLineChars="0"/>
              <w:jc w:val="center"/>
              <w:rPr>
                <w:rFonts w:hint="default" w:eastAsia="宋体"/>
                <w:color w:val="auto"/>
                <w:sz w:val="21"/>
                <w:highlight w:val="none"/>
                <w:lang w:val="en-US" w:eastAsia="zh-CN"/>
              </w:rPr>
            </w:pPr>
            <w:r>
              <w:rPr>
                <w:rFonts w:hint="eastAsia"/>
                <w:color w:val="auto"/>
                <w:sz w:val="21"/>
                <w:highlight w:val="none"/>
                <w:lang w:val="en-US" w:eastAsia="zh-CN"/>
              </w:rPr>
              <w:t>已建锅炉房</w:t>
            </w:r>
          </w:p>
        </w:tc>
        <w:tc>
          <w:tcPr>
            <w:tcW w:w="4390" w:type="dxa"/>
            <w:noWrap w:val="0"/>
            <w:vAlign w:val="top"/>
          </w:tcPr>
          <w:p>
            <w:pPr>
              <w:ind w:firstLine="0" w:firstLineChars="0"/>
              <w:jc w:val="center"/>
              <w:rPr>
                <w:rFonts w:hint="default" w:eastAsia="宋体"/>
                <w:color w:val="auto"/>
                <w:sz w:val="21"/>
                <w:highlight w:val="none"/>
                <w:lang w:val="en-US" w:eastAsia="zh-CN"/>
              </w:rPr>
            </w:pPr>
            <w:r>
              <w:rPr>
                <w:rFonts w:hint="eastAsia"/>
                <w:color w:val="auto"/>
                <w:sz w:val="21"/>
                <w:highlight w:val="none"/>
                <w:lang w:val="en-US" w:eastAsia="zh-CN"/>
              </w:rPr>
              <w:t>生物质锅炉（已建6t/h锅炉1台）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3" w:type="dxa"/>
            <w:noWrap w:val="0"/>
            <w:vAlign w:val="top"/>
          </w:tcPr>
          <w:p>
            <w:pPr>
              <w:ind w:firstLine="0" w:firstLineChars="0"/>
              <w:jc w:val="center"/>
              <w:rPr>
                <w:rFonts w:hint="eastAsia"/>
                <w:color w:val="auto"/>
                <w:highlight w:val="none"/>
                <w:lang w:val="en-US" w:eastAsia="zh-CN"/>
              </w:rPr>
            </w:pPr>
            <w:r>
              <w:rPr>
                <w:color w:val="auto"/>
                <w:sz w:val="21"/>
                <w:highlight w:val="none"/>
              </w:rPr>
              <w:drawing>
                <wp:inline distT="0" distB="0" distL="114300" distR="114300">
                  <wp:extent cx="2912110" cy="2181860"/>
                  <wp:effectExtent l="0" t="0" r="2540" b="8890"/>
                  <wp:docPr id="41" name="图片 41" descr="8c8a6be498c9a5a5930f47750a14df2d_"/>
                  <wp:cNvGraphicFramePr/>
                  <a:graphic xmlns:a="http://schemas.openxmlformats.org/drawingml/2006/main">
                    <a:graphicData uri="http://schemas.openxmlformats.org/drawingml/2006/picture">
                      <pic:pic xmlns:pic="http://schemas.openxmlformats.org/drawingml/2006/picture">
                        <pic:nvPicPr>
                          <pic:cNvPr id="41" name="图片 41" descr="8c8a6be498c9a5a5930f47750a14df2d_"/>
                          <pic:cNvPicPr/>
                        </pic:nvPicPr>
                        <pic:blipFill>
                          <a:blip r:embed="rId21"/>
                          <a:stretch>
                            <a:fillRect/>
                          </a:stretch>
                        </pic:blipFill>
                        <pic:spPr>
                          <a:xfrm>
                            <a:off x="0" y="0"/>
                            <a:ext cx="2912110" cy="2181860"/>
                          </a:xfrm>
                          <a:prstGeom prst="rect">
                            <a:avLst/>
                          </a:prstGeom>
                        </pic:spPr>
                      </pic:pic>
                    </a:graphicData>
                  </a:graphic>
                </wp:inline>
              </w:drawing>
            </w:r>
            <w:r>
              <w:rPr>
                <w:color w:val="auto"/>
                <w:sz w:val="21"/>
                <w:highlight w:val="none"/>
              </w:rPr>
              <mc:AlternateContent>
                <mc:Choice Requires="wps">
                  <w:drawing>
                    <wp:anchor distT="0" distB="0" distL="114300" distR="114300" simplePos="0" relativeHeight="251666432" behindDoc="0" locked="0" layoutInCell="1" allowOverlap="1">
                      <wp:simplePos x="0" y="0"/>
                      <wp:positionH relativeFrom="column">
                        <wp:posOffset>2109470</wp:posOffset>
                      </wp:positionH>
                      <wp:positionV relativeFrom="paragraph">
                        <wp:posOffset>1950085</wp:posOffset>
                      </wp:positionV>
                      <wp:extent cx="810260" cy="230505"/>
                      <wp:effectExtent l="0" t="0" r="0" b="0"/>
                      <wp:wrapNone/>
                      <wp:docPr id="30" name="文本框 30"/>
                      <wp:cNvGraphicFramePr/>
                      <a:graphic xmlns:a="http://schemas.openxmlformats.org/drawingml/2006/main">
                        <a:graphicData uri="http://schemas.microsoft.com/office/word/2010/wordprocessingShape">
                          <wps:wsp>
                            <wps:cNvSpPr txBox="true"/>
                            <wps:spPr>
                              <a:xfrm>
                                <a:off x="0" y="0"/>
                                <a:ext cx="810260" cy="230505"/>
                              </a:xfrm>
                              <a:prstGeom prst="rect">
                                <a:avLst/>
                              </a:prstGeom>
                              <a:noFill/>
                              <a:ln>
                                <a:noFill/>
                              </a:ln>
                            </wps:spPr>
                            <wps:txbx>
                              <w:txbxContent>
                                <w:p>
                                  <w:pPr>
                                    <w:rPr>
                                      <w:rFonts w:hint="default" w:eastAsia="宋体"/>
                                      <w:color w:val="FF0000"/>
                                      <w:lang w:val="en-US" w:eastAsia="zh-CN"/>
                                    </w:rPr>
                                  </w:pPr>
                                  <w:r>
                                    <w:rPr>
                                      <w:rFonts w:hint="eastAsia"/>
                                      <w:color w:val="FF0000"/>
                                      <w:lang w:val="en-US" w:eastAsia="zh-CN"/>
                                    </w:rPr>
                                    <w:t>2024.1.25</w:t>
                                  </w:r>
                                </w:p>
                              </w:txbxContent>
                            </wps:txbx>
                            <wps:bodyPr upright="true"/>
                          </wps:wsp>
                        </a:graphicData>
                      </a:graphic>
                    </wp:anchor>
                  </w:drawing>
                </mc:Choice>
                <mc:Fallback>
                  <w:pict>
                    <v:shape id="_x0000_s1026" o:spid="_x0000_s1026" o:spt="202" type="#_x0000_t202" style="position:absolute;left:0pt;margin-left:166.1pt;margin-top:153.55pt;height:18.15pt;width:63.8pt;z-index:251666432;mso-width-relative:page;mso-height-relative:page;" filled="f" stroked="f" coordsize="21600,21600" o:gfxdata="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WAAAAZHJzL1BLAQIUABQAAAAIAIdO4kDgNNHx2AAAAAsB&#10;AAAPAAAAAAAAAAEAIAAAADgAAABkcnMvZG93bnJldi54bWxQSwECFAAUAAAACACHTuJA6wp8EJMB&#10;AAAHAwAADgAAAAAAAAABACAAAAA9AQAAZHJzL2Uyb0RvYy54bWxQSwUGAAAAAAYABgBZAQAAQgUA&#10;AAAA&#10;">
                      <v:fill on="f" focussize="0,0"/>
                      <v:stroke on="f"/>
                      <v:imagedata o:title=""/>
                      <o:lock v:ext="edit" aspectratio="f"/>
                      <v:textbox>
                        <w:txbxContent>
                          <w:p>
                            <w:pPr>
                              <w:rPr>
                                <w:rFonts w:hint="default" w:eastAsia="宋体"/>
                                <w:color w:val="FF0000"/>
                                <w:lang w:val="en-US" w:eastAsia="zh-CN"/>
                              </w:rPr>
                            </w:pPr>
                            <w:r>
                              <w:rPr>
                                <w:rFonts w:hint="eastAsia"/>
                                <w:color w:val="FF0000"/>
                                <w:lang w:val="en-US" w:eastAsia="zh-CN"/>
                              </w:rPr>
                              <w:t>2024.1.25</w:t>
                            </w:r>
                          </w:p>
                        </w:txbxContent>
                      </v:textbox>
                    </v:shape>
                  </w:pict>
                </mc:Fallback>
              </mc:AlternateContent>
            </w:r>
          </w:p>
        </w:tc>
        <w:tc>
          <w:tcPr>
            <w:tcW w:w="4390" w:type="dxa"/>
            <w:noWrap w:val="0"/>
            <w:vAlign w:val="top"/>
          </w:tcPr>
          <w:p>
            <w:pPr>
              <w:ind w:firstLine="0" w:firstLineChars="0"/>
              <w:jc w:val="center"/>
              <w:rPr>
                <w:rFonts w:hint="eastAsia" w:eastAsia="宋体"/>
                <w:color w:val="auto"/>
                <w:highlight w:val="none"/>
                <w:lang w:val="en-US" w:eastAsia="zh-CN"/>
              </w:rPr>
            </w:pPr>
            <w:r>
              <w:rPr>
                <w:color w:val="auto"/>
                <w:sz w:val="21"/>
                <w:highlight w:val="none"/>
              </w:rPr>
              <w:drawing>
                <wp:inline distT="0" distB="0" distL="114300" distR="114300">
                  <wp:extent cx="2678430" cy="2181860"/>
                  <wp:effectExtent l="0" t="0" r="7620" b="8890"/>
                  <wp:docPr id="42" name="图片 42" descr="8df54b9c7d80c959717359d0be92b93e_"/>
                  <wp:cNvGraphicFramePr/>
                  <a:graphic xmlns:a="http://schemas.openxmlformats.org/drawingml/2006/main">
                    <a:graphicData uri="http://schemas.openxmlformats.org/drawingml/2006/picture">
                      <pic:pic xmlns:pic="http://schemas.openxmlformats.org/drawingml/2006/picture">
                        <pic:nvPicPr>
                          <pic:cNvPr id="42" name="图片 42" descr="8df54b9c7d80c959717359d0be92b93e_"/>
                          <pic:cNvPicPr/>
                        </pic:nvPicPr>
                        <pic:blipFill>
                          <a:blip r:embed="rId22"/>
                          <a:stretch>
                            <a:fillRect/>
                          </a:stretch>
                        </pic:blipFill>
                        <pic:spPr>
                          <a:xfrm>
                            <a:off x="0" y="0"/>
                            <a:ext cx="2678430" cy="2181860"/>
                          </a:xfrm>
                          <a:prstGeom prst="rect">
                            <a:avLst/>
                          </a:prstGeom>
                        </pic:spPr>
                      </pic:pic>
                    </a:graphicData>
                  </a:graphic>
                </wp:inline>
              </w:drawing>
            </w:r>
            <w:r>
              <w:rPr>
                <w:color w:val="auto"/>
                <w:sz w:val="21"/>
                <w:highlight w:val="none"/>
              </w:rPr>
              <mc:AlternateContent>
                <mc:Choice Requires="wps">
                  <w:drawing>
                    <wp:anchor distT="0" distB="0" distL="114300" distR="114300" simplePos="0" relativeHeight="251667456" behindDoc="0" locked="0" layoutInCell="1" allowOverlap="1">
                      <wp:simplePos x="0" y="0"/>
                      <wp:positionH relativeFrom="column">
                        <wp:posOffset>1873885</wp:posOffset>
                      </wp:positionH>
                      <wp:positionV relativeFrom="paragraph">
                        <wp:posOffset>1956435</wp:posOffset>
                      </wp:positionV>
                      <wp:extent cx="810260" cy="230505"/>
                      <wp:effectExtent l="0" t="0" r="0" b="0"/>
                      <wp:wrapNone/>
                      <wp:docPr id="32" name="文本框 32"/>
                      <wp:cNvGraphicFramePr/>
                      <a:graphic xmlns:a="http://schemas.openxmlformats.org/drawingml/2006/main">
                        <a:graphicData uri="http://schemas.microsoft.com/office/word/2010/wordprocessingShape">
                          <wps:wsp>
                            <wps:cNvSpPr txBox="true"/>
                            <wps:spPr>
                              <a:xfrm>
                                <a:off x="0" y="0"/>
                                <a:ext cx="810260" cy="230505"/>
                              </a:xfrm>
                              <a:prstGeom prst="rect">
                                <a:avLst/>
                              </a:prstGeom>
                              <a:noFill/>
                              <a:ln>
                                <a:noFill/>
                              </a:ln>
                            </wps:spPr>
                            <wps:txbx>
                              <w:txbxContent>
                                <w:p>
                                  <w:pPr>
                                    <w:rPr>
                                      <w:rFonts w:hint="default" w:eastAsia="宋体"/>
                                      <w:color w:val="FF0000"/>
                                      <w:lang w:val="en-US" w:eastAsia="zh-CN"/>
                                    </w:rPr>
                                  </w:pPr>
                                  <w:r>
                                    <w:rPr>
                                      <w:rFonts w:hint="eastAsia"/>
                                      <w:color w:val="FF0000"/>
                                      <w:lang w:val="en-US" w:eastAsia="zh-CN"/>
                                    </w:rPr>
                                    <w:t>2024.1.25</w:t>
                                  </w:r>
                                </w:p>
                              </w:txbxContent>
                            </wps:txbx>
                            <wps:bodyPr upright="true"/>
                          </wps:wsp>
                        </a:graphicData>
                      </a:graphic>
                    </wp:anchor>
                  </w:drawing>
                </mc:Choice>
                <mc:Fallback>
                  <w:pict>
                    <v:shape id="_x0000_s1026" o:spid="_x0000_s1026" o:spt="202" type="#_x0000_t202" style="position:absolute;left:0pt;margin-left:147.55pt;margin-top:154.05pt;height:18.15pt;width:63.8pt;z-index:251667456;mso-width-relative:page;mso-height-relative:page;" filled="f" stroked="f" coordsize="21600,21600" o:gfxdata="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WAAAAZHJzL1BLAQIUABQAAAAIAIdO4kBBhX2B1wAAAAsB&#10;AAAPAAAAAAAAAAEAIAAAADgAAABkcnMvZG93bnJldi54bWxQSwECFAAUAAAACACHTuJAoo6CapQB&#10;AAAHAwAADgAAAAAAAAABACAAAAA8AQAAZHJzL2Uyb0RvYy54bWxQSwUGAAAAAAYABgBZAQAAQgUA&#10;AAAA&#10;">
                      <v:fill on="f" focussize="0,0"/>
                      <v:stroke on="f"/>
                      <v:imagedata o:title=""/>
                      <o:lock v:ext="edit" aspectratio="f"/>
                      <v:textbox>
                        <w:txbxContent>
                          <w:p>
                            <w:pPr>
                              <w:rPr>
                                <w:rFonts w:hint="default" w:eastAsia="宋体"/>
                                <w:color w:val="FF0000"/>
                                <w:lang w:val="en-US" w:eastAsia="zh-CN"/>
                              </w:rPr>
                            </w:pPr>
                            <w:r>
                              <w:rPr>
                                <w:rFonts w:hint="eastAsia"/>
                                <w:color w:val="FF0000"/>
                                <w:lang w:val="en-US" w:eastAsia="zh-CN"/>
                              </w:rPr>
                              <w:t>2024.1.25</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23" w:type="dxa"/>
            <w:noWrap w:val="0"/>
            <w:vAlign w:val="top"/>
          </w:tcPr>
          <w:p>
            <w:pPr>
              <w:ind w:firstLine="0" w:firstLineChars="0"/>
              <w:jc w:val="center"/>
              <w:rPr>
                <w:rFonts w:hint="default"/>
                <w:color w:val="auto"/>
                <w:highlight w:val="none"/>
                <w:lang w:val="en-US" w:eastAsia="zh-CN"/>
              </w:rPr>
            </w:pPr>
            <w:r>
              <w:rPr>
                <w:rFonts w:hint="eastAsia"/>
                <w:color w:val="auto"/>
                <w:highlight w:val="none"/>
                <w:lang w:val="en-US" w:eastAsia="zh-CN"/>
              </w:rPr>
              <w:t>生物质燃料装袋存放</w:t>
            </w:r>
          </w:p>
        </w:tc>
        <w:tc>
          <w:tcPr>
            <w:tcW w:w="4390" w:type="dxa"/>
            <w:noWrap w:val="0"/>
            <w:vAlign w:val="top"/>
          </w:tcPr>
          <w:p>
            <w:pPr>
              <w:ind w:firstLine="0" w:firstLineChars="0"/>
              <w:jc w:val="center"/>
              <w:rPr>
                <w:rFonts w:hint="default"/>
                <w:color w:val="auto"/>
                <w:highlight w:val="none"/>
                <w:lang w:val="en-US" w:eastAsia="zh-CN"/>
              </w:rPr>
            </w:pPr>
            <w:r>
              <w:rPr>
                <w:rFonts w:hint="eastAsia"/>
                <w:color w:val="auto"/>
                <w:highlight w:val="none"/>
                <w:lang w:val="en-US" w:eastAsia="zh-CN"/>
              </w:rPr>
              <w:t>灰渣装袋堆存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23" w:type="dxa"/>
            <w:noWrap w:val="0"/>
            <w:vAlign w:val="top"/>
          </w:tcPr>
          <w:p>
            <w:pPr>
              <w:ind w:firstLine="0" w:firstLineChars="0"/>
              <w:jc w:val="center"/>
              <w:rPr>
                <w:rFonts w:hint="eastAsia"/>
                <w:color w:val="auto"/>
                <w:highlight w:val="none"/>
                <w:lang w:val="en-US" w:eastAsia="zh-CN"/>
              </w:rPr>
            </w:pPr>
            <w:r>
              <w:rPr>
                <w:color w:val="auto"/>
                <w:sz w:val="21"/>
                <w:highlight w:val="none"/>
              </w:rPr>
              <w:drawing>
                <wp:inline distT="0" distB="0" distL="114300" distR="114300">
                  <wp:extent cx="2912110" cy="2181860"/>
                  <wp:effectExtent l="0" t="0" r="2540" b="8890"/>
                  <wp:docPr id="43" name="图片 43" descr="8a57f3494e80fe2a717f4bab040e4870_"/>
                  <wp:cNvGraphicFramePr/>
                  <a:graphic xmlns:a="http://schemas.openxmlformats.org/drawingml/2006/main">
                    <a:graphicData uri="http://schemas.openxmlformats.org/drawingml/2006/picture">
                      <pic:pic xmlns:pic="http://schemas.openxmlformats.org/drawingml/2006/picture">
                        <pic:nvPicPr>
                          <pic:cNvPr id="43" name="图片 43" descr="8a57f3494e80fe2a717f4bab040e4870_"/>
                          <pic:cNvPicPr/>
                        </pic:nvPicPr>
                        <pic:blipFill>
                          <a:blip r:embed="rId23"/>
                          <a:stretch>
                            <a:fillRect/>
                          </a:stretch>
                        </pic:blipFill>
                        <pic:spPr>
                          <a:xfrm>
                            <a:off x="0" y="0"/>
                            <a:ext cx="2912110" cy="2181860"/>
                          </a:xfrm>
                          <a:prstGeom prst="rect">
                            <a:avLst/>
                          </a:prstGeom>
                        </pic:spPr>
                      </pic:pic>
                    </a:graphicData>
                  </a:graphic>
                </wp:inline>
              </w:drawing>
            </w:r>
            <w:r>
              <w:rPr>
                <w:color w:val="auto"/>
                <w:sz w:val="21"/>
                <w:highlight w:val="none"/>
              </w:rPr>
              <mc:AlternateContent>
                <mc:Choice Requires="wps">
                  <w:drawing>
                    <wp:anchor distT="0" distB="0" distL="114300" distR="114300" simplePos="0" relativeHeight="251668480" behindDoc="0" locked="0" layoutInCell="1" allowOverlap="1">
                      <wp:simplePos x="0" y="0"/>
                      <wp:positionH relativeFrom="column">
                        <wp:posOffset>2103120</wp:posOffset>
                      </wp:positionH>
                      <wp:positionV relativeFrom="paragraph">
                        <wp:posOffset>1934845</wp:posOffset>
                      </wp:positionV>
                      <wp:extent cx="810260" cy="230505"/>
                      <wp:effectExtent l="0" t="0" r="0" b="0"/>
                      <wp:wrapNone/>
                      <wp:docPr id="34" name="文本框 34"/>
                      <wp:cNvGraphicFramePr/>
                      <a:graphic xmlns:a="http://schemas.openxmlformats.org/drawingml/2006/main">
                        <a:graphicData uri="http://schemas.microsoft.com/office/word/2010/wordprocessingShape">
                          <wps:wsp>
                            <wps:cNvSpPr txBox="true"/>
                            <wps:spPr>
                              <a:xfrm>
                                <a:off x="0" y="0"/>
                                <a:ext cx="810260" cy="230505"/>
                              </a:xfrm>
                              <a:prstGeom prst="rect">
                                <a:avLst/>
                              </a:prstGeom>
                              <a:noFill/>
                              <a:ln>
                                <a:noFill/>
                              </a:ln>
                            </wps:spPr>
                            <wps:txbx>
                              <w:txbxContent>
                                <w:p>
                                  <w:pPr>
                                    <w:rPr>
                                      <w:rFonts w:hint="default" w:eastAsia="宋体"/>
                                      <w:color w:val="FF0000"/>
                                      <w:lang w:val="en-US" w:eastAsia="zh-CN"/>
                                    </w:rPr>
                                  </w:pPr>
                                  <w:r>
                                    <w:rPr>
                                      <w:rFonts w:hint="eastAsia"/>
                                      <w:color w:val="FF0000"/>
                                      <w:lang w:val="en-US" w:eastAsia="zh-CN"/>
                                    </w:rPr>
                                    <w:t>2024.1.25</w:t>
                                  </w:r>
                                </w:p>
                              </w:txbxContent>
                            </wps:txbx>
                            <wps:bodyPr upright="true"/>
                          </wps:wsp>
                        </a:graphicData>
                      </a:graphic>
                    </wp:anchor>
                  </w:drawing>
                </mc:Choice>
                <mc:Fallback>
                  <w:pict>
                    <v:shape id="_x0000_s1026" o:spid="_x0000_s1026" o:spt="202" type="#_x0000_t202" style="position:absolute;left:0pt;margin-left:165.6pt;margin-top:152.35pt;height:18.15pt;width:63.8pt;z-index:251668480;mso-width-relative:page;mso-height-relative:page;" filled="f" stroked="f" coordsize="21600,21600" o:gfxdata="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FgAAAGRycy9QSwECFAAUAAAACACHTuJAovXR89gAAAAL&#10;AQAADwAAAAAAAAABACAAAAA4AAAAZHJzL2Rvd25yZXYueG1sUEsBAhQAFAAAAAgAh07iQHkCgeWU&#10;AQAABwMAAA4AAAAAAAAAAQAgAAAAPQEAAGRycy9lMm9Eb2MueG1sUEsFBgAAAAAGAAYAWQEAAEMF&#10;AAAAAA==&#10;">
                      <v:fill on="f" focussize="0,0"/>
                      <v:stroke on="f"/>
                      <v:imagedata o:title=""/>
                      <o:lock v:ext="edit" aspectratio="f"/>
                      <v:textbox>
                        <w:txbxContent>
                          <w:p>
                            <w:pPr>
                              <w:rPr>
                                <w:rFonts w:hint="default" w:eastAsia="宋体"/>
                                <w:color w:val="FF0000"/>
                                <w:lang w:val="en-US" w:eastAsia="zh-CN"/>
                              </w:rPr>
                            </w:pPr>
                            <w:r>
                              <w:rPr>
                                <w:rFonts w:hint="eastAsia"/>
                                <w:color w:val="FF0000"/>
                                <w:lang w:val="en-US" w:eastAsia="zh-CN"/>
                              </w:rPr>
                              <w:t>2024.1.25</w:t>
                            </w:r>
                          </w:p>
                        </w:txbxContent>
                      </v:textbox>
                    </v:shape>
                  </w:pict>
                </mc:Fallback>
              </mc:AlternateContent>
            </w:r>
          </w:p>
        </w:tc>
        <w:tc>
          <w:tcPr>
            <w:tcW w:w="4390" w:type="dxa"/>
            <w:noWrap w:val="0"/>
            <w:vAlign w:val="top"/>
          </w:tcPr>
          <w:p>
            <w:pPr>
              <w:ind w:firstLine="0" w:firstLineChars="0"/>
              <w:jc w:val="center"/>
              <w:rPr>
                <w:rFonts w:hint="eastAsia"/>
                <w:color w:val="auto"/>
                <w:highlight w:val="none"/>
                <w:lang w:val="en-US" w:eastAsia="zh-CN"/>
              </w:rPr>
            </w:pPr>
            <w:r>
              <w:rPr>
                <w:color w:val="auto"/>
                <w:sz w:val="21"/>
                <w:highlight w:val="none"/>
              </w:rPr>
              <w:drawing>
                <wp:inline distT="0" distB="0" distL="114300" distR="114300">
                  <wp:extent cx="2678430" cy="2181860"/>
                  <wp:effectExtent l="0" t="0" r="7620" b="8890"/>
                  <wp:docPr id="44" name="图片 44" descr="2e2289ffc625b35f4fd3ace400462e0a_"/>
                  <wp:cNvGraphicFramePr/>
                  <a:graphic xmlns:a="http://schemas.openxmlformats.org/drawingml/2006/main">
                    <a:graphicData uri="http://schemas.openxmlformats.org/drawingml/2006/picture">
                      <pic:pic xmlns:pic="http://schemas.openxmlformats.org/drawingml/2006/picture">
                        <pic:nvPicPr>
                          <pic:cNvPr id="44" name="图片 44" descr="2e2289ffc625b35f4fd3ace400462e0a_"/>
                          <pic:cNvPicPr/>
                        </pic:nvPicPr>
                        <pic:blipFill>
                          <a:blip r:embed="rId24"/>
                          <a:stretch>
                            <a:fillRect/>
                          </a:stretch>
                        </pic:blipFill>
                        <pic:spPr>
                          <a:xfrm>
                            <a:off x="0" y="0"/>
                            <a:ext cx="2678430" cy="2181860"/>
                          </a:xfrm>
                          <a:prstGeom prst="rect">
                            <a:avLst/>
                          </a:prstGeom>
                        </pic:spPr>
                      </pic:pic>
                    </a:graphicData>
                  </a:graphic>
                </wp:inline>
              </w:drawing>
            </w:r>
            <w:r>
              <w:rPr>
                <w:color w:val="auto"/>
                <w:sz w:val="21"/>
                <w:highlight w:val="none"/>
              </w:rPr>
              <mc:AlternateContent>
                <mc:Choice Requires="wps">
                  <w:drawing>
                    <wp:anchor distT="0" distB="0" distL="114300" distR="114300" simplePos="0" relativeHeight="251669504" behindDoc="0" locked="0" layoutInCell="1" allowOverlap="1">
                      <wp:simplePos x="0" y="0"/>
                      <wp:positionH relativeFrom="column">
                        <wp:posOffset>1876425</wp:posOffset>
                      </wp:positionH>
                      <wp:positionV relativeFrom="paragraph">
                        <wp:posOffset>1955800</wp:posOffset>
                      </wp:positionV>
                      <wp:extent cx="810260" cy="230505"/>
                      <wp:effectExtent l="0" t="0" r="0" b="0"/>
                      <wp:wrapNone/>
                      <wp:docPr id="36" name="文本框 36"/>
                      <wp:cNvGraphicFramePr/>
                      <a:graphic xmlns:a="http://schemas.openxmlformats.org/drawingml/2006/main">
                        <a:graphicData uri="http://schemas.microsoft.com/office/word/2010/wordprocessingShape">
                          <wps:wsp>
                            <wps:cNvSpPr txBox="true"/>
                            <wps:spPr>
                              <a:xfrm>
                                <a:off x="0" y="0"/>
                                <a:ext cx="810260" cy="230505"/>
                              </a:xfrm>
                              <a:prstGeom prst="rect">
                                <a:avLst/>
                              </a:prstGeom>
                              <a:noFill/>
                              <a:ln>
                                <a:noFill/>
                              </a:ln>
                            </wps:spPr>
                            <wps:txbx>
                              <w:txbxContent>
                                <w:p>
                                  <w:pPr>
                                    <w:rPr>
                                      <w:rFonts w:hint="default" w:eastAsia="宋体"/>
                                      <w:color w:val="FF0000"/>
                                      <w:lang w:val="en-US" w:eastAsia="zh-CN"/>
                                    </w:rPr>
                                  </w:pPr>
                                  <w:r>
                                    <w:rPr>
                                      <w:rFonts w:hint="eastAsia"/>
                                      <w:color w:val="FF0000"/>
                                      <w:lang w:val="en-US" w:eastAsia="zh-CN"/>
                                    </w:rPr>
                                    <w:t>2024.1.25</w:t>
                                  </w:r>
                                </w:p>
                              </w:txbxContent>
                            </wps:txbx>
                            <wps:bodyPr upright="true"/>
                          </wps:wsp>
                        </a:graphicData>
                      </a:graphic>
                    </wp:anchor>
                  </w:drawing>
                </mc:Choice>
                <mc:Fallback>
                  <w:pict>
                    <v:shape id="_x0000_s1026" o:spid="_x0000_s1026" o:spt="202" type="#_x0000_t202" style="position:absolute;left:0pt;margin-left:147.75pt;margin-top:154pt;height:18.15pt;width:63.8pt;z-index:251669504;mso-width-relative:page;mso-height-relative:page;" filled="f" stroked="f" coordsize="21600,21600" o:gfxdata="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FgAAAGRycy9QSwECFAAUAAAACACHTuJAcqZfCdgAAAAL&#10;AQAADwAAAAAAAAABACAAAAA4AAAAZHJzL2Rvd25yZXYueG1sUEsBAhQAFAAAAAgAh07iQDCGf5+U&#10;AQAABwMAAA4AAAAAAAAAAQAgAAAAPQEAAGRycy9lMm9Eb2MueG1sUEsFBgAAAAAGAAYAWQEAAEMF&#10;AAAAAA==&#10;">
                      <v:fill on="f" focussize="0,0"/>
                      <v:stroke on="f"/>
                      <v:imagedata o:title=""/>
                      <o:lock v:ext="edit" aspectratio="f"/>
                      <v:textbox>
                        <w:txbxContent>
                          <w:p>
                            <w:pPr>
                              <w:rPr>
                                <w:rFonts w:hint="default" w:eastAsia="宋体"/>
                                <w:color w:val="FF0000"/>
                                <w:lang w:val="en-US" w:eastAsia="zh-CN"/>
                              </w:rPr>
                            </w:pPr>
                            <w:r>
                              <w:rPr>
                                <w:rFonts w:hint="eastAsia"/>
                                <w:color w:val="FF0000"/>
                                <w:lang w:val="en-US" w:eastAsia="zh-CN"/>
                              </w:rPr>
                              <w:t>2024.1.25</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3" w:type="dxa"/>
            <w:noWrap w:val="0"/>
            <w:vAlign w:val="top"/>
          </w:tcPr>
          <w:p>
            <w:pPr>
              <w:ind w:firstLine="0" w:firstLineChars="0"/>
              <w:jc w:val="center"/>
              <w:rPr>
                <w:rFonts w:hint="default"/>
                <w:color w:val="auto"/>
                <w:highlight w:val="none"/>
                <w:lang w:val="en-US" w:eastAsia="zh-CN"/>
              </w:rPr>
            </w:pPr>
            <w:r>
              <w:rPr>
                <w:rFonts w:hint="eastAsia"/>
                <w:color w:val="auto"/>
                <w:highlight w:val="none"/>
                <w:lang w:val="en-US" w:eastAsia="zh-CN"/>
              </w:rPr>
              <w:t>烟气在线监测房</w:t>
            </w:r>
          </w:p>
        </w:tc>
        <w:tc>
          <w:tcPr>
            <w:tcW w:w="4390" w:type="dxa"/>
            <w:noWrap w:val="0"/>
            <w:vAlign w:val="top"/>
          </w:tcPr>
          <w:p>
            <w:pPr>
              <w:ind w:firstLine="0" w:firstLineChars="0"/>
              <w:jc w:val="center"/>
              <w:rPr>
                <w:rFonts w:hint="default"/>
                <w:color w:val="auto"/>
                <w:highlight w:val="none"/>
                <w:lang w:val="en-US" w:eastAsia="zh-CN"/>
              </w:rPr>
            </w:pPr>
            <w:r>
              <w:rPr>
                <w:rFonts w:hint="eastAsia"/>
                <w:color w:val="auto"/>
                <w:highlight w:val="none"/>
                <w:lang w:val="en-US" w:eastAsia="zh-CN"/>
              </w:rPr>
              <w:t>除尘器、烟气蒸发系统、45m烟囱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23" w:type="dxa"/>
            <w:noWrap w:val="0"/>
            <w:vAlign w:val="top"/>
          </w:tcPr>
          <w:p>
            <w:pPr>
              <w:ind w:firstLine="0" w:firstLineChars="0"/>
              <w:jc w:val="center"/>
              <w:rPr>
                <w:rFonts w:hint="eastAsia"/>
                <w:color w:val="auto"/>
                <w:highlight w:val="none"/>
                <w:lang w:val="en-US" w:eastAsia="zh-CN"/>
              </w:rPr>
            </w:pPr>
            <w:r>
              <w:rPr>
                <w:color w:val="auto"/>
                <w:sz w:val="21"/>
                <w:highlight w:val="none"/>
              </w:rPr>
              <mc:AlternateContent>
                <mc:Choice Requires="wps">
                  <w:drawing>
                    <wp:anchor distT="0" distB="0" distL="114300" distR="114300" simplePos="0" relativeHeight="251676672" behindDoc="0" locked="0" layoutInCell="1" allowOverlap="1">
                      <wp:simplePos x="0" y="0"/>
                      <wp:positionH relativeFrom="column">
                        <wp:posOffset>2065020</wp:posOffset>
                      </wp:positionH>
                      <wp:positionV relativeFrom="paragraph">
                        <wp:posOffset>1930400</wp:posOffset>
                      </wp:positionV>
                      <wp:extent cx="810260" cy="230505"/>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810260" cy="230505"/>
                              </a:xfrm>
                              <a:prstGeom prst="rect">
                                <a:avLst/>
                              </a:prstGeom>
                              <a:noFill/>
                              <a:ln>
                                <a:noFill/>
                              </a:ln>
                            </wps:spPr>
                            <wps:txbx>
                              <w:txbxContent>
                                <w:p>
                                  <w:pPr>
                                    <w:rPr>
                                      <w:rFonts w:hint="default" w:eastAsia="宋体"/>
                                      <w:color w:val="FF0000"/>
                                      <w:lang w:val="en-US" w:eastAsia="zh-CN"/>
                                    </w:rPr>
                                  </w:pPr>
                                  <w:r>
                                    <w:rPr>
                                      <w:rFonts w:hint="eastAsia"/>
                                      <w:color w:val="FF0000"/>
                                      <w:lang w:val="en-US" w:eastAsia="zh-CN"/>
                                    </w:rPr>
                                    <w:t>2024.1.25</w:t>
                                  </w:r>
                                </w:p>
                              </w:txbxContent>
                            </wps:txbx>
                            <wps:bodyPr upright="true"/>
                          </wps:wsp>
                        </a:graphicData>
                      </a:graphic>
                    </wp:anchor>
                  </w:drawing>
                </mc:Choice>
                <mc:Fallback>
                  <w:pict>
                    <v:shape id="_x0000_s1026" o:spid="_x0000_s1026" o:spt="202" type="#_x0000_t202" style="position:absolute;left:0pt;margin-left:162.6pt;margin-top:152pt;height:18.15pt;width:63.8pt;z-index:251676672;mso-width-relative:page;mso-height-relative:page;" filled="f" stroked="f" coordsize="21600,21600" o:gfxdata="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FgAAAGRycy9QSwECFAAUAAAACACHTuJAcZElKtcAAAALAQAA&#10;DwAAAAAAAAABACAAAAA4AAAAZHJzL2Rvd25yZXYueG1sUEsBAhQAFAAAAAgAh07iQLHVps6SAQAA&#10;BQMAAA4AAAAAAAAAAQAgAAAAPAEAAGRycy9lMm9Eb2MueG1sUEsFBgAAAAAGAAYAWQEAAEAFAAAA&#10;AA==&#10;">
                      <v:fill on="f" focussize="0,0"/>
                      <v:stroke on="f"/>
                      <v:imagedata o:title=""/>
                      <o:lock v:ext="edit" aspectratio="f"/>
                      <v:textbox>
                        <w:txbxContent>
                          <w:p>
                            <w:pPr>
                              <w:rPr>
                                <w:rFonts w:hint="default" w:eastAsia="宋体"/>
                                <w:color w:val="FF0000"/>
                                <w:lang w:val="en-US" w:eastAsia="zh-CN"/>
                              </w:rPr>
                            </w:pPr>
                            <w:r>
                              <w:rPr>
                                <w:rFonts w:hint="eastAsia"/>
                                <w:color w:val="FF0000"/>
                                <w:lang w:val="en-US" w:eastAsia="zh-CN"/>
                              </w:rPr>
                              <w:t>2024.1.25</w:t>
                            </w:r>
                          </w:p>
                        </w:txbxContent>
                      </v:textbox>
                    </v:shape>
                  </w:pict>
                </mc:Fallback>
              </mc:AlternateContent>
            </w:r>
            <w:r>
              <w:rPr>
                <w:rFonts w:hint="eastAsia"/>
                <w:color w:val="auto"/>
                <w:highlight w:val="none"/>
                <w:lang w:val="en-US" w:eastAsia="zh-CN"/>
              </w:rPr>
              <w:drawing>
                <wp:inline distT="0" distB="0" distL="114300" distR="114300">
                  <wp:extent cx="2912110" cy="2181860"/>
                  <wp:effectExtent l="0" t="0" r="2540" b="8890"/>
                  <wp:docPr id="64" name="图片 64" descr="11297bdbeec98f5a82635717a4495d30_"/>
                  <wp:cNvGraphicFramePr/>
                  <a:graphic xmlns:a="http://schemas.openxmlformats.org/drawingml/2006/main">
                    <a:graphicData uri="http://schemas.openxmlformats.org/drawingml/2006/picture">
                      <pic:pic xmlns:pic="http://schemas.openxmlformats.org/drawingml/2006/picture">
                        <pic:nvPicPr>
                          <pic:cNvPr id="64" name="图片 64" descr="11297bdbeec98f5a82635717a4495d30_"/>
                          <pic:cNvPicPr/>
                        </pic:nvPicPr>
                        <pic:blipFill>
                          <a:blip r:embed="rId25"/>
                          <a:stretch>
                            <a:fillRect/>
                          </a:stretch>
                        </pic:blipFill>
                        <pic:spPr>
                          <a:xfrm>
                            <a:off x="0" y="0"/>
                            <a:ext cx="2912110" cy="2181860"/>
                          </a:xfrm>
                          <a:prstGeom prst="rect">
                            <a:avLst/>
                          </a:prstGeom>
                        </pic:spPr>
                      </pic:pic>
                    </a:graphicData>
                  </a:graphic>
                </wp:inline>
              </w:drawing>
            </w:r>
          </w:p>
        </w:tc>
        <w:tc>
          <w:tcPr>
            <w:tcW w:w="4390" w:type="dxa"/>
            <w:noWrap w:val="0"/>
            <w:vAlign w:val="top"/>
          </w:tcPr>
          <w:p>
            <w:pPr>
              <w:ind w:firstLine="0" w:firstLineChars="0"/>
              <w:jc w:val="center"/>
              <w:rPr>
                <w:rFonts w:hint="eastAsia"/>
                <w:color w:val="auto"/>
                <w:highlight w:val="none"/>
                <w:lang w:val="en-US" w:eastAsia="zh-CN"/>
              </w:rPr>
            </w:pPr>
            <w:r>
              <w:rPr>
                <w:color w:val="auto"/>
                <w:sz w:val="21"/>
                <w:highlight w:val="none"/>
              </w:rPr>
              <mc:AlternateContent>
                <mc:Choice Requires="wps">
                  <w:drawing>
                    <wp:anchor distT="0" distB="0" distL="114300" distR="114300" simplePos="0" relativeHeight="251677696" behindDoc="0" locked="0" layoutInCell="1" allowOverlap="1">
                      <wp:simplePos x="0" y="0"/>
                      <wp:positionH relativeFrom="column">
                        <wp:posOffset>1697990</wp:posOffset>
                      </wp:positionH>
                      <wp:positionV relativeFrom="paragraph">
                        <wp:posOffset>1920875</wp:posOffset>
                      </wp:positionV>
                      <wp:extent cx="810260" cy="230505"/>
                      <wp:effectExtent l="0" t="0" r="0" b="0"/>
                      <wp:wrapNone/>
                      <wp:docPr id="7" name="文本框 7"/>
                      <wp:cNvGraphicFramePr/>
                      <a:graphic xmlns:a="http://schemas.openxmlformats.org/drawingml/2006/main">
                        <a:graphicData uri="http://schemas.microsoft.com/office/word/2010/wordprocessingShape">
                          <wps:wsp>
                            <wps:cNvSpPr txBox="true"/>
                            <wps:spPr>
                              <a:xfrm>
                                <a:off x="0" y="0"/>
                                <a:ext cx="810260" cy="230505"/>
                              </a:xfrm>
                              <a:prstGeom prst="rect">
                                <a:avLst/>
                              </a:prstGeom>
                              <a:noFill/>
                              <a:ln>
                                <a:noFill/>
                              </a:ln>
                            </wps:spPr>
                            <wps:txbx>
                              <w:txbxContent>
                                <w:p>
                                  <w:pPr>
                                    <w:rPr>
                                      <w:rFonts w:hint="default" w:eastAsia="宋体"/>
                                      <w:color w:val="FF0000"/>
                                      <w:lang w:val="en-US" w:eastAsia="zh-CN"/>
                                    </w:rPr>
                                  </w:pPr>
                                  <w:r>
                                    <w:rPr>
                                      <w:rFonts w:hint="eastAsia"/>
                                      <w:color w:val="FF0000"/>
                                      <w:lang w:val="en-US" w:eastAsia="zh-CN"/>
                                    </w:rPr>
                                    <w:t>2024.1.25</w:t>
                                  </w:r>
                                </w:p>
                              </w:txbxContent>
                            </wps:txbx>
                            <wps:bodyPr upright="true"/>
                          </wps:wsp>
                        </a:graphicData>
                      </a:graphic>
                    </wp:anchor>
                  </w:drawing>
                </mc:Choice>
                <mc:Fallback>
                  <w:pict>
                    <v:shape id="_x0000_s1026" o:spid="_x0000_s1026" o:spt="202" type="#_x0000_t202" style="position:absolute;left:0pt;margin-left:133.7pt;margin-top:151.25pt;height:18.15pt;width:63.8pt;z-index:251677696;mso-width-relative:page;mso-height-relative:page;" filled="f" stroked="f" coordsize="21600,21600" o:gfxdata="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FgAAAGRycy9QSwECFAAUAAAACACHTuJAGCe/b9kAAAAL&#10;AQAADwAAAAAAAAABACAAAAA4AAAAZHJzL2Rvd25yZXYueG1sUEsBAhQAFAAAAAgAh07iQHt4Q2GT&#10;AQAABQMAAA4AAAAAAAAAAQAgAAAAPgEAAGRycy9lMm9Eb2MueG1sUEsFBgAAAAAGAAYAWQEAAEMF&#10;AAAAAA==&#10;">
                      <v:fill on="f" focussize="0,0"/>
                      <v:stroke on="f"/>
                      <v:imagedata o:title=""/>
                      <o:lock v:ext="edit" aspectratio="f"/>
                      <v:textbox>
                        <w:txbxContent>
                          <w:p>
                            <w:pPr>
                              <w:rPr>
                                <w:rFonts w:hint="default" w:eastAsia="宋体"/>
                                <w:color w:val="FF0000"/>
                                <w:lang w:val="en-US" w:eastAsia="zh-CN"/>
                              </w:rPr>
                            </w:pPr>
                            <w:r>
                              <w:rPr>
                                <w:rFonts w:hint="eastAsia"/>
                                <w:color w:val="FF0000"/>
                                <w:lang w:val="en-US" w:eastAsia="zh-CN"/>
                              </w:rPr>
                              <w:t>2024.1.25</w:t>
                            </w:r>
                          </w:p>
                        </w:txbxContent>
                      </v:textbox>
                    </v:shape>
                  </w:pict>
                </mc:Fallback>
              </mc:AlternateContent>
            </w:r>
            <w:r>
              <w:rPr>
                <w:rFonts w:hint="eastAsia"/>
                <w:color w:val="auto"/>
                <w:highlight w:val="none"/>
                <w:lang w:val="en-US" w:eastAsia="zh-CN"/>
              </w:rPr>
              <w:drawing>
                <wp:inline distT="0" distB="0" distL="114300" distR="114300">
                  <wp:extent cx="2678430" cy="2181860"/>
                  <wp:effectExtent l="0" t="0" r="7620" b="8890"/>
                  <wp:docPr id="65" name="图片 65" descr="ae65213d49293ca7b3c2b763beefd42e_"/>
                  <wp:cNvGraphicFramePr/>
                  <a:graphic xmlns:a="http://schemas.openxmlformats.org/drawingml/2006/main">
                    <a:graphicData uri="http://schemas.openxmlformats.org/drawingml/2006/picture">
                      <pic:pic xmlns:pic="http://schemas.openxmlformats.org/drawingml/2006/picture">
                        <pic:nvPicPr>
                          <pic:cNvPr id="65" name="图片 65" descr="ae65213d49293ca7b3c2b763beefd42e_"/>
                          <pic:cNvPicPr/>
                        </pic:nvPicPr>
                        <pic:blipFill>
                          <a:blip r:embed="rId26"/>
                          <a:stretch>
                            <a:fillRect/>
                          </a:stretch>
                        </pic:blipFill>
                        <pic:spPr>
                          <a:xfrm>
                            <a:off x="0" y="0"/>
                            <a:ext cx="2678430" cy="21818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23" w:type="dxa"/>
            <w:noWrap w:val="0"/>
            <w:vAlign w:val="top"/>
          </w:tcPr>
          <w:p>
            <w:pPr>
              <w:ind w:firstLine="0" w:firstLineChars="0"/>
              <w:jc w:val="center"/>
              <w:rPr>
                <w:rFonts w:hint="eastAsia"/>
                <w:color w:val="auto"/>
                <w:highlight w:val="none"/>
                <w:lang w:val="en-US" w:eastAsia="zh-CN"/>
              </w:rPr>
            </w:pPr>
            <w:r>
              <w:rPr>
                <w:rFonts w:hint="eastAsia"/>
                <w:color w:val="auto"/>
                <w:highlight w:val="none"/>
                <w:lang w:val="en-US" w:eastAsia="zh-CN"/>
              </w:rPr>
              <w:t>烟气蒸发系统-储水池</w:t>
            </w:r>
          </w:p>
        </w:tc>
        <w:tc>
          <w:tcPr>
            <w:tcW w:w="4390" w:type="dxa"/>
            <w:noWrap w:val="0"/>
            <w:vAlign w:val="top"/>
          </w:tcPr>
          <w:p>
            <w:pPr>
              <w:ind w:firstLine="0" w:firstLineChars="0"/>
              <w:jc w:val="center"/>
              <w:rPr>
                <w:rFonts w:hint="eastAsia"/>
                <w:color w:val="auto"/>
                <w:highlight w:val="none"/>
                <w:lang w:val="en-US" w:eastAsia="zh-CN"/>
              </w:rPr>
            </w:pPr>
            <w:r>
              <w:rPr>
                <w:rFonts w:hint="eastAsia"/>
                <w:color w:val="auto"/>
                <w:highlight w:val="none"/>
                <w:lang w:val="en-US" w:eastAsia="zh-CN"/>
              </w:rPr>
              <w:t>烟气蒸发系统-储水池</w:t>
            </w:r>
          </w:p>
        </w:tc>
      </w:tr>
    </w:tbl>
    <w:p>
      <w:pPr>
        <w:pStyle w:val="18"/>
        <w:ind w:left="0" w:leftChars="0" w:firstLine="0" w:firstLineChars="0"/>
        <w:rPr>
          <w:rFonts w:hint="default"/>
          <w:color w:val="auto"/>
          <w:highlight w:val="none"/>
        </w:rPr>
      </w:pPr>
    </w:p>
    <w:p>
      <w:pPr>
        <w:pStyle w:val="18"/>
        <w:ind w:left="0" w:leftChars="0" w:firstLine="0" w:firstLineChars="0"/>
        <w:rPr>
          <w:rFonts w:hint="default"/>
          <w:color w:val="auto"/>
          <w:highlight w:val="none"/>
        </w:rPr>
      </w:pPr>
    </w:p>
    <w:p>
      <w:pPr>
        <w:pStyle w:val="18"/>
        <w:ind w:left="0" w:leftChars="0" w:firstLine="0" w:firstLineChars="0"/>
        <w:rPr>
          <w:rFonts w:hint="default"/>
          <w:color w:val="auto"/>
          <w:highlight w:val="none"/>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cs="宋体"/>
          <w:b/>
          <w:bCs/>
          <w:color w:val="auto"/>
          <w:sz w:val="28"/>
          <w:szCs w:val="28"/>
          <w:highlight w:val="none"/>
          <w:lang w:val="en-US" w:eastAsia="zh-CN"/>
        </w:rPr>
      </w:pPr>
    </w:p>
    <w:p>
      <w:pPr>
        <w:adjustRightInd w:val="0"/>
        <w:snapToGrid w:val="0"/>
        <w:spacing w:line="288" w:lineRule="auto"/>
        <w:jc w:val="center"/>
        <w:rPr>
          <w:rFonts w:hint="eastAsia" w:ascii="宋体" w:hAnsi="宋体" w:eastAsia="宋体" w:cs="宋体"/>
          <w:b/>
          <w:bCs/>
          <w:color w:val="auto"/>
          <w:sz w:val="28"/>
          <w:szCs w:val="28"/>
          <w:highlight w:val="none"/>
          <w:lang w:val="en-US" w:eastAsia="zh-CN"/>
        </w:rPr>
      </w:pPr>
      <w:r>
        <w:rPr>
          <w:rFonts w:hint="eastAsia" w:ascii="宋体" w:hAnsi="宋体" w:cs="宋体"/>
          <w:b/>
          <w:bCs/>
          <w:color w:val="auto"/>
          <w:sz w:val="28"/>
          <w:szCs w:val="28"/>
          <w:highlight w:val="none"/>
          <w:lang w:val="en-US" w:eastAsia="zh-CN"/>
        </w:rPr>
        <w:t>漓源供热点</w:t>
      </w:r>
      <w:r>
        <w:rPr>
          <w:rFonts w:hint="eastAsia" w:ascii="宋体" w:hAnsi="宋体" w:eastAsia="宋体" w:cs="宋体"/>
          <w:b/>
          <w:bCs/>
          <w:color w:val="auto"/>
          <w:sz w:val="28"/>
          <w:szCs w:val="28"/>
          <w:highlight w:val="none"/>
          <w:lang w:val="en-US" w:eastAsia="zh-CN"/>
        </w:rPr>
        <w:t>现场图片</w:t>
      </w:r>
    </w:p>
    <w:tbl>
      <w:tblPr>
        <w:tblStyle w:val="29"/>
        <w:tblW w:w="92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3"/>
        <w:gridCol w:w="4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23" w:type="dxa"/>
            <w:noWrap w:val="0"/>
            <w:vAlign w:val="top"/>
          </w:tcPr>
          <w:p>
            <w:pPr>
              <w:ind w:firstLine="0" w:firstLineChars="0"/>
              <w:jc w:val="both"/>
              <w:rPr>
                <w:rFonts w:hint="eastAsia" w:ascii="Times New Roman" w:hAnsi="Times New Roman" w:eastAsia="宋体"/>
                <w:color w:val="auto"/>
                <w:highlight w:val="none"/>
                <w:lang w:eastAsia="zh-CN"/>
              </w:rPr>
            </w:pPr>
            <w:r>
              <w:rPr>
                <w:color w:val="auto"/>
                <w:sz w:val="21"/>
                <w:highlight w:val="none"/>
              </w:rPr>
              <w:drawing>
                <wp:inline distT="0" distB="0" distL="114300" distR="114300">
                  <wp:extent cx="2912110" cy="2181860"/>
                  <wp:effectExtent l="0" t="0" r="2540" b="8890"/>
                  <wp:docPr id="57" name="图片 57" descr="6d76177eecc5e7afeca120f5586ea1f1_"/>
                  <wp:cNvGraphicFramePr/>
                  <a:graphic xmlns:a="http://schemas.openxmlformats.org/drawingml/2006/main">
                    <a:graphicData uri="http://schemas.openxmlformats.org/drawingml/2006/picture">
                      <pic:pic xmlns:pic="http://schemas.openxmlformats.org/drawingml/2006/picture">
                        <pic:nvPicPr>
                          <pic:cNvPr id="57" name="图片 57" descr="6d76177eecc5e7afeca120f5586ea1f1_"/>
                          <pic:cNvPicPr/>
                        </pic:nvPicPr>
                        <pic:blipFill>
                          <a:blip r:embed="rId27"/>
                          <a:stretch>
                            <a:fillRect/>
                          </a:stretch>
                        </pic:blipFill>
                        <pic:spPr>
                          <a:xfrm>
                            <a:off x="0" y="0"/>
                            <a:ext cx="2912110" cy="2181860"/>
                          </a:xfrm>
                          <a:prstGeom prst="rect">
                            <a:avLst/>
                          </a:prstGeom>
                        </pic:spPr>
                      </pic:pic>
                    </a:graphicData>
                  </a:graphic>
                </wp:inline>
              </w:drawing>
            </w:r>
            <w:r>
              <w:rPr>
                <w:color w:val="auto"/>
                <w:sz w:val="21"/>
                <w:highlight w:val="none"/>
              </w:rPr>
              <mc:AlternateContent>
                <mc:Choice Requires="wps">
                  <w:drawing>
                    <wp:anchor distT="0" distB="0" distL="114300" distR="114300" simplePos="0" relativeHeight="251670528" behindDoc="0" locked="0" layoutInCell="1" allowOverlap="1">
                      <wp:simplePos x="0" y="0"/>
                      <wp:positionH relativeFrom="column">
                        <wp:posOffset>2147570</wp:posOffset>
                      </wp:positionH>
                      <wp:positionV relativeFrom="paragraph">
                        <wp:posOffset>1936115</wp:posOffset>
                      </wp:positionV>
                      <wp:extent cx="837565" cy="230505"/>
                      <wp:effectExtent l="0" t="0" r="0" b="0"/>
                      <wp:wrapNone/>
                      <wp:docPr id="46" name="文本框 46"/>
                      <wp:cNvGraphicFramePr/>
                      <a:graphic xmlns:a="http://schemas.openxmlformats.org/drawingml/2006/main">
                        <a:graphicData uri="http://schemas.microsoft.com/office/word/2010/wordprocessingShape">
                          <wps:wsp>
                            <wps:cNvSpPr txBox="true"/>
                            <wps:spPr>
                              <a:xfrm>
                                <a:off x="0" y="0"/>
                                <a:ext cx="837565" cy="230505"/>
                              </a:xfrm>
                              <a:prstGeom prst="rect">
                                <a:avLst/>
                              </a:prstGeom>
                              <a:noFill/>
                              <a:ln>
                                <a:noFill/>
                              </a:ln>
                            </wps:spPr>
                            <wps:txbx>
                              <w:txbxContent>
                                <w:p>
                                  <w:pPr>
                                    <w:rPr>
                                      <w:rFonts w:hint="default" w:eastAsia="宋体"/>
                                      <w:color w:val="FF0000"/>
                                      <w:lang w:val="en-US" w:eastAsia="zh-CN"/>
                                    </w:rPr>
                                  </w:pPr>
                                  <w:r>
                                    <w:rPr>
                                      <w:rFonts w:hint="eastAsia"/>
                                      <w:color w:val="FF0000"/>
                                      <w:lang w:val="en-US" w:eastAsia="zh-CN"/>
                                    </w:rPr>
                                    <w:t>2024.1.25</w:t>
                                  </w:r>
                                </w:p>
                              </w:txbxContent>
                            </wps:txbx>
                            <wps:bodyPr upright="true"/>
                          </wps:wsp>
                        </a:graphicData>
                      </a:graphic>
                    </wp:anchor>
                  </w:drawing>
                </mc:Choice>
                <mc:Fallback>
                  <w:pict>
                    <v:shape id="_x0000_s1026" o:spid="_x0000_s1026" o:spt="202" type="#_x0000_t202" style="position:absolute;left:0pt;margin-left:169.1pt;margin-top:152.45pt;height:18.15pt;width:65.95pt;z-index:251670528;mso-width-relative:page;mso-height-relative:page;" filled="f" stroked="f" coordsize="21600,21600" o:gfxdata="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BYAAABkcnMvUEsBAhQAFAAAAAgAh07iQGVqVaHYAAAA&#10;CwEAAA8AAAAAAAAAAQAgAAAAOAAAAGRycy9kb3ducmV2LnhtbFBLAQIUABQAAAAIAIdO4kBSflMh&#10;lQEAAAcDAAAOAAAAAAAAAAEAIAAAAD0BAABkcnMvZTJvRG9jLnhtbFBLBQYAAAAABgAGAFkBAABE&#10;BQAAAAA=&#10;">
                      <v:fill on="f" focussize="0,0"/>
                      <v:stroke on="f"/>
                      <v:imagedata o:title=""/>
                      <o:lock v:ext="edit" aspectratio="f"/>
                      <v:textbox>
                        <w:txbxContent>
                          <w:p>
                            <w:pPr>
                              <w:rPr>
                                <w:rFonts w:hint="default" w:eastAsia="宋体"/>
                                <w:color w:val="FF0000"/>
                                <w:lang w:val="en-US" w:eastAsia="zh-CN"/>
                              </w:rPr>
                            </w:pPr>
                            <w:r>
                              <w:rPr>
                                <w:rFonts w:hint="eastAsia"/>
                                <w:color w:val="FF0000"/>
                                <w:lang w:val="en-US" w:eastAsia="zh-CN"/>
                              </w:rPr>
                              <w:t>2024.1.25</w:t>
                            </w:r>
                          </w:p>
                        </w:txbxContent>
                      </v:textbox>
                    </v:shape>
                  </w:pict>
                </mc:Fallback>
              </mc:AlternateContent>
            </w:r>
          </w:p>
        </w:tc>
        <w:tc>
          <w:tcPr>
            <w:tcW w:w="4390" w:type="dxa"/>
            <w:noWrap w:val="0"/>
            <w:vAlign w:val="top"/>
          </w:tcPr>
          <w:p>
            <w:pPr>
              <w:ind w:firstLine="0" w:firstLineChars="0"/>
              <w:jc w:val="both"/>
              <w:rPr>
                <w:rFonts w:hint="eastAsia" w:ascii="Times New Roman" w:hAnsi="Times New Roman" w:eastAsia="宋体"/>
                <w:color w:val="auto"/>
                <w:highlight w:val="none"/>
                <w:lang w:eastAsia="zh-CN"/>
              </w:rPr>
            </w:pPr>
            <w:r>
              <w:rPr>
                <w:color w:val="auto"/>
                <w:sz w:val="21"/>
                <w:highlight w:val="none"/>
              </w:rPr>
              <w:drawing>
                <wp:inline distT="0" distB="0" distL="114300" distR="114300">
                  <wp:extent cx="2678430" cy="2181860"/>
                  <wp:effectExtent l="0" t="0" r="7620" b="8890"/>
                  <wp:docPr id="60" name="图片 60" descr="7c85f84a47f20d278c4380c7e52d3dd0_"/>
                  <wp:cNvGraphicFramePr/>
                  <a:graphic xmlns:a="http://schemas.openxmlformats.org/drawingml/2006/main">
                    <a:graphicData uri="http://schemas.openxmlformats.org/drawingml/2006/picture">
                      <pic:pic xmlns:pic="http://schemas.openxmlformats.org/drawingml/2006/picture">
                        <pic:nvPicPr>
                          <pic:cNvPr id="60" name="图片 60" descr="7c85f84a47f20d278c4380c7e52d3dd0_"/>
                          <pic:cNvPicPr/>
                        </pic:nvPicPr>
                        <pic:blipFill>
                          <a:blip r:embed="rId28"/>
                          <a:stretch>
                            <a:fillRect/>
                          </a:stretch>
                        </pic:blipFill>
                        <pic:spPr>
                          <a:xfrm>
                            <a:off x="0" y="0"/>
                            <a:ext cx="2678430" cy="2181860"/>
                          </a:xfrm>
                          <a:prstGeom prst="rect">
                            <a:avLst/>
                          </a:prstGeom>
                        </pic:spPr>
                      </pic:pic>
                    </a:graphicData>
                  </a:graphic>
                </wp:inline>
              </w:drawing>
            </w:r>
            <w:r>
              <w:rPr>
                <w:color w:val="auto"/>
                <w:sz w:val="21"/>
                <w:highlight w:val="none"/>
              </w:rPr>
              <mc:AlternateContent>
                <mc:Choice Requires="wps">
                  <w:drawing>
                    <wp:anchor distT="0" distB="0" distL="114300" distR="114300" simplePos="0" relativeHeight="251671552" behindDoc="0" locked="0" layoutInCell="1" allowOverlap="1">
                      <wp:simplePos x="0" y="0"/>
                      <wp:positionH relativeFrom="column">
                        <wp:posOffset>1815465</wp:posOffset>
                      </wp:positionH>
                      <wp:positionV relativeFrom="paragraph">
                        <wp:posOffset>1857375</wp:posOffset>
                      </wp:positionV>
                      <wp:extent cx="811530" cy="230505"/>
                      <wp:effectExtent l="0" t="0" r="0" b="0"/>
                      <wp:wrapNone/>
                      <wp:docPr id="48" name="文本框 48"/>
                      <wp:cNvGraphicFramePr/>
                      <a:graphic xmlns:a="http://schemas.openxmlformats.org/drawingml/2006/main">
                        <a:graphicData uri="http://schemas.microsoft.com/office/word/2010/wordprocessingShape">
                          <wps:wsp>
                            <wps:cNvSpPr txBox="true"/>
                            <wps:spPr>
                              <a:xfrm>
                                <a:off x="0" y="0"/>
                                <a:ext cx="811530" cy="230505"/>
                              </a:xfrm>
                              <a:prstGeom prst="rect">
                                <a:avLst/>
                              </a:prstGeom>
                              <a:noFill/>
                              <a:ln>
                                <a:noFill/>
                              </a:ln>
                            </wps:spPr>
                            <wps:txbx>
                              <w:txbxContent>
                                <w:p>
                                  <w:pPr>
                                    <w:rPr>
                                      <w:rFonts w:hint="default" w:eastAsia="宋体"/>
                                      <w:color w:val="FF0000"/>
                                      <w:lang w:val="en-US" w:eastAsia="zh-CN"/>
                                    </w:rPr>
                                  </w:pPr>
                                  <w:r>
                                    <w:rPr>
                                      <w:rFonts w:hint="eastAsia"/>
                                      <w:color w:val="FF0000"/>
                                      <w:lang w:val="en-US" w:eastAsia="zh-CN"/>
                                    </w:rPr>
                                    <w:t>2024.1.25</w:t>
                                  </w:r>
                                </w:p>
                              </w:txbxContent>
                            </wps:txbx>
                            <wps:bodyPr upright="true"/>
                          </wps:wsp>
                        </a:graphicData>
                      </a:graphic>
                    </wp:anchor>
                  </w:drawing>
                </mc:Choice>
                <mc:Fallback>
                  <w:pict>
                    <v:shape id="_x0000_s1026" o:spid="_x0000_s1026" o:spt="202" type="#_x0000_t202" style="position:absolute;left:0pt;margin-left:142.95pt;margin-top:146.25pt;height:18.15pt;width:63.9pt;z-index:251671552;mso-width-relative:page;mso-height-relative:page;" filled="f" stroked="f" coordsize="21600,21600" o:gfxdata="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BYAAABkcnMvUEsBAhQAFAAAAAgAh07iQDjyQvfZAAAA&#10;CwEAAA8AAAAAAAAAAQAgAAAAOAAAAGRycy9kb3ducmV2LnhtbFBLAQIUABQAAAAIAIdO4kCdthf5&#10;lAEAAAcDAAAOAAAAAAAAAAEAIAAAAD4BAABkcnMvZTJvRG9jLnhtbFBLBQYAAAAABgAGAFkBAABE&#10;BQAAAAA=&#10;">
                      <v:fill on="f" focussize="0,0"/>
                      <v:stroke on="f"/>
                      <v:imagedata o:title=""/>
                      <o:lock v:ext="edit" aspectratio="f"/>
                      <v:textbox>
                        <w:txbxContent>
                          <w:p>
                            <w:pPr>
                              <w:rPr>
                                <w:rFonts w:hint="default" w:eastAsia="宋体"/>
                                <w:color w:val="FF0000"/>
                                <w:lang w:val="en-US" w:eastAsia="zh-CN"/>
                              </w:rPr>
                            </w:pPr>
                            <w:r>
                              <w:rPr>
                                <w:rFonts w:hint="eastAsia"/>
                                <w:color w:val="FF0000"/>
                                <w:lang w:val="en-US" w:eastAsia="zh-CN"/>
                              </w:rPr>
                              <w:t>2024.1.25</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23" w:type="dxa"/>
            <w:noWrap w:val="0"/>
            <w:vAlign w:val="top"/>
          </w:tcPr>
          <w:p>
            <w:pPr>
              <w:ind w:firstLine="0" w:firstLineChars="0"/>
              <w:jc w:val="center"/>
              <w:rPr>
                <w:rFonts w:hint="default" w:eastAsia="宋体"/>
                <w:color w:val="auto"/>
                <w:sz w:val="21"/>
                <w:highlight w:val="none"/>
                <w:lang w:val="en-US" w:eastAsia="zh-CN"/>
              </w:rPr>
            </w:pPr>
            <w:r>
              <w:rPr>
                <w:rFonts w:hint="eastAsia"/>
                <w:color w:val="auto"/>
                <w:sz w:val="21"/>
                <w:highlight w:val="none"/>
                <w:lang w:val="en-US" w:eastAsia="zh-CN"/>
              </w:rPr>
              <w:t>生物质锅炉（已建4t/h锅炉1台）</w:t>
            </w:r>
          </w:p>
        </w:tc>
        <w:tc>
          <w:tcPr>
            <w:tcW w:w="4390" w:type="dxa"/>
            <w:noWrap w:val="0"/>
            <w:vAlign w:val="top"/>
          </w:tcPr>
          <w:p>
            <w:pPr>
              <w:ind w:firstLine="0" w:firstLineChars="0"/>
              <w:jc w:val="center"/>
              <w:rPr>
                <w:rFonts w:hint="default" w:eastAsia="宋体"/>
                <w:color w:val="auto"/>
                <w:sz w:val="21"/>
                <w:highlight w:val="none"/>
                <w:lang w:val="en-US" w:eastAsia="zh-CN"/>
              </w:rPr>
            </w:pPr>
            <w:r>
              <w:rPr>
                <w:rFonts w:hint="eastAsia"/>
                <w:color w:val="auto"/>
                <w:highlight w:val="none"/>
                <w:lang w:val="en-US" w:eastAsia="zh-CN"/>
              </w:rPr>
              <w:t>灰渣装袋堆存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23" w:type="dxa"/>
            <w:noWrap w:val="0"/>
            <w:vAlign w:val="top"/>
          </w:tcPr>
          <w:p>
            <w:pPr>
              <w:ind w:firstLine="0" w:firstLineChars="0"/>
              <w:jc w:val="center"/>
              <w:rPr>
                <w:rFonts w:hint="eastAsia"/>
                <w:color w:val="auto"/>
                <w:highlight w:val="none"/>
                <w:lang w:val="en-US" w:eastAsia="zh-CN"/>
              </w:rPr>
            </w:pPr>
            <w:r>
              <w:rPr>
                <w:color w:val="auto"/>
                <w:sz w:val="21"/>
                <w:highlight w:val="none"/>
              </w:rPr>
              <w:drawing>
                <wp:inline distT="0" distB="0" distL="114300" distR="114300">
                  <wp:extent cx="2912110" cy="2181860"/>
                  <wp:effectExtent l="0" t="0" r="2540" b="8890"/>
                  <wp:docPr id="61" name="图片 61" descr="73bec565aa1368f652ab953b38a617be_"/>
                  <wp:cNvGraphicFramePr/>
                  <a:graphic xmlns:a="http://schemas.openxmlformats.org/drawingml/2006/main">
                    <a:graphicData uri="http://schemas.openxmlformats.org/drawingml/2006/picture">
                      <pic:pic xmlns:pic="http://schemas.openxmlformats.org/drawingml/2006/picture">
                        <pic:nvPicPr>
                          <pic:cNvPr id="61" name="图片 61" descr="73bec565aa1368f652ab953b38a617be_"/>
                          <pic:cNvPicPr/>
                        </pic:nvPicPr>
                        <pic:blipFill>
                          <a:blip r:embed="rId29"/>
                          <a:stretch>
                            <a:fillRect/>
                          </a:stretch>
                        </pic:blipFill>
                        <pic:spPr>
                          <a:xfrm>
                            <a:off x="0" y="0"/>
                            <a:ext cx="2912110" cy="2181860"/>
                          </a:xfrm>
                          <a:prstGeom prst="rect">
                            <a:avLst/>
                          </a:prstGeom>
                        </pic:spPr>
                      </pic:pic>
                    </a:graphicData>
                  </a:graphic>
                </wp:inline>
              </w:drawing>
            </w:r>
            <w:r>
              <w:rPr>
                <w:color w:val="auto"/>
                <w:sz w:val="21"/>
                <w:highlight w:val="none"/>
              </w:rPr>
              <mc:AlternateContent>
                <mc:Choice Requires="wps">
                  <w:drawing>
                    <wp:anchor distT="0" distB="0" distL="114300" distR="114300" simplePos="0" relativeHeight="251672576" behindDoc="0" locked="0" layoutInCell="1" allowOverlap="1">
                      <wp:simplePos x="0" y="0"/>
                      <wp:positionH relativeFrom="column">
                        <wp:posOffset>2109470</wp:posOffset>
                      </wp:positionH>
                      <wp:positionV relativeFrom="paragraph">
                        <wp:posOffset>1950085</wp:posOffset>
                      </wp:positionV>
                      <wp:extent cx="810260" cy="230505"/>
                      <wp:effectExtent l="0" t="0" r="0" b="0"/>
                      <wp:wrapNone/>
                      <wp:docPr id="50" name="文本框 50"/>
                      <wp:cNvGraphicFramePr/>
                      <a:graphic xmlns:a="http://schemas.openxmlformats.org/drawingml/2006/main">
                        <a:graphicData uri="http://schemas.microsoft.com/office/word/2010/wordprocessingShape">
                          <wps:wsp>
                            <wps:cNvSpPr txBox="true"/>
                            <wps:spPr>
                              <a:xfrm>
                                <a:off x="0" y="0"/>
                                <a:ext cx="810260" cy="230505"/>
                              </a:xfrm>
                              <a:prstGeom prst="rect">
                                <a:avLst/>
                              </a:prstGeom>
                              <a:noFill/>
                              <a:ln>
                                <a:noFill/>
                              </a:ln>
                            </wps:spPr>
                            <wps:txbx>
                              <w:txbxContent>
                                <w:p>
                                  <w:pPr>
                                    <w:rPr>
                                      <w:rFonts w:hint="default" w:eastAsia="宋体"/>
                                      <w:color w:val="FF0000"/>
                                      <w:lang w:val="en-US" w:eastAsia="zh-CN"/>
                                    </w:rPr>
                                  </w:pPr>
                                  <w:r>
                                    <w:rPr>
                                      <w:rFonts w:hint="eastAsia"/>
                                      <w:color w:val="FF0000"/>
                                      <w:lang w:val="en-US" w:eastAsia="zh-CN"/>
                                    </w:rPr>
                                    <w:t>2024.1.25</w:t>
                                  </w:r>
                                </w:p>
                              </w:txbxContent>
                            </wps:txbx>
                            <wps:bodyPr upright="true"/>
                          </wps:wsp>
                        </a:graphicData>
                      </a:graphic>
                    </wp:anchor>
                  </w:drawing>
                </mc:Choice>
                <mc:Fallback>
                  <w:pict>
                    <v:shape id="_x0000_s1026" o:spid="_x0000_s1026" o:spt="202" type="#_x0000_t202" style="position:absolute;left:0pt;margin-left:166.1pt;margin-top:153.55pt;height:18.15pt;width:63.8pt;z-index:251672576;mso-width-relative:page;mso-height-relative:page;" filled="f" stroked="f" coordsize="21600,21600" o:gfxdata="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WAAAAZHJzL1BLAQIUABQAAAAIAIdO4kDgNNHx2AAAAAsB&#10;AAAPAAAAAAAAAAEAIAAAADgAAABkcnMvZG93bnJldi54bWxQSwECFAAUAAAACACHTuJAOwLyAZMB&#10;AAAHAwAADgAAAAAAAAABACAAAAA9AQAAZHJzL2Uyb0RvYy54bWxQSwUGAAAAAAYABgBZAQAAQgUA&#10;AAAA&#10;">
                      <v:fill on="f" focussize="0,0"/>
                      <v:stroke on="f"/>
                      <v:imagedata o:title=""/>
                      <o:lock v:ext="edit" aspectratio="f"/>
                      <v:textbox>
                        <w:txbxContent>
                          <w:p>
                            <w:pPr>
                              <w:rPr>
                                <w:rFonts w:hint="default" w:eastAsia="宋体"/>
                                <w:color w:val="FF0000"/>
                                <w:lang w:val="en-US" w:eastAsia="zh-CN"/>
                              </w:rPr>
                            </w:pPr>
                            <w:r>
                              <w:rPr>
                                <w:rFonts w:hint="eastAsia"/>
                                <w:color w:val="FF0000"/>
                                <w:lang w:val="en-US" w:eastAsia="zh-CN"/>
                              </w:rPr>
                              <w:t>2024.1.25</w:t>
                            </w:r>
                          </w:p>
                        </w:txbxContent>
                      </v:textbox>
                    </v:shape>
                  </w:pict>
                </mc:Fallback>
              </mc:AlternateContent>
            </w:r>
          </w:p>
        </w:tc>
        <w:tc>
          <w:tcPr>
            <w:tcW w:w="4390" w:type="dxa"/>
            <w:noWrap w:val="0"/>
            <w:vAlign w:val="top"/>
          </w:tcPr>
          <w:p>
            <w:pPr>
              <w:ind w:firstLine="0" w:firstLineChars="0"/>
              <w:jc w:val="center"/>
              <w:rPr>
                <w:rFonts w:hint="eastAsia" w:eastAsia="宋体"/>
                <w:color w:val="auto"/>
                <w:highlight w:val="none"/>
                <w:lang w:val="en-US" w:eastAsia="zh-CN"/>
              </w:rPr>
            </w:pPr>
            <w:r>
              <w:rPr>
                <w:color w:val="auto"/>
                <w:sz w:val="21"/>
                <w:highlight w:val="none"/>
              </w:rPr>
              <w:drawing>
                <wp:inline distT="0" distB="0" distL="114300" distR="114300">
                  <wp:extent cx="2912110" cy="2181860"/>
                  <wp:effectExtent l="0" t="0" r="2540" b="8890"/>
                  <wp:docPr id="59" name="图片 59" descr="c1c8b05efd12c232b20269ab4ec3a091_"/>
                  <wp:cNvGraphicFramePr/>
                  <a:graphic xmlns:a="http://schemas.openxmlformats.org/drawingml/2006/main">
                    <a:graphicData uri="http://schemas.openxmlformats.org/drawingml/2006/picture">
                      <pic:pic xmlns:pic="http://schemas.openxmlformats.org/drawingml/2006/picture">
                        <pic:nvPicPr>
                          <pic:cNvPr id="59" name="图片 59" descr="c1c8b05efd12c232b20269ab4ec3a091_"/>
                          <pic:cNvPicPr/>
                        </pic:nvPicPr>
                        <pic:blipFill>
                          <a:blip r:embed="rId30"/>
                          <a:stretch>
                            <a:fillRect/>
                          </a:stretch>
                        </pic:blipFill>
                        <pic:spPr>
                          <a:xfrm>
                            <a:off x="0" y="0"/>
                            <a:ext cx="2912110" cy="2181860"/>
                          </a:xfrm>
                          <a:prstGeom prst="rect">
                            <a:avLst/>
                          </a:prstGeom>
                        </pic:spPr>
                      </pic:pic>
                    </a:graphicData>
                  </a:graphic>
                </wp:inline>
              </w:drawing>
            </w:r>
            <w:r>
              <w:rPr>
                <w:color w:val="auto"/>
                <w:sz w:val="21"/>
                <w:highlight w:val="none"/>
              </w:rPr>
              <mc:AlternateContent>
                <mc:Choice Requires="wps">
                  <w:drawing>
                    <wp:anchor distT="0" distB="0" distL="114300" distR="114300" simplePos="0" relativeHeight="251673600" behindDoc="0" locked="0" layoutInCell="1" allowOverlap="1">
                      <wp:simplePos x="0" y="0"/>
                      <wp:positionH relativeFrom="column">
                        <wp:posOffset>1873885</wp:posOffset>
                      </wp:positionH>
                      <wp:positionV relativeFrom="paragraph">
                        <wp:posOffset>1956435</wp:posOffset>
                      </wp:positionV>
                      <wp:extent cx="810260" cy="230505"/>
                      <wp:effectExtent l="0" t="0" r="0" b="0"/>
                      <wp:wrapNone/>
                      <wp:docPr id="52" name="文本框 52"/>
                      <wp:cNvGraphicFramePr/>
                      <a:graphic xmlns:a="http://schemas.openxmlformats.org/drawingml/2006/main">
                        <a:graphicData uri="http://schemas.microsoft.com/office/word/2010/wordprocessingShape">
                          <wps:wsp>
                            <wps:cNvSpPr txBox="true"/>
                            <wps:spPr>
                              <a:xfrm>
                                <a:off x="0" y="0"/>
                                <a:ext cx="810260" cy="230505"/>
                              </a:xfrm>
                              <a:prstGeom prst="rect">
                                <a:avLst/>
                              </a:prstGeom>
                              <a:noFill/>
                              <a:ln>
                                <a:noFill/>
                              </a:ln>
                            </wps:spPr>
                            <wps:txbx>
                              <w:txbxContent>
                                <w:p>
                                  <w:pPr>
                                    <w:rPr>
                                      <w:rFonts w:hint="default" w:eastAsia="宋体"/>
                                      <w:color w:val="FF0000"/>
                                      <w:lang w:val="en-US" w:eastAsia="zh-CN"/>
                                    </w:rPr>
                                  </w:pPr>
                                  <w:r>
                                    <w:rPr>
                                      <w:rFonts w:hint="eastAsia"/>
                                      <w:color w:val="FF0000"/>
                                      <w:lang w:val="en-US" w:eastAsia="zh-CN"/>
                                    </w:rPr>
                                    <w:t>2024.1.25</w:t>
                                  </w:r>
                                </w:p>
                              </w:txbxContent>
                            </wps:txbx>
                            <wps:bodyPr upright="true"/>
                          </wps:wsp>
                        </a:graphicData>
                      </a:graphic>
                    </wp:anchor>
                  </w:drawing>
                </mc:Choice>
                <mc:Fallback>
                  <w:pict>
                    <v:shape id="_x0000_s1026" o:spid="_x0000_s1026" o:spt="202" type="#_x0000_t202" style="position:absolute;left:0pt;margin-left:147.55pt;margin-top:154.05pt;height:18.15pt;width:63.8pt;z-index:251673600;mso-width-relative:page;mso-height-relative:page;" filled="f" stroked="f" coordsize="21600,21600" o:gfxdata="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BYAAABkcnMvUEsBAhQAFAAAAAgAh07iQEGFfYHXAAAACwEA&#10;AA8AAAAAAAAAAQAgAAAAOAAAAGRycy9kb3ducmV2LnhtbFBLAQIUABQAAAAIAIdO4kByhgx7kwEA&#10;AAcDAAAOAAAAAAAAAAEAIAAAADwBAABkcnMvZTJvRG9jLnhtbFBLBQYAAAAABgAGAFkBAABBBQAA&#10;AAA=&#10;">
                      <v:fill on="f" focussize="0,0"/>
                      <v:stroke on="f"/>
                      <v:imagedata o:title=""/>
                      <o:lock v:ext="edit" aspectratio="f"/>
                      <v:textbox>
                        <w:txbxContent>
                          <w:p>
                            <w:pPr>
                              <w:rPr>
                                <w:rFonts w:hint="default" w:eastAsia="宋体"/>
                                <w:color w:val="FF0000"/>
                                <w:lang w:val="en-US" w:eastAsia="zh-CN"/>
                              </w:rPr>
                            </w:pPr>
                            <w:r>
                              <w:rPr>
                                <w:rFonts w:hint="eastAsia"/>
                                <w:color w:val="FF0000"/>
                                <w:lang w:val="en-US" w:eastAsia="zh-CN"/>
                              </w:rPr>
                              <w:t>2024.1.25</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23" w:type="dxa"/>
            <w:noWrap w:val="0"/>
            <w:vAlign w:val="top"/>
          </w:tcPr>
          <w:p>
            <w:pPr>
              <w:ind w:firstLine="0" w:firstLineChars="0"/>
              <w:jc w:val="center"/>
              <w:rPr>
                <w:rFonts w:hint="default"/>
                <w:color w:val="auto"/>
                <w:highlight w:val="none"/>
                <w:lang w:val="en-US" w:eastAsia="zh-CN"/>
              </w:rPr>
            </w:pPr>
            <w:r>
              <w:rPr>
                <w:rFonts w:hint="eastAsia"/>
                <w:color w:val="auto"/>
                <w:highlight w:val="none"/>
                <w:lang w:val="en-US" w:eastAsia="zh-CN"/>
              </w:rPr>
              <w:t>危险废物贮存库内部</w:t>
            </w:r>
          </w:p>
        </w:tc>
        <w:tc>
          <w:tcPr>
            <w:tcW w:w="4390" w:type="dxa"/>
            <w:noWrap w:val="0"/>
            <w:vAlign w:val="top"/>
          </w:tcPr>
          <w:p>
            <w:pPr>
              <w:ind w:firstLine="0" w:firstLineChars="0"/>
              <w:jc w:val="center"/>
              <w:rPr>
                <w:rFonts w:hint="default"/>
                <w:color w:val="auto"/>
                <w:highlight w:val="none"/>
                <w:lang w:val="en-US" w:eastAsia="zh-CN"/>
              </w:rPr>
            </w:pPr>
            <w:r>
              <w:rPr>
                <w:rFonts w:hint="eastAsia"/>
                <w:color w:val="auto"/>
                <w:highlight w:val="none"/>
                <w:lang w:val="en-US" w:eastAsia="zh-CN"/>
              </w:rPr>
              <w:t>烟气在线监测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23" w:type="dxa"/>
            <w:noWrap w:val="0"/>
            <w:vAlign w:val="top"/>
          </w:tcPr>
          <w:p>
            <w:pPr>
              <w:ind w:firstLine="0" w:firstLineChars="0"/>
              <w:jc w:val="center"/>
              <w:rPr>
                <w:rFonts w:hint="eastAsia"/>
                <w:color w:val="auto"/>
                <w:highlight w:val="none"/>
                <w:lang w:val="en-US" w:eastAsia="zh-CN"/>
              </w:rPr>
            </w:pPr>
            <w:r>
              <w:rPr>
                <w:color w:val="auto"/>
                <w:sz w:val="21"/>
                <w:highlight w:val="none"/>
              </w:rPr>
              <w:drawing>
                <wp:inline distT="0" distB="0" distL="114300" distR="114300">
                  <wp:extent cx="2912110" cy="2181860"/>
                  <wp:effectExtent l="0" t="0" r="2540" b="8890"/>
                  <wp:docPr id="63" name="图片 63" descr="19cca9420b2fd6fa90b4824423ab3dd"/>
                  <wp:cNvGraphicFramePr/>
                  <a:graphic xmlns:a="http://schemas.openxmlformats.org/drawingml/2006/main">
                    <a:graphicData uri="http://schemas.openxmlformats.org/drawingml/2006/picture">
                      <pic:pic xmlns:pic="http://schemas.openxmlformats.org/drawingml/2006/picture">
                        <pic:nvPicPr>
                          <pic:cNvPr id="63" name="图片 63" descr="19cca9420b2fd6fa90b4824423ab3dd"/>
                          <pic:cNvPicPr/>
                        </pic:nvPicPr>
                        <pic:blipFill>
                          <a:blip r:embed="rId31"/>
                          <a:stretch>
                            <a:fillRect/>
                          </a:stretch>
                        </pic:blipFill>
                        <pic:spPr>
                          <a:xfrm>
                            <a:off x="0" y="0"/>
                            <a:ext cx="2912110" cy="2181860"/>
                          </a:xfrm>
                          <a:prstGeom prst="rect">
                            <a:avLst/>
                          </a:prstGeom>
                        </pic:spPr>
                      </pic:pic>
                    </a:graphicData>
                  </a:graphic>
                </wp:inline>
              </w:drawing>
            </w:r>
            <w:r>
              <w:rPr>
                <w:color w:val="auto"/>
                <w:sz w:val="21"/>
                <w:highlight w:val="none"/>
              </w:rPr>
              <mc:AlternateContent>
                <mc:Choice Requires="wps">
                  <w:drawing>
                    <wp:anchor distT="0" distB="0" distL="114300" distR="114300" simplePos="0" relativeHeight="251674624" behindDoc="0" locked="0" layoutInCell="1" allowOverlap="1">
                      <wp:simplePos x="0" y="0"/>
                      <wp:positionH relativeFrom="column">
                        <wp:posOffset>2103120</wp:posOffset>
                      </wp:positionH>
                      <wp:positionV relativeFrom="paragraph">
                        <wp:posOffset>1934845</wp:posOffset>
                      </wp:positionV>
                      <wp:extent cx="810260" cy="230505"/>
                      <wp:effectExtent l="0" t="0" r="0" b="0"/>
                      <wp:wrapNone/>
                      <wp:docPr id="54" name="文本框 54"/>
                      <wp:cNvGraphicFramePr/>
                      <a:graphic xmlns:a="http://schemas.openxmlformats.org/drawingml/2006/main">
                        <a:graphicData uri="http://schemas.microsoft.com/office/word/2010/wordprocessingShape">
                          <wps:wsp>
                            <wps:cNvSpPr txBox="true"/>
                            <wps:spPr>
                              <a:xfrm>
                                <a:off x="0" y="0"/>
                                <a:ext cx="810260" cy="230505"/>
                              </a:xfrm>
                              <a:prstGeom prst="rect">
                                <a:avLst/>
                              </a:prstGeom>
                              <a:noFill/>
                              <a:ln>
                                <a:noFill/>
                              </a:ln>
                            </wps:spPr>
                            <wps:txbx>
                              <w:txbxContent>
                                <w:p>
                                  <w:pPr>
                                    <w:rPr>
                                      <w:rFonts w:hint="default" w:eastAsia="宋体"/>
                                      <w:color w:val="FF0000"/>
                                      <w:lang w:val="en-US" w:eastAsia="zh-CN"/>
                                    </w:rPr>
                                  </w:pPr>
                                  <w:r>
                                    <w:rPr>
                                      <w:rFonts w:hint="eastAsia"/>
                                      <w:color w:val="FF0000"/>
                                      <w:lang w:val="en-US" w:eastAsia="zh-CN"/>
                                    </w:rPr>
                                    <w:t>2024.1.25</w:t>
                                  </w:r>
                                </w:p>
                              </w:txbxContent>
                            </wps:txbx>
                            <wps:bodyPr upright="true"/>
                          </wps:wsp>
                        </a:graphicData>
                      </a:graphic>
                    </wp:anchor>
                  </w:drawing>
                </mc:Choice>
                <mc:Fallback>
                  <w:pict>
                    <v:shape id="_x0000_s1026" o:spid="_x0000_s1026" o:spt="202" type="#_x0000_t202" style="position:absolute;left:0pt;margin-left:165.6pt;margin-top:152.35pt;height:18.15pt;width:63.8pt;z-index:251674624;mso-width-relative:page;mso-height-relative:page;" filled="f" stroked="f" coordsize="21600,21600" o:gfxdata="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FgAAAGRycy9QSwECFAAUAAAACACHTuJAovXR89gAAAAL&#10;AQAADwAAAAAAAAABACAAAAA4AAAAZHJzL2Rvd25yZXYueG1sUEsBAhQAFAAAAAgAh07iQKkKD/SU&#10;AQAABwMAAA4AAAAAAAAAAQAgAAAAPQEAAGRycy9lMm9Eb2MueG1sUEsFBgAAAAAGAAYAWQEAAEMF&#10;AAAAAA==&#10;">
                      <v:fill on="f" focussize="0,0"/>
                      <v:stroke on="f"/>
                      <v:imagedata o:title=""/>
                      <o:lock v:ext="edit" aspectratio="f"/>
                      <v:textbox>
                        <w:txbxContent>
                          <w:p>
                            <w:pPr>
                              <w:rPr>
                                <w:rFonts w:hint="default" w:eastAsia="宋体"/>
                                <w:color w:val="FF0000"/>
                                <w:lang w:val="en-US" w:eastAsia="zh-CN"/>
                              </w:rPr>
                            </w:pPr>
                            <w:r>
                              <w:rPr>
                                <w:rFonts w:hint="eastAsia"/>
                                <w:color w:val="FF0000"/>
                                <w:lang w:val="en-US" w:eastAsia="zh-CN"/>
                              </w:rPr>
                              <w:t>2024.1.25</w:t>
                            </w:r>
                          </w:p>
                        </w:txbxContent>
                      </v:textbox>
                    </v:shape>
                  </w:pict>
                </mc:Fallback>
              </mc:AlternateContent>
            </w:r>
          </w:p>
        </w:tc>
        <w:tc>
          <w:tcPr>
            <w:tcW w:w="4390" w:type="dxa"/>
            <w:noWrap w:val="0"/>
            <w:vAlign w:val="top"/>
          </w:tcPr>
          <w:p>
            <w:pPr>
              <w:ind w:firstLine="0" w:firstLineChars="0"/>
              <w:jc w:val="center"/>
              <w:rPr>
                <w:rFonts w:hint="eastAsia"/>
                <w:color w:val="auto"/>
                <w:highlight w:val="none"/>
                <w:lang w:val="en-US" w:eastAsia="zh-CN"/>
              </w:rPr>
            </w:pPr>
            <w:r>
              <w:rPr>
                <w:color w:val="auto"/>
                <w:sz w:val="21"/>
                <w:highlight w:val="none"/>
              </w:rPr>
              <w:drawing>
                <wp:inline distT="0" distB="0" distL="114300" distR="114300">
                  <wp:extent cx="2678430" cy="2181860"/>
                  <wp:effectExtent l="0" t="0" r="7620" b="8890"/>
                  <wp:docPr id="58" name="图片 58" descr="6d30233f1c95885560cda028deb98d3d_"/>
                  <wp:cNvGraphicFramePr/>
                  <a:graphic xmlns:a="http://schemas.openxmlformats.org/drawingml/2006/main">
                    <a:graphicData uri="http://schemas.openxmlformats.org/drawingml/2006/picture">
                      <pic:pic xmlns:pic="http://schemas.openxmlformats.org/drawingml/2006/picture">
                        <pic:nvPicPr>
                          <pic:cNvPr id="58" name="图片 58" descr="6d30233f1c95885560cda028deb98d3d_"/>
                          <pic:cNvPicPr/>
                        </pic:nvPicPr>
                        <pic:blipFill>
                          <a:blip r:embed="rId32"/>
                          <a:stretch>
                            <a:fillRect/>
                          </a:stretch>
                        </pic:blipFill>
                        <pic:spPr>
                          <a:xfrm>
                            <a:off x="0" y="0"/>
                            <a:ext cx="2678430" cy="2181860"/>
                          </a:xfrm>
                          <a:prstGeom prst="rect">
                            <a:avLst/>
                          </a:prstGeom>
                        </pic:spPr>
                      </pic:pic>
                    </a:graphicData>
                  </a:graphic>
                </wp:inline>
              </w:drawing>
            </w:r>
            <w:r>
              <w:rPr>
                <w:color w:val="auto"/>
                <w:sz w:val="21"/>
                <w:highlight w:val="none"/>
              </w:rPr>
              <mc:AlternateContent>
                <mc:Choice Requires="wps">
                  <w:drawing>
                    <wp:anchor distT="0" distB="0" distL="114300" distR="114300" simplePos="0" relativeHeight="251675648" behindDoc="0" locked="0" layoutInCell="1" allowOverlap="1">
                      <wp:simplePos x="0" y="0"/>
                      <wp:positionH relativeFrom="column">
                        <wp:posOffset>1876425</wp:posOffset>
                      </wp:positionH>
                      <wp:positionV relativeFrom="paragraph">
                        <wp:posOffset>1955800</wp:posOffset>
                      </wp:positionV>
                      <wp:extent cx="810260" cy="230505"/>
                      <wp:effectExtent l="0" t="0" r="0" b="0"/>
                      <wp:wrapNone/>
                      <wp:docPr id="56" name="文本框 56"/>
                      <wp:cNvGraphicFramePr/>
                      <a:graphic xmlns:a="http://schemas.openxmlformats.org/drawingml/2006/main">
                        <a:graphicData uri="http://schemas.microsoft.com/office/word/2010/wordprocessingShape">
                          <wps:wsp>
                            <wps:cNvSpPr txBox="true"/>
                            <wps:spPr>
                              <a:xfrm>
                                <a:off x="0" y="0"/>
                                <a:ext cx="810260" cy="230505"/>
                              </a:xfrm>
                              <a:prstGeom prst="rect">
                                <a:avLst/>
                              </a:prstGeom>
                              <a:noFill/>
                              <a:ln>
                                <a:noFill/>
                              </a:ln>
                            </wps:spPr>
                            <wps:txbx>
                              <w:txbxContent>
                                <w:p>
                                  <w:pPr>
                                    <w:rPr>
                                      <w:rFonts w:hint="default" w:eastAsia="宋体"/>
                                      <w:color w:val="FF0000"/>
                                      <w:lang w:val="en-US" w:eastAsia="zh-CN"/>
                                    </w:rPr>
                                  </w:pPr>
                                  <w:r>
                                    <w:rPr>
                                      <w:rFonts w:hint="eastAsia"/>
                                      <w:color w:val="FF0000"/>
                                      <w:lang w:val="en-US" w:eastAsia="zh-CN"/>
                                    </w:rPr>
                                    <w:t>2024.1.25</w:t>
                                  </w:r>
                                </w:p>
                              </w:txbxContent>
                            </wps:txbx>
                            <wps:bodyPr upright="true"/>
                          </wps:wsp>
                        </a:graphicData>
                      </a:graphic>
                    </wp:anchor>
                  </w:drawing>
                </mc:Choice>
                <mc:Fallback>
                  <w:pict>
                    <v:shape id="_x0000_s1026" o:spid="_x0000_s1026" o:spt="202" type="#_x0000_t202" style="position:absolute;left:0pt;margin-left:147.75pt;margin-top:154pt;height:18.15pt;width:63.8pt;z-index:251675648;mso-width-relative:page;mso-height-relative:page;" filled="f" stroked="f" coordsize="21600,21600" o:gfxdata="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WAAAAZHJzL1BLAQIUABQAAAAIAIdO4kBypl8J2AAAAAsB&#10;AAAPAAAAAAAAAAEAIAAAADgAAABkcnMvZG93bnJldi54bWxQSwECFAAUAAAACACHTuJA4I7xjpMB&#10;AAAHAwAADgAAAAAAAAABACAAAAA9AQAAZHJzL2Uyb0RvYy54bWxQSwUGAAAAAAYABgBZAQAAQgUA&#10;AAAA&#10;">
                      <v:fill on="f" focussize="0,0"/>
                      <v:stroke on="f"/>
                      <v:imagedata o:title=""/>
                      <o:lock v:ext="edit" aspectratio="f"/>
                      <v:textbox>
                        <w:txbxContent>
                          <w:p>
                            <w:pPr>
                              <w:rPr>
                                <w:rFonts w:hint="default" w:eastAsia="宋体"/>
                                <w:color w:val="FF0000"/>
                                <w:lang w:val="en-US" w:eastAsia="zh-CN"/>
                              </w:rPr>
                            </w:pPr>
                            <w:r>
                              <w:rPr>
                                <w:rFonts w:hint="eastAsia"/>
                                <w:color w:val="FF0000"/>
                                <w:lang w:val="en-US" w:eastAsia="zh-CN"/>
                              </w:rPr>
                              <w:t>2024.1.25</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23" w:type="dxa"/>
            <w:noWrap w:val="0"/>
            <w:vAlign w:val="top"/>
          </w:tcPr>
          <w:p>
            <w:pPr>
              <w:ind w:firstLine="0" w:firstLineChars="0"/>
              <w:jc w:val="center"/>
              <w:rPr>
                <w:rFonts w:hint="default"/>
                <w:color w:val="auto"/>
                <w:highlight w:val="none"/>
                <w:lang w:val="en-US" w:eastAsia="zh-CN"/>
              </w:rPr>
            </w:pPr>
            <w:r>
              <w:rPr>
                <w:rFonts w:hint="eastAsia"/>
                <w:color w:val="auto"/>
                <w:highlight w:val="none"/>
                <w:lang w:val="en-US" w:eastAsia="zh-CN"/>
              </w:rPr>
              <w:t>烟气蒸发系统-储水池</w:t>
            </w:r>
          </w:p>
        </w:tc>
        <w:tc>
          <w:tcPr>
            <w:tcW w:w="4390" w:type="dxa"/>
            <w:noWrap w:val="0"/>
            <w:vAlign w:val="top"/>
          </w:tcPr>
          <w:p>
            <w:pPr>
              <w:ind w:firstLine="0" w:firstLineChars="0"/>
              <w:jc w:val="center"/>
              <w:rPr>
                <w:rFonts w:hint="default"/>
                <w:color w:val="auto"/>
                <w:highlight w:val="none"/>
                <w:lang w:val="en-US" w:eastAsia="zh-CN"/>
              </w:rPr>
            </w:pPr>
            <w:r>
              <w:rPr>
                <w:rFonts w:hint="eastAsia"/>
                <w:color w:val="auto"/>
                <w:highlight w:val="none"/>
                <w:lang w:val="en-US" w:eastAsia="zh-CN"/>
              </w:rPr>
              <w:t>除尘系统</w:t>
            </w:r>
          </w:p>
        </w:tc>
      </w:tr>
    </w:tbl>
    <w:p>
      <w:pPr>
        <w:pStyle w:val="18"/>
        <w:ind w:left="0" w:leftChars="0" w:firstLine="0" w:firstLineChars="0"/>
        <w:rPr>
          <w:rFonts w:hint="default"/>
          <w:color w:val="auto"/>
          <w:highlight w:val="none"/>
        </w:rPr>
      </w:pPr>
    </w:p>
    <w:p>
      <w:pPr>
        <w:pStyle w:val="18"/>
        <w:ind w:left="0" w:leftChars="0" w:firstLine="0" w:firstLineChars="0"/>
        <w:rPr>
          <w:rFonts w:hint="default"/>
          <w:color w:val="auto"/>
          <w:highlight w:val="none"/>
        </w:rPr>
        <w:sectPr>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pPr>
        <w:adjustRightInd w:val="0"/>
        <w:snapToGrid w:val="0"/>
        <w:spacing w:line="288" w:lineRule="auto"/>
        <w:jc w:val="center"/>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目</w:t>
      </w:r>
      <w:r>
        <w:rPr>
          <w:rFonts w:hint="eastAsia" w:ascii="宋体" w:hAnsi="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lang w:val="en-US" w:eastAsia="zh-CN"/>
        </w:rPr>
        <w:t>录</w:t>
      </w:r>
    </w:p>
    <w:p>
      <w:pPr>
        <w:pStyle w:val="22"/>
        <w:tabs>
          <w:tab w:val="right" w:leader="dot" w:pos="8844"/>
        </w:tabs>
        <w:rPr>
          <w:rFonts w:ascii="Times New Roman" w:hAnsi="Times New Roman" w:eastAsia="宋体"/>
          <w:color w:val="auto"/>
          <w:sz w:val="28"/>
          <w:highlight w:val="none"/>
        </w:rPr>
      </w:pPr>
      <w:r>
        <w:rPr>
          <w:rFonts w:hint="default" w:ascii="Times New Roman" w:hAnsi="Times New Roman" w:eastAsia="宋体" w:cs="Times New Roman"/>
          <w:b/>
          <w:bCs/>
          <w:color w:val="auto"/>
          <w:sz w:val="24"/>
          <w:szCs w:val="24"/>
          <w:highlight w:val="none"/>
          <w:lang w:val="en-US" w:eastAsia="zh-CN"/>
        </w:rPr>
        <w:fldChar w:fldCharType="begin"/>
      </w:r>
      <w:r>
        <w:rPr>
          <w:rFonts w:hint="default" w:ascii="Times New Roman" w:hAnsi="Times New Roman" w:eastAsia="宋体" w:cs="Times New Roman"/>
          <w:b/>
          <w:bCs/>
          <w:color w:val="auto"/>
          <w:sz w:val="24"/>
          <w:szCs w:val="24"/>
          <w:highlight w:val="none"/>
          <w:lang w:val="en-US" w:eastAsia="zh-CN"/>
        </w:rPr>
        <w:instrText xml:space="preserve">TOC \o "1-1" \h \u </w:instrText>
      </w:r>
      <w:r>
        <w:rPr>
          <w:rFonts w:hint="default" w:ascii="Times New Roman" w:hAnsi="Times New Roman" w:eastAsia="宋体" w:cs="Times New Roman"/>
          <w:b/>
          <w:bCs/>
          <w:color w:val="auto"/>
          <w:sz w:val="24"/>
          <w:szCs w:val="24"/>
          <w:highlight w:val="none"/>
          <w:lang w:val="en-US" w:eastAsia="zh-CN"/>
        </w:rPr>
        <w:fldChar w:fldCharType="separate"/>
      </w:r>
      <w:r>
        <w:rPr>
          <w:rFonts w:hint="default" w:ascii="Times New Roman" w:hAnsi="Times New Roman" w:eastAsia="宋体" w:cs="Times New Roman"/>
          <w:bCs/>
          <w:color w:val="auto"/>
          <w:sz w:val="28"/>
          <w:szCs w:val="24"/>
          <w:highlight w:val="none"/>
          <w:lang w:val="en-US" w:eastAsia="zh-CN"/>
        </w:rPr>
        <w:fldChar w:fldCharType="begin"/>
      </w:r>
      <w:r>
        <w:rPr>
          <w:rFonts w:hint="default" w:ascii="Times New Roman" w:hAnsi="Times New Roman" w:eastAsia="宋体" w:cs="Times New Roman"/>
          <w:bCs/>
          <w:color w:val="auto"/>
          <w:sz w:val="28"/>
          <w:szCs w:val="24"/>
          <w:highlight w:val="none"/>
          <w:lang w:val="en-US" w:eastAsia="zh-CN"/>
        </w:rPr>
        <w:instrText xml:space="preserve"> HYPERLINK \l _Toc17321 </w:instrText>
      </w:r>
      <w:r>
        <w:rPr>
          <w:rFonts w:hint="default" w:ascii="Times New Roman" w:hAnsi="Times New Roman" w:eastAsia="宋体" w:cs="Times New Roman"/>
          <w:bCs/>
          <w:color w:val="auto"/>
          <w:sz w:val="28"/>
          <w:szCs w:val="24"/>
          <w:highlight w:val="none"/>
          <w:lang w:val="en-US" w:eastAsia="zh-CN"/>
        </w:rPr>
        <w:fldChar w:fldCharType="separate"/>
      </w:r>
      <w:r>
        <w:rPr>
          <w:rFonts w:hint="default" w:ascii="Times New Roman" w:hAnsi="Times New Roman" w:eastAsia="宋体"/>
          <w:color w:val="auto"/>
          <w:sz w:val="28"/>
          <w:highlight w:val="none"/>
        </w:rPr>
        <w:t>一、建设项目基本情况</w:t>
      </w:r>
      <w:r>
        <w:rPr>
          <w:rFonts w:ascii="Times New Roman" w:hAnsi="Times New Roman" w:eastAsia="宋体"/>
          <w:color w:val="auto"/>
          <w:sz w:val="28"/>
          <w:highlight w:val="none"/>
        </w:rPr>
        <w:tab/>
      </w:r>
      <w:r>
        <w:rPr>
          <w:rFonts w:ascii="Times New Roman" w:hAnsi="Times New Roman" w:eastAsia="宋体"/>
          <w:color w:val="auto"/>
          <w:sz w:val="28"/>
          <w:highlight w:val="none"/>
        </w:rPr>
        <w:fldChar w:fldCharType="begin"/>
      </w:r>
      <w:r>
        <w:rPr>
          <w:rFonts w:ascii="Times New Roman" w:hAnsi="Times New Roman" w:eastAsia="宋体"/>
          <w:color w:val="auto"/>
          <w:sz w:val="28"/>
          <w:highlight w:val="none"/>
        </w:rPr>
        <w:instrText xml:space="preserve"> PAGEREF _Toc17321 \h </w:instrText>
      </w:r>
      <w:r>
        <w:rPr>
          <w:rFonts w:ascii="Times New Roman" w:hAnsi="Times New Roman" w:eastAsia="宋体"/>
          <w:color w:val="auto"/>
          <w:sz w:val="28"/>
          <w:highlight w:val="none"/>
        </w:rPr>
        <w:fldChar w:fldCharType="separate"/>
      </w:r>
      <w:r>
        <w:rPr>
          <w:rFonts w:ascii="Times New Roman" w:hAnsi="Times New Roman" w:eastAsia="宋体"/>
          <w:color w:val="auto"/>
          <w:sz w:val="28"/>
          <w:highlight w:val="none"/>
        </w:rPr>
        <w:t>1</w:t>
      </w:r>
      <w:r>
        <w:rPr>
          <w:rFonts w:ascii="Times New Roman" w:hAnsi="Times New Roman" w:eastAsia="宋体"/>
          <w:color w:val="auto"/>
          <w:sz w:val="28"/>
          <w:highlight w:val="none"/>
        </w:rPr>
        <w:fldChar w:fldCharType="end"/>
      </w:r>
      <w:r>
        <w:rPr>
          <w:rFonts w:hint="default" w:ascii="Times New Roman" w:hAnsi="Times New Roman" w:eastAsia="宋体" w:cs="Times New Roman"/>
          <w:bCs/>
          <w:color w:val="auto"/>
          <w:sz w:val="28"/>
          <w:szCs w:val="24"/>
          <w:highlight w:val="none"/>
          <w:lang w:val="en-US" w:eastAsia="zh-CN"/>
        </w:rPr>
        <w:fldChar w:fldCharType="end"/>
      </w:r>
    </w:p>
    <w:p>
      <w:pPr>
        <w:pStyle w:val="22"/>
        <w:tabs>
          <w:tab w:val="right" w:leader="dot" w:pos="8844"/>
        </w:tabs>
        <w:rPr>
          <w:rFonts w:ascii="Times New Roman" w:hAnsi="Times New Roman" w:eastAsia="宋体"/>
          <w:color w:val="auto"/>
          <w:sz w:val="28"/>
          <w:highlight w:val="none"/>
        </w:rPr>
      </w:pPr>
      <w:r>
        <w:rPr>
          <w:rFonts w:hint="default" w:ascii="Times New Roman" w:hAnsi="Times New Roman" w:eastAsia="宋体" w:cs="Times New Roman"/>
          <w:bCs/>
          <w:color w:val="auto"/>
          <w:sz w:val="28"/>
          <w:szCs w:val="24"/>
          <w:highlight w:val="none"/>
          <w:lang w:val="en-US" w:eastAsia="zh-CN"/>
        </w:rPr>
        <w:fldChar w:fldCharType="begin"/>
      </w:r>
      <w:r>
        <w:rPr>
          <w:rFonts w:hint="default" w:ascii="Times New Roman" w:hAnsi="Times New Roman" w:eastAsia="宋体" w:cs="Times New Roman"/>
          <w:bCs/>
          <w:color w:val="auto"/>
          <w:sz w:val="28"/>
          <w:szCs w:val="24"/>
          <w:highlight w:val="none"/>
          <w:lang w:val="en-US" w:eastAsia="zh-CN"/>
        </w:rPr>
        <w:instrText xml:space="preserve"> HYPERLINK \l _Toc25608 </w:instrText>
      </w:r>
      <w:r>
        <w:rPr>
          <w:rFonts w:hint="default" w:ascii="Times New Roman" w:hAnsi="Times New Roman" w:eastAsia="宋体" w:cs="Times New Roman"/>
          <w:bCs/>
          <w:color w:val="auto"/>
          <w:sz w:val="28"/>
          <w:szCs w:val="24"/>
          <w:highlight w:val="none"/>
          <w:lang w:val="en-US" w:eastAsia="zh-CN"/>
        </w:rPr>
        <w:fldChar w:fldCharType="separate"/>
      </w:r>
      <w:r>
        <w:rPr>
          <w:rFonts w:hint="default" w:ascii="Times New Roman" w:hAnsi="Times New Roman" w:eastAsia="宋体" w:cs="Times New Roman"/>
          <w:color w:val="auto"/>
          <w:sz w:val="28"/>
          <w:highlight w:val="none"/>
        </w:rPr>
        <w:t>二、建设项目工程分析</w:t>
      </w:r>
      <w:r>
        <w:rPr>
          <w:rFonts w:ascii="Times New Roman" w:hAnsi="Times New Roman" w:eastAsia="宋体"/>
          <w:color w:val="auto"/>
          <w:sz w:val="28"/>
          <w:highlight w:val="none"/>
        </w:rPr>
        <w:tab/>
      </w:r>
      <w:r>
        <w:rPr>
          <w:rFonts w:ascii="Times New Roman" w:hAnsi="Times New Roman" w:eastAsia="宋体"/>
          <w:color w:val="auto"/>
          <w:sz w:val="28"/>
          <w:highlight w:val="none"/>
        </w:rPr>
        <w:fldChar w:fldCharType="begin"/>
      </w:r>
      <w:r>
        <w:rPr>
          <w:rFonts w:ascii="Times New Roman" w:hAnsi="Times New Roman" w:eastAsia="宋体"/>
          <w:color w:val="auto"/>
          <w:sz w:val="28"/>
          <w:highlight w:val="none"/>
        </w:rPr>
        <w:instrText xml:space="preserve"> PAGEREF _Toc25608 \h </w:instrText>
      </w:r>
      <w:r>
        <w:rPr>
          <w:rFonts w:ascii="Times New Roman" w:hAnsi="Times New Roman" w:eastAsia="宋体"/>
          <w:color w:val="auto"/>
          <w:sz w:val="28"/>
          <w:highlight w:val="none"/>
        </w:rPr>
        <w:fldChar w:fldCharType="separate"/>
      </w:r>
      <w:r>
        <w:rPr>
          <w:rFonts w:ascii="Times New Roman" w:hAnsi="Times New Roman" w:eastAsia="宋体"/>
          <w:color w:val="auto"/>
          <w:sz w:val="28"/>
          <w:highlight w:val="none"/>
        </w:rPr>
        <w:t>17</w:t>
      </w:r>
      <w:r>
        <w:rPr>
          <w:rFonts w:ascii="Times New Roman" w:hAnsi="Times New Roman" w:eastAsia="宋体"/>
          <w:color w:val="auto"/>
          <w:sz w:val="28"/>
          <w:highlight w:val="none"/>
        </w:rPr>
        <w:fldChar w:fldCharType="end"/>
      </w:r>
      <w:r>
        <w:rPr>
          <w:rFonts w:hint="default" w:ascii="Times New Roman" w:hAnsi="Times New Roman" w:eastAsia="宋体" w:cs="Times New Roman"/>
          <w:bCs/>
          <w:color w:val="auto"/>
          <w:sz w:val="28"/>
          <w:szCs w:val="24"/>
          <w:highlight w:val="none"/>
          <w:lang w:val="en-US" w:eastAsia="zh-CN"/>
        </w:rPr>
        <w:fldChar w:fldCharType="end"/>
      </w:r>
    </w:p>
    <w:p>
      <w:pPr>
        <w:pStyle w:val="22"/>
        <w:tabs>
          <w:tab w:val="right" w:leader="dot" w:pos="8844"/>
        </w:tabs>
        <w:rPr>
          <w:rFonts w:ascii="Times New Roman" w:hAnsi="Times New Roman" w:eastAsia="宋体"/>
          <w:color w:val="auto"/>
          <w:sz w:val="28"/>
          <w:highlight w:val="none"/>
        </w:rPr>
      </w:pPr>
      <w:r>
        <w:rPr>
          <w:rFonts w:hint="default" w:ascii="Times New Roman" w:hAnsi="Times New Roman" w:eastAsia="宋体" w:cs="Times New Roman"/>
          <w:bCs/>
          <w:color w:val="auto"/>
          <w:sz w:val="28"/>
          <w:szCs w:val="24"/>
          <w:highlight w:val="none"/>
          <w:lang w:val="en-US" w:eastAsia="zh-CN"/>
        </w:rPr>
        <w:fldChar w:fldCharType="begin"/>
      </w:r>
      <w:r>
        <w:rPr>
          <w:rFonts w:hint="default" w:ascii="Times New Roman" w:hAnsi="Times New Roman" w:eastAsia="宋体" w:cs="Times New Roman"/>
          <w:bCs/>
          <w:color w:val="auto"/>
          <w:sz w:val="28"/>
          <w:szCs w:val="24"/>
          <w:highlight w:val="none"/>
          <w:lang w:val="en-US" w:eastAsia="zh-CN"/>
        </w:rPr>
        <w:instrText xml:space="preserve"> HYPERLINK \l _Toc24027 </w:instrText>
      </w:r>
      <w:r>
        <w:rPr>
          <w:rFonts w:hint="default" w:ascii="Times New Roman" w:hAnsi="Times New Roman" w:eastAsia="宋体" w:cs="Times New Roman"/>
          <w:bCs/>
          <w:color w:val="auto"/>
          <w:sz w:val="28"/>
          <w:szCs w:val="24"/>
          <w:highlight w:val="none"/>
          <w:lang w:val="en-US" w:eastAsia="zh-CN"/>
        </w:rPr>
        <w:fldChar w:fldCharType="separate"/>
      </w:r>
      <w:r>
        <w:rPr>
          <w:rFonts w:hint="default" w:ascii="Times New Roman" w:hAnsi="Times New Roman" w:eastAsia="宋体" w:cs="Times New Roman"/>
          <w:color w:val="auto"/>
          <w:sz w:val="28"/>
          <w:highlight w:val="none"/>
        </w:rPr>
        <w:t>三、区域环境质量现状、环境保护目标及评价标准</w:t>
      </w:r>
      <w:r>
        <w:rPr>
          <w:rFonts w:ascii="Times New Roman" w:hAnsi="Times New Roman" w:eastAsia="宋体"/>
          <w:color w:val="auto"/>
          <w:sz w:val="28"/>
          <w:highlight w:val="none"/>
        </w:rPr>
        <w:tab/>
      </w:r>
      <w:r>
        <w:rPr>
          <w:rFonts w:ascii="Times New Roman" w:hAnsi="Times New Roman" w:eastAsia="宋体"/>
          <w:color w:val="auto"/>
          <w:sz w:val="28"/>
          <w:highlight w:val="none"/>
        </w:rPr>
        <w:fldChar w:fldCharType="begin"/>
      </w:r>
      <w:r>
        <w:rPr>
          <w:rFonts w:ascii="Times New Roman" w:hAnsi="Times New Roman" w:eastAsia="宋体"/>
          <w:color w:val="auto"/>
          <w:sz w:val="28"/>
          <w:highlight w:val="none"/>
        </w:rPr>
        <w:instrText xml:space="preserve"> PAGEREF _Toc24027 \h </w:instrText>
      </w:r>
      <w:r>
        <w:rPr>
          <w:rFonts w:ascii="Times New Roman" w:hAnsi="Times New Roman" w:eastAsia="宋体"/>
          <w:color w:val="auto"/>
          <w:sz w:val="28"/>
          <w:highlight w:val="none"/>
        </w:rPr>
        <w:fldChar w:fldCharType="separate"/>
      </w:r>
      <w:r>
        <w:rPr>
          <w:rFonts w:ascii="Times New Roman" w:hAnsi="Times New Roman" w:eastAsia="宋体"/>
          <w:color w:val="auto"/>
          <w:sz w:val="28"/>
          <w:highlight w:val="none"/>
        </w:rPr>
        <w:t>30</w:t>
      </w:r>
      <w:r>
        <w:rPr>
          <w:rFonts w:ascii="Times New Roman" w:hAnsi="Times New Roman" w:eastAsia="宋体"/>
          <w:color w:val="auto"/>
          <w:sz w:val="28"/>
          <w:highlight w:val="none"/>
        </w:rPr>
        <w:fldChar w:fldCharType="end"/>
      </w:r>
      <w:r>
        <w:rPr>
          <w:rFonts w:hint="default" w:ascii="Times New Roman" w:hAnsi="Times New Roman" w:eastAsia="宋体" w:cs="Times New Roman"/>
          <w:bCs/>
          <w:color w:val="auto"/>
          <w:sz w:val="28"/>
          <w:szCs w:val="24"/>
          <w:highlight w:val="none"/>
          <w:lang w:val="en-US" w:eastAsia="zh-CN"/>
        </w:rPr>
        <w:fldChar w:fldCharType="end"/>
      </w:r>
    </w:p>
    <w:p>
      <w:pPr>
        <w:pStyle w:val="22"/>
        <w:tabs>
          <w:tab w:val="right" w:leader="dot" w:pos="8844"/>
        </w:tabs>
        <w:rPr>
          <w:rFonts w:ascii="Times New Roman" w:hAnsi="Times New Roman" w:eastAsia="宋体"/>
          <w:color w:val="auto"/>
          <w:sz w:val="28"/>
          <w:highlight w:val="none"/>
        </w:rPr>
      </w:pPr>
      <w:r>
        <w:rPr>
          <w:rFonts w:hint="default" w:ascii="Times New Roman" w:hAnsi="Times New Roman" w:eastAsia="宋体" w:cs="Times New Roman"/>
          <w:bCs/>
          <w:color w:val="auto"/>
          <w:sz w:val="28"/>
          <w:szCs w:val="24"/>
          <w:highlight w:val="none"/>
          <w:lang w:val="en-US" w:eastAsia="zh-CN"/>
        </w:rPr>
        <w:fldChar w:fldCharType="begin"/>
      </w:r>
      <w:r>
        <w:rPr>
          <w:rFonts w:hint="default" w:ascii="Times New Roman" w:hAnsi="Times New Roman" w:eastAsia="宋体" w:cs="Times New Roman"/>
          <w:bCs/>
          <w:color w:val="auto"/>
          <w:sz w:val="28"/>
          <w:szCs w:val="24"/>
          <w:highlight w:val="none"/>
          <w:lang w:val="en-US" w:eastAsia="zh-CN"/>
        </w:rPr>
        <w:instrText xml:space="preserve"> HYPERLINK \l _Toc10754 </w:instrText>
      </w:r>
      <w:r>
        <w:rPr>
          <w:rFonts w:hint="default" w:ascii="Times New Roman" w:hAnsi="Times New Roman" w:eastAsia="宋体" w:cs="Times New Roman"/>
          <w:bCs/>
          <w:color w:val="auto"/>
          <w:sz w:val="28"/>
          <w:szCs w:val="24"/>
          <w:highlight w:val="none"/>
          <w:lang w:val="en-US" w:eastAsia="zh-CN"/>
        </w:rPr>
        <w:fldChar w:fldCharType="separate"/>
      </w:r>
      <w:r>
        <w:rPr>
          <w:rFonts w:hint="default" w:ascii="Times New Roman" w:hAnsi="Times New Roman" w:eastAsia="宋体" w:cs="Times New Roman"/>
          <w:bCs/>
          <w:color w:val="auto"/>
          <w:kern w:val="44"/>
          <w:sz w:val="28"/>
          <w:szCs w:val="30"/>
          <w:highlight w:val="none"/>
          <w:lang w:val="en-US" w:eastAsia="zh-CN" w:bidi="ar-SA"/>
        </w:rPr>
        <w:t>四、主要环境影响和保护措施</w:t>
      </w:r>
      <w:r>
        <w:rPr>
          <w:rFonts w:ascii="Times New Roman" w:hAnsi="Times New Roman" w:eastAsia="宋体"/>
          <w:color w:val="auto"/>
          <w:sz w:val="28"/>
          <w:highlight w:val="none"/>
        </w:rPr>
        <w:tab/>
      </w:r>
      <w:r>
        <w:rPr>
          <w:rFonts w:ascii="Times New Roman" w:hAnsi="Times New Roman" w:eastAsia="宋体"/>
          <w:color w:val="auto"/>
          <w:sz w:val="28"/>
          <w:highlight w:val="none"/>
        </w:rPr>
        <w:fldChar w:fldCharType="begin"/>
      </w:r>
      <w:r>
        <w:rPr>
          <w:rFonts w:ascii="Times New Roman" w:hAnsi="Times New Roman" w:eastAsia="宋体"/>
          <w:color w:val="auto"/>
          <w:sz w:val="28"/>
          <w:highlight w:val="none"/>
        </w:rPr>
        <w:instrText xml:space="preserve"> PAGEREF _Toc10754 \h </w:instrText>
      </w:r>
      <w:r>
        <w:rPr>
          <w:rFonts w:ascii="Times New Roman" w:hAnsi="Times New Roman" w:eastAsia="宋体"/>
          <w:color w:val="auto"/>
          <w:sz w:val="28"/>
          <w:highlight w:val="none"/>
        </w:rPr>
        <w:fldChar w:fldCharType="separate"/>
      </w:r>
      <w:r>
        <w:rPr>
          <w:rFonts w:ascii="Times New Roman" w:hAnsi="Times New Roman" w:eastAsia="宋体"/>
          <w:color w:val="auto"/>
          <w:sz w:val="28"/>
          <w:highlight w:val="none"/>
        </w:rPr>
        <w:t>35</w:t>
      </w:r>
      <w:r>
        <w:rPr>
          <w:rFonts w:ascii="Times New Roman" w:hAnsi="Times New Roman" w:eastAsia="宋体"/>
          <w:color w:val="auto"/>
          <w:sz w:val="28"/>
          <w:highlight w:val="none"/>
        </w:rPr>
        <w:fldChar w:fldCharType="end"/>
      </w:r>
      <w:r>
        <w:rPr>
          <w:rFonts w:hint="default" w:ascii="Times New Roman" w:hAnsi="Times New Roman" w:eastAsia="宋体" w:cs="Times New Roman"/>
          <w:bCs/>
          <w:color w:val="auto"/>
          <w:sz w:val="28"/>
          <w:szCs w:val="24"/>
          <w:highlight w:val="none"/>
          <w:lang w:val="en-US" w:eastAsia="zh-CN"/>
        </w:rPr>
        <w:fldChar w:fldCharType="end"/>
      </w:r>
    </w:p>
    <w:p>
      <w:pPr>
        <w:pStyle w:val="22"/>
        <w:tabs>
          <w:tab w:val="right" w:leader="dot" w:pos="8844"/>
        </w:tabs>
        <w:rPr>
          <w:rFonts w:ascii="Times New Roman" w:hAnsi="Times New Roman" w:eastAsia="宋体"/>
          <w:color w:val="auto"/>
          <w:sz w:val="28"/>
          <w:highlight w:val="none"/>
        </w:rPr>
      </w:pPr>
      <w:r>
        <w:rPr>
          <w:rFonts w:hint="default" w:ascii="Times New Roman" w:hAnsi="Times New Roman" w:eastAsia="宋体" w:cs="Times New Roman"/>
          <w:bCs/>
          <w:color w:val="auto"/>
          <w:sz w:val="28"/>
          <w:szCs w:val="24"/>
          <w:highlight w:val="none"/>
          <w:lang w:val="en-US" w:eastAsia="zh-CN"/>
        </w:rPr>
        <w:fldChar w:fldCharType="begin"/>
      </w:r>
      <w:r>
        <w:rPr>
          <w:rFonts w:hint="default" w:ascii="Times New Roman" w:hAnsi="Times New Roman" w:eastAsia="宋体" w:cs="Times New Roman"/>
          <w:bCs/>
          <w:color w:val="auto"/>
          <w:sz w:val="28"/>
          <w:szCs w:val="24"/>
          <w:highlight w:val="none"/>
          <w:lang w:val="en-US" w:eastAsia="zh-CN"/>
        </w:rPr>
        <w:instrText xml:space="preserve"> HYPERLINK \l _Toc31068 </w:instrText>
      </w:r>
      <w:r>
        <w:rPr>
          <w:rFonts w:hint="default" w:ascii="Times New Roman" w:hAnsi="Times New Roman" w:eastAsia="宋体" w:cs="Times New Roman"/>
          <w:bCs/>
          <w:color w:val="auto"/>
          <w:sz w:val="28"/>
          <w:szCs w:val="24"/>
          <w:highlight w:val="none"/>
          <w:lang w:val="en-US" w:eastAsia="zh-CN"/>
        </w:rPr>
        <w:fldChar w:fldCharType="separate"/>
      </w:r>
      <w:r>
        <w:rPr>
          <w:rFonts w:hint="default" w:ascii="Times New Roman" w:hAnsi="Times New Roman" w:eastAsia="宋体" w:cs="Times New Roman"/>
          <w:bCs/>
          <w:color w:val="auto"/>
          <w:kern w:val="44"/>
          <w:sz w:val="28"/>
          <w:szCs w:val="30"/>
          <w:highlight w:val="none"/>
          <w:lang w:val="en-US" w:eastAsia="zh-CN" w:bidi="ar-SA"/>
        </w:rPr>
        <w:t>五、环境保护措施监督检查清单</w:t>
      </w:r>
      <w:r>
        <w:rPr>
          <w:rFonts w:ascii="Times New Roman" w:hAnsi="Times New Roman" w:eastAsia="宋体"/>
          <w:color w:val="auto"/>
          <w:sz w:val="28"/>
          <w:highlight w:val="none"/>
        </w:rPr>
        <w:tab/>
      </w:r>
      <w:r>
        <w:rPr>
          <w:rFonts w:ascii="Times New Roman" w:hAnsi="Times New Roman" w:eastAsia="宋体"/>
          <w:color w:val="auto"/>
          <w:sz w:val="28"/>
          <w:highlight w:val="none"/>
        </w:rPr>
        <w:fldChar w:fldCharType="begin"/>
      </w:r>
      <w:r>
        <w:rPr>
          <w:rFonts w:ascii="Times New Roman" w:hAnsi="Times New Roman" w:eastAsia="宋体"/>
          <w:color w:val="auto"/>
          <w:sz w:val="28"/>
          <w:highlight w:val="none"/>
        </w:rPr>
        <w:instrText xml:space="preserve"> PAGEREF _Toc31068 \h </w:instrText>
      </w:r>
      <w:r>
        <w:rPr>
          <w:rFonts w:ascii="Times New Roman" w:hAnsi="Times New Roman" w:eastAsia="宋体"/>
          <w:color w:val="auto"/>
          <w:sz w:val="28"/>
          <w:highlight w:val="none"/>
        </w:rPr>
        <w:fldChar w:fldCharType="separate"/>
      </w:r>
      <w:r>
        <w:rPr>
          <w:rFonts w:ascii="Times New Roman" w:hAnsi="Times New Roman" w:eastAsia="宋体"/>
          <w:color w:val="auto"/>
          <w:sz w:val="28"/>
          <w:highlight w:val="none"/>
        </w:rPr>
        <w:t>57</w:t>
      </w:r>
      <w:r>
        <w:rPr>
          <w:rFonts w:ascii="Times New Roman" w:hAnsi="Times New Roman" w:eastAsia="宋体"/>
          <w:color w:val="auto"/>
          <w:sz w:val="28"/>
          <w:highlight w:val="none"/>
        </w:rPr>
        <w:fldChar w:fldCharType="end"/>
      </w:r>
      <w:r>
        <w:rPr>
          <w:rFonts w:hint="default" w:ascii="Times New Roman" w:hAnsi="Times New Roman" w:eastAsia="宋体" w:cs="Times New Roman"/>
          <w:bCs/>
          <w:color w:val="auto"/>
          <w:sz w:val="28"/>
          <w:szCs w:val="24"/>
          <w:highlight w:val="none"/>
          <w:lang w:val="en-US" w:eastAsia="zh-CN"/>
        </w:rPr>
        <w:fldChar w:fldCharType="end"/>
      </w:r>
    </w:p>
    <w:p>
      <w:pPr>
        <w:pStyle w:val="22"/>
        <w:tabs>
          <w:tab w:val="right" w:leader="dot" w:pos="8844"/>
        </w:tabs>
        <w:rPr>
          <w:rFonts w:ascii="Times New Roman" w:hAnsi="Times New Roman" w:eastAsia="宋体"/>
          <w:color w:val="auto"/>
          <w:sz w:val="28"/>
          <w:highlight w:val="none"/>
        </w:rPr>
      </w:pPr>
      <w:r>
        <w:rPr>
          <w:rFonts w:hint="default" w:ascii="Times New Roman" w:hAnsi="Times New Roman" w:eastAsia="宋体" w:cs="Times New Roman"/>
          <w:bCs/>
          <w:color w:val="auto"/>
          <w:sz w:val="28"/>
          <w:szCs w:val="24"/>
          <w:highlight w:val="none"/>
          <w:lang w:val="en-US" w:eastAsia="zh-CN"/>
        </w:rPr>
        <w:fldChar w:fldCharType="begin"/>
      </w:r>
      <w:r>
        <w:rPr>
          <w:rFonts w:hint="default" w:ascii="Times New Roman" w:hAnsi="Times New Roman" w:eastAsia="宋体" w:cs="Times New Roman"/>
          <w:bCs/>
          <w:color w:val="auto"/>
          <w:sz w:val="28"/>
          <w:szCs w:val="24"/>
          <w:highlight w:val="none"/>
          <w:lang w:val="en-US" w:eastAsia="zh-CN"/>
        </w:rPr>
        <w:instrText xml:space="preserve"> HYPERLINK \l _Toc3537 </w:instrText>
      </w:r>
      <w:r>
        <w:rPr>
          <w:rFonts w:hint="default" w:ascii="Times New Roman" w:hAnsi="Times New Roman" w:eastAsia="宋体" w:cs="Times New Roman"/>
          <w:bCs/>
          <w:color w:val="auto"/>
          <w:sz w:val="28"/>
          <w:szCs w:val="24"/>
          <w:highlight w:val="none"/>
          <w:lang w:val="en-US" w:eastAsia="zh-CN"/>
        </w:rPr>
        <w:fldChar w:fldCharType="separate"/>
      </w:r>
      <w:r>
        <w:rPr>
          <w:rFonts w:hint="default" w:ascii="Times New Roman" w:hAnsi="Times New Roman" w:eastAsia="宋体" w:cs="Times New Roman"/>
          <w:bCs/>
          <w:color w:val="auto"/>
          <w:kern w:val="44"/>
          <w:sz w:val="28"/>
          <w:szCs w:val="30"/>
          <w:highlight w:val="none"/>
          <w:lang w:val="en-US" w:eastAsia="zh-CN" w:bidi="ar-SA"/>
        </w:rPr>
        <w:t>六、结论</w:t>
      </w:r>
      <w:r>
        <w:rPr>
          <w:rFonts w:ascii="Times New Roman" w:hAnsi="Times New Roman" w:eastAsia="宋体"/>
          <w:color w:val="auto"/>
          <w:sz w:val="28"/>
          <w:highlight w:val="none"/>
        </w:rPr>
        <w:tab/>
      </w:r>
      <w:r>
        <w:rPr>
          <w:rFonts w:ascii="Times New Roman" w:hAnsi="Times New Roman" w:eastAsia="宋体"/>
          <w:color w:val="auto"/>
          <w:sz w:val="28"/>
          <w:highlight w:val="none"/>
        </w:rPr>
        <w:fldChar w:fldCharType="begin"/>
      </w:r>
      <w:r>
        <w:rPr>
          <w:rFonts w:ascii="Times New Roman" w:hAnsi="Times New Roman" w:eastAsia="宋体"/>
          <w:color w:val="auto"/>
          <w:sz w:val="28"/>
          <w:highlight w:val="none"/>
        </w:rPr>
        <w:instrText xml:space="preserve"> PAGEREF _Toc3537 \h </w:instrText>
      </w:r>
      <w:r>
        <w:rPr>
          <w:rFonts w:ascii="Times New Roman" w:hAnsi="Times New Roman" w:eastAsia="宋体"/>
          <w:color w:val="auto"/>
          <w:sz w:val="28"/>
          <w:highlight w:val="none"/>
        </w:rPr>
        <w:fldChar w:fldCharType="separate"/>
      </w:r>
      <w:r>
        <w:rPr>
          <w:rFonts w:ascii="Times New Roman" w:hAnsi="Times New Roman" w:eastAsia="宋体"/>
          <w:color w:val="auto"/>
          <w:sz w:val="28"/>
          <w:highlight w:val="none"/>
        </w:rPr>
        <w:t>62</w:t>
      </w:r>
      <w:r>
        <w:rPr>
          <w:rFonts w:ascii="Times New Roman" w:hAnsi="Times New Roman" w:eastAsia="宋体"/>
          <w:color w:val="auto"/>
          <w:sz w:val="28"/>
          <w:highlight w:val="none"/>
        </w:rPr>
        <w:fldChar w:fldCharType="end"/>
      </w:r>
      <w:r>
        <w:rPr>
          <w:rFonts w:hint="default" w:ascii="Times New Roman" w:hAnsi="Times New Roman" w:eastAsia="宋体" w:cs="Times New Roman"/>
          <w:bCs/>
          <w:color w:val="auto"/>
          <w:sz w:val="28"/>
          <w:szCs w:val="24"/>
          <w:highlight w:val="none"/>
          <w:lang w:val="en-US" w:eastAsia="zh-CN"/>
        </w:rPr>
        <w:fldChar w:fldCharType="end"/>
      </w:r>
    </w:p>
    <w:p>
      <w:pPr>
        <w:pStyle w:val="22"/>
        <w:tabs>
          <w:tab w:val="right" w:leader="dot" w:pos="8844"/>
        </w:tabs>
        <w:rPr>
          <w:rFonts w:ascii="Times New Roman" w:hAnsi="Times New Roman" w:eastAsia="宋体"/>
          <w:color w:val="auto"/>
          <w:sz w:val="28"/>
          <w:highlight w:val="none"/>
        </w:rPr>
      </w:pPr>
      <w:r>
        <w:rPr>
          <w:rFonts w:hint="default" w:ascii="Times New Roman" w:hAnsi="Times New Roman" w:eastAsia="宋体" w:cs="Times New Roman"/>
          <w:bCs/>
          <w:color w:val="auto"/>
          <w:sz w:val="28"/>
          <w:szCs w:val="24"/>
          <w:highlight w:val="none"/>
          <w:lang w:val="en-US" w:eastAsia="zh-CN"/>
        </w:rPr>
        <w:fldChar w:fldCharType="begin"/>
      </w:r>
      <w:r>
        <w:rPr>
          <w:rFonts w:hint="default" w:ascii="Times New Roman" w:hAnsi="Times New Roman" w:eastAsia="宋体" w:cs="Times New Roman"/>
          <w:bCs/>
          <w:color w:val="auto"/>
          <w:sz w:val="28"/>
          <w:szCs w:val="24"/>
          <w:highlight w:val="none"/>
          <w:lang w:val="en-US" w:eastAsia="zh-CN"/>
        </w:rPr>
        <w:instrText xml:space="preserve"> HYPERLINK \l _Toc12055 </w:instrText>
      </w:r>
      <w:r>
        <w:rPr>
          <w:rFonts w:hint="default" w:ascii="Times New Roman" w:hAnsi="Times New Roman" w:eastAsia="宋体" w:cs="Times New Roman"/>
          <w:bCs/>
          <w:color w:val="auto"/>
          <w:sz w:val="28"/>
          <w:szCs w:val="24"/>
          <w:highlight w:val="none"/>
          <w:lang w:val="en-US" w:eastAsia="zh-CN"/>
        </w:rPr>
        <w:fldChar w:fldCharType="separate"/>
      </w:r>
      <w:r>
        <w:rPr>
          <w:rFonts w:hint="eastAsia" w:ascii="Times New Roman" w:hAnsi="Times New Roman" w:eastAsia="宋体"/>
          <w:snapToGrid w:val="0"/>
          <w:color w:val="auto"/>
          <w:sz w:val="28"/>
          <w:szCs w:val="32"/>
          <w:highlight w:val="none"/>
        </w:rPr>
        <w:t>附表</w:t>
      </w:r>
      <w:r>
        <w:rPr>
          <w:rFonts w:ascii="Times New Roman" w:hAnsi="Times New Roman" w:eastAsia="宋体"/>
          <w:color w:val="auto"/>
          <w:sz w:val="28"/>
          <w:highlight w:val="none"/>
        </w:rPr>
        <w:tab/>
      </w:r>
      <w:r>
        <w:rPr>
          <w:rFonts w:ascii="Times New Roman" w:hAnsi="Times New Roman" w:eastAsia="宋体"/>
          <w:color w:val="auto"/>
          <w:sz w:val="28"/>
          <w:highlight w:val="none"/>
        </w:rPr>
        <w:fldChar w:fldCharType="begin"/>
      </w:r>
      <w:r>
        <w:rPr>
          <w:rFonts w:ascii="Times New Roman" w:hAnsi="Times New Roman" w:eastAsia="宋体"/>
          <w:color w:val="auto"/>
          <w:sz w:val="28"/>
          <w:highlight w:val="none"/>
        </w:rPr>
        <w:instrText xml:space="preserve"> PAGEREF _Toc12055 \h </w:instrText>
      </w:r>
      <w:r>
        <w:rPr>
          <w:rFonts w:ascii="Times New Roman" w:hAnsi="Times New Roman" w:eastAsia="宋体"/>
          <w:color w:val="auto"/>
          <w:sz w:val="28"/>
          <w:highlight w:val="none"/>
        </w:rPr>
        <w:fldChar w:fldCharType="separate"/>
      </w:r>
      <w:r>
        <w:rPr>
          <w:rFonts w:ascii="Times New Roman" w:hAnsi="Times New Roman" w:eastAsia="宋体"/>
          <w:color w:val="auto"/>
          <w:sz w:val="28"/>
          <w:highlight w:val="none"/>
        </w:rPr>
        <w:t>63</w:t>
      </w:r>
      <w:r>
        <w:rPr>
          <w:rFonts w:ascii="Times New Roman" w:hAnsi="Times New Roman" w:eastAsia="宋体"/>
          <w:color w:val="auto"/>
          <w:sz w:val="28"/>
          <w:highlight w:val="none"/>
        </w:rPr>
        <w:fldChar w:fldCharType="end"/>
      </w:r>
      <w:r>
        <w:rPr>
          <w:rFonts w:hint="default" w:ascii="Times New Roman" w:hAnsi="Times New Roman" w:eastAsia="宋体" w:cs="Times New Roman"/>
          <w:bCs/>
          <w:color w:val="auto"/>
          <w:sz w:val="28"/>
          <w:szCs w:val="24"/>
          <w:highlight w:val="none"/>
          <w:lang w:val="en-US" w:eastAsia="zh-CN"/>
        </w:rPr>
        <w:fldChar w:fldCharType="end"/>
      </w:r>
    </w:p>
    <w:p>
      <w:pPr>
        <w:pStyle w:val="22"/>
        <w:tabs>
          <w:tab w:val="right" w:leader="dot" w:pos="8844"/>
        </w:tabs>
        <w:rPr>
          <w:color w:val="auto"/>
          <w:highlight w:val="none"/>
        </w:rPr>
      </w:pPr>
      <w:r>
        <w:rPr>
          <w:rFonts w:hint="default" w:ascii="Times New Roman" w:hAnsi="Times New Roman" w:eastAsia="宋体" w:cs="Times New Roman"/>
          <w:bCs/>
          <w:color w:val="auto"/>
          <w:sz w:val="28"/>
          <w:szCs w:val="24"/>
          <w:highlight w:val="none"/>
          <w:lang w:val="en-US" w:eastAsia="zh-CN"/>
        </w:rPr>
        <w:fldChar w:fldCharType="begin"/>
      </w:r>
      <w:r>
        <w:rPr>
          <w:rFonts w:hint="default" w:ascii="Times New Roman" w:hAnsi="Times New Roman" w:eastAsia="宋体" w:cs="Times New Roman"/>
          <w:bCs/>
          <w:color w:val="auto"/>
          <w:sz w:val="28"/>
          <w:szCs w:val="24"/>
          <w:highlight w:val="none"/>
          <w:lang w:val="en-US" w:eastAsia="zh-CN"/>
        </w:rPr>
        <w:instrText xml:space="preserve"> HYPERLINK \l _Toc15558 </w:instrText>
      </w:r>
      <w:r>
        <w:rPr>
          <w:rFonts w:hint="default" w:ascii="Times New Roman" w:hAnsi="Times New Roman" w:eastAsia="宋体" w:cs="Times New Roman"/>
          <w:bCs/>
          <w:color w:val="auto"/>
          <w:sz w:val="28"/>
          <w:szCs w:val="24"/>
          <w:highlight w:val="none"/>
          <w:lang w:val="en-US" w:eastAsia="zh-CN"/>
        </w:rPr>
        <w:fldChar w:fldCharType="separate"/>
      </w:r>
      <w:r>
        <w:rPr>
          <w:rFonts w:hint="eastAsia" w:ascii="Times New Roman" w:hAnsi="Times New Roman" w:eastAsia="宋体"/>
          <w:snapToGrid w:val="0"/>
          <w:color w:val="auto"/>
          <w:sz w:val="28"/>
          <w:szCs w:val="38"/>
          <w:highlight w:val="none"/>
        </w:rPr>
        <w:t>建设项目污染物排放量汇总表</w:t>
      </w:r>
      <w:r>
        <w:rPr>
          <w:rFonts w:ascii="Times New Roman" w:hAnsi="Times New Roman" w:eastAsia="宋体"/>
          <w:color w:val="auto"/>
          <w:sz w:val="28"/>
          <w:highlight w:val="none"/>
        </w:rPr>
        <w:tab/>
      </w:r>
      <w:r>
        <w:rPr>
          <w:rFonts w:ascii="Times New Roman" w:hAnsi="Times New Roman" w:eastAsia="宋体"/>
          <w:color w:val="auto"/>
          <w:sz w:val="28"/>
          <w:highlight w:val="none"/>
        </w:rPr>
        <w:fldChar w:fldCharType="begin"/>
      </w:r>
      <w:r>
        <w:rPr>
          <w:rFonts w:ascii="Times New Roman" w:hAnsi="Times New Roman" w:eastAsia="宋体"/>
          <w:color w:val="auto"/>
          <w:sz w:val="28"/>
          <w:highlight w:val="none"/>
        </w:rPr>
        <w:instrText xml:space="preserve"> PAGEREF _Toc15558 \h </w:instrText>
      </w:r>
      <w:r>
        <w:rPr>
          <w:rFonts w:ascii="Times New Roman" w:hAnsi="Times New Roman" w:eastAsia="宋体"/>
          <w:color w:val="auto"/>
          <w:sz w:val="28"/>
          <w:highlight w:val="none"/>
        </w:rPr>
        <w:fldChar w:fldCharType="separate"/>
      </w:r>
      <w:r>
        <w:rPr>
          <w:rFonts w:ascii="Times New Roman" w:hAnsi="Times New Roman" w:eastAsia="宋体"/>
          <w:color w:val="auto"/>
          <w:sz w:val="28"/>
          <w:highlight w:val="none"/>
        </w:rPr>
        <w:t>63</w:t>
      </w:r>
      <w:r>
        <w:rPr>
          <w:rFonts w:ascii="Times New Roman" w:hAnsi="Times New Roman" w:eastAsia="宋体"/>
          <w:color w:val="auto"/>
          <w:sz w:val="28"/>
          <w:highlight w:val="none"/>
        </w:rPr>
        <w:fldChar w:fldCharType="end"/>
      </w:r>
      <w:r>
        <w:rPr>
          <w:rFonts w:hint="default" w:ascii="Times New Roman" w:hAnsi="Times New Roman" w:eastAsia="宋体" w:cs="Times New Roman"/>
          <w:bCs/>
          <w:color w:val="auto"/>
          <w:sz w:val="28"/>
          <w:szCs w:val="24"/>
          <w:highlight w:val="none"/>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Cs/>
          <w:color w:val="auto"/>
          <w:szCs w:val="24"/>
          <w:highlight w:val="none"/>
          <w:lang w:val="en-US" w:eastAsia="zh-CN"/>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upperRoman" w:start="1"/>
          <w:cols w:space="720" w:num="1"/>
          <w:docGrid w:linePitch="312" w:charSpace="0"/>
        </w:sectPr>
      </w:pPr>
      <w:r>
        <w:rPr>
          <w:rFonts w:hint="default" w:ascii="Times New Roman" w:hAnsi="Times New Roman" w:eastAsia="宋体" w:cs="Times New Roman"/>
          <w:bCs/>
          <w:color w:val="auto"/>
          <w:szCs w:val="24"/>
          <w:highlight w:val="none"/>
          <w:lang w:val="en-US" w:eastAsia="zh-CN"/>
        </w:rPr>
        <w:fldChar w:fldCharType="end"/>
      </w:r>
    </w:p>
    <w:p>
      <w:pPr>
        <w:pStyle w:val="8"/>
        <w:rPr>
          <w:rFonts w:hint="default"/>
          <w:color w:val="auto"/>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1" w:firstLineChars="200"/>
        <w:textAlignment w:val="auto"/>
        <w:rPr>
          <w:rFonts w:hint="eastAsia" w:ascii="Times New Roman" w:hAnsi="Times New Roman" w:eastAsia="宋体"/>
          <w:b w:val="0"/>
          <w:bCs w:val="0"/>
          <w:color w:val="auto"/>
          <w:sz w:val="24"/>
          <w:szCs w:val="24"/>
          <w:highlight w:val="none"/>
          <w:lang w:eastAsia="zh-CN"/>
        </w:rPr>
      </w:pPr>
      <w:r>
        <w:rPr>
          <w:rFonts w:hint="default" w:ascii="Times New Roman" w:hAnsi="Times New Roman" w:eastAsia="宋体"/>
          <w:b/>
          <w:bCs/>
          <w:color w:val="auto"/>
          <w:sz w:val="24"/>
          <w:szCs w:val="24"/>
          <w:highlight w:val="none"/>
        </w:rPr>
        <w:t>附件：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b w:val="0"/>
          <w:bCs w:val="0"/>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附件1</w:t>
      </w:r>
      <w:r>
        <w:rPr>
          <w:rFonts w:hint="default" w:ascii="Times New Roman" w:hAnsi="Times New Roman" w:eastAsia="宋体"/>
          <w:b w:val="0"/>
          <w:bCs w:val="0"/>
          <w:color w:val="auto"/>
          <w:sz w:val="24"/>
          <w:szCs w:val="24"/>
          <w:highlight w:val="none"/>
          <w:lang w:val="en-US" w:eastAsia="zh-CN"/>
        </w:rPr>
        <w:t>委托书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附件2投资项目备案证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auto"/>
          <w:sz w:val="24"/>
          <w:szCs w:val="24"/>
          <w:highlight w:val="none"/>
          <w:lang w:val="en-US" w:eastAsia="zh-CN"/>
        </w:rPr>
      </w:pPr>
      <w:r>
        <w:rPr>
          <w:rFonts w:hint="default" w:ascii="Times New Roman" w:hAnsi="Times New Roman" w:eastAsia="宋体"/>
          <w:b w:val="0"/>
          <w:bCs w:val="0"/>
          <w:color w:val="auto"/>
          <w:sz w:val="24"/>
          <w:szCs w:val="24"/>
          <w:highlight w:val="none"/>
          <w:lang w:val="en-US" w:eastAsia="zh-CN"/>
        </w:rPr>
        <w:t>附件</w:t>
      </w:r>
      <w:r>
        <w:rPr>
          <w:rFonts w:hint="eastAsia"/>
          <w:b w:val="0"/>
          <w:bCs w:val="0"/>
          <w:color w:val="auto"/>
          <w:sz w:val="24"/>
          <w:szCs w:val="24"/>
          <w:highlight w:val="none"/>
          <w:lang w:val="en-US" w:eastAsia="zh-CN"/>
        </w:rPr>
        <w:t>3营业执照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b w:val="0"/>
          <w:bCs w:val="0"/>
          <w:color w:val="auto"/>
          <w:sz w:val="24"/>
          <w:szCs w:val="24"/>
          <w:highlight w:val="none"/>
          <w:lang w:val="en-US" w:eastAsia="zh-CN"/>
        </w:rPr>
      </w:pPr>
      <w:r>
        <w:rPr>
          <w:rFonts w:hint="eastAsia" w:eastAsia="宋体"/>
          <w:b w:val="0"/>
          <w:bCs w:val="0"/>
          <w:color w:val="auto"/>
          <w:sz w:val="24"/>
          <w:szCs w:val="24"/>
          <w:highlight w:val="none"/>
          <w:lang w:val="en-US" w:eastAsia="zh-CN"/>
        </w:rPr>
        <w:t>附件</w:t>
      </w:r>
      <w:r>
        <w:rPr>
          <w:rFonts w:hint="eastAsia"/>
          <w:b w:val="0"/>
          <w:bCs w:val="0"/>
          <w:color w:val="auto"/>
          <w:sz w:val="24"/>
          <w:szCs w:val="24"/>
          <w:highlight w:val="none"/>
          <w:lang w:val="en-US" w:eastAsia="zh-CN"/>
        </w:rPr>
        <w:t>4</w:t>
      </w:r>
      <w:r>
        <w:rPr>
          <w:rFonts w:hint="eastAsia" w:eastAsia="宋体"/>
          <w:b w:val="0"/>
          <w:bCs w:val="0"/>
          <w:color w:val="auto"/>
          <w:sz w:val="24"/>
          <w:szCs w:val="24"/>
          <w:highlight w:val="none"/>
          <w:lang w:val="en-US" w:eastAsia="zh-CN"/>
        </w:rPr>
        <w:t>宜良工业园区总体规划（2016-2030）环境影响报告书审查意见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b w:val="0"/>
          <w:bCs w:val="0"/>
          <w:color w:val="auto"/>
          <w:sz w:val="24"/>
          <w:szCs w:val="24"/>
          <w:highlight w:val="none"/>
          <w:lang w:val="en-US" w:eastAsia="zh-CN"/>
        </w:rPr>
      </w:pPr>
      <w:r>
        <w:rPr>
          <w:rFonts w:hint="eastAsia" w:eastAsia="宋体"/>
          <w:b w:val="0"/>
          <w:bCs w:val="0"/>
          <w:color w:val="auto"/>
          <w:sz w:val="24"/>
          <w:szCs w:val="24"/>
          <w:highlight w:val="none"/>
          <w:lang w:val="en-US" w:eastAsia="zh-CN"/>
        </w:rPr>
        <w:t>附件</w:t>
      </w:r>
      <w:r>
        <w:rPr>
          <w:rFonts w:hint="eastAsia"/>
          <w:b w:val="0"/>
          <w:bCs w:val="0"/>
          <w:color w:val="auto"/>
          <w:sz w:val="24"/>
          <w:szCs w:val="24"/>
          <w:highlight w:val="none"/>
          <w:lang w:val="en-US" w:eastAsia="zh-CN"/>
        </w:rPr>
        <w:t>5项目与宜良工业园区管委会签订</w:t>
      </w:r>
      <w:r>
        <w:rPr>
          <w:rFonts w:hint="eastAsia" w:eastAsia="宋体"/>
          <w:b w:val="0"/>
          <w:bCs w:val="0"/>
          <w:color w:val="auto"/>
          <w:sz w:val="24"/>
          <w:szCs w:val="24"/>
          <w:highlight w:val="none"/>
          <w:lang w:val="en-US" w:eastAsia="zh-CN"/>
        </w:rPr>
        <w:t>合作框架协议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b w:val="0"/>
          <w:bCs w:val="0"/>
          <w:color w:val="auto"/>
          <w:sz w:val="24"/>
          <w:szCs w:val="24"/>
          <w:highlight w:val="none"/>
          <w:lang w:val="en-US" w:eastAsia="zh-CN"/>
        </w:rPr>
      </w:pPr>
      <w:r>
        <w:rPr>
          <w:rFonts w:hint="eastAsia"/>
          <w:b w:val="0"/>
          <w:bCs w:val="0"/>
          <w:color w:val="auto"/>
          <w:sz w:val="24"/>
          <w:szCs w:val="24"/>
          <w:highlight w:val="none"/>
          <w:lang w:val="en-US" w:eastAsia="zh-CN"/>
        </w:rPr>
        <w:t>附件6项目建设运营授权书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b w:val="0"/>
          <w:bCs w:val="0"/>
          <w:color w:val="auto"/>
          <w:sz w:val="24"/>
          <w:szCs w:val="24"/>
          <w:highlight w:val="none"/>
          <w:lang w:val="en-US" w:eastAsia="zh-CN"/>
        </w:rPr>
      </w:pPr>
      <w:r>
        <w:rPr>
          <w:rFonts w:hint="eastAsia" w:eastAsia="宋体"/>
          <w:b w:val="0"/>
          <w:bCs w:val="0"/>
          <w:color w:val="auto"/>
          <w:sz w:val="24"/>
          <w:szCs w:val="24"/>
          <w:highlight w:val="none"/>
          <w:lang w:val="en-US" w:eastAsia="zh-CN"/>
        </w:rPr>
        <w:t>附件</w:t>
      </w:r>
      <w:r>
        <w:rPr>
          <w:rFonts w:hint="eastAsia"/>
          <w:b w:val="0"/>
          <w:bCs w:val="0"/>
          <w:color w:val="auto"/>
          <w:sz w:val="24"/>
          <w:szCs w:val="24"/>
          <w:highlight w:val="none"/>
          <w:lang w:val="en-US" w:eastAsia="zh-CN"/>
        </w:rPr>
        <w:t>7场地</w:t>
      </w:r>
      <w:r>
        <w:rPr>
          <w:rFonts w:hint="eastAsia" w:ascii="Times New Roman" w:hAnsi="Times New Roman" w:eastAsia="宋体"/>
          <w:b w:val="0"/>
          <w:bCs w:val="0"/>
          <w:color w:val="auto"/>
          <w:sz w:val="24"/>
          <w:szCs w:val="24"/>
          <w:highlight w:val="none"/>
          <w:lang w:val="en-US" w:eastAsia="zh-CN"/>
        </w:rPr>
        <w:t>租赁</w:t>
      </w:r>
      <w:r>
        <w:rPr>
          <w:rFonts w:hint="eastAsia"/>
          <w:b w:val="0"/>
          <w:bCs w:val="0"/>
          <w:color w:val="auto"/>
          <w:sz w:val="24"/>
          <w:szCs w:val="24"/>
          <w:highlight w:val="none"/>
          <w:lang w:val="en-US" w:eastAsia="zh-CN"/>
        </w:rPr>
        <w:t>合同、厂房使用协议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b w:val="0"/>
          <w:bCs w:val="0"/>
          <w:color w:val="auto"/>
          <w:sz w:val="24"/>
          <w:szCs w:val="24"/>
          <w:highlight w:val="none"/>
          <w:lang w:val="en-US" w:eastAsia="zh-CN"/>
        </w:rPr>
      </w:pPr>
      <w:r>
        <w:rPr>
          <w:rFonts w:hint="default" w:cs="Times New Roman"/>
          <w:b w:val="0"/>
          <w:bCs w:val="0"/>
          <w:color w:val="auto"/>
          <w:sz w:val="24"/>
          <w:szCs w:val="24"/>
          <w:highlight w:val="none"/>
          <w:lang w:val="en-US" w:eastAsia="zh-CN"/>
        </w:rPr>
        <w:t>附件</w:t>
      </w:r>
      <w:r>
        <w:rPr>
          <w:rFonts w:hint="eastAsia" w:cs="Times New Roman"/>
          <w:b w:val="0"/>
          <w:bCs w:val="0"/>
          <w:color w:val="auto"/>
          <w:sz w:val="24"/>
          <w:szCs w:val="24"/>
          <w:highlight w:val="none"/>
          <w:lang w:val="en-US" w:eastAsia="zh-CN"/>
        </w:rPr>
        <w:t>8</w:t>
      </w:r>
      <w:r>
        <w:rPr>
          <w:rFonts w:hint="default" w:cs="Times New Roman"/>
          <w:b w:val="0"/>
          <w:bCs w:val="0"/>
          <w:color w:val="auto"/>
          <w:sz w:val="24"/>
          <w:szCs w:val="24"/>
          <w:highlight w:val="none"/>
          <w:lang w:val="en-US" w:eastAsia="zh-CN"/>
        </w:rPr>
        <w:t>生物质</w:t>
      </w:r>
      <w:r>
        <w:rPr>
          <w:rFonts w:hint="eastAsia" w:cs="Times New Roman"/>
          <w:b w:val="0"/>
          <w:bCs w:val="0"/>
          <w:color w:val="auto"/>
          <w:sz w:val="24"/>
          <w:szCs w:val="24"/>
          <w:highlight w:val="none"/>
          <w:lang w:val="en-US" w:eastAsia="zh-CN"/>
        </w:rPr>
        <w:t>燃料</w:t>
      </w:r>
      <w:r>
        <w:rPr>
          <w:rFonts w:hint="default" w:cs="Times New Roman"/>
          <w:b w:val="0"/>
          <w:bCs w:val="0"/>
          <w:color w:val="auto"/>
          <w:sz w:val="24"/>
          <w:szCs w:val="24"/>
          <w:highlight w:val="none"/>
          <w:lang w:val="en-US" w:eastAsia="zh-CN"/>
        </w:rPr>
        <w:t>检测报告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附件9昆明漓源饲料有限公司微生态禽畜配合饲料生产线项目一期竣工环保验收批复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附件10昆明漓源饲料有限公司2021年自行检测报告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附件11昆明特驱饲料有限公司饲料加工一期项目竣工环境保护验收批复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附件12昆明特驱饲料有限公司2021年年检检测报告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附件13内审表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default" w:ascii="Times New Roman" w:hAnsi="Times New Roman" w:eastAsia="宋体"/>
          <w:b/>
          <w:bCs/>
          <w:color w:val="auto"/>
          <w:sz w:val="24"/>
          <w:szCs w:val="24"/>
          <w:highlight w:val="none"/>
        </w:rPr>
      </w:pPr>
      <w:r>
        <w:rPr>
          <w:rFonts w:hint="default" w:ascii="Times New Roman" w:hAnsi="Times New Roman" w:eastAsia="宋体"/>
          <w:b/>
          <w:bCs/>
          <w:color w:val="auto"/>
          <w:sz w:val="24"/>
          <w:szCs w:val="24"/>
          <w:highlight w:val="none"/>
        </w:rPr>
        <w:t>附图：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b w:val="0"/>
          <w:bCs w:val="0"/>
          <w:color w:val="auto"/>
          <w:sz w:val="24"/>
          <w:szCs w:val="24"/>
          <w:highlight w:val="none"/>
          <w:lang w:val="en-US" w:eastAsia="zh-CN"/>
        </w:rPr>
      </w:pPr>
      <w:r>
        <w:rPr>
          <w:rFonts w:hint="eastAsia" w:eastAsia="宋体"/>
          <w:b w:val="0"/>
          <w:bCs w:val="0"/>
          <w:color w:val="auto"/>
          <w:sz w:val="24"/>
          <w:szCs w:val="24"/>
          <w:highlight w:val="none"/>
          <w:lang w:val="en-US" w:eastAsia="zh-CN"/>
        </w:rPr>
        <w:t>附图1</w:t>
      </w:r>
      <w:r>
        <w:rPr>
          <w:rFonts w:hint="default" w:ascii="Times New Roman" w:hAnsi="Times New Roman" w:eastAsia="宋体"/>
          <w:b w:val="0"/>
          <w:bCs w:val="0"/>
          <w:color w:val="auto"/>
          <w:sz w:val="24"/>
          <w:szCs w:val="24"/>
          <w:highlight w:val="none"/>
          <w:lang w:val="en-US" w:eastAsia="zh-CN"/>
        </w:rPr>
        <w:t>项目</w:t>
      </w:r>
      <w:r>
        <w:rPr>
          <w:rFonts w:hint="eastAsia" w:ascii="Times New Roman" w:hAnsi="Times New Roman" w:eastAsia="宋体"/>
          <w:b w:val="0"/>
          <w:bCs w:val="0"/>
          <w:color w:val="auto"/>
          <w:sz w:val="24"/>
          <w:szCs w:val="24"/>
          <w:highlight w:val="none"/>
          <w:lang w:val="en-US" w:eastAsia="zh-CN"/>
        </w:rPr>
        <w:t>地理位置图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b w:val="0"/>
          <w:bCs w:val="0"/>
          <w:color w:val="auto"/>
          <w:sz w:val="24"/>
          <w:szCs w:val="24"/>
          <w:highlight w:val="none"/>
          <w:lang w:val="en-US" w:eastAsia="zh-CN"/>
        </w:rPr>
      </w:pPr>
      <w:r>
        <w:rPr>
          <w:rFonts w:hint="eastAsia" w:eastAsia="宋体"/>
          <w:b w:val="0"/>
          <w:bCs w:val="0"/>
          <w:color w:val="auto"/>
          <w:sz w:val="24"/>
          <w:szCs w:val="24"/>
          <w:highlight w:val="none"/>
          <w:lang w:val="en-US" w:eastAsia="zh-CN"/>
        </w:rPr>
        <w:t>附图2项目周边</w:t>
      </w:r>
      <w:r>
        <w:rPr>
          <w:rFonts w:hint="eastAsia"/>
          <w:b w:val="0"/>
          <w:bCs w:val="0"/>
          <w:color w:val="auto"/>
          <w:sz w:val="24"/>
          <w:szCs w:val="24"/>
          <w:highlight w:val="none"/>
          <w:lang w:val="en-US" w:eastAsia="zh-CN"/>
        </w:rPr>
        <w:t>环境</w:t>
      </w:r>
      <w:r>
        <w:rPr>
          <w:rFonts w:hint="eastAsia" w:eastAsia="宋体"/>
          <w:b w:val="0"/>
          <w:bCs w:val="0"/>
          <w:color w:val="auto"/>
          <w:sz w:val="24"/>
          <w:szCs w:val="24"/>
          <w:highlight w:val="none"/>
          <w:lang w:val="en-US" w:eastAsia="zh-CN"/>
        </w:rPr>
        <w:t>关系图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b w:val="0"/>
          <w:bCs w:val="0"/>
          <w:color w:val="auto"/>
          <w:sz w:val="24"/>
          <w:szCs w:val="24"/>
          <w:highlight w:val="none"/>
          <w:lang w:val="en-US" w:eastAsia="zh-CN"/>
        </w:rPr>
      </w:pPr>
      <w:r>
        <w:rPr>
          <w:rFonts w:hint="eastAsia" w:eastAsia="宋体"/>
          <w:b w:val="0"/>
          <w:bCs w:val="0"/>
          <w:color w:val="auto"/>
          <w:sz w:val="24"/>
          <w:szCs w:val="24"/>
          <w:highlight w:val="none"/>
          <w:lang w:val="en-US" w:eastAsia="zh-CN"/>
        </w:rPr>
        <w:t>附图</w:t>
      </w:r>
      <w:r>
        <w:rPr>
          <w:rFonts w:hint="eastAsia"/>
          <w:b w:val="0"/>
          <w:bCs w:val="0"/>
          <w:color w:val="auto"/>
          <w:sz w:val="24"/>
          <w:szCs w:val="24"/>
          <w:highlight w:val="none"/>
          <w:lang w:val="en-US" w:eastAsia="zh-CN"/>
        </w:rPr>
        <w:t>3</w:t>
      </w:r>
      <w:r>
        <w:rPr>
          <w:rFonts w:hint="eastAsia" w:eastAsia="宋体"/>
          <w:b w:val="0"/>
          <w:bCs w:val="0"/>
          <w:color w:val="auto"/>
          <w:sz w:val="24"/>
          <w:szCs w:val="24"/>
          <w:highlight w:val="none"/>
          <w:lang w:val="en-US" w:eastAsia="zh-CN"/>
        </w:rPr>
        <w:t>海大供热点平面布置图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b w:val="0"/>
          <w:bCs w:val="0"/>
          <w:color w:val="auto"/>
          <w:sz w:val="24"/>
          <w:szCs w:val="24"/>
          <w:highlight w:val="none"/>
          <w:lang w:val="en-US" w:eastAsia="zh-CN"/>
        </w:rPr>
      </w:pPr>
      <w:r>
        <w:rPr>
          <w:rFonts w:hint="eastAsia" w:eastAsia="宋体"/>
          <w:b w:val="0"/>
          <w:bCs w:val="0"/>
          <w:color w:val="auto"/>
          <w:sz w:val="24"/>
          <w:szCs w:val="24"/>
          <w:highlight w:val="none"/>
          <w:lang w:val="en-US" w:eastAsia="zh-CN"/>
        </w:rPr>
        <w:t>附图</w:t>
      </w:r>
      <w:r>
        <w:rPr>
          <w:rFonts w:hint="eastAsia"/>
          <w:b w:val="0"/>
          <w:bCs w:val="0"/>
          <w:color w:val="auto"/>
          <w:sz w:val="24"/>
          <w:szCs w:val="24"/>
          <w:highlight w:val="none"/>
          <w:lang w:val="en-US" w:eastAsia="zh-CN"/>
        </w:rPr>
        <w:t>4</w:t>
      </w:r>
      <w:r>
        <w:rPr>
          <w:rFonts w:hint="eastAsia" w:eastAsia="宋体"/>
          <w:b w:val="0"/>
          <w:bCs w:val="0"/>
          <w:color w:val="auto"/>
          <w:sz w:val="24"/>
          <w:szCs w:val="24"/>
          <w:highlight w:val="none"/>
          <w:lang w:val="en-US" w:eastAsia="zh-CN"/>
        </w:rPr>
        <w:t>漓源供热点平面布置图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b w:val="0"/>
          <w:bCs w:val="0"/>
          <w:color w:val="auto"/>
          <w:sz w:val="24"/>
          <w:szCs w:val="24"/>
          <w:highlight w:val="none"/>
          <w:lang w:val="en-US" w:eastAsia="zh-CN"/>
        </w:rPr>
      </w:pPr>
      <w:r>
        <w:rPr>
          <w:rFonts w:hint="eastAsia" w:eastAsia="宋体"/>
          <w:b w:val="0"/>
          <w:bCs w:val="0"/>
          <w:color w:val="auto"/>
          <w:sz w:val="24"/>
          <w:szCs w:val="24"/>
          <w:highlight w:val="none"/>
          <w:lang w:val="en-US" w:eastAsia="zh-CN"/>
        </w:rPr>
        <w:t>附图</w:t>
      </w:r>
      <w:r>
        <w:rPr>
          <w:rFonts w:hint="eastAsia"/>
          <w:b w:val="0"/>
          <w:bCs w:val="0"/>
          <w:color w:val="auto"/>
          <w:sz w:val="24"/>
          <w:szCs w:val="24"/>
          <w:highlight w:val="none"/>
          <w:lang w:val="en-US" w:eastAsia="zh-CN"/>
        </w:rPr>
        <w:t>5</w:t>
      </w:r>
      <w:r>
        <w:rPr>
          <w:rFonts w:hint="eastAsia" w:eastAsia="宋体"/>
          <w:b w:val="0"/>
          <w:bCs w:val="0"/>
          <w:color w:val="auto"/>
          <w:sz w:val="24"/>
          <w:szCs w:val="24"/>
          <w:highlight w:val="none"/>
          <w:lang w:val="en-US" w:eastAsia="zh-CN"/>
        </w:rPr>
        <w:t>特驱供热点平面布置图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b w:val="0"/>
          <w:bCs w:val="0"/>
          <w:color w:val="auto"/>
          <w:sz w:val="24"/>
          <w:szCs w:val="24"/>
          <w:highlight w:val="none"/>
          <w:lang w:val="en-US" w:eastAsia="zh-CN"/>
        </w:rPr>
      </w:pPr>
      <w:r>
        <w:rPr>
          <w:rFonts w:hint="eastAsia" w:eastAsia="宋体"/>
          <w:b w:val="0"/>
          <w:bCs w:val="0"/>
          <w:color w:val="auto"/>
          <w:sz w:val="24"/>
          <w:szCs w:val="24"/>
          <w:highlight w:val="none"/>
          <w:lang w:val="en-US" w:eastAsia="zh-CN"/>
        </w:rPr>
        <w:t>附图</w:t>
      </w:r>
      <w:r>
        <w:rPr>
          <w:rFonts w:hint="eastAsia"/>
          <w:b w:val="0"/>
          <w:bCs w:val="0"/>
          <w:color w:val="auto"/>
          <w:sz w:val="24"/>
          <w:szCs w:val="24"/>
          <w:highlight w:val="none"/>
          <w:lang w:val="en-US" w:eastAsia="zh-CN"/>
        </w:rPr>
        <w:t>6</w:t>
      </w:r>
      <w:r>
        <w:rPr>
          <w:rFonts w:hint="default" w:ascii="Times New Roman" w:hAnsi="Times New Roman" w:eastAsia="宋体"/>
          <w:b w:val="0"/>
          <w:bCs w:val="0"/>
          <w:color w:val="auto"/>
          <w:sz w:val="24"/>
          <w:szCs w:val="24"/>
          <w:highlight w:val="none"/>
          <w:lang w:val="en-US" w:eastAsia="zh-CN"/>
        </w:rPr>
        <w:t>项目</w:t>
      </w:r>
      <w:r>
        <w:rPr>
          <w:rFonts w:hint="eastAsia" w:ascii="Times New Roman" w:hAnsi="Times New Roman" w:eastAsia="宋体"/>
          <w:b w:val="0"/>
          <w:bCs w:val="0"/>
          <w:color w:val="auto"/>
          <w:sz w:val="24"/>
          <w:szCs w:val="24"/>
          <w:highlight w:val="none"/>
          <w:lang w:val="en-US" w:eastAsia="zh-CN"/>
        </w:rPr>
        <w:t>区域水系</w:t>
      </w:r>
      <w:r>
        <w:rPr>
          <w:rFonts w:hint="default" w:ascii="Times New Roman" w:hAnsi="Times New Roman" w:eastAsia="宋体"/>
          <w:b w:val="0"/>
          <w:bCs w:val="0"/>
          <w:color w:val="auto"/>
          <w:sz w:val="24"/>
          <w:szCs w:val="24"/>
          <w:highlight w:val="none"/>
          <w:lang w:val="en-US" w:eastAsia="zh-CN"/>
        </w:rPr>
        <w:t>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b w:val="0"/>
          <w:bCs w:val="0"/>
          <w:color w:val="auto"/>
          <w:sz w:val="24"/>
          <w:szCs w:val="24"/>
          <w:highlight w:val="none"/>
          <w:lang w:val="en-US" w:eastAsia="zh-CN"/>
        </w:rPr>
      </w:pPr>
      <w:r>
        <w:rPr>
          <w:rFonts w:hint="default" w:ascii="Times New Roman" w:hAnsi="Times New Roman" w:eastAsia="宋体"/>
          <w:b w:val="0"/>
          <w:bCs w:val="0"/>
          <w:color w:val="auto"/>
          <w:sz w:val="24"/>
          <w:szCs w:val="24"/>
          <w:highlight w:val="none"/>
          <w:lang w:val="en-US" w:eastAsia="zh-CN"/>
        </w:rPr>
        <w:t>附</w:t>
      </w:r>
      <w:r>
        <w:rPr>
          <w:rFonts w:hint="eastAsia"/>
          <w:b w:val="0"/>
          <w:bCs w:val="0"/>
          <w:color w:val="auto"/>
          <w:sz w:val="24"/>
          <w:szCs w:val="24"/>
          <w:highlight w:val="none"/>
          <w:lang w:val="en-US" w:eastAsia="zh-CN"/>
        </w:rPr>
        <w:t>图7</w:t>
      </w:r>
      <w:r>
        <w:rPr>
          <w:rFonts w:hint="default" w:ascii="Times New Roman" w:hAnsi="Times New Roman" w:eastAsia="宋体"/>
          <w:b w:val="0"/>
          <w:bCs w:val="0"/>
          <w:color w:val="auto"/>
          <w:sz w:val="24"/>
          <w:szCs w:val="24"/>
          <w:highlight w:val="none"/>
          <w:lang w:val="en-US" w:eastAsia="zh-CN"/>
        </w:rPr>
        <w:t>宜良工业园区总体规划功能分区图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b w:val="0"/>
          <w:bCs w:val="0"/>
          <w:color w:val="auto"/>
          <w:sz w:val="24"/>
          <w:szCs w:val="24"/>
          <w:highlight w:val="none"/>
          <w:lang w:val="en-US" w:eastAsia="zh-CN"/>
        </w:rPr>
      </w:pPr>
      <w:r>
        <w:rPr>
          <w:rFonts w:hint="default" w:ascii="Times New Roman" w:hAnsi="Times New Roman" w:eastAsia="宋体"/>
          <w:b w:val="0"/>
          <w:bCs w:val="0"/>
          <w:color w:val="auto"/>
          <w:sz w:val="24"/>
          <w:szCs w:val="24"/>
          <w:highlight w:val="none"/>
          <w:lang w:val="en-US" w:eastAsia="zh-CN"/>
        </w:rPr>
        <w:t>附图</w:t>
      </w:r>
      <w:r>
        <w:rPr>
          <w:rFonts w:hint="eastAsia"/>
          <w:b w:val="0"/>
          <w:bCs w:val="0"/>
          <w:color w:val="auto"/>
          <w:sz w:val="24"/>
          <w:szCs w:val="24"/>
          <w:highlight w:val="none"/>
          <w:lang w:val="en-US" w:eastAsia="zh-CN"/>
        </w:rPr>
        <w:t>8</w:t>
      </w:r>
      <w:r>
        <w:rPr>
          <w:rFonts w:hint="default" w:ascii="Times New Roman" w:hAnsi="Times New Roman" w:eastAsia="宋体"/>
          <w:b w:val="0"/>
          <w:bCs w:val="0"/>
          <w:color w:val="auto"/>
          <w:sz w:val="24"/>
          <w:szCs w:val="24"/>
          <w:highlight w:val="none"/>
          <w:lang w:val="en-US" w:eastAsia="zh-CN"/>
        </w:rPr>
        <w:t>宜良工业园区总体规划用地布局图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b w:val="0"/>
          <w:bCs w:val="0"/>
          <w:color w:val="auto"/>
          <w:sz w:val="24"/>
          <w:szCs w:val="24"/>
          <w:highlight w:val="none"/>
          <w:lang w:val="en-US" w:eastAsia="zh-CN"/>
        </w:rPr>
      </w:pPr>
      <w:r>
        <w:rPr>
          <w:rFonts w:hint="default" w:ascii="Times New Roman" w:hAnsi="Times New Roman" w:eastAsia="宋体"/>
          <w:b w:val="0"/>
          <w:bCs w:val="0"/>
          <w:color w:val="auto"/>
          <w:sz w:val="24"/>
          <w:szCs w:val="24"/>
          <w:highlight w:val="none"/>
          <w:lang w:val="en-US" w:eastAsia="zh-CN"/>
        </w:rPr>
        <w:t>附图</w:t>
      </w:r>
      <w:r>
        <w:rPr>
          <w:rFonts w:hint="eastAsia"/>
          <w:b w:val="0"/>
          <w:bCs w:val="0"/>
          <w:color w:val="auto"/>
          <w:sz w:val="24"/>
          <w:szCs w:val="24"/>
          <w:highlight w:val="none"/>
          <w:lang w:val="en-US" w:eastAsia="zh-CN"/>
        </w:rPr>
        <w:t>9</w:t>
      </w:r>
      <w:r>
        <w:rPr>
          <w:rFonts w:hint="default" w:ascii="Times New Roman" w:hAnsi="Times New Roman" w:eastAsia="宋体"/>
          <w:b w:val="0"/>
          <w:bCs w:val="0"/>
          <w:color w:val="auto"/>
          <w:sz w:val="24"/>
          <w:szCs w:val="24"/>
          <w:highlight w:val="none"/>
          <w:lang w:val="en-US" w:eastAsia="zh-CN"/>
        </w:rPr>
        <w:t>项目引用监测点位图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b w:val="0"/>
          <w:bCs w:val="0"/>
          <w:color w:val="auto"/>
          <w:sz w:val="24"/>
          <w:szCs w:val="24"/>
          <w:highlight w:val="none"/>
          <w:lang w:val="en-US" w:eastAsia="zh-CN"/>
        </w:rPr>
      </w:pPr>
    </w:p>
    <w:p>
      <w:pPr>
        <w:pStyle w:val="18"/>
        <w:ind w:left="0" w:leftChars="0" w:firstLine="0" w:firstLineChars="0"/>
        <w:rPr>
          <w:rFonts w:hint="default"/>
          <w:color w:val="auto"/>
          <w:highlight w:val="none"/>
          <w:lang w:val="en-US" w:eastAsia="zh-CN"/>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upperRoman"/>
          <w:cols w:space="720" w:num="1"/>
          <w:docGrid w:linePitch="312" w:charSpace="0"/>
        </w:sectPr>
      </w:pPr>
    </w:p>
    <w:p>
      <w:pPr>
        <w:pStyle w:val="5"/>
        <w:keepNext/>
        <w:keepLines w:val="0"/>
        <w:pageBreakBefore w:val="0"/>
        <w:widowControl w:val="0"/>
        <w:kinsoku/>
        <w:wordWrap/>
        <w:overflowPunct w:val="0"/>
        <w:topLinePunct w:val="0"/>
        <w:autoSpaceDE/>
        <w:autoSpaceDN/>
        <w:bidi w:val="0"/>
        <w:adjustRightInd/>
        <w:snapToGrid w:val="0"/>
        <w:spacing w:line="260" w:lineRule="auto"/>
        <w:ind w:left="0" w:firstLine="0" w:firstLineChars="0"/>
        <w:jc w:val="center"/>
        <w:textAlignment w:val="auto"/>
        <w:rPr>
          <w:rFonts w:hint="default"/>
          <w:color w:val="auto"/>
          <w:highlight w:val="none"/>
        </w:rPr>
      </w:pPr>
      <w:bookmarkStart w:id="2" w:name="_Toc17321"/>
      <w:r>
        <w:rPr>
          <w:rFonts w:hint="default"/>
          <w:color w:val="auto"/>
          <w:highlight w:val="none"/>
        </w:rPr>
        <w:t>一、建设项目基本情况</w:t>
      </w:r>
      <w:bookmarkEnd w:id="2"/>
    </w:p>
    <w:tbl>
      <w:tblPr>
        <w:tblStyle w:val="29"/>
        <w:tblW w:w="935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095"/>
        <w:gridCol w:w="3017"/>
        <w:gridCol w:w="2276"/>
        <w:gridCol w:w="29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3" w:hRule="atLeast"/>
          <w:jc w:val="center"/>
        </w:trPr>
        <w:tc>
          <w:tcPr>
            <w:tcW w:w="1095"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建设项目名称</w:t>
            </w:r>
          </w:p>
        </w:tc>
        <w:tc>
          <w:tcPr>
            <w:tcW w:w="8263" w:type="dxa"/>
            <w:gridSpan w:val="3"/>
            <w:noWrap w:val="0"/>
            <w:vAlign w:val="center"/>
          </w:tcPr>
          <w:p>
            <w:pPr>
              <w:adjustRightInd w:val="0"/>
              <w:snapToGrid w:val="0"/>
              <w:jc w:val="center"/>
              <w:rPr>
                <w:rFonts w:hint="eastAsia" w:ascii="Times New Roman" w:hAnsi="Times New Roman" w:eastAsia="宋体" w:cs="Times New Roman"/>
                <w:b w:val="0"/>
                <w:bCs w:val="0"/>
                <w:color w:val="auto"/>
                <w:sz w:val="24"/>
                <w:szCs w:val="24"/>
                <w:highlight w:val="none"/>
                <w:u w:val="none"/>
                <w:lang w:eastAsia="zh-CN"/>
              </w:rPr>
            </w:pPr>
            <w:r>
              <w:rPr>
                <w:rFonts w:hint="eastAsia" w:cs="Times New Roman"/>
                <w:b w:val="0"/>
                <w:bCs w:val="0"/>
                <w:color w:val="auto"/>
                <w:sz w:val="24"/>
                <w:szCs w:val="24"/>
                <w:highlight w:val="none"/>
                <w:u w:val="none"/>
                <w:lang w:eastAsia="zh-CN"/>
              </w:rPr>
              <w:t>宜良工业园区生物质绿色可再生能源分布式集中供热项目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1095"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项目代码</w:t>
            </w:r>
          </w:p>
        </w:tc>
        <w:tc>
          <w:tcPr>
            <w:tcW w:w="8263" w:type="dxa"/>
            <w:gridSpan w:val="3"/>
            <w:noWrap w:val="0"/>
            <w:vAlign w:val="center"/>
          </w:tcPr>
          <w:p>
            <w:pPr>
              <w:adjustRightInd w:val="0"/>
              <w:snapToGrid w:val="0"/>
              <w:jc w:val="center"/>
              <w:rPr>
                <w:rFonts w:hint="default" w:ascii="Times New Roman" w:hAnsi="Times New Roman" w:cs="Times New Roman"/>
                <w:b w:val="0"/>
                <w:bCs w:val="0"/>
                <w:color w:val="auto"/>
                <w:sz w:val="24"/>
                <w:szCs w:val="24"/>
                <w:highlight w:val="none"/>
                <w:u w:val="none"/>
                <w:lang w:val="en-US"/>
              </w:rPr>
            </w:pPr>
            <w:r>
              <w:rPr>
                <w:rFonts w:hint="default" w:ascii="Times New Roman" w:hAnsi="Times New Roman" w:cs="Times New Roman"/>
                <w:b w:val="0"/>
                <w:bCs w:val="0"/>
                <w:color w:val="auto"/>
                <w:sz w:val="24"/>
                <w:szCs w:val="24"/>
                <w:highlight w:val="none"/>
                <w:u w:val="none"/>
                <w:lang w:val="en-US"/>
              </w:rPr>
              <w:t>2204-530125-04-01-454254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3" w:hRule="atLeast"/>
          <w:jc w:val="center"/>
        </w:trPr>
        <w:tc>
          <w:tcPr>
            <w:tcW w:w="1095"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建设单位联系人</w:t>
            </w:r>
          </w:p>
        </w:tc>
        <w:tc>
          <w:tcPr>
            <w:tcW w:w="3017" w:type="dxa"/>
            <w:noWrap w:val="0"/>
            <w:vAlign w:val="center"/>
          </w:tcPr>
          <w:p>
            <w:pPr>
              <w:adjustRightInd w:val="0"/>
              <w:snapToGrid w:val="0"/>
              <w:jc w:val="center"/>
              <w:rPr>
                <w:rFonts w:hint="eastAsia"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cs="Times New Roman"/>
                <w:b w:val="0"/>
                <w:bCs w:val="0"/>
                <w:color w:val="auto"/>
                <w:sz w:val="24"/>
                <w:szCs w:val="24"/>
                <w:highlight w:val="none"/>
                <w:u w:val="none"/>
              </w:rPr>
              <w:t>程</w:t>
            </w:r>
            <w:r>
              <w:rPr>
                <w:rFonts w:hint="eastAsia" w:cs="Times New Roman"/>
                <w:b w:val="0"/>
                <w:bCs w:val="0"/>
                <w:color w:val="auto"/>
                <w:sz w:val="24"/>
                <w:szCs w:val="24"/>
                <w:highlight w:val="none"/>
                <w:u w:val="none"/>
                <w:lang w:val="en-US" w:eastAsia="zh-CN"/>
              </w:rPr>
              <w:t>*</w:t>
            </w:r>
          </w:p>
        </w:tc>
        <w:tc>
          <w:tcPr>
            <w:tcW w:w="2276" w:type="dxa"/>
            <w:noWrap w:val="0"/>
            <w:vAlign w:val="center"/>
          </w:tcPr>
          <w:p>
            <w:pPr>
              <w:adjustRightInd w:val="0"/>
              <w:snapToGrid w:val="0"/>
              <w:jc w:val="center"/>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color w:val="auto"/>
                <w:sz w:val="24"/>
                <w:szCs w:val="24"/>
                <w:highlight w:val="none"/>
                <w:u w:val="none"/>
              </w:rPr>
              <w:t>联系方式</w:t>
            </w:r>
          </w:p>
        </w:tc>
        <w:tc>
          <w:tcPr>
            <w:tcW w:w="2970" w:type="dxa"/>
            <w:noWrap w:val="0"/>
            <w:vAlign w:val="center"/>
          </w:tcPr>
          <w:p>
            <w:pPr>
              <w:adjustRightInd w:val="0"/>
              <w:snapToGrid w:val="0"/>
              <w:jc w:val="center"/>
              <w:rPr>
                <w:rFonts w:hint="default" w:ascii="Times New Roman" w:hAnsi="Times New Roman" w:eastAsia="宋体" w:cs="Times New Roman"/>
                <w:b w:val="0"/>
                <w:bCs w:val="0"/>
                <w:color w:val="auto"/>
                <w:sz w:val="24"/>
                <w:szCs w:val="24"/>
                <w:highlight w:val="none"/>
                <w:u w:val="none"/>
                <w:lang w:val="en-US" w:eastAsia="zh-CN"/>
              </w:rPr>
            </w:pPr>
            <w:r>
              <w:rPr>
                <w:rFonts w:hint="eastAsia" w:ascii="Times New Roman" w:hAnsi="Times New Roman" w:eastAsia="宋体" w:cs="Times New Roman"/>
                <w:b w:val="0"/>
                <w:bCs w:val="0"/>
                <w:color w:val="auto"/>
                <w:sz w:val="24"/>
                <w:szCs w:val="24"/>
                <w:highlight w:val="none"/>
                <w:u w:val="none"/>
                <w:lang w:eastAsia="zh-CN"/>
              </w:rPr>
              <w:t>137</w:t>
            </w:r>
            <w:r>
              <w:rPr>
                <w:rFonts w:hint="eastAsia" w:cs="Times New Roman"/>
                <w:b w:val="0"/>
                <w:bCs w:val="0"/>
                <w:color w:val="auto"/>
                <w:sz w:val="24"/>
                <w:szCs w:val="24"/>
                <w:highlight w:val="none"/>
                <w:u w:val="none"/>
                <w:lang w:val="en-US" w:eastAsia="zh-CN"/>
              </w:rPr>
              <w:t>********</w:t>
            </w:r>
            <w:bookmarkStart w:id="18" w:name="_GoBack"/>
            <w:bookmarkEnd w:id="18"/>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3" w:hRule="atLeast"/>
          <w:jc w:val="center"/>
        </w:trPr>
        <w:tc>
          <w:tcPr>
            <w:tcW w:w="1095"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建设地点</w:t>
            </w:r>
          </w:p>
        </w:tc>
        <w:tc>
          <w:tcPr>
            <w:tcW w:w="8263" w:type="dxa"/>
            <w:gridSpan w:val="3"/>
            <w:noWrap w:val="0"/>
            <w:vAlign w:val="center"/>
          </w:tcPr>
          <w:p>
            <w:pPr>
              <w:adjustRightInd w:val="0"/>
              <w:snapToGrid w:val="0"/>
              <w:jc w:val="center"/>
              <w:rPr>
                <w:rFonts w:hint="default" w:ascii="Times New Roman" w:hAnsi="Times New Roman" w:eastAsia="宋体" w:cs="Times New Roman"/>
                <w:b w:val="0"/>
                <w:bCs w:val="0"/>
                <w:color w:val="auto"/>
                <w:sz w:val="24"/>
                <w:szCs w:val="24"/>
                <w:highlight w:val="none"/>
                <w:u w:val="none"/>
                <w:lang w:val="en-US" w:eastAsia="zh-CN"/>
              </w:rPr>
            </w:pPr>
            <w:r>
              <w:rPr>
                <w:rFonts w:hint="eastAsia" w:cs="Times New Roman"/>
                <w:b w:val="0"/>
                <w:bCs w:val="0"/>
                <w:color w:val="auto"/>
                <w:sz w:val="24"/>
                <w:szCs w:val="24"/>
                <w:highlight w:val="none"/>
                <w:u w:val="none"/>
                <w:lang w:val="en-US" w:eastAsia="zh-CN"/>
              </w:rPr>
              <w:t>云南省昆明市宜良县北古城宜良工业园区饲料片区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3" w:hRule="atLeast"/>
          <w:jc w:val="center"/>
        </w:trPr>
        <w:tc>
          <w:tcPr>
            <w:tcW w:w="1095"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地理坐标</w:t>
            </w:r>
          </w:p>
        </w:tc>
        <w:tc>
          <w:tcPr>
            <w:tcW w:w="8263" w:type="dxa"/>
            <w:gridSpan w:val="3"/>
            <w:noWrap w:val="0"/>
            <w:vAlign w:val="center"/>
          </w:tcPr>
          <w:p>
            <w:pPr>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海大供热点</w:t>
            </w:r>
            <w:r>
              <w:rPr>
                <w:rFonts w:hint="eastAsia" w:cs="Times New Roman"/>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东经103°11′47.006″</w:t>
            </w:r>
            <w:r>
              <w:rPr>
                <w:rFonts w:hint="eastAsia"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北纬24°59′56.994″</w:t>
            </w:r>
          </w:p>
          <w:p>
            <w:pPr>
              <w:jc w:val="center"/>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漓源供热点</w:t>
            </w:r>
            <w:r>
              <w:rPr>
                <w:rFonts w:hint="eastAsia" w:cs="Times New Roman"/>
                <w:color w:val="auto"/>
                <w:sz w:val="24"/>
                <w:szCs w:val="24"/>
                <w:highlight w:val="none"/>
                <w:lang w:eastAsia="zh-CN"/>
              </w:rPr>
              <w:t>：</w:t>
            </w:r>
            <w:r>
              <w:rPr>
                <w:rFonts w:hint="default" w:ascii="Times New Roman" w:hAnsi="Times New Roman" w:cs="Times New Roman"/>
                <w:b w:val="0"/>
                <w:bCs w:val="0"/>
                <w:color w:val="auto"/>
                <w:sz w:val="24"/>
                <w:szCs w:val="24"/>
                <w:highlight w:val="none"/>
                <w:lang w:val="en-US" w:eastAsia="zh-CN"/>
              </w:rPr>
              <w:t>东经103°11′35.332″，北纬25°0′11.561″</w:t>
            </w:r>
          </w:p>
          <w:p>
            <w:pPr>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特驱供热点</w:t>
            </w:r>
            <w:r>
              <w:rPr>
                <w:rFonts w:hint="default" w:ascii="Times New Roman" w:hAnsi="Times New Roman" w:cs="Times New Roman"/>
                <w:b w:val="0"/>
                <w:bCs w:val="0"/>
                <w:color w:val="auto"/>
                <w:sz w:val="24"/>
                <w:szCs w:val="24"/>
                <w:highlight w:val="none"/>
                <w:lang w:val="en-US" w:eastAsia="zh-CN"/>
              </w:rPr>
              <w:t>：东经103°11′50.053″，北纬25°0′7.071″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3" w:hRule="atLeast"/>
          <w:jc w:val="center"/>
        </w:trPr>
        <w:tc>
          <w:tcPr>
            <w:tcW w:w="1095"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国民经济</w:t>
            </w:r>
          </w:p>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行业类别</w:t>
            </w:r>
          </w:p>
        </w:tc>
        <w:tc>
          <w:tcPr>
            <w:tcW w:w="3017" w:type="dxa"/>
            <w:noWrap w:val="0"/>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D4430热力生产和供应</w:t>
            </w:r>
          </w:p>
        </w:tc>
        <w:tc>
          <w:tcPr>
            <w:tcW w:w="2276" w:type="dxa"/>
            <w:noWrap w:val="0"/>
            <w:vAlign w:val="center"/>
          </w:tcPr>
          <w:p>
            <w:pPr>
              <w:adjustRightInd w:val="0"/>
              <w:snapToGrid w:val="0"/>
              <w:jc w:val="center"/>
              <w:rPr>
                <w:rFonts w:hint="default" w:ascii="Times New Roman" w:hAnsi="Times New Roman" w:cs="Times New Roman"/>
                <w:color w:val="auto"/>
                <w:sz w:val="24"/>
                <w:szCs w:val="24"/>
                <w:highlight w:val="none"/>
              </w:rPr>
            </w:pPr>
            <w:bookmarkStart w:id="3" w:name="_Hlk49843745"/>
            <w:r>
              <w:rPr>
                <w:rFonts w:hint="default" w:ascii="Times New Roman" w:hAnsi="Times New Roman" w:cs="Times New Roman"/>
                <w:color w:val="auto"/>
                <w:sz w:val="24"/>
                <w:szCs w:val="24"/>
                <w:highlight w:val="none"/>
              </w:rPr>
              <w:t>建设项目</w:t>
            </w:r>
          </w:p>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行业类别</w:t>
            </w:r>
            <w:bookmarkEnd w:id="3"/>
          </w:p>
        </w:tc>
        <w:tc>
          <w:tcPr>
            <w:tcW w:w="2970" w:type="dxa"/>
            <w:noWrap w:val="0"/>
            <w:vAlign w:val="center"/>
          </w:tcPr>
          <w:p>
            <w:pPr>
              <w:spacing w:beforeLines="0" w:afterLines="0"/>
              <w:jc w:val="left"/>
              <w:rPr>
                <w:rFonts w:hint="eastAsia"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四十一、电力、热力生产和供应业</w:t>
            </w:r>
            <w:r>
              <w:rPr>
                <w:rFonts w:hint="eastAsia" w:cs="Times New Roman"/>
                <w:color w:val="auto"/>
                <w:sz w:val="24"/>
                <w:szCs w:val="24"/>
                <w:highlight w:val="none"/>
                <w:lang w:val="en-US" w:eastAsia="zh-CN"/>
              </w:rPr>
              <w:t>91热力生产和供应工程（包括建设单位自建自</w:t>
            </w:r>
          </w:p>
          <w:p>
            <w:pPr>
              <w:spacing w:beforeLines="0" w:afterLines="0"/>
              <w:jc w:val="left"/>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用的供热工程）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3" w:hRule="atLeast"/>
          <w:jc w:val="center"/>
        </w:trPr>
        <w:tc>
          <w:tcPr>
            <w:tcW w:w="1095"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建设性质</w:t>
            </w:r>
          </w:p>
        </w:tc>
        <w:tc>
          <w:tcPr>
            <w:tcW w:w="3017" w:type="dxa"/>
            <w:noWrap w:val="0"/>
            <w:vAlign w:val="center"/>
          </w:tcPr>
          <w:p>
            <w:pPr>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sym w:font="Wingdings 2" w:char="0052"/>
            </w:r>
            <w:r>
              <w:rPr>
                <w:rFonts w:hint="default" w:ascii="Times New Roman" w:hAnsi="Times New Roman" w:cs="Times New Roman"/>
                <w:color w:val="auto"/>
                <w:sz w:val="24"/>
                <w:szCs w:val="24"/>
                <w:highlight w:val="none"/>
              </w:rPr>
              <w:t>新建（迁建）</w:t>
            </w:r>
          </w:p>
          <w:p>
            <w:pPr>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sym w:font="Wingdings 2" w:char="00A3"/>
            </w:r>
            <w:r>
              <w:rPr>
                <w:rFonts w:hint="default" w:ascii="Times New Roman" w:hAnsi="Times New Roman" w:cs="Times New Roman"/>
                <w:color w:val="auto"/>
                <w:sz w:val="24"/>
                <w:szCs w:val="24"/>
                <w:highlight w:val="none"/>
              </w:rPr>
              <w:t>改建</w:t>
            </w:r>
          </w:p>
          <w:p>
            <w:pPr>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sym w:font="Wingdings 2" w:char="00A3"/>
            </w:r>
            <w:r>
              <w:rPr>
                <w:rFonts w:hint="default" w:ascii="Times New Roman" w:hAnsi="Times New Roman" w:cs="Times New Roman"/>
                <w:color w:val="auto"/>
                <w:sz w:val="24"/>
                <w:szCs w:val="24"/>
                <w:highlight w:val="none"/>
              </w:rPr>
              <w:t>扩建</w:t>
            </w:r>
          </w:p>
          <w:p>
            <w:pPr>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sym w:font="Wingdings 2" w:char="00A3"/>
            </w:r>
            <w:r>
              <w:rPr>
                <w:rFonts w:hint="default" w:ascii="Times New Roman" w:hAnsi="Times New Roman" w:cs="Times New Roman"/>
                <w:color w:val="auto"/>
                <w:sz w:val="24"/>
                <w:szCs w:val="24"/>
                <w:highlight w:val="none"/>
              </w:rPr>
              <w:t>技术改造</w:t>
            </w:r>
          </w:p>
        </w:tc>
        <w:tc>
          <w:tcPr>
            <w:tcW w:w="2276" w:type="dxa"/>
            <w:noWrap w:val="0"/>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建设项目</w:t>
            </w:r>
          </w:p>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申报情形</w:t>
            </w:r>
          </w:p>
        </w:tc>
        <w:tc>
          <w:tcPr>
            <w:tcW w:w="2970" w:type="dxa"/>
            <w:noWrap w:val="0"/>
            <w:vAlign w:val="center"/>
          </w:tcPr>
          <w:p>
            <w:pPr>
              <w:jc w:val="left"/>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sym w:font="Wingdings 2" w:char="00A3"/>
            </w:r>
            <w:r>
              <w:rPr>
                <w:rFonts w:hint="default" w:ascii="Times New Roman" w:hAnsi="Times New Roman" w:cs="Times New Roman"/>
                <w:color w:val="auto"/>
                <w:sz w:val="24"/>
                <w:szCs w:val="24"/>
                <w:highlight w:val="none"/>
              </w:rPr>
              <w:t>首次申报项目</w:t>
            </w:r>
          </w:p>
          <w:p>
            <w:pPr>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sym w:font="Wingdings 2" w:char="00A3"/>
            </w:r>
            <w:r>
              <w:rPr>
                <w:rFonts w:hint="default" w:ascii="Times New Roman" w:hAnsi="Times New Roman" w:cs="Times New Roman"/>
                <w:color w:val="auto"/>
                <w:sz w:val="24"/>
                <w:szCs w:val="24"/>
                <w:highlight w:val="none"/>
              </w:rPr>
              <w:t>不予批准后再次申报项目</w:t>
            </w:r>
          </w:p>
          <w:p>
            <w:pPr>
              <w:jc w:val="left"/>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sym w:font="Wingdings 2" w:char="00A3"/>
            </w:r>
            <w:r>
              <w:rPr>
                <w:rFonts w:hint="default" w:ascii="Times New Roman" w:hAnsi="Times New Roman" w:cs="Times New Roman"/>
                <w:color w:val="auto"/>
                <w:sz w:val="24"/>
                <w:szCs w:val="24"/>
                <w:highlight w:val="none"/>
              </w:rPr>
              <w:t>超五年重新审核项目</w:t>
            </w:r>
          </w:p>
          <w:p>
            <w:pPr>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sym w:font="Wingdings 2" w:char="0052"/>
            </w:r>
            <w:r>
              <w:rPr>
                <w:rFonts w:hint="default" w:ascii="Times New Roman" w:hAnsi="Times New Roman" w:cs="Times New Roman"/>
                <w:color w:val="auto"/>
                <w:sz w:val="24"/>
                <w:szCs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3" w:hRule="atLeast"/>
          <w:jc w:val="center"/>
        </w:trPr>
        <w:tc>
          <w:tcPr>
            <w:tcW w:w="1095"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项目审批</w:t>
            </w:r>
          </w:p>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（核准/备案）部门</w:t>
            </w:r>
          </w:p>
        </w:tc>
        <w:tc>
          <w:tcPr>
            <w:tcW w:w="3017" w:type="dxa"/>
            <w:noWrap w:val="0"/>
            <w:vAlign w:val="center"/>
          </w:tcPr>
          <w:p>
            <w:pPr>
              <w:adjustRightInd w:val="0"/>
              <w:snapToGrid w:val="0"/>
              <w:jc w:val="center"/>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宜良</w:t>
            </w:r>
            <w:r>
              <w:rPr>
                <w:rFonts w:hint="default" w:ascii="Times New Roman" w:hAnsi="Times New Roman" w:cs="Times New Roman"/>
                <w:color w:val="auto"/>
                <w:sz w:val="24"/>
                <w:szCs w:val="24"/>
                <w:highlight w:val="none"/>
              </w:rPr>
              <w:t>县发展和改革局</w:t>
            </w:r>
          </w:p>
        </w:tc>
        <w:tc>
          <w:tcPr>
            <w:tcW w:w="2276" w:type="dxa"/>
            <w:noWrap w:val="0"/>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（核准/备案）文号</w:t>
            </w:r>
          </w:p>
        </w:tc>
        <w:tc>
          <w:tcPr>
            <w:tcW w:w="2970"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2311-532325-04-01-522592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3" w:hRule="atLeast"/>
          <w:jc w:val="center"/>
        </w:trPr>
        <w:tc>
          <w:tcPr>
            <w:tcW w:w="1095"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总投资（万元）</w:t>
            </w:r>
          </w:p>
        </w:tc>
        <w:tc>
          <w:tcPr>
            <w:tcW w:w="3017"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1560</w:t>
            </w:r>
          </w:p>
        </w:tc>
        <w:tc>
          <w:tcPr>
            <w:tcW w:w="2276"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环保投资（万元）</w:t>
            </w:r>
          </w:p>
        </w:tc>
        <w:tc>
          <w:tcPr>
            <w:tcW w:w="2970" w:type="dxa"/>
            <w:noWrap w:val="0"/>
            <w:vAlign w:val="center"/>
          </w:tcPr>
          <w:p>
            <w:pPr>
              <w:adjustRightInd w:val="0"/>
              <w:snapToGrid w:val="0"/>
              <w:jc w:val="center"/>
              <w:rPr>
                <w:rFonts w:hint="default" w:ascii="Times New Roman" w:hAnsi="Times New Roman" w:cs="Times New Roman"/>
                <w:color w:val="auto"/>
                <w:sz w:val="24"/>
                <w:szCs w:val="24"/>
                <w:highlight w:val="none"/>
                <w:lang w:val="en-US" w:eastAsia="zh-CN"/>
              </w:rPr>
            </w:pPr>
            <w:r>
              <w:rPr>
                <w:rFonts w:hint="eastAsia"/>
                <w:color w:val="auto"/>
                <w:sz w:val="24"/>
                <w:szCs w:val="24"/>
                <w:highlight w:val="none"/>
                <w:lang w:val="en-US" w:eastAsia="zh-CN"/>
              </w:rPr>
              <w:t>196.02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3" w:hRule="atLeast"/>
          <w:jc w:val="center"/>
        </w:trPr>
        <w:tc>
          <w:tcPr>
            <w:tcW w:w="1095"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环保投资占比</w:t>
            </w:r>
          </w:p>
        </w:tc>
        <w:tc>
          <w:tcPr>
            <w:tcW w:w="3017"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12.56</w:t>
            </w:r>
            <w:r>
              <w:rPr>
                <w:rFonts w:hint="default" w:ascii="Times New Roman" w:hAnsi="Times New Roman" w:cs="Times New Roman"/>
                <w:color w:val="auto"/>
                <w:sz w:val="24"/>
                <w:szCs w:val="24"/>
                <w:highlight w:val="none"/>
              </w:rPr>
              <w:t>%</w:t>
            </w:r>
          </w:p>
        </w:tc>
        <w:tc>
          <w:tcPr>
            <w:tcW w:w="2276"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施工工期</w:t>
            </w:r>
          </w:p>
        </w:tc>
        <w:tc>
          <w:tcPr>
            <w:tcW w:w="2970" w:type="dxa"/>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1095"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是否开工建设</w:t>
            </w:r>
          </w:p>
        </w:tc>
        <w:tc>
          <w:tcPr>
            <w:tcW w:w="3017" w:type="dxa"/>
            <w:noWrap w:val="0"/>
            <w:vAlign w:val="center"/>
          </w:tcPr>
          <w:p>
            <w:pPr>
              <w:adjustRightInd w:val="0"/>
              <w:snapToGrid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sym w:font="Wingdings 2" w:char="00A3"/>
            </w:r>
            <w:r>
              <w:rPr>
                <w:rFonts w:hint="default" w:ascii="Times New Roman" w:hAnsi="Times New Roman" w:cs="Times New Roman"/>
                <w:color w:val="auto"/>
                <w:sz w:val="24"/>
                <w:szCs w:val="24"/>
                <w:highlight w:val="none"/>
              </w:rPr>
              <w:t>否</w:t>
            </w:r>
          </w:p>
          <w:p>
            <w:pPr>
              <w:adjustRightInd w:val="0"/>
              <w:snapToGrid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sym w:font="Wingdings 2" w:char="0052"/>
            </w:r>
            <w:r>
              <w:rPr>
                <w:rFonts w:hint="default" w:ascii="Times New Roman" w:hAnsi="Times New Roman" w:cs="Times New Roman"/>
                <w:color w:val="auto"/>
                <w:sz w:val="24"/>
                <w:szCs w:val="24"/>
                <w:highlight w:val="none"/>
              </w:rPr>
              <w:t>是：</w:t>
            </w:r>
            <w:r>
              <w:rPr>
                <w:rFonts w:hint="eastAsia" w:cs="Times New Roman"/>
                <w:color w:val="auto"/>
                <w:sz w:val="24"/>
                <w:szCs w:val="24"/>
                <w:highlight w:val="none"/>
                <w:u w:val="single"/>
                <w:lang w:val="en-US" w:eastAsia="zh-CN"/>
              </w:rPr>
              <w:t>重大变化重新报批项目</w:t>
            </w:r>
          </w:p>
        </w:tc>
        <w:tc>
          <w:tcPr>
            <w:tcW w:w="2276"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pacing w:val="-6"/>
                <w:sz w:val="24"/>
                <w:szCs w:val="24"/>
                <w:highlight w:val="none"/>
              </w:rPr>
            </w:pPr>
            <w:r>
              <w:rPr>
                <w:rFonts w:hint="default" w:ascii="Times New Roman" w:hAnsi="Times New Roman" w:cs="Times New Roman"/>
                <w:color w:val="auto"/>
                <w:spacing w:val="-6"/>
                <w:sz w:val="24"/>
                <w:szCs w:val="24"/>
                <w:highlight w:val="none"/>
              </w:rPr>
              <w:t>用地（用海）</w:t>
            </w:r>
          </w:p>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6"/>
                <w:sz w:val="24"/>
                <w:szCs w:val="24"/>
                <w:highlight w:val="none"/>
              </w:rPr>
              <w:t>面积（</w:t>
            </w:r>
            <w:r>
              <w:rPr>
                <w:rFonts w:hint="default" w:ascii="Times New Roman" w:hAnsi="Times New Roman" w:cs="Times New Roman"/>
                <w:color w:val="auto"/>
                <w:spacing w:val="-6"/>
                <w:sz w:val="24"/>
                <w:szCs w:val="24"/>
                <w:highlight w:val="none"/>
                <w:lang w:val="en-US" w:eastAsia="zh-CN"/>
              </w:rPr>
              <w:t>m²</w:t>
            </w:r>
            <w:r>
              <w:rPr>
                <w:rFonts w:hint="default" w:ascii="Times New Roman" w:hAnsi="Times New Roman" w:cs="Times New Roman"/>
                <w:color w:val="auto"/>
                <w:spacing w:val="-6"/>
                <w:sz w:val="24"/>
                <w:szCs w:val="24"/>
                <w:highlight w:val="none"/>
              </w:rPr>
              <w:t>）</w:t>
            </w:r>
          </w:p>
        </w:tc>
        <w:tc>
          <w:tcPr>
            <w:tcW w:w="2970" w:type="dxa"/>
            <w:noWrap w:val="0"/>
            <w:vAlign w:val="center"/>
          </w:tcPr>
          <w:p>
            <w:pPr>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海大供热点</w:t>
            </w:r>
            <w:r>
              <w:rPr>
                <w:rFonts w:hint="eastAsia" w:cs="Times New Roman"/>
                <w:color w:val="auto"/>
                <w:sz w:val="24"/>
                <w:szCs w:val="24"/>
                <w:highlight w:val="none"/>
                <w:lang w:val="en-US" w:eastAsia="zh-CN"/>
              </w:rPr>
              <w:t>：</w:t>
            </w:r>
            <w:r>
              <w:rPr>
                <w:rFonts w:hint="eastAsia" w:cs="Times New Roman"/>
                <w:b w:val="0"/>
                <w:bCs w:val="0"/>
                <w:color w:val="auto"/>
                <w:sz w:val="24"/>
                <w:szCs w:val="24"/>
                <w:highlight w:val="none"/>
                <w:lang w:val="en-US" w:eastAsia="zh-CN"/>
              </w:rPr>
              <w:t>1600</w:t>
            </w:r>
          </w:p>
          <w:p>
            <w:pPr>
              <w:jc w:val="center"/>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漓源供热点</w:t>
            </w:r>
            <w:r>
              <w:rPr>
                <w:rFonts w:hint="eastAsia" w:cs="Times New Roman"/>
                <w:color w:val="auto"/>
                <w:sz w:val="24"/>
                <w:szCs w:val="24"/>
                <w:highlight w:val="none"/>
                <w:lang w:eastAsia="zh-CN"/>
              </w:rPr>
              <w:t>：</w:t>
            </w:r>
            <w:r>
              <w:rPr>
                <w:rFonts w:hint="eastAsia" w:cs="Times New Roman"/>
                <w:b w:val="0"/>
                <w:bCs w:val="0"/>
                <w:color w:val="auto"/>
                <w:sz w:val="24"/>
                <w:szCs w:val="24"/>
                <w:highlight w:val="none"/>
                <w:lang w:val="en-US" w:eastAsia="zh-CN"/>
              </w:rPr>
              <w:t>600</w:t>
            </w:r>
          </w:p>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特驱供热点</w:t>
            </w:r>
            <w:r>
              <w:rPr>
                <w:rFonts w:hint="default" w:ascii="Times New Roman" w:hAnsi="Times New Roman"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600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5"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kern w:val="0"/>
                <w:sz w:val="24"/>
                <w:szCs w:val="24"/>
                <w:highlight w:val="none"/>
              </w:rPr>
            </w:pPr>
            <w:r>
              <w:rPr>
                <w:rFonts w:hint="default" w:ascii="Times New Roman" w:hAnsi="Times New Roman" w:cs="Times New Roman"/>
                <w:b w:val="0"/>
                <w:bCs w:val="0"/>
                <w:color w:val="auto"/>
                <w:kern w:val="0"/>
                <w:sz w:val="24"/>
                <w:szCs w:val="24"/>
                <w:highlight w:val="none"/>
              </w:rPr>
              <w:t>专项评价设置情况</w:t>
            </w:r>
          </w:p>
        </w:tc>
        <w:tc>
          <w:tcPr>
            <w:tcW w:w="8263"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根据下表对照分析，本项目无专项评价。</w:t>
            </w:r>
          </w:p>
          <w:p>
            <w:pPr>
              <w:pStyle w:val="4"/>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表1-1</w:t>
            </w:r>
            <w:r>
              <w:rPr>
                <w:rFonts w:hint="default" w:ascii="Times New Roman" w:hAnsi="Times New Roman" w:eastAsia="宋体" w:cs="Times New Roman"/>
                <w:b/>
                <w:bCs/>
                <w:color w:val="auto"/>
                <w:sz w:val="21"/>
                <w:szCs w:val="21"/>
                <w:highlight w:val="none"/>
                <w:lang w:val="en-US" w:eastAsia="zh-CN"/>
              </w:rPr>
              <w:t>专项评价设置原则表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6"/>
              <w:gridCol w:w="2430"/>
              <w:gridCol w:w="3245"/>
              <w:gridCol w:w="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856"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专项评价的类别</w:t>
                  </w:r>
                </w:p>
              </w:tc>
              <w:tc>
                <w:tcPr>
                  <w:tcW w:w="1511"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设置原则</w:t>
                  </w:r>
                </w:p>
              </w:tc>
              <w:tc>
                <w:tcPr>
                  <w:tcW w:w="2018"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本项目情况</w:t>
                  </w:r>
                </w:p>
              </w:tc>
              <w:tc>
                <w:tcPr>
                  <w:tcW w:w="613"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设置与否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856"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大气</w:t>
                  </w:r>
                </w:p>
              </w:tc>
              <w:tc>
                <w:tcPr>
                  <w:tcW w:w="1511"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排放废气中含有有毒有害污染物、二噁英、苯并芘、氰化物、氯气且厂界外500m范围内有环境空气保护目标的建设项目</w:t>
                  </w:r>
                </w:p>
              </w:tc>
              <w:tc>
                <w:tcPr>
                  <w:tcW w:w="2018"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本项目大气污染物为颗粒物、SO</w:t>
                  </w:r>
                  <w:r>
                    <w:rPr>
                      <w:rFonts w:hint="eastAsia" w:ascii="Times New Roman" w:hAnsi="Times New Roman" w:eastAsia="宋体" w:cs="Times New Roman"/>
                      <w:b w:val="0"/>
                      <w:bCs w:val="0"/>
                      <w:color w:val="auto"/>
                      <w:sz w:val="21"/>
                      <w:szCs w:val="21"/>
                      <w:highlight w:val="none"/>
                      <w:vertAlign w:val="subscript"/>
                      <w:lang w:val="en-US" w:eastAsia="zh-CN"/>
                    </w:rPr>
                    <w:t>2</w:t>
                  </w:r>
                  <w:r>
                    <w:rPr>
                      <w:rFonts w:hint="eastAsia" w:ascii="Times New Roman" w:hAnsi="Times New Roman" w:eastAsia="宋体" w:cs="Times New Roman"/>
                      <w:b w:val="0"/>
                      <w:bCs w:val="0"/>
                      <w:color w:val="auto"/>
                      <w:sz w:val="21"/>
                      <w:szCs w:val="21"/>
                      <w:highlight w:val="none"/>
                      <w:lang w:val="en-US" w:eastAsia="zh-CN"/>
                    </w:rPr>
                    <w:t>、NO</w:t>
                  </w:r>
                  <w:r>
                    <w:rPr>
                      <w:rFonts w:hint="eastAsia" w:cs="Times New Roman"/>
                      <w:b w:val="0"/>
                      <w:bCs w:val="0"/>
                      <w:color w:val="auto"/>
                      <w:sz w:val="21"/>
                      <w:szCs w:val="21"/>
                      <w:highlight w:val="none"/>
                      <w:lang w:val="en-US" w:eastAsia="zh-CN"/>
                    </w:rPr>
                    <w:t>x、烟气黑度</w:t>
                  </w:r>
                  <w:r>
                    <w:rPr>
                      <w:rFonts w:hint="eastAsia" w:ascii="Times New Roman" w:hAnsi="Times New Roman" w:eastAsia="宋体" w:cs="Times New Roman"/>
                      <w:b w:val="0"/>
                      <w:bCs w:val="0"/>
                      <w:color w:val="auto"/>
                      <w:sz w:val="21"/>
                      <w:szCs w:val="21"/>
                      <w:highlight w:val="none"/>
                      <w:lang w:val="en-US" w:eastAsia="zh-CN"/>
                    </w:rPr>
                    <w:t>，不涉及《有毒有害大气污染物名录》中规定的有毒有害污染物及二噁英、苯并[a]芘、氰化物、氯气的排放。</w:t>
                  </w:r>
                </w:p>
              </w:tc>
              <w:tc>
                <w:tcPr>
                  <w:tcW w:w="613"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856"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地表水</w:t>
                  </w:r>
                </w:p>
              </w:tc>
              <w:tc>
                <w:tcPr>
                  <w:tcW w:w="1511"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新增工业废水直排建设项目（槽罐车外运污水处理厂的除外）；新增废水直排的污水集中处理厂</w:t>
                  </w:r>
                </w:p>
              </w:tc>
              <w:tc>
                <w:tcPr>
                  <w:tcW w:w="2018"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本项目运营期产生的软水制备废水和生物质锅炉排污水经过管道接入烟气蒸器用于烟气降温，随烟气蒸发，不外排。</w:t>
                  </w:r>
                </w:p>
              </w:tc>
              <w:tc>
                <w:tcPr>
                  <w:tcW w:w="613"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856"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环境风险</w:t>
                  </w:r>
                </w:p>
              </w:tc>
              <w:tc>
                <w:tcPr>
                  <w:tcW w:w="1511"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有毒有害和易燃易爆危险物质存储量超过临界量的建设项目</w:t>
                  </w:r>
                  <w:r>
                    <w:rPr>
                      <w:rFonts w:hint="eastAsia" w:ascii="Times New Roman" w:hAnsi="Times New Roman" w:eastAsia="宋体" w:cs="Times New Roman"/>
                      <w:b w:val="0"/>
                      <w:bCs w:val="0"/>
                      <w:color w:val="auto"/>
                      <w:sz w:val="21"/>
                      <w:szCs w:val="21"/>
                      <w:highlight w:val="none"/>
                      <w:lang w:val="en-US" w:eastAsia="zh-CN"/>
                    </w:rPr>
                    <w:cr/>
                  </w:r>
                </w:p>
              </w:tc>
              <w:tc>
                <w:tcPr>
                  <w:tcW w:w="2018"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项目不涉及有毒有害和易燃易爆危险物质存储量超过临界量。</w:t>
                  </w:r>
                </w:p>
              </w:tc>
              <w:tc>
                <w:tcPr>
                  <w:tcW w:w="613"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856"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生态</w:t>
                  </w:r>
                </w:p>
              </w:tc>
              <w:tc>
                <w:tcPr>
                  <w:tcW w:w="1511"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取水口下游500m范围有重要水生生物的自然产卵场、索饵场、越冬场和</w:t>
                  </w:r>
                  <w:r>
                    <w:rPr>
                      <w:rFonts w:hint="eastAsia" w:cs="Times New Roman"/>
                      <w:b w:val="0"/>
                      <w:bCs w:val="0"/>
                      <w:color w:val="auto"/>
                      <w:sz w:val="21"/>
                      <w:szCs w:val="21"/>
                      <w:highlight w:val="none"/>
                      <w:lang w:val="en-US" w:eastAsia="zh-CN"/>
                    </w:rPr>
                    <w:t>洄游</w:t>
                  </w:r>
                  <w:r>
                    <w:rPr>
                      <w:rFonts w:hint="eastAsia" w:ascii="Times New Roman" w:hAnsi="Times New Roman" w:eastAsia="宋体" w:cs="Times New Roman"/>
                      <w:b w:val="0"/>
                      <w:bCs w:val="0"/>
                      <w:color w:val="auto"/>
                      <w:sz w:val="21"/>
                      <w:szCs w:val="21"/>
                      <w:highlight w:val="none"/>
                      <w:lang w:val="en-US" w:eastAsia="zh-CN"/>
                    </w:rPr>
                    <w:t>通道的新增河道取水的污染类建设项目</w:t>
                  </w:r>
                </w:p>
              </w:tc>
              <w:tc>
                <w:tcPr>
                  <w:tcW w:w="2018"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本项目不涉及从河道取水</w:t>
                  </w:r>
                </w:p>
              </w:tc>
              <w:tc>
                <w:tcPr>
                  <w:tcW w:w="613"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856"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海洋</w:t>
                  </w:r>
                </w:p>
              </w:tc>
              <w:tc>
                <w:tcPr>
                  <w:tcW w:w="1511"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直接向海洋排放污染物的海洋工程建设项目</w:t>
                  </w:r>
                </w:p>
              </w:tc>
              <w:tc>
                <w:tcPr>
                  <w:tcW w:w="2018"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本项目不涉及海洋环境</w:t>
                  </w:r>
                </w:p>
              </w:tc>
              <w:tc>
                <w:tcPr>
                  <w:tcW w:w="613"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856"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地下水</w:t>
                  </w:r>
                </w:p>
              </w:tc>
              <w:tc>
                <w:tcPr>
                  <w:tcW w:w="1511"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涉及集中式饮用水水源和热水、矿泉水、温泉等特殊地下水资源保护区</w:t>
                  </w:r>
                </w:p>
              </w:tc>
              <w:tc>
                <w:tcPr>
                  <w:tcW w:w="2018"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本项目不涉及集中式饮用水水源和热水、矿泉水、温泉等特殊地下水资源保护区</w:t>
                  </w:r>
                </w:p>
              </w:tc>
              <w:tc>
                <w:tcPr>
                  <w:tcW w:w="613"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否</w:t>
                  </w:r>
                </w:p>
              </w:tc>
            </w:tr>
          </w:tbl>
          <w:p>
            <w:pPr>
              <w:pStyle w:val="2"/>
              <w:ind w:left="0" w:leftChars="0" w:firstLine="0" w:firstLineChars="0"/>
              <w:rPr>
                <w:rFonts w:hint="default"/>
                <w:color w:val="auto"/>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5" w:type="dxa"/>
            <w:noWrap w:val="0"/>
            <w:vAlign w:val="center"/>
          </w:tcPr>
          <w:p>
            <w:pPr>
              <w:keepNext w:val="0"/>
              <w:keepLines w:val="0"/>
              <w:pageBreakBefore w:val="0"/>
              <w:widowControl w:val="0"/>
              <w:kinsoku/>
              <w:wordWrap/>
              <w:overflowPunct/>
              <w:topLinePunct w:val="0"/>
              <w:bidi w:val="0"/>
              <w:adjustRightInd w:val="0"/>
              <w:snapToGrid/>
              <w:jc w:val="center"/>
              <w:textAlignment w:val="auto"/>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规划情况</w:t>
            </w:r>
          </w:p>
        </w:tc>
        <w:tc>
          <w:tcPr>
            <w:tcW w:w="8263" w:type="dxa"/>
            <w:gridSpan w:val="3"/>
            <w:noWrap w:val="0"/>
            <w:vAlign w:val="center"/>
          </w:tcPr>
          <w:p>
            <w:pPr>
              <w:keepNext w:val="0"/>
              <w:keepLines w:val="0"/>
              <w:pageBreakBefore w:val="0"/>
              <w:widowControl w:val="0"/>
              <w:kinsoku/>
              <w:wordWrap/>
              <w:overflowPunct/>
              <w:topLinePunct w:val="0"/>
              <w:bidi w:val="0"/>
              <w:adjustRightInd w:val="0"/>
              <w:snapToGrid/>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规划名称：《宜良工业园区总体规划（2016-2030）》</w:t>
            </w:r>
          </w:p>
          <w:p>
            <w:pPr>
              <w:keepNext w:val="0"/>
              <w:keepLines w:val="0"/>
              <w:pageBreakBefore w:val="0"/>
              <w:widowControl w:val="0"/>
              <w:kinsoku/>
              <w:wordWrap/>
              <w:overflowPunct/>
              <w:topLinePunct w:val="0"/>
              <w:bidi w:val="0"/>
              <w:adjustRightInd w:val="0"/>
              <w:snapToGrid/>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审批机关：云南省工业和信息化委会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5" w:type="dxa"/>
            <w:noWrap w:val="0"/>
            <w:vAlign w:val="center"/>
          </w:tcPr>
          <w:p>
            <w:pPr>
              <w:keepNext w:val="0"/>
              <w:keepLines w:val="0"/>
              <w:pageBreakBefore w:val="0"/>
              <w:widowControl w:val="0"/>
              <w:kinsoku/>
              <w:wordWrap/>
              <w:overflowPunct/>
              <w:topLinePunct w:val="0"/>
              <w:bidi w:val="0"/>
              <w:adjustRightInd w:val="0"/>
              <w:snapToGrid/>
              <w:jc w:val="center"/>
              <w:textAlignment w:val="auto"/>
              <w:rPr>
                <w:rFonts w:hint="default" w:ascii="Times New Roman" w:hAnsi="Times New Roman" w:cs="Times New Roman"/>
                <w:b/>
                <w:bCs/>
                <w:color w:val="auto"/>
                <w:kern w:val="0"/>
                <w:sz w:val="24"/>
                <w:szCs w:val="24"/>
                <w:highlight w:val="none"/>
              </w:rPr>
            </w:pPr>
            <w:r>
              <w:rPr>
                <w:rFonts w:hint="default" w:ascii="Times New Roman" w:hAnsi="Times New Roman" w:cs="Times New Roman"/>
                <w:b w:val="0"/>
                <w:bCs w:val="0"/>
                <w:color w:val="auto"/>
                <w:sz w:val="24"/>
                <w:szCs w:val="24"/>
                <w:highlight w:val="none"/>
              </w:rPr>
              <w:t>规划环境影响评价情况</w:t>
            </w:r>
          </w:p>
        </w:tc>
        <w:tc>
          <w:tcPr>
            <w:tcW w:w="8263"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规划环评名称：《宜良工业园区总体规划（2016-2030）环境影响报告书》</w:t>
            </w:r>
          </w:p>
          <w:p>
            <w:pPr>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审查机关：云南省生态环境厅</w:t>
            </w:r>
          </w:p>
          <w:p>
            <w:pPr>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审批文件名称及文号：云南省生态环境厅关于《宜良工业园区总体规划（2016-2030）环境影响报告书》审查意见的函（云环函〔2018〕791号）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5"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bCs/>
                <w:color w:val="auto"/>
                <w:kern w:val="0"/>
                <w:sz w:val="24"/>
                <w:szCs w:val="24"/>
                <w:highlight w:val="none"/>
              </w:rPr>
            </w:pPr>
            <w:r>
              <w:rPr>
                <w:rFonts w:hint="default" w:ascii="Times New Roman" w:hAnsi="Times New Roman" w:cs="Times New Roman"/>
                <w:b w:val="0"/>
                <w:bCs w:val="0"/>
                <w:color w:val="auto"/>
                <w:kern w:val="0"/>
                <w:sz w:val="24"/>
                <w:szCs w:val="24"/>
                <w:highlight w:val="none"/>
              </w:rPr>
              <w:t>规划及规划环境影响评价符合性分析</w:t>
            </w:r>
          </w:p>
        </w:tc>
        <w:tc>
          <w:tcPr>
            <w:tcW w:w="8263"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1、与《宜良工业园区总体规划（2016-2030）》符合性分析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（1）园区产业结构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《宜良工业园区总体规划（2016-2030）》调整后，园区规划范围为：北起北古城集镇—南盘江一线，南达昆石高速公路，西起绕城高速外环线一线，东至宜良县域东部界线，总规划面积57.7平方公里。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根据《宜良工业园区总体规划（2016-2030）》，综合考虑地形、风向、南盘江保护、九乡风景名胜区保护、产业发展时序、云南铜业选址、现状产业分布、交通运输条件等因素，规划引导园区产业形成“三带、七片”的产业空间布局，实现三次产业的有机融合，良性互动，促进四化同步、产城旅融合发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三带：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①在园区西部形成公共服务发展带。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②在园区中东部形成工业产业发展带。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③沿南盘江结合基本农田的保护和南盘江休闲文化带建设，形成现代农业和休闲旅游发展带。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七片：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①北古城片区西北部地区以发展特色轻工业产业集群为主。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②北古城片区中东部地区以新型建材产业集群为主。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③木龙片区中东部地区以金属新材料产业集群为主。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④山后片区中东部地区以先进装备制造业产业集群为。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⑤北古城片区西部地区以生产性服务业发展为主。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⑥木龙片区西部地区以生活性服务业发展为主。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⑦山后片区西部地区以生产性服务业发展为主。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本项目位于宜良工业园区北古城片区西北部地区及中东部地区，属于宜良工业园区规划“三带、七片”中“七片”的“古城片区西北部地区以发展特色轻工业产业集群为主”，农产品加工、饲料加工、箱板纸包装等产业；中东部地区发展“板材加工”、“五金加工”、“水泥生产”等产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本项目为分布式集中供热项目，为园区饲料企业提供蒸汽，本项目使用生物质作为燃料，与现行的园区产业结构不冲突。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（2）园区环保负面清单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根据《宜良工业园区总体规划（2016-2030）》环境影响报告书，园区规划产业为污染强度较高的产业，根据污染物排放总量控制等环境保护的要求，园区应设置严格的环境准入条件，禁止、限制与园区功能定位不相符的其他污染型产业进入，避免产生污染叠加效应，加重园区环境压力。为此，设定园区环境保护负面清单如下：</w:t>
            </w:r>
          </w:p>
          <w:p>
            <w:pPr>
              <w:pStyle w:val="4"/>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表1-</w:t>
            </w:r>
            <w:r>
              <w:rPr>
                <w:rFonts w:hint="eastAsia" w:cs="Times New Roman"/>
                <w:b/>
                <w:bCs/>
                <w:color w:val="auto"/>
                <w:sz w:val="21"/>
                <w:szCs w:val="21"/>
                <w:highlight w:val="none"/>
                <w:lang w:val="en-US" w:eastAsia="zh-CN"/>
              </w:rPr>
              <w:t>2</w:t>
            </w:r>
            <w:r>
              <w:rPr>
                <w:rFonts w:hint="eastAsia" w:ascii="Times New Roman" w:hAnsi="Times New Roman" w:eastAsia="宋体" w:cs="Times New Roman"/>
                <w:b/>
                <w:bCs/>
                <w:color w:val="auto"/>
                <w:sz w:val="21"/>
                <w:szCs w:val="21"/>
                <w:highlight w:val="none"/>
                <w:lang w:val="en-US" w:eastAsia="zh-CN"/>
              </w:rPr>
              <w:t>园区环保负面清单</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9"/>
              <w:gridCol w:w="2473"/>
              <w:gridCol w:w="4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tblHeader/>
                <w:jc w:val="center"/>
              </w:trPr>
              <w:tc>
                <w:tcPr>
                  <w:tcW w:w="2104" w:type="pct"/>
                  <w:gridSpan w:val="2"/>
                  <w:shd w:val="clear" w:color="auto" w:fill="auto"/>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工业类别</w:t>
                  </w:r>
                </w:p>
              </w:tc>
              <w:tc>
                <w:tcPr>
                  <w:tcW w:w="2895" w:type="pct"/>
                  <w:shd w:val="clear" w:color="auto" w:fill="auto"/>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主要工业项目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2104" w:type="pct"/>
                  <w:gridSpan w:val="2"/>
                  <w:shd w:val="clear" w:color="auto" w:fill="auto"/>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农产品加工</w:t>
                  </w:r>
                </w:p>
              </w:tc>
              <w:tc>
                <w:tcPr>
                  <w:tcW w:w="2895" w:type="pct"/>
                  <w:shd w:val="clear" w:color="auto" w:fill="auto"/>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不符合产业政策和环保要求的项目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2104" w:type="pct"/>
                  <w:gridSpan w:val="2"/>
                  <w:shd w:val="clear" w:color="auto" w:fill="auto"/>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饲料加工</w:t>
                  </w:r>
                </w:p>
              </w:tc>
              <w:tc>
                <w:tcPr>
                  <w:tcW w:w="2895" w:type="pct"/>
                  <w:shd w:val="clear" w:color="auto" w:fill="auto"/>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不符合产业政策和环保要求的项目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2104" w:type="pct"/>
                  <w:gridSpan w:val="2"/>
                  <w:shd w:val="clear" w:color="auto" w:fill="auto"/>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箱板纸包装</w:t>
                  </w:r>
                </w:p>
              </w:tc>
              <w:tc>
                <w:tcPr>
                  <w:tcW w:w="2895" w:type="pct"/>
                  <w:shd w:val="clear" w:color="auto" w:fill="auto"/>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不符合产业政策和环保要求的项目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2104" w:type="pct"/>
                  <w:gridSpan w:val="2"/>
                  <w:shd w:val="clear" w:color="auto" w:fill="auto"/>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板材加工</w:t>
                  </w:r>
                </w:p>
              </w:tc>
              <w:tc>
                <w:tcPr>
                  <w:tcW w:w="2895" w:type="pct"/>
                  <w:shd w:val="clear" w:color="auto" w:fill="auto"/>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不符合产业政策和环保要求的项目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2" w:hRule="atLeast"/>
                <w:jc w:val="center"/>
              </w:trPr>
              <w:tc>
                <w:tcPr>
                  <w:tcW w:w="2104" w:type="pct"/>
                  <w:gridSpan w:val="2"/>
                  <w:shd w:val="clear" w:color="auto" w:fill="auto"/>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五金加工</w:t>
                  </w:r>
                </w:p>
              </w:tc>
              <w:tc>
                <w:tcPr>
                  <w:tcW w:w="2895" w:type="pct"/>
                  <w:shd w:val="clear" w:color="auto" w:fill="auto"/>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涉及含重金属生产废水排放的项目；</w:t>
                  </w:r>
                </w:p>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涉及含电镀或喷漆工艺的项目；</w:t>
                  </w:r>
                </w:p>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其他不符合产业政策和环保要求的项目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1" w:hRule="atLeast"/>
                <w:jc w:val="center"/>
              </w:trPr>
              <w:tc>
                <w:tcPr>
                  <w:tcW w:w="2104" w:type="pct"/>
                  <w:gridSpan w:val="2"/>
                  <w:shd w:val="clear" w:color="auto" w:fill="auto"/>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水泥</w:t>
                  </w:r>
                </w:p>
              </w:tc>
              <w:tc>
                <w:tcPr>
                  <w:tcW w:w="2895" w:type="pct"/>
                  <w:shd w:val="clear" w:color="auto" w:fill="auto"/>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除增产减污外以任何形式新增水泥产能项目；</w:t>
                  </w:r>
                </w:p>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其他不符合产业政策和环保要求的项目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5" w:hRule="atLeast"/>
                <w:jc w:val="center"/>
              </w:trPr>
              <w:tc>
                <w:tcPr>
                  <w:tcW w:w="2104" w:type="pct"/>
                  <w:gridSpan w:val="2"/>
                  <w:shd w:val="clear" w:color="auto" w:fill="auto"/>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钢铁冶金</w:t>
                  </w:r>
                </w:p>
              </w:tc>
              <w:tc>
                <w:tcPr>
                  <w:tcW w:w="2895" w:type="pct"/>
                  <w:shd w:val="clear" w:color="auto" w:fill="auto"/>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除增产减污外以任何形式新增钢铁产能项目；</w:t>
                  </w:r>
                </w:p>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其他不符合产业政策和环保要求的项目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566" w:type="pct"/>
                  <w:vMerge w:val="restart"/>
                  <w:shd w:val="clear" w:color="auto" w:fill="auto"/>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铜冶金</w:t>
                  </w:r>
                </w:p>
              </w:tc>
              <w:tc>
                <w:tcPr>
                  <w:tcW w:w="1537" w:type="pct"/>
                  <w:shd w:val="clear" w:color="auto" w:fill="auto"/>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铜金属冶炼压延加工</w:t>
                  </w:r>
                </w:p>
              </w:tc>
              <w:tc>
                <w:tcPr>
                  <w:tcW w:w="2895" w:type="pct"/>
                  <w:vMerge w:val="restart"/>
                  <w:shd w:val="clear" w:color="auto" w:fill="auto"/>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除铜以外的其他有色金属冶炼（含再生有色金属冶炼）及有色金属合金制造项目；</w:t>
                  </w:r>
                </w:p>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锰、铬冶炼项目；</w:t>
                  </w:r>
                </w:p>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不符合产业政策和环保要求的项目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566" w:type="pct"/>
                  <w:vMerge w:val="continue"/>
                  <w:shd w:val="clear" w:color="auto" w:fill="auto"/>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1537" w:type="pct"/>
                  <w:shd w:val="clear" w:color="auto" w:fill="auto"/>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铜精深加工</w:t>
                  </w:r>
                </w:p>
              </w:tc>
              <w:tc>
                <w:tcPr>
                  <w:tcW w:w="2895" w:type="pct"/>
                  <w:vMerge w:val="continue"/>
                  <w:shd w:val="clear" w:color="auto" w:fill="auto"/>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566" w:type="pct"/>
                  <w:vMerge w:val="restart"/>
                  <w:shd w:val="clear" w:color="auto" w:fill="auto"/>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装备制造</w:t>
                  </w:r>
                </w:p>
              </w:tc>
              <w:tc>
                <w:tcPr>
                  <w:tcW w:w="1537" w:type="pct"/>
                  <w:shd w:val="clear" w:color="auto" w:fill="auto"/>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重化矿冶设备与工程机械装备</w:t>
                  </w:r>
                </w:p>
              </w:tc>
              <w:tc>
                <w:tcPr>
                  <w:tcW w:w="2895" w:type="pct"/>
                  <w:vMerge w:val="restart"/>
                  <w:shd w:val="clear" w:color="auto" w:fill="auto"/>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不符合产业政策和环保要求的项目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566" w:type="pct"/>
                  <w:vMerge w:val="continue"/>
                  <w:shd w:val="clear" w:color="auto" w:fill="auto"/>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1537" w:type="pct"/>
                  <w:shd w:val="clear" w:color="auto" w:fill="auto"/>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以铜金属为主要原材料的装备制造、食品设备制造、农用机械制造</w:t>
                  </w:r>
                </w:p>
              </w:tc>
              <w:tc>
                <w:tcPr>
                  <w:tcW w:w="2895" w:type="pct"/>
                  <w:vMerge w:val="continue"/>
                  <w:shd w:val="clear" w:color="auto" w:fill="auto"/>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根据表1-2园区环保负面清单分析，本项目不属于园区环保负面清单的工业项目。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综上所述，本项目与《宜良工业园区总体规划（2016-2030）》要求不冲突。</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2、与《宜良工业园区总体规划（2016-2030）环境影响报告书》及其审查意见的函（云环函[2018]791号）符合性分析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根据《宜良工业园区总体规划（2016-2030）环境影响报告书》，规划环评提出的工业项目入驻要求如下：</w:t>
            </w:r>
          </w:p>
          <w:p>
            <w:pPr>
              <w:pStyle w:val="4"/>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表1-</w:t>
            </w:r>
            <w:r>
              <w:rPr>
                <w:rFonts w:hint="eastAsia" w:cs="Times New Roman"/>
                <w:b/>
                <w:bCs/>
                <w:color w:val="auto"/>
                <w:sz w:val="21"/>
                <w:szCs w:val="21"/>
                <w:highlight w:val="none"/>
                <w:lang w:val="en-US" w:eastAsia="zh-CN"/>
              </w:rPr>
              <w:t>3</w:t>
            </w:r>
            <w:r>
              <w:rPr>
                <w:rFonts w:hint="eastAsia" w:ascii="Times New Roman" w:hAnsi="Times New Roman" w:eastAsia="宋体" w:cs="Times New Roman"/>
                <w:b/>
                <w:bCs/>
                <w:color w:val="auto"/>
                <w:sz w:val="21"/>
                <w:szCs w:val="21"/>
                <w:highlight w:val="none"/>
                <w:lang w:val="en-US" w:eastAsia="zh-CN"/>
              </w:rPr>
              <w:t>项目入驻与规划环评相符性分析</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4153"/>
              <w:gridCol w:w="2160"/>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Align w:val="center"/>
                </w:tcPr>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项目入驻要求</w:t>
                  </w:r>
                </w:p>
              </w:tc>
              <w:tc>
                <w:tcPr>
                  <w:tcW w:w="4153" w:type="dxa"/>
                  <w:vAlign w:val="center"/>
                </w:tcPr>
                <w:p>
                  <w:pPr>
                    <w:autoSpaceDE w:val="0"/>
                    <w:autoSpaceDN w:val="0"/>
                    <w:adjustRightInd w:val="0"/>
                    <w:snapToGrid w:val="0"/>
                    <w:spacing w:line="360" w:lineRule="auto"/>
                    <w:rPr>
                      <w:b w:val="0"/>
                      <w:bCs/>
                      <w:color w:val="auto"/>
                      <w:kern w:val="0"/>
                      <w:szCs w:val="21"/>
                      <w:highlight w:val="none"/>
                    </w:rPr>
                  </w:pPr>
                  <w:r>
                    <w:rPr>
                      <w:rFonts w:hint="eastAsia"/>
                      <w:b w:val="0"/>
                      <w:bCs/>
                      <w:color w:val="auto"/>
                      <w:kern w:val="0"/>
                      <w:szCs w:val="21"/>
                      <w:highlight w:val="none"/>
                      <w:lang w:eastAsia="zh-CN"/>
                    </w:rPr>
                    <w:t>《宜良工业园区总体规划（2016-2030）环境影响报告书》</w:t>
                  </w:r>
                  <w:r>
                    <w:rPr>
                      <w:b w:val="0"/>
                      <w:bCs/>
                      <w:color w:val="auto"/>
                      <w:kern w:val="0"/>
                      <w:szCs w:val="21"/>
                      <w:highlight w:val="none"/>
                    </w:rPr>
                    <w:t>项目入驻要求</w:t>
                  </w:r>
                </w:p>
              </w:tc>
              <w:tc>
                <w:tcPr>
                  <w:tcW w:w="2160" w:type="dxa"/>
                  <w:vAlign w:val="center"/>
                </w:tcPr>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本项目情况</w:t>
                  </w:r>
                </w:p>
              </w:tc>
              <w:tc>
                <w:tcPr>
                  <w:tcW w:w="899" w:type="dxa"/>
                  <w:vAlign w:val="center"/>
                </w:tcPr>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相符性分析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Align w:val="center"/>
                </w:tcPr>
                <w:p>
                  <w:pPr>
                    <w:autoSpaceDE w:val="0"/>
                    <w:autoSpaceDN w:val="0"/>
                    <w:adjustRightInd w:val="0"/>
                    <w:snapToGrid w:val="0"/>
                    <w:spacing w:line="360" w:lineRule="auto"/>
                    <w:rPr>
                      <w:color w:val="auto"/>
                      <w:kern w:val="0"/>
                      <w:szCs w:val="21"/>
                      <w:highlight w:val="none"/>
                    </w:rPr>
                  </w:pPr>
                  <w:r>
                    <w:rPr>
                      <w:color w:val="auto"/>
                      <w:kern w:val="0"/>
                      <w:szCs w:val="21"/>
                      <w:highlight w:val="none"/>
                    </w:rPr>
                    <w:t>入驻原则</w:t>
                  </w:r>
                </w:p>
              </w:tc>
              <w:tc>
                <w:tcPr>
                  <w:tcW w:w="4153" w:type="dxa"/>
                  <w:vAlign w:val="center"/>
                </w:tcPr>
                <w:p>
                  <w:pPr>
                    <w:autoSpaceDE w:val="0"/>
                    <w:autoSpaceDN w:val="0"/>
                    <w:adjustRightInd w:val="0"/>
                    <w:snapToGrid w:val="0"/>
                    <w:spacing w:line="360" w:lineRule="auto"/>
                    <w:rPr>
                      <w:color w:val="auto"/>
                      <w:kern w:val="0"/>
                      <w:szCs w:val="21"/>
                      <w:highlight w:val="none"/>
                    </w:rPr>
                  </w:pPr>
                  <w:r>
                    <w:rPr>
                      <w:color w:val="auto"/>
                      <w:kern w:val="0"/>
                      <w:szCs w:val="21"/>
                      <w:highlight w:val="none"/>
                    </w:rPr>
                    <w:t>1）符合国家及云南省相关产业政策原则：规划区引进的项目，其工艺、规模、产品、选址应符合国家及云南省相关产业政策、园区产业结构和功能布局要求；</w:t>
                  </w:r>
                </w:p>
                <w:p>
                  <w:pPr>
                    <w:autoSpaceDE w:val="0"/>
                    <w:autoSpaceDN w:val="0"/>
                    <w:adjustRightInd w:val="0"/>
                    <w:snapToGrid w:val="0"/>
                    <w:spacing w:line="360" w:lineRule="auto"/>
                    <w:rPr>
                      <w:color w:val="auto"/>
                      <w:kern w:val="0"/>
                      <w:szCs w:val="21"/>
                      <w:highlight w:val="none"/>
                    </w:rPr>
                  </w:pPr>
                  <w:r>
                    <w:rPr>
                      <w:color w:val="auto"/>
                      <w:kern w:val="0"/>
                      <w:szCs w:val="21"/>
                      <w:highlight w:val="none"/>
                    </w:rPr>
                    <w:t>2）有利于实现宜良县产业结构的原则：引进的项目，应有利于推进宜良县工业园区产业结构结症，有利于规划目标的达成；</w:t>
                  </w:r>
                </w:p>
                <w:p>
                  <w:pPr>
                    <w:autoSpaceDE w:val="0"/>
                    <w:autoSpaceDN w:val="0"/>
                    <w:adjustRightInd w:val="0"/>
                    <w:snapToGrid w:val="0"/>
                    <w:spacing w:line="360" w:lineRule="auto"/>
                    <w:rPr>
                      <w:color w:val="auto"/>
                      <w:kern w:val="0"/>
                      <w:szCs w:val="21"/>
                      <w:highlight w:val="none"/>
                    </w:rPr>
                  </w:pPr>
                  <w:r>
                    <w:rPr>
                      <w:color w:val="auto"/>
                      <w:kern w:val="0"/>
                      <w:szCs w:val="21"/>
                      <w:highlight w:val="none"/>
                    </w:rPr>
                    <w:t>3）资源节约原则：引进的项目应能够满足资源节约的原则，冶金、建材清洁生产水平应达国际先进，其余产业清洁生产水平应达到国内先进水平以上；</w:t>
                  </w:r>
                </w:p>
                <w:p>
                  <w:pPr>
                    <w:autoSpaceDE w:val="0"/>
                    <w:autoSpaceDN w:val="0"/>
                    <w:adjustRightInd w:val="0"/>
                    <w:snapToGrid w:val="0"/>
                    <w:spacing w:line="360" w:lineRule="auto"/>
                    <w:rPr>
                      <w:color w:val="auto"/>
                      <w:kern w:val="0"/>
                      <w:szCs w:val="21"/>
                      <w:highlight w:val="none"/>
                    </w:rPr>
                  </w:pPr>
                  <w:r>
                    <w:rPr>
                      <w:color w:val="auto"/>
                      <w:kern w:val="0"/>
                      <w:szCs w:val="21"/>
                      <w:highlight w:val="none"/>
                    </w:rPr>
                    <w:t>4）环境友好原则：引进的项目应符合环境友好的原则，优先引进无污染或少污染、耗水少、工业用水重复利用率高的企业；</w:t>
                  </w:r>
                </w:p>
                <w:p>
                  <w:pPr>
                    <w:autoSpaceDE w:val="0"/>
                    <w:autoSpaceDN w:val="0"/>
                    <w:adjustRightInd w:val="0"/>
                    <w:snapToGrid w:val="0"/>
                    <w:spacing w:line="360" w:lineRule="auto"/>
                    <w:rPr>
                      <w:color w:val="auto"/>
                      <w:kern w:val="0"/>
                      <w:szCs w:val="21"/>
                      <w:highlight w:val="none"/>
                    </w:rPr>
                  </w:pPr>
                  <w:r>
                    <w:rPr>
                      <w:color w:val="auto"/>
                      <w:kern w:val="0"/>
                      <w:szCs w:val="21"/>
                      <w:highlight w:val="none"/>
                    </w:rPr>
                    <w:t>5）协调发展原则：引进的项目应有利于统筹城乡协调发展，有利于改善区域环境质量。</w:t>
                  </w:r>
                </w:p>
              </w:tc>
              <w:tc>
                <w:tcPr>
                  <w:tcW w:w="2160" w:type="dxa"/>
                  <w:vAlign w:val="center"/>
                </w:tcPr>
                <w:p>
                  <w:pPr>
                    <w:autoSpaceDE w:val="0"/>
                    <w:autoSpaceDN w:val="0"/>
                    <w:adjustRightInd w:val="0"/>
                    <w:snapToGrid w:val="0"/>
                    <w:spacing w:line="360" w:lineRule="auto"/>
                    <w:rPr>
                      <w:color w:val="auto"/>
                      <w:kern w:val="0"/>
                      <w:szCs w:val="21"/>
                      <w:highlight w:val="none"/>
                    </w:rPr>
                  </w:pPr>
                  <w:r>
                    <w:rPr>
                      <w:color w:val="auto"/>
                      <w:kern w:val="0"/>
                      <w:szCs w:val="21"/>
                      <w:highlight w:val="none"/>
                    </w:rPr>
                    <w:t>本项目为分布式集中供热项目，为园区企业进行供热，本项目使用生物质颗粒作为燃料，符合现行的园区产业结构不冲突和功能布局。本项目的建设有效解决原企业小锅炉粗狂管理的运营模式。</w:t>
                  </w:r>
                </w:p>
              </w:tc>
              <w:tc>
                <w:tcPr>
                  <w:tcW w:w="899" w:type="dxa"/>
                  <w:vAlign w:val="center"/>
                </w:tcPr>
                <w:p>
                  <w:pPr>
                    <w:autoSpaceDE w:val="0"/>
                    <w:autoSpaceDN w:val="0"/>
                    <w:adjustRightInd w:val="0"/>
                    <w:snapToGrid w:val="0"/>
                    <w:spacing w:line="360" w:lineRule="auto"/>
                    <w:rPr>
                      <w:color w:val="auto"/>
                      <w:kern w:val="0"/>
                      <w:szCs w:val="21"/>
                      <w:highlight w:val="none"/>
                    </w:rPr>
                  </w:pPr>
                  <w:r>
                    <w:rPr>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Align w:val="center"/>
                </w:tcPr>
                <w:p>
                  <w:pPr>
                    <w:autoSpaceDE w:val="0"/>
                    <w:autoSpaceDN w:val="0"/>
                    <w:adjustRightInd w:val="0"/>
                    <w:snapToGrid w:val="0"/>
                    <w:spacing w:line="360" w:lineRule="auto"/>
                    <w:rPr>
                      <w:color w:val="auto"/>
                      <w:kern w:val="0"/>
                      <w:szCs w:val="21"/>
                      <w:highlight w:val="none"/>
                    </w:rPr>
                  </w:pPr>
                  <w:r>
                    <w:rPr>
                      <w:color w:val="auto"/>
                      <w:kern w:val="0"/>
                      <w:szCs w:val="21"/>
                      <w:highlight w:val="none"/>
                    </w:rPr>
                    <w:t>入驻项目环保要求</w:t>
                  </w:r>
                </w:p>
              </w:tc>
              <w:tc>
                <w:tcPr>
                  <w:tcW w:w="4153" w:type="dxa"/>
                  <w:vAlign w:val="center"/>
                </w:tcPr>
                <w:p>
                  <w:pPr>
                    <w:spacing w:line="360" w:lineRule="auto"/>
                    <w:rPr>
                      <w:rFonts w:hint="eastAsia" w:eastAsia="宋体"/>
                      <w:color w:val="auto"/>
                      <w:szCs w:val="21"/>
                      <w:highlight w:val="none"/>
                      <w:lang w:eastAsia="zh-CN"/>
                    </w:rPr>
                  </w:pPr>
                  <w:r>
                    <w:rPr>
                      <w:color w:val="auto"/>
                      <w:szCs w:val="21"/>
                      <w:highlight w:val="none"/>
                    </w:rPr>
                    <w:t>1）入驻项目应按照国家相关法律法规，开展环境影响评价工作</w:t>
                  </w:r>
                  <w:r>
                    <w:rPr>
                      <w:rFonts w:hint="eastAsia"/>
                      <w:color w:val="auto"/>
                      <w:szCs w:val="21"/>
                      <w:highlight w:val="none"/>
                      <w:lang w:eastAsia="zh-CN"/>
                    </w:rPr>
                    <w:t>；</w:t>
                  </w:r>
                </w:p>
                <w:p>
                  <w:pPr>
                    <w:spacing w:line="360" w:lineRule="auto"/>
                    <w:rPr>
                      <w:color w:val="auto"/>
                      <w:szCs w:val="21"/>
                      <w:highlight w:val="none"/>
                    </w:rPr>
                  </w:pPr>
                  <w:r>
                    <w:rPr>
                      <w:color w:val="auto"/>
                      <w:szCs w:val="21"/>
                      <w:highlight w:val="none"/>
                    </w:rPr>
                    <w:t>2）入驻项目必须实现达标排放，同时满足规划区总量控制要求；</w:t>
                  </w:r>
                </w:p>
                <w:p>
                  <w:pPr>
                    <w:spacing w:line="360" w:lineRule="auto"/>
                    <w:rPr>
                      <w:color w:val="auto"/>
                      <w:szCs w:val="21"/>
                      <w:highlight w:val="none"/>
                    </w:rPr>
                  </w:pPr>
                  <w:r>
                    <w:rPr>
                      <w:color w:val="auto"/>
                      <w:szCs w:val="21"/>
                      <w:highlight w:val="none"/>
                    </w:rPr>
                    <w:t>3）入驻项目应采取满足达标排放要求、运行稳定、技术先进、经济效益好的污染治理设施、措施；</w:t>
                  </w:r>
                </w:p>
                <w:p>
                  <w:pPr>
                    <w:spacing w:line="360" w:lineRule="auto"/>
                    <w:rPr>
                      <w:color w:val="auto"/>
                      <w:szCs w:val="21"/>
                      <w:highlight w:val="none"/>
                    </w:rPr>
                  </w:pPr>
                  <w:r>
                    <w:rPr>
                      <w:color w:val="auto"/>
                      <w:szCs w:val="21"/>
                      <w:highlight w:val="none"/>
                    </w:rPr>
                    <w:t>4）对排放相同特征污染物的企业，应鼓励企业之间建设联合污染治理措施，以降低污染治理成本；</w:t>
                  </w:r>
                </w:p>
                <w:p>
                  <w:pPr>
                    <w:spacing w:line="360" w:lineRule="auto"/>
                    <w:rPr>
                      <w:color w:val="auto"/>
                      <w:szCs w:val="21"/>
                      <w:highlight w:val="none"/>
                    </w:rPr>
                  </w:pPr>
                  <w:r>
                    <w:rPr>
                      <w:color w:val="auto"/>
                      <w:szCs w:val="21"/>
                      <w:highlight w:val="none"/>
                    </w:rPr>
                    <w:t>5）入驻企业产生的各种工业固体废弃物，应满足</w:t>
                  </w:r>
                  <w:r>
                    <w:rPr>
                      <w:rFonts w:hint="eastAsia"/>
                      <w:color w:val="auto"/>
                      <w:szCs w:val="21"/>
                      <w:highlight w:val="none"/>
                      <w:lang w:eastAsia="zh-CN"/>
                    </w:rPr>
                    <w:t>“</w:t>
                  </w:r>
                  <w:r>
                    <w:rPr>
                      <w:color w:val="auto"/>
                      <w:szCs w:val="21"/>
                      <w:highlight w:val="none"/>
                    </w:rPr>
                    <w:t>减量化、资源化、无害化</w:t>
                  </w:r>
                  <w:r>
                    <w:rPr>
                      <w:rFonts w:hint="eastAsia"/>
                      <w:color w:val="auto"/>
                      <w:szCs w:val="21"/>
                      <w:highlight w:val="none"/>
                      <w:lang w:eastAsia="zh-CN"/>
                    </w:rPr>
                    <w:t>”</w:t>
                  </w:r>
                  <w:r>
                    <w:rPr>
                      <w:color w:val="auto"/>
                      <w:szCs w:val="21"/>
                      <w:highlight w:val="none"/>
                    </w:rPr>
                    <w:t>要求，实现废物的综合利用；</w:t>
                  </w:r>
                </w:p>
                <w:p>
                  <w:pPr>
                    <w:spacing w:line="360" w:lineRule="auto"/>
                    <w:rPr>
                      <w:rFonts w:hint="eastAsia" w:eastAsia="宋体"/>
                      <w:color w:val="auto"/>
                      <w:szCs w:val="21"/>
                      <w:highlight w:val="none"/>
                      <w:lang w:eastAsia="zh-CN"/>
                    </w:rPr>
                  </w:pPr>
                  <w:r>
                    <w:rPr>
                      <w:color w:val="auto"/>
                      <w:szCs w:val="21"/>
                      <w:highlight w:val="none"/>
                    </w:rPr>
                    <w:t>6）应鼓励各入驻企业积极参与和本企业有关的环保技术的研发，并尽快形成生产力</w:t>
                  </w:r>
                  <w:r>
                    <w:rPr>
                      <w:rFonts w:hint="eastAsia"/>
                      <w:color w:val="auto"/>
                      <w:szCs w:val="21"/>
                      <w:highlight w:val="none"/>
                      <w:lang w:eastAsia="zh-CN"/>
                    </w:rPr>
                    <w:t>；</w:t>
                  </w:r>
                </w:p>
                <w:p>
                  <w:pPr>
                    <w:spacing w:line="360" w:lineRule="auto"/>
                    <w:rPr>
                      <w:color w:val="auto"/>
                      <w:szCs w:val="21"/>
                      <w:highlight w:val="none"/>
                    </w:rPr>
                  </w:pPr>
                  <w:r>
                    <w:rPr>
                      <w:color w:val="auto"/>
                      <w:szCs w:val="21"/>
                      <w:highlight w:val="none"/>
                    </w:rPr>
                    <w:t>7）入驻企业清洁生产水平应达到国内先进水平以上。</w:t>
                  </w:r>
                </w:p>
              </w:tc>
              <w:tc>
                <w:tcPr>
                  <w:tcW w:w="2160" w:type="dxa"/>
                  <w:vAlign w:val="center"/>
                </w:tcPr>
                <w:p>
                  <w:pPr>
                    <w:autoSpaceDE w:val="0"/>
                    <w:autoSpaceDN w:val="0"/>
                    <w:adjustRightInd w:val="0"/>
                    <w:snapToGrid w:val="0"/>
                    <w:spacing w:line="360" w:lineRule="auto"/>
                    <w:rPr>
                      <w:color w:val="auto"/>
                      <w:kern w:val="0"/>
                      <w:szCs w:val="21"/>
                      <w:highlight w:val="none"/>
                    </w:rPr>
                  </w:pPr>
                  <w:r>
                    <w:rPr>
                      <w:color w:val="auto"/>
                      <w:kern w:val="0"/>
                      <w:szCs w:val="21"/>
                      <w:highlight w:val="none"/>
                    </w:rPr>
                    <w:t>项目按照国家相关法律法律，正在开展环境影响评价工作。项目运营期间产生的各类污染物在采取相应的污染治理措施后外排污染物均可实现达标。项目产生的</w:t>
                  </w:r>
                  <w:r>
                    <w:rPr>
                      <w:color w:val="auto"/>
                      <w:szCs w:val="21"/>
                      <w:highlight w:val="none"/>
                    </w:rPr>
                    <w:t>固体废弃物，能够满足</w:t>
                  </w:r>
                  <w:r>
                    <w:rPr>
                      <w:rFonts w:hint="eastAsia"/>
                      <w:color w:val="auto"/>
                      <w:szCs w:val="21"/>
                      <w:highlight w:val="none"/>
                      <w:lang w:eastAsia="zh-CN"/>
                    </w:rPr>
                    <w:t>“</w:t>
                  </w:r>
                  <w:r>
                    <w:rPr>
                      <w:color w:val="auto"/>
                      <w:szCs w:val="21"/>
                      <w:highlight w:val="none"/>
                    </w:rPr>
                    <w:t>减量化、资源化、无害化</w:t>
                  </w:r>
                  <w:r>
                    <w:rPr>
                      <w:rFonts w:hint="eastAsia"/>
                      <w:color w:val="auto"/>
                      <w:szCs w:val="21"/>
                      <w:highlight w:val="none"/>
                      <w:lang w:eastAsia="zh-CN"/>
                    </w:rPr>
                    <w:t>”</w:t>
                  </w:r>
                  <w:r>
                    <w:rPr>
                      <w:color w:val="auto"/>
                      <w:szCs w:val="21"/>
                      <w:highlight w:val="none"/>
                    </w:rPr>
                    <w:t>要求，实现废物的综合利用。</w:t>
                  </w:r>
                </w:p>
              </w:tc>
              <w:tc>
                <w:tcPr>
                  <w:tcW w:w="899" w:type="dxa"/>
                  <w:vAlign w:val="center"/>
                </w:tcPr>
                <w:p>
                  <w:pPr>
                    <w:autoSpaceDE w:val="0"/>
                    <w:autoSpaceDN w:val="0"/>
                    <w:adjustRightInd w:val="0"/>
                    <w:snapToGrid w:val="0"/>
                    <w:spacing w:line="360" w:lineRule="auto"/>
                    <w:rPr>
                      <w:color w:val="auto"/>
                      <w:kern w:val="0"/>
                      <w:szCs w:val="21"/>
                      <w:highlight w:val="none"/>
                    </w:rPr>
                  </w:pPr>
                  <w:r>
                    <w:rPr>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5" w:type="dxa"/>
                  <w:vAlign w:val="center"/>
                </w:tcPr>
                <w:p>
                  <w:pPr>
                    <w:autoSpaceDE w:val="0"/>
                    <w:autoSpaceDN w:val="0"/>
                    <w:adjustRightInd w:val="0"/>
                    <w:snapToGrid w:val="0"/>
                    <w:spacing w:line="360" w:lineRule="auto"/>
                    <w:rPr>
                      <w:color w:val="auto"/>
                      <w:kern w:val="0"/>
                      <w:szCs w:val="21"/>
                      <w:highlight w:val="none"/>
                    </w:rPr>
                  </w:pPr>
                  <w:r>
                    <w:rPr>
                      <w:color w:val="auto"/>
                      <w:kern w:val="0"/>
                      <w:szCs w:val="21"/>
                      <w:highlight w:val="none"/>
                    </w:rPr>
                    <w:t>产业分类</w:t>
                  </w:r>
                </w:p>
              </w:tc>
              <w:tc>
                <w:tcPr>
                  <w:tcW w:w="4153" w:type="dxa"/>
                  <w:vAlign w:val="center"/>
                </w:tcPr>
                <w:p>
                  <w:pPr>
                    <w:spacing w:line="360" w:lineRule="auto"/>
                    <w:rPr>
                      <w:color w:val="auto"/>
                      <w:szCs w:val="21"/>
                      <w:highlight w:val="none"/>
                    </w:rPr>
                  </w:pPr>
                  <w:r>
                    <w:rPr>
                      <w:color w:val="auto"/>
                      <w:szCs w:val="21"/>
                      <w:highlight w:val="none"/>
                    </w:rPr>
                    <w:t>1）云南铜业整体搬迁；</w:t>
                  </w:r>
                </w:p>
                <w:p>
                  <w:pPr>
                    <w:spacing w:line="360" w:lineRule="auto"/>
                    <w:rPr>
                      <w:color w:val="auto"/>
                      <w:szCs w:val="21"/>
                      <w:highlight w:val="none"/>
                    </w:rPr>
                  </w:pPr>
                  <w:r>
                    <w:rPr>
                      <w:color w:val="auto"/>
                      <w:szCs w:val="21"/>
                      <w:highlight w:val="none"/>
                    </w:rPr>
                    <w:t>2）铜金属为主要原材料的装备制造等产业；</w:t>
                  </w:r>
                </w:p>
                <w:p>
                  <w:pPr>
                    <w:spacing w:line="360" w:lineRule="auto"/>
                    <w:rPr>
                      <w:rFonts w:hint="eastAsia" w:eastAsia="宋体"/>
                      <w:color w:val="auto"/>
                      <w:szCs w:val="21"/>
                      <w:highlight w:val="none"/>
                      <w:lang w:eastAsia="zh-CN"/>
                    </w:rPr>
                  </w:pPr>
                  <w:r>
                    <w:rPr>
                      <w:color w:val="auto"/>
                      <w:szCs w:val="21"/>
                      <w:highlight w:val="none"/>
                    </w:rPr>
                    <w:t>3）特色化、规模化的特色农产品加工产业</w:t>
                  </w:r>
                  <w:r>
                    <w:rPr>
                      <w:rFonts w:hint="eastAsia"/>
                      <w:color w:val="auto"/>
                      <w:szCs w:val="21"/>
                      <w:highlight w:val="none"/>
                      <w:lang w:eastAsia="zh-CN"/>
                    </w:rPr>
                    <w:t>；</w:t>
                  </w:r>
                </w:p>
                <w:p>
                  <w:pPr>
                    <w:spacing w:line="360" w:lineRule="auto"/>
                    <w:rPr>
                      <w:rFonts w:hint="eastAsia" w:eastAsia="宋体"/>
                      <w:color w:val="auto"/>
                      <w:szCs w:val="21"/>
                      <w:highlight w:val="none"/>
                      <w:lang w:eastAsia="zh-CN"/>
                    </w:rPr>
                  </w:pPr>
                  <w:r>
                    <w:rPr>
                      <w:color w:val="auto"/>
                      <w:szCs w:val="21"/>
                      <w:highlight w:val="none"/>
                    </w:rPr>
                    <w:t>4）满足10.1.1及10.1.2要求的其它产业</w:t>
                  </w:r>
                  <w:r>
                    <w:rPr>
                      <w:rFonts w:hint="eastAsia"/>
                      <w:color w:val="auto"/>
                      <w:szCs w:val="21"/>
                      <w:highlight w:val="none"/>
                      <w:lang w:eastAsia="zh-CN"/>
                    </w:rPr>
                    <w:t>。</w:t>
                  </w:r>
                </w:p>
                <w:p>
                  <w:pPr>
                    <w:spacing w:line="360" w:lineRule="auto"/>
                    <w:rPr>
                      <w:color w:val="auto"/>
                      <w:szCs w:val="21"/>
                      <w:highlight w:val="none"/>
                    </w:rPr>
                  </w:pPr>
                  <w:r>
                    <w:rPr>
                      <w:color w:val="auto"/>
                      <w:szCs w:val="21"/>
                      <w:highlight w:val="none"/>
                    </w:rPr>
                    <w:t>有序发展下列产业：</w:t>
                  </w:r>
                </w:p>
                <w:p>
                  <w:pPr>
                    <w:spacing w:line="360" w:lineRule="auto"/>
                    <w:rPr>
                      <w:color w:val="auto"/>
                      <w:szCs w:val="21"/>
                      <w:highlight w:val="none"/>
                    </w:rPr>
                  </w:pPr>
                  <w:r>
                    <w:rPr>
                      <w:color w:val="auto"/>
                      <w:szCs w:val="21"/>
                      <w:highlight w:val="none"/>
                    </w:rPr>
                    <w:t>1）饲料加工产业；</w:t>
                  </w:r>
                </w:p>
                <w:p>
                  <w:pPr>
                    <w:spacing w:line="360" w:lineRule="auto"/>
                    <w:rPr>
                      <w:rFonts w:hint="eastAsia" w:eastAsia="宋体"/>
                      <w:color w:val="auto"/>
                      <w:szCs w:val="21"/>
                      <w:highlight w:val="none"/>
                      <w:lang w:eastAsia="zh-CN"/>
                    </w:rPr>
                  </w:pPr>
                  <w:r>
                    <w:rPr>
                      <w:color w:val="auto"/>
                      <w:szCs w:val="21"/>
                      <w:highlight w:val="none"/>
                    </w:rPr>
                    <w:t>2）新型建材产业（现有水泥行业对其脱硝装置进行提升改造）</w:t>
                  </w:r>
                  <w:r>
                    <w:rPr>
                      <w:rFonts w:hint="eastAsia"/>
                      <w:color w:val="auto"/>
                      <w:szCs w:val="21"/>
                      <w:highlight w:val="none"/>
                      <w:lang w:eastAsia="zh-CN"/>
                    </w:rPr>
                    <w:t>。</w:t>
                  </w:r>
                </w:p>
                <w:p>
                  <w:pPr>
                    <w:spacing w:line="360" w:lineRule="auto"/>
                    <w:rPr>
                      <w:color w:val="auto"/>
                      <w:szCs w:val="21"/>
                      <w:highlight w:val="none"/>
                    </w:rPr>
                  </w:pPr>
                  <w:r>
                    <w:rPr>
                      <w:color w:val="auto"/>
                      <w:szCs w:val="21"/>
                      <w:highlight w:val="none"/>
                    </w:rPr>
                    <w:t>限制发展下列产业：</w:t>
                  </w:r>
                </w:p>
                <w:p>
                  <w:pPr>
                    <w:spacing w:line="360" w:lineRule="auto"/>
                    <w:rPr>
                      <w:color w:val="auto"/>
                      <w:szCs w:val="21"/>
                      <w:highlight w:val="none"/>
                    </w:rPr>
                  </w:pPr>
                  <w:r>
                    <w:rPr>
                      <w:color w:val="auto"/>
                      <w:szCs w:val="21"/>
                      <w:highlight w:val="none"/>
                    </w:rPr>
                    <w:t>1）不符合规划功能布局的相关产业；</w:t>
                  </w:r>
                </w:p>
                <w:p>
                  <w:pPr>
                    <w:spacing w:line="360" w:lineRule="auto"/>
                    <w:rPr>
                      <w:color w:val="auto"/>
                      <w:szCs w:val="21"/>
                      <w:highlight w:val="none"/>
                    </w:rPr>
                  </w:pPr>
                  <w:r>
                    <w:rPr>
                      <w:color w:val="auto"/>
                      <w:szCs w:val="21"/>
                      <w:highlight w:val="none"/>
                    </w:rPr>
                    <w:t>2）国家规定限制发展、符合规划要求的其它产业。</w:t>
                  </w:r>
                </w:p>
                <w:p>
                  <w:pPr>
                    <w:spacing w:line="360" w:lineRule="auto"/>
                    <w:rPr>
                      <w:color w:val="auto"/>
                      <w:szCs w:val="21"/>
                      <w:highlight w:val="none"/>
                    </w:rPr>
                  </w:pPr>
                  <w:r>
                    <w:rPr>
                      <w:color w:val="auto"/>
                      <w:szCs w:val="21"/>
                      <w:highlight w:val="none"/>
                    </w:rPr>
                    <w:t>禁止发展下列产业：</w:t>
                  </w:r>
                </w:p>
                <w:p>
                  <w:pPr>
                    <w:spacing w:line="360" w:lineRule="auto"/>
                    <w:rPr>
                      <w:color w:val="auto"/>
                      <w:kern w:val="0"/>
                      <w:szCs w:val="21"/>
                      <w:highlight w:val="none"/>
                    </w:rPr>
                  </w:pPr>
                  <w:r>
                    <w:rPr>
                      <w:color w:val="auto"/>
                      <w:szCs w:val="21"/>
                      <w:highlight w:val="none"/>
                    </w:rPr>
                    <w:t>1）国家规定禁止发展的其他产业。</w:t>
                  </w:r>
                </w:p>
              </w:tc>
              <w:tc>
                <w:tcPr>
                  <w:tcW w:w="2160" w:type="dxa"/>
                  <w:vAlign w:val="center"/>
                </w:tcPr>
                <w:p>
                  <w:pPr>
                    <w:autoSpaceDE w:val="0"/>
                    <w:autoSpaceDN w:val="0"/>
                    <w:adjustRightInd w:val="0"/>
                    <w:snapToGrid w:val="0"/>
                    <w:spacing w:line="360" w:lineRule="auto"/>
                    <w:rPr>
                      <w:color w:val="auto"/>
                      <w:kern w:val="0"/>
                      <w:szCs w:val="21"/>
                      <w:highlight w:val="none"/>
                    </w:rPr>
                  </w:pPr>
                  <w:r>
                    <w:rPr>
                      <w:color w:val="auto"/>
                      <w:kern w:val="0"/>
                      <w:szCs w:val="21"/>
                      <w:highlight w:val="none"/>
                    </w:rPr>
                    <w:t>本项目为分布式集中供热项目，为园区饲料加工产业提供能源，符合园区产业分类；本项目使用生物质颗粒作为燃料，不属于</w:t>
                  </w:r>
                  <w:r>
                    <w:rPr>
                      <w:rFonts w:hint="eastAsia"/>
                      <w:color w:val="auto"/>
                      <w:kern w:val="0"/>
                      <w:szCs w:val="21"/>
                      <w:highlight w:val="none"/>
                      <w:lang w:val="en-US" w:eastAsia="zh-CN"/>
                    </w:rPr>
                    <w:t>限制</w:t>
                  </w:r>
                  <w:r>
                    <w:rPr>
                      <w:color w:val="auto"/>
                      <w:kern w:val="0"/>
                      <w:szCs w:val="21"/>
                      <w:highlight w:val="none"/>
                    </w:rPr>
                    <w:t>发展和禁止发展的产业。</w:t>
                  </w:r>
                </w:p>
              </w:tc>
              <w:tc>
                <w:tcPr>
                  <w:tcW w:w="899" w:type="dxa"/>
                  <w:vAlign w:val="center"/>
                </w:tcPr>
                <w:p>
                  <w:pPr>
                    <w:autoSpaceDE w:val="0"/>
                    <w:autoSpaceDN w:val="0"/>
                    <w:adjustRightInd w:val="0"/>
                    <w:snapToGrid w:val="0"/>
                    <w:spacing w:line="360" w:lineRule="auto"/>
                    <w:rPr>
                      <w:color w:val="auto"/>
                      <w:kern w:val="0"/>
                      <w:szCs w:val="21"/>
                      <w:highlight w:val="none"/>
                    </w:rPr>
                  </w:pPr>
                  <w:r>
                    <w:rPr>
                      <w:color w:val="auto"/>
                      <w:kern w:val="0"/>
                      <w:szCs w:val="21"/>
                      <w:highlight w:val="none"/>
                    </w:rPr>
                    <w:t>符合</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通过表1-3对照分析，本项目为分布式集中供热项目，使用生物质颗粒作为燃料，为园区饲料加工产业提供能源，本项目符合园区产业分类，不属于限制发展和禁止发展的产业，与《宜良工业园区总体规划（2016-2030）环境影响报告书》中对于项目入驻的要求规定不冲突。</w:t>
            </w:r>
          </w:p>
          <w:p>
            <w:pPr>
              <w:pStyle w:val="4"/>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表1-</w:t>
            </w:r>
            <w:r>
              <w:rPr>
                <w:rFonts w:hint="eastAsia" w:cs="Times New Roman"/>
                <w:b/>
                <w:bCs/>
                <w:color w:val="auto"/>
                <w:sz w:val="21"/>
                <w:szCs w:val="21"/>
                <w:highlight w:val="none"/>
                <w:lang w:val="en-US" w:eastAsia="zh-CN"/>
              </w:rPr>
              <w:t>4</w:t>
            </w:r>
            <w:r>
              <w:rPr>
                <w:rFonts w:hint="eastAsia" w:ascii="Times New Roman" w:hAnsi="Times New Roman" w:eastAsia="宋体" w:cs="Times New Roman"/>
                <w:b/>
                <w:bCs/>
                <w:color w:val="auto"/>
                <w:sz w:val="21"/>
                <w:szCs w:val="21"/>
                <w:highlight w:val="none"/>
                <w:lang w:val="en-US" w:eastAsia="zh-CN"/>
              </w:rPr>
              <w:t>项目与规划环评审查意见相符性分析</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67"/>
              <w:gridCol w:w="2835"/>
              <w:gridCol w:w="1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jc w:val="center"/>
              </w:trPr>
              <w:tc>
                <w:tcPr>
                  <w:tcW w:w="2593" w:type="pct"/>
                  <w:vAlign w:val="center"/>
                </w:tcPr>
                <w:p>
                  <w:pPr>
                    <w:autoSpaceDE w:val="0"/>
                    <w:autoSpaceDN w:val="0"/>
                    <w:adjustRightInd w:val="0"/>
                    <w:snapToGrid w:val="0"/>
                    <w:spacing w:line="360" w:lineRule="auto"/>
                    <w:rPr>
                      <w:b w:val="0"/>
                      <w:bCs/>
                      <w:color w:val="auto"/>
                      <w:kern w:val="0"/>
                      <w:szCs w:val="21"/>
                      <w:highlight w:val="none"/>
                    </w:rPr>
                  </w:pPr>
                  <w:r>
                    <w:rPr>
                      <w:rFonts w:hint="eastAsia"/>
                      <w:b w:val="0"/>
                      <w:bCs/>
                      <w:color w:val="auto"/>
                      <w:kern w:val="0"/>
                      <w:szCs w:val="21"/>
                      <w:highlight w:val="none"/>
                      <w:lang w:eastAsia="zh-CN"/>
                    </w:rPr>
                    <w:t>《</w:t>
                  </w:r>
                  <w:r>
                    <w:rPr>
                      <w:b w:val="0"/>
                      <w:bCs/>
                      <w:color w:val="auto"/>
                      <w:kern w:val="0"/>
                      <w:szCs w:val="21"/>
                      <w:highlight w:val="none"/>
                    </w:rPr>
                    <w:t>宜良工业园区总体规划（2016-2030）环境影响报告书</w:t>
                  </w:r>
                  <w:r>
                    <w:rPr>
                      <w:rFonts w:hint="eastAsia"/>
                      <w:b w:val="0"/>
                      <w:bCs/>
                      <w:color w:val="auto"/>
                      <w:kern w:val="0"/>
                      <w:szCs w:val="21"/>
                      <w:highlight w:val="none"/>
                      <w:lang w:eastAsia="zh-CN"/>
                    </w:rPr>
                    <w:t>》</w:t>
                  </w:r>
                  <w:r>
                    <w:rPr>
                      <w:b w:val="0"/>
                      <w:bCs/>
                      <w:color w:val="auto"/>
                      <w:kern w:val="0"/>
                      <w:szCs w:val="21"/>
                      <w:highlight w:val="none"/>
                    </w:rPr>
                    <w:t>审查意见要求</w:t>
                  </w:r>
                </w:p>
              </w:tc>
              <w:tc>
                <w:tcPr>
                  <w:tcW w:w="1764" w:type="pct"/>
                  <w:vAlign w:val="center"/>
                </w:tcPr>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本项目情况</w:t>
                  </w:r>
                </w:p>
              </w:tc>
              <w:tc>
                <w:tcPr>
                  <w:tcW w:w="642" w:type="pct"/>
                  <w:vAlign w:val="center"/>
                </w:tcPr>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相符性分析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593" w:type="pct"/>
                  <w:vAlign w:val="center"/>
                </w:tcPr>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（一）树立红线意识和底线思维，严格遵守法律法规底线和生态保护红线，统筹保护好生态空间，严禁不符合管控要求的开发和建设活动。</w:t>
                  </w:r>
                </w:p>
              </w:tc>
              <w:tc>
                <w:tcPr>
                  <w:tcW w:w="1764" w:type="pct"/>
                  <w:vAlign w:val="center"/>
                </w:tcPr>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项目位于宜良工业园区北古城片区西北部地区及中东部地区，本项目为分布式集中供热项目，为园区企业进行供热，本项目使用生物质颗粒作为燃料，与现行的园区产业结构不冲突，本项目不属于</w:t>
                  </w:r>
                  <w:r>
                    <w:rPr>
                      <w:rFonts w:hint="eastAsia"/>
                      <w:b w:val="0"/>
                      <w:bCs/>
                      <w:color w:val="auto"/>
                      <w:kern w:val="0"/>
                      <w:szCs w:val="21"/>
                      <w:highlight w:val="none"/>
                      <w:lang w:eastAsia="zh-CN"/>
                    </w:rPr>
                    <w:t>“</w:t>
                  </w:r>
                  <w:r>
                    <w:rPr>
                      <w:b w:val="0"/>
                      <w:bCs/>
                      <w:color w:val="auto"/>
                      <w:kern w:val="0"/>
                      <w:szCs w:val="21"/>
                      <w:highlight w:val="none"/>
                    </w:rPr>
                    <w:t>园区环保负面清单</w:t>
                  </w:r>
                  <w:r>
                    <w:rPr>
                      <w:rFonts w:hint="eastAsia"/>
                      <w:b w:val="0"/>
                      <w:bCs/>
                      <w:color w:val="auto"/>
                      <w:kern w:val="0"/>
                      <w:szCs w:val="21"/>
                      <w:highlight w:val="none"/>
                      <w:lang w:eastAsia="zh-CN"/>
                    </w:rPr>
                    <w:t>”</w:t>
                  </w:r>
                  <w:r>
                    <w:rPr>
                      <w:b w:val="0"/>
                      <w:bCs/>
                      <w:color w:val="auto"/>
                      <w:kern w:val="0"/>
                      <w:szCs w:val="21"/>
                      <w:highlight w:val="none"/>
                    </w:rPr>
                    <w:t>中涉及的项目。</w:t>
                  </w:r>
                </w:p>
              </w:tc>
              <w:tc>
                <w:tcPr>
                  <w:tcW w:w="642" w:type="pct"/>
                  <w:vAlign w:val="center"/>
                </w:tcPr>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593" w:type="pct"/>
                  <w:vAlign w:val="center"/>
                </w:tcPr>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（二）加强规划衔接，优化产业布局和结构。根据省、市、县</w:t>
                  </w:r>
                  <w:r>
                    <w:rPr>
                      <w:rFonts w:hint="eastAsia"/>
                      <w:b w:val="0"/>
                      <w:bCs/>
                      <w:color w:val="auto"/>
                      <w:kern w:val="0"/>
                      <w:szCs w:val="21"/>
                      <w:highlight w:val="none"/>
                      <w:lang w:eastAsia="zh-CN"/>
                    </w:rPr>
                    <w:t>“</w:t>
                  </w:r>
                  <w:r>
                    <w:rPr>
                      <w:b w:val="0"/>
                      <w:bCs/>
                      <w:color w:val="auto"/>
                      <w:kern w:val="0"/>
                      <w:szCs w:val="21"/>
                      <w:highlight w:val="none"/>
                    </w:rPr>
                    <w:t>十三五</w:t>
                  </w:r>
                  <w:r>
                    <w:rPr>
                      <w:rFonts w:hint="eastAsia"/>
                      <w:b w:val="0"/>
                      <w:bCs/>
                      <w:color w:val="auto"/>
                      <w:kern w:val="0"/>
                      <w:szCs w:val="21"/>
                      <w:highlight w:val="none"/>
                      <w:lang w:eastAsia="zh-CN"/>
                    </w:rPr>
                    <w:t>”</w:t>
                  </w:r>
                  <w:r>
                    <w:rPr>
                      <w:b w:val="0"/>
                      <w:bCs/>
                      <w:color w:val="auto"/>
                      <w:kern w:val="0"/>
                      <w:szCs w:val="21"/>
                      <w:highlight w:val="none"/>
                    </w:rPr>
                    <w:t>工业产业布局规划，结合主体功能区划、宜良县城市总体规划、土地利用规划等进一步优化园区产业规划和布局，确保符合相关规划要求。</w:t>
                  </w:r>
                </w:p>
              </w:tc>
              <w:tc>
                <w:tcPr>
                  <w:tcW w:w="1764" w:type="pct"/>
                  <w:vAlign w:val="center"/>
                </w:tcPr>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本项目为分布式集中供热项目，为园区企业进行供热，本项目使用生物质颗粒作为燃料，与现行的园区产业结构不冲突，本项目不属于</w:t>
                  </w:r>
                  <w:r>
                    <w:rPr>
                      <w:rFonts w:hint="eastAsia"/>
                      <w:b w:val="0"/>
                      <w:bCs/>
                      <w:color w:val="auto"/>
                      <w:kern w:val="0"/>
                      <w:szCs w:val="21"/>
                      <w:highlight w:val="none"/>
                      <w:lang w:eastAsia="zh-CN"/>
                    </w:rPr>
                    <w:t>“</w:t>
                  </w:r>
                  <w:r>
                    <w:rPr>
                      <w:b w:val="0"/>
                      <w:bCs/>
                      <w:color w:val="auto"/>
                      <w:kern w:val="0"/>
                      <w:szCs w:val="21"/>
                      <w:highlight w:val="none"/>
                    </w:rPr>
                    <w:t>园区环保负面清单</w:t>
                  </w:r>
                  <w:r>
                    <w:rPr>
                      <w:rFonts w:hint="eastAsia"/>
                      <w:b w:val="0"/>
                      <w:bCs/>
                      <w:color w:val="auto"/>
                      <w:kern w:val="0"/>
                      <w:szCs w:val="21"/>
                      <w:highlight w:val="none"/>
                      <w:lang w:eastAsia="zh-CN"/>
                    </w:rPr>
                    <w:t>”</w:t>
                  </w:r>
                  <w:r>
                    <w:rPr>
                      <w:b w:val="0"/>
                      <w:bCs/>
                      <w:color w:val="auto"/>
                      <w:kern w:val="0"/>
                      <w:szCs w:val="21"/>
                      <w:highlight w:val="none"/>
                    </w:rPr>
                    <w:t>中涉及的项目。</w:t>
                  </w:r>
                </w:p>
              </w:tc>
              <w:tc>
                <w:tcPr>
                  <w:tcW w:w="642" w:type="pct"/>
                  <w:vAlign w:val="center"/>
                </w:tcPr>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593" w:type="pct"/>
                  <w:vAlign w:val="center"/>
                </w:tcPr>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（三）综合考虑园区制约因素和环境问题，调整优化片区功能定位、产业布局、结构和规模。</w:t>
                  </w:r>
                </w:p>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园区布局应考虑避让南盘江及其支流马蹄河并符合河道管理相关规定，园区与河道间应规划设置生态防护带，保护好河道生态空间。废水产生量大、对水体易造成污染、环境风险大的项目应远离南盘江，并采取严格的环境风险防范措施确保风险可控。</w:t>
                  </w:r>
                </w:p>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园区北古城和木龙组团规划布局对环境质量要求高的居住区、医院、学校及果疏加工、野生菌加工、高原特色食品加工等特色轻工产业，与规划和已建设的钢铁、冶金、水泥等重污染产业相邻，易受到污染影响，存在较大的环境风险隐患，应进一步优化布局。同时根据产业相关防护距离要求逐步搬迁可能受影响的村庄，避免产生环境污染纠纷。</w:t>
                  </w:r>
                </w:p>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产业布局应充分考虑区域的资源和环境承载力，严格环境准入。根据区域大气环境容量，合理确定北古城和木龙组团布局的钢铁、冶炼等重污染产业规模。区域内原有冶炼和传统建筑材料等重污染企业要开展技术升级改造和环保设施的提标改造，实现污染物减排和区域环境质量改善，为后续项目腾出环境容量。</w:t>
                  </w:r>
                </w:p>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重视规划布局产业与周边居住区的关系，结合主导风向、环境防护距离等因素进行优化调整。加大组团内现有住户的搬迁安置，在没有搬迁计划的居民区附近不得布局排放异味等以大气污染物为主的企业。</w:t>
                  </w:r>
                </w:p>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园区产业布局和项目建设应充分考虑对地下水的影响，做好地下水污染防治和监控，严格工程地质勘查，采取针对性防治措施，确保区域地下水安全。</w:t>
                  </w:r>
                </w:p>
              </w:tc>
              <w:tc>
                <w:tcPr>
                  <w:tcW w:w="1764" w:type="pct"/>
                  <w:vAlign w:val="center"/>
                </w:tcPr>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本项目为分布式集中供热项目，是为饲料产业提供热能，符合片区功能区划。</w:t>
                  </w:r>
                </w:p>
              </w:tc>
              <w:tc>
                <w:tcPr>
                  <w:tcW w:w="642" w:type="pct"/>
                  <w:vAlign w:val="center"/>
                </w:tcPr>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593" w:type="pct"/>
                  <w:vAlign w:val="center"/>
                </w:tcPr>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四）加快环保基础设施建设，各组团应根据用地规模、开发程度、产业集聚程度及排水条件，完善组团雨污分流管网，规划建设污水集中处理设施及中水回用设施。受园区所在位置地表水环境敏感的制约，各组团排污口设置须符合相关要求，同时对涉重金属、持久性有机污染物等废水排放的产业进行严格限制。入园企业要做好固废的处置，重点做好危险废物的处理处置及管理工作。</w:t>
                  </w:r>
                </w:p>
              </w:tc>
              <w:tc>
                <w:tcPr>
                  <w:tcW w:w="1764" w:type="pct"/>
                  <w:vAlign w:val="center"/>
                </w:tcPr>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本项目产生的固体废物均得到合理处置，处置率为100%</w:t>
                  </w:r>
                </w:p>
              </w:tc>
              <w:tc>
                <w:tcPr>
                  <w:tcW w:w="642" w:type="pct"/>
                  <w:vAlign w:val="center"/>
                </w:tcPr>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593" w:type="pct"/>
                  <w:vAlign w:val="center"/>
                </w:tcPr>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（五）加强环境风险防范和管理措施，对于进驻园区项目在选址布局时要充分考虑环境防护距离的要求，制定有效完善的事故应急预案并加强演练。</w:t>
                  </w:r>
                </w:p>
              </w:tc>
              <w:tc>
                <w:tcPr>
                  <w:tcW w:w="1764" w:type="pct"/>
                  <w:vAlign w:val="center"/>
                </w:tcPr>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项目已加强环境风险防范和管理措施，选址布局符合环境防护距离的要求，项目会按照相关要求进行突发环境事件应急工作。</w:t>
                  </w:r>
                </w:p>
              </w:tc>
              <w:tc>
                <w:tcPr>
                  <w:tcW w:w="642" w:type="pct"/>
                  <w:vAlign w:val="center"/>
                </w:tcPr>
                <w:p>
                  <w:pPr>
                    <w:autoSpaceDE w:val="0"/>
                    <w:autoSpaceDN w:val="0"/>
                    <w:adjustRightInd w:val="0"/>
                    <w:snapToGrid w:val="0"/>
                    <w:spacing w:line="360" w:lineRule="auto"/>
                    <w:rPr>
                      <w:b w:val="0"/>
                      <w:bCs/>
                      <w:color w:val="auto"/>
                      <w:kern w:val="0"/>
                      <w:szCs w:val="21"/>
                      <w:highlight w:val="none"/>
                    </w:rPr>
                  </w:pPr>
                  <w:r>
                    <w:rPr>
                      <w:b w:val="0"/>
                      <w:bCs/>
                      <w:color w:val="auto"/>
                      <w:kern w:val="0"/>
                      <w:szCs w:val="21"/>
                      <w:highlight w:val="none"/>
                    </w:rPr>
                    <w:t>符合</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通过表1-4分析，本项目符合《宜良工业园区总体规划（2016-2030）环境影响报告书》审查意见的相关要求。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kern w:val="0"/>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5" w:type="dxa"/>
            <w:noWrap w:val="0"/>
            <w:vAlign w:val="center"/>
          </w:tcPr>
          <w:p>
            <w:pPr>
              <w:autoSpaceDE w:val="0"/>
              <w:autoSpaceDN w:val="0"/>
              <w:adjustRightInd w:val="0"/>
              <w:snapToGrid w:val="0"/>
              <w:jc w:val="center"/>
              <w:rPr>
                <w:rFonts w:hint="default" w:ascii="Times New Roman" w:hAnsi="Times New Roman" w:cs="Times New Roman"/>
                <w:b/>
                <w:bCs/>
                <w:color w:val="auto"/>
                <w:kern w:val="0"/>
                <w:sz w:val="24"/>
                <w:szCs w:val="24"/>
                <w:highlight w:val="none"/>
              </w:rPr>
            </w:pPr>
            <w:r>
              <w:rPr>
                <w:rFonts w:hint="default" w:ascii="Times New Roman" w:hAnsi="Times New Roman" w:cs="Times New Roman"/>
                <w:b/>
                <w:bCs/>
                <w:color w:val="auto"/>
                <w:kern w:val="0"/>
                <w:sz w:val="24"/>
                <w:szCs w:val="24"/>
                <w:highlight w:val="none"/>
              </w:rPr>
              <w:t>其他符合性分析</w:t>
            </w:r>
          </w:p>
        </w:tc>
        <w:tc>
          <w:tcPr>
            <w:tcW w:w="8263"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1、产业政策符合性分析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根据《国民经济行业分类》（GBT4754-2017）（2019修改），本项目属于D4430热力生产及供应，根据《产业结调整指导目录（2019年本）》（国家发展和改革委员会令第29号），该项目不属于其中“鼓励类、限制类及淘汰类”，根据《促进产业结构调整暂行规定》第十三条“不属于鼓励类、限制类和淘汰类，且符合国家有关法律、法规和政策规定的，为允许类”，故本项目属于允许类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昆明甲乙木能源技术有限公司于2022年4月25日取得宜良县发展和改革局核发的投资项目备案证（项目代码2204-530125-04-01-454254）。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因此，本项目符合国家相关产业政策。</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w:t>
            </w:r>
            <w:r>
              <w:rPr>
                <w:rFonts w:hint="eastAsia"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三线一单</w:t>
            </w:r>
            <w:r>
              <w:rPr>
                <w:rFonts w:hint="eastAsia"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符合性分析</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default"/>
                <w:b/>
                <w:bCs/>
                <w:color w:val="auto"/>
                <w:sz w:val="24"/>
                <w:szCs w:val="24"/>
                <w:highlight w:val="none"/>
                <w:lang w:val="en-US" w:eastAsia="zh-CN"/>
              </w:rPr>
            </w:pPr>
            <w:r>
              <w:rPr>
                <w:rFonts w:hint="default"/>
                <w:b/>
                <w:bCs/>
                <w:color w:val="auto"/>
                <w:sz w:val="24"/>
                <w:szCs w:val="24"/>
                <w:highlight w:val="none"/>
                <w:lang w:val="en-US" w:eastAsia="zh-CN"/>
              </w:rPr>
              <w:t>（1）生态保护红线符合性分析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color w:val="auto"/>
                <w:sz w:val="24"/>
                <w:szCs w:val="24"/>
                <w:highlight w:val="none"/>
                <w:lang w:val="en-US" w:eastAsia="zh-CN"/>
              </w:rPr>
              <w:t>根据昆明市人民政府文件《昆明市人民政府关于昆明市</w:t>
            </w:r>
            <w:r>
              <w:rPr>
                <w:rFonts w:hint="eastAsia"/>
                <w:color w:val="auto"/>
                <w:sz w:val="24"/>
                <w:szCs w:val="24"/>
                <w:highlight w:val="none"/>
                <w:lang w:val="en-US" w:eastAsia="zh-CN"/>
              </w:rPr>
              <w:t>“</w:t>
            </w:r>
            <w:r>
              <w:rPr>
                <w:rFonts w:hint="default"/>
                <w:color w:val="auto"/>
                <w:sz w:val="24"/>
                <w:szCs w:val="24"/>
                <w:highlight w:val="none"/>
                <w:lang w:val="en-US" w:eastAsia="zh-CN"/>
              </w:rPr>
              <w:t>三线一单</w:t>
            </w:r>
            <w:r>
              <w:rPr>
                <w:rFonts w:hint="eastAsia"/>
                <w:color w:val="auto"/>
                <w:sz w:val="24"/>
                <w:szCs w:val="24"/>
                <w:highlight w:val="none"/>
                <w:lang w:val="en-US" w:eastAsia="zh-CN"/>
              </w:rPr>
              <w:t>”</w:t>
            </w:r>
            <w:r>
              <w:rPr>
                <w:rFonts w:hint="default"/>
                <w:color w:val="auto"/>
                <w:sz w:val="24"/>
                <w:szCs w:val="24"/>
                <w:highlight w:val="none"/>
                <w:lang w:val="en-US" w:eastAsia="zh-CN"/>
              </w:rPr>
              <w:t>生态环境分区管控的实施意见》（昆政发〔2021〕21号），生态保护红线区严格执行云南省人民政府发布的《云南省生态保护红线》，全市生态保护红线总面积为466253</w:t>
            </w:r>
            <w:r>
              <w:rPr>
                <w:rFonts w:hint="default" w:ascii="Times New Roman" w:hAnsi="Times New Roman" w:cs="Times New Roman"/>
                <w:color w:val="auto"/>
                <w:sz w:val="24"/>
                <w:szCs w:val="24"/>
                <w:highlight w:val="none"/>
                <w:lang w:val="en-US" w:eastAsia="zh-CN"/>
              </w:rPr>
              <w:t>km²</w:t>
            </w:r>
            <w:r>
              <w:rPr>
                <w:rFonts w:hint="default"/>
                <w:color w:val="auto"/>
                <w:sz w:val="24"/>
                <w:szCs w:val="24"/>
                <w:highlight w:val="none"/>
                <w:lang w:val="en-US" w:eastAsia="zh-CN"/>
              </w:rPr>
              <w:t>，占全市国土面积的22.19%。生态保护红线区按照国家和云南省颁布的生态保护红线有关管控政策办法执行，原则上按禁止开发区域的要求进行管理，严禁不符合主体功能定位的各类开发活动，严禁任意改变用途，确保生态保护红线生态功能不降低、面积不减少</w:t>
            </w:r>
            <w:r>
              <w:rPr>
                <w:rFonts w:hint="default" w:ascii="Times New Roman" w:hAnsi="Times New Roman" w:eastAsia="宋体" w:cs="Times New Roman"/>
                <w:color w:val="auto"/>
                <w:sz w:val="24"/>
                <w:szCs w:val="24"/>
                <w:highlight w:val="none"/>
                <w:lang w:val="en-US" w:eastAsia="zh-CN"/>
              </w:rPr>
              <w:t>、性质不改变。将未划入生态保护红线的自然保护地、饮用水水源保护区、重要湿地、基本草原、生态公益林、天然林等生态功能重要、生态环境敏感区域划为一般生态空间，全市一般生态空间面积为460643</w:t>
            </w:r>
            <w:r>
              <w:rPr>
                <w:rFonts w:hint="default" w:ascii="Times New Roman" w:hAnsi="Times New Roman" w:cs="Times New Roman"/>
                <w:color w:val="auto"/>
                <w:sz w:val="24"/>
                <w:szCs w:val="24"/>
                <w:highlight w:val="none"/>
                <w:lang w:val="en-US" w:eastAsia="zh-CN"/>
              </w:rPr>
              <w:t>km²</w:t>
            </w:r>
            <w:r>
              <w:rPr>
                <w:rFonts w:hint="default" w:ascii="Times New Roman" w:hAnsi="Times New Roman" w:eastAsia="宋体" w:cs="Times New Roman"/>
                <w:color w:val="auto"/>
                <w:sz w:val="24"/>
                <w:szCs w:val="24"/>
                <w:highlight w:val="none"/>
                <w:lang w:val="en-US" w:eastAsia="zh-CN"/>
              </w:rPr>
              <w:t>，占全市国土面积的21.92%。一般生态空间参照主体功能区中重点生态功能区的开发和管制原则进行管控，依法限制大规模高强度的工业化和城镇化开发建设活动，划入一般生态空间的各类自然保护地原则上按照原管控要求进行管理，其他一般生态空间根据用途分区，依法依规进行生态环境管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位于昆明市宜良县宜良工业园区北古城片区，本项目用地范围及评价范围内不涉及云南省生态保护红线范围内的生态保护红线区域，也不在未划入生态保护红线的自然保护地、饮用水水源保护区、重要湿地、基本草原、生态公益林、天然林等生态功能重要、生态环境敏感区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故本项目与生态保护红线相符。</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（2）环境质量底线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根据昆明市人民政府文件《昆明市人民政府关于昆明市</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三线一单</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生态环境分区管控的实施意见》（昆政发〔2021〕21号），环境质量底线目标：到2025年，全市生态环境质量持续改善，生态空间得到优化和有效保护，区域生态安全屏障更加牢固。全市环境空气质量总体保持优良，主城建成区空气质量优良天数占比达99%以上，二氧化硫（S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）和氮氧化物（NOx）排放总量控制在省下达的目标以内，主城区空气中颗粒物（PM</w:t>
            </w:r>
            <w:r>
              <w:rPr>
                <w:rFonts w:hint="default" w:ascii="Times New Roman" w:hAnsi="Times New Roman" w:eastAsia="宋体" w:cs="Times New Roman"/>
                <w:color w:val="auto"/>
                <w:sz w:val="24"/>
                <w:szCs w:val="24"/>
                <w:highlight w:val="none"/>
                <w:vertAlign w:val="subscript"/>
                <w:lang w:val="en-US" w:eastAsia="zh-CN"/>
              </w:rPr>
              <w:t>10</w:t>
            </w:r>
            <w:r>
              <w:rPr>
                <w:rFonts w:hint="default" w:ascii="Times New Roman" w:hAnsi="Times New Roman" w:eastAsia="宋体" w:cs="Times New Roman"/>
                <w:color w:val="auto"/>
                <w:sz w:val="24"/>
                <w:szCs w:val="24"/>
                <w:highlight w:val="none"/>
                <w:lang w:val="en-US" w:eastAsia="zh-CN"/>
              </w:rPr>
              <w:t>、PM</w:t>
            </w:r>
            <w:r>
              <w:rPr>
                <w:rFonts w:hint="default" w:ascii="Times New Roman" w:hAnsi="Times New Roman" w:eastAsia="宋体" w:cs="Times New Roman"/>
                <w:color w:val="auto"/>
                <w:sz w:val="24"/>
                <w:szCs w:val="24"/>
                <w:highlight w:val="none"/>
                <w:vertAlign w:val="subscript"/>
                <w:lang w:val="en-US" w:eastAsia="zh-CN"/>
              </w:rPr>
              <w:t>2.5</w:t>
            </w:r>
            <w:r>
              <w:rPr>
                <w:rFonts w:hint="default" w:ascii="Times New Roman" w:hAnsi="Times New Roman" w:eastAsia="宋体" w:cs="Times New Roman"/>
                <w:color w:val="auto"/>
                <w:sz w:val="24"/>
                <w:szCs w:val="24"/>
                <w:highlight w:val="none"/>
                <w:lang w:val="en-US" w:eastAsia="zh-CN"/>
              </w:rPr>
              <w:t>）稳定达《环境空气质量标准》二级标准以上。纳入国家和省级考核的地表水监测断面水质优良率稳步提升，滇池流域、阳宗海流域水环境质量明显改善，水生态系统功能逐步恢复，滇池草海水质达Ⅳ类，滇池外海水质达Ⅳ类（化学需氧量≤40毫克/升），阳宗海水质达Ⅲ类，集中式饮用水源水质巩固改善。土壤环境风险防范体系进一步完善，受污染耕地安全利用率和污染地块安全利用率进一步提高，逐步改善全市土壤环境质量，遏制土壤污染恶化趋势，土壤环境风险得到基本管控。污染地块安全利用率、耕地土壤环境质量达到国家和云南省考核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到2035年，全市生态环境质量实现根本好转，生态功能显著提升，区域生态安全得到全面保障。全市环境空气质量全面改善，各县（市）区、开发（度假）区环境空气质量稳定达到国家二级标准。地表水体水质优良率全面提升，各监测断面水质达到水环境功能要求，消除劣Ⅴ类水体，集中式饮用水水源水质稳定达标。土壤环境质量稳中向好，农用地和建设用地土壤环境安全得到有效保障，土壤环境风险得到全面管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区域内环境空气质量满足《环境空气质量标准》（GB3095-2012）及修改单中二级标准；南盘江与2021年相比，狗街断面水质类别由Ⅴ类提升为Ⅳ类，水质现状不能满足《地表水环境质量标准》（GB3838-2002）III类标准要求；项目区域声环境达到《声环境质量标准》（GB12348-2008）中3类标准。项目产生的大气污染物经多管旋风除尘器+布袋除尘器除尘处理后达标排放；厂界噪声达标排放；软水制备废水和生物质锅炉排污水经过管道接入烟气蒸器用于烟气降温，随烟气蒸发，不外排；生物质颗粒燃烧灰渣及除尘器收集的粉尘装袋收集后，外售用作肥料，固体废物合格处置率100%。项目运营期经过采取相应的污染防治措施后，确保污染物能够做到达标排放，项目建设及营运不会改变区域环境功能质量底线。</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（3）资源利用上线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根据昆明市人民政府文件《昆明市人民政府关于昆明市</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三线一单</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生态环境分区管控的实施意见》（昆政发〔2021〕21号），昆明市资源利用上线要求为：</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按照国家、省、市有关要求和规划，按时完成全市用水总量、用水效率、限制纳污</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三条红线</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水资源上限控制指标；按时完成耕地保有量、基本农田保护面积、建设用地总规模等土地资源利用上限控制指标；按时完成单位GDP能耗下降率、能源消费总量等能源控制指标。</w:t>
            </w:r>
            <w:r>
              <w:rPr>
                <w:rFonts w:hint="eastAsia"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不属于高能耗、高污染、资源型项目，运营过程中使用自来水，由市政管网接入，项目建设不新增用地，不涉及耕地、基本农田保护范围，项目属于宜良工业园区北古城片区范围，项目资源利用相对区域资源利用量较少，不会突破区域资源利用上线要求。</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（4）环境准入负面清单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根据昆明市人民政府文件《昆明市人民政府关于昆明市</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三线一单</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生态环境分区管控的实施意见》（昆政发〔2021〕21号），昆明市生态环境分区管控体系：根据划分的全市环境管控单元的特征，对每个管控单元分别提出了生态环境管控要求，形成昆明市环境管控单元生态环境准入清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位于云南宜良工业园区重点管控单元，其空间布局约束为：①重点发展有色金属新材料、装备制造、新型建材、特色轻工业等产业；②北古城园区、东山园区禁止发展农林、房地产（规划居住区除外）、食品、医药等易受冶金、化工、建材行业污染影响的行业；农产品加工园区禁止发展易对食品加工生产造成污染影响的冶金、化工、建材等行业；③限制机电产品制造等高耗水和水污染严重企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本项目不属于云南宜良工业园区重点管控单中禁止发展的行业和限制企业类型。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不在国家发展改革委、商务部2020年12月印发的《市场准入负面清单（2020年版）》范围内。对照《产业结构调整指导目录（2019年本）》，本项目不属于国家产业政策中限制、禁止类产业类别，本项目符合国家相关产业政策。因此，本项目与环境准入负面清单相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综上所述，本项目符合</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三线一单</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的要求。</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3、与《云南省主体功能区规划》（云政发〔2014〕1号）及《云南省生态功能区划》符合性分析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本项目位于宜良工业园区北古城片区，项目与区域相关环境保护政策及规划符合性分析见下表。</w:t>
            </w:r>
          </w:p>
          <w:p>
            <w:pPr>
              <w:pStyle w:val="4"/>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表1-</w:t>
            </w:r>
            <w:r>
              <w:rPr>
                <w:rFonts w:hint="eastAsia" w:cs="Times New Roman"/>
                <w:b/>
                <w:bCs/>
                <w:color w:val="auto"/>
                <w:sz w:val="21"/>
                <w:szCs w:val="21"/>
                <w:highlight w:val="none"/>
                <w:lang w:val="en-US" w:eastAsia="zh-CN"/>
              </w:rPr>
              <w:t>5</w:t>
            </w:r>
            <w:r>
              <w:rPr>
                <w:rFonts w:hint="eastAsia" w:ascii="Times New Roman" w:hAnsi="Times New Roman" w:eastAsia="宋体" w:cs="Times New Roman"/>
                <w:b/>
                <w:bCs/>
                <w:color w:val="auto"/>
                <w:sz w:val="21"/>
                <w:szCs w:val="21"/>
                <w:highlight w:val="none"/>
                <w:lang w:val="en-US" w:eastAsia="zh-CN"/>
              </w:rPr>
              <w:t>本项目与区域相关环境保护政策及规划符合性分析一览表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5"/>
              <w:gridCol w:w="3491"/>
              <w:gridCol w:w="1994"/>
              <w:gridCol w:w="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pct"/>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文件名称</w:t>
                  </w:r>
                </w:p>
              </w:tc>
              <w:tc>
                <w:tcPr>
                  <w:tcW w:w="2171" w:type="pct"/>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政策相关要求</w:t>
                  </w:r>
                </w:p>
              </w:tc>
              <w:tc>
                <w:tcPr>
                  <w:tcW w:w="1240" w:type="pct"/>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本项目情况</w:t>
                  </w:r>
                </w:p>
              </w:tc>
              <w:tc>
                <w:tcPr>
                  <w:tcW w:w="558" w:type="pct"/>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pct"/>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《云南省主体功能区规划》（云政发〔2014〕1号）</w:t>
                  </w:r>
                </w:p>
              </w:tc>
              <w:tc>
                <w:tcPr>
                  <w:tcW w:w="2171" w:type="pct"/>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云南省主体功能区规划》将云南省国土空间按照开发方式分为重点开发区域、限制开发区域和禁止开发区域3类主体功能区域，限制开发区主要指关系全省农产品供给安全、生态安全，不应该或不适宜进行大规模、高强度工业化和城镇化开发的农产品主产区和重点生态功能区。禁止开发区域指依法设立的各级各类自然文化资源保护区域，以及其他禁止进行工业化和城镇化开发、需要特殊保护的重点生态功能区。规划中禁止开发区域包括自然保护区、世界遗产、风景名胜区、森林公园、城市饮用水源保护区、湿地公园等</w:t>
                  </w:r>
                </w:p>
              </w:tc>
              <w:tc>
                <w:tcPr>
                  <w:tcW w:w="1240" w:type="pct"/>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本项目位于宜良工业园区北古城片区，根据园区规划环评分析，本项目不涉及限制开发和禁止开发的区域</w:t>
                  </w:r>
                </w:p>
              </w:tc>
              <w:tc>
                <w:tcPr>
                  <w:tcW w:w="558" w:type="pct"/>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pct"/>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《云南省生态功能区划》</w:t>
                  </w:r>
                </w:p>
              </w:tc>
              <w:tc>
                <w:tcPr>
                  <w:tcW w:w="2171" w:type="pct"/>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根据《云南省生态功能区划》本项目所在的宜良</w:t>
                  </w:r>
                  <w:r>
                    <w:rPr>
                      <w:rFonts w:hint="default" w:ascii="Times New Roman" w:hAnsi="Times New Roman" w:eastAsia="宋体" w:cs="Times New Roman"/>
                      <w:b w:val="0"/>
                      <w:bCs w:val="0"/>
                      <w:color w:val="auto"/>
                      <w:sz w:val="21"/>
                      <w:szCs w:val="21"/>
                      <w:highlight w:val="none"/>
                      <w:lang w:val="en-US" w:eastAsia="zh-CN"/>
                    </w:rPr>
                    <w:t>县位于Ⅲ1-6昆明</w:t>
                  </w:r>
                  <w:r>
                    <w:rPr>
                      <w:rFonts w:hint="eastAsia" w:ascii="Times New Roman" w:hAnsi="Times New Roman" w:eastAsia="宋体" w:cs="Times New Roman"/>
                      <w:b w:val="0"/>
                      <w:bCs w:val="0"/>
                      <w:color w:val="auto"/>
                      <w:sz w:val="21"/>
                      <w:szCs w:val="21"/>
                      <w:highlight w:val="none"/>
                      <w:lang w:val="en-US" w:eastAsia="zh-CN"/>
                    </w:rPr>
                    <w:t>、玉溪高原湖盆城镇建设生态功能区，该生态功能区主要生态环境问题为：农业面源污染，环境污染、水资源和土地资源短缺；保护措施与发展方向为：调整产业结构，发展循环经济，推行清洁生产，治理高原湖泊水体污染和流域区的面源污染。</w:t>
                  </w:r>
                </w:p>
              </w:tc>
              <w:tc>
                <w:tcPr>
                  <w:tcW w:w="1240" w:type="pct"/>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本项目为分布式集中供热项目，为园区企业进行供热，本项目使用生物质颗粒作为燃料，与现行的园区产业结构不冲突，本项目与《云南省生态环境功能区划》不冲突。</w:t>
                  </w:r>
                </w:p>
              </w:tc>
              <w:tc>
                <w:tcPr>
                  <w:tcW w:w="558" w:type="pct"/>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符合</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4"/>
                <w:highlight w:val="none"/>
                <w:lang w:val="zh-CN" w:eastAsia="zh-CN"/>
              </w:rPr>
            </w:pPr>
            <w:r>
              <w:rPr>
                <w:rFonts w:hint="default" w:eastAsia="宋体"/>
                <w:color w:val="auto"/>
                <w:sz w:val="24"/>
                <w:szCs w:val="24"/>
                <w:highlight w:val="none"/>
                <w:lang w:val="zh-CN" w:eastAsia="zh-CN"/>
              </w:rPr>
              <w:t>综上所述，本项目与区域相关环境保护规划相符。</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default" w:eastAsia="宋体"/>
                <w:b/>
                <w:bCs/>
                <w:color w:val="auto"/>
                <w:sz w:val="24"/>
                <w:szCs w:val="24"/>
                <w:highlight w:val="none"/>
                <w:lang w:val="en-US" w:eastAsia="zh-CN"/>
              </w:rPr>
            </w:pPr>
            <w:r>
              <w:rPr>
                <w:rFonts w:hint="default" w:eastAsia="宋体"/>
                <w:b/>
                <w:bCs/>
                <w:color w:val="auto"/>
                <w:sz w:val="24"/>
                <w:szCs w:val="24"/>
                <w:highlight w:val="none"/>
                <w:lang w:val="en-US" w:eastAsia="zh-CN"/>
              </w:rPr>
              <w:t>4、与宜良县人民政府《关于宜良县高污染燃料禁燃区禁燃的通告》相符性分析</w:t>
            </w:r>
          </w:p>
          <w:p>
            <w:pPr>
              <w:pStyle w:val="4"/>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表1-</w:t>
            </w:r>
            <w:r>
              <w:rPr>
                <w:rFonts w:hint="eastAsia" w:cs="Times New Roman"/>
                <w:b/>
                <w:bCs/>
                <w:color w:val="auto"/>
                <w:sz w:val="21"/>
                <w:szCs w:val="21"/>
                <w:highlight w:val="none"/>
                <w:lang w:val="en-US" w:eastAsia="zh-CN"/>
              </w:rPr>
              <w:t>6</w:t>
            </w:r>
            <w:r>
              <w:rPr>
                <w:rFonts w:hint="eastAsia" w:ascii="Times New Roman" w:hAnsi="Times New Roman" w:eastAsia="宋体" w:cs="Times New Roman"/>
                <w:b/>
                <w:bCs/>
                <w:color w:val="auto"/>
                <w:sz w:val="21"/>
                <w:szCs w:val="21"/>
                <w:highlight w:val="none"/>
                <w:lang w:val="en-US" w:eastAsia="zh-CN"/>
              </w:rPr>
              <w:t>与宜良县人民政府关于《宜良县高污染燃料禁燃区禁燃的通告》相符性分析一览表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5"/>
              <w:gridCol w:w="3657"/>
              <w:gridCol w:w="1828"/>
              <w:gridCol w:w="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pct"/>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文件名称</w:t>
                  </w:r>
                </w:p>
              </w:tc>
              <w:tc>
                <w:tcPr>
                  <w:tcW w:w="2274" w:type="pct"/>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政策相关要求</w:t>
                  </w:r>
                </w:p>
              </w:tc>
              <w:tc>
                <w:tcPr>
                  <w:tcW w:w="1137" w:type="pct"/>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本项目情况</w:t>
                  </w:r>
                </w:p>
              </w:tc>
              <w:tc>
                <w:tcPr>
                  <w:tcW w:w="558" w:type="pct"/>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pct"/>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《宜良县人民政府关于宜良县高污染燃料禁燃区禁燃的通告》（宜政发〔2021〕110 号）</w:t>
                  </w:r>
                </w:p>
              </w:tc>
              <w:tc>
                <w:tcPr>
                  <w:tcW w:w="2274" w:type="pct"/>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为做好大气污染防治工作，进一步提升城市形象和环境质量，根据《中华人民共和国环境保护法》、《中华人民共和国大气污染防治法》等有关法律法规，我县划定了高污染燃料禁燃区，制定了《宜良县高污染燃料禁燃区管理规定》。现将高污染燃料禁燃区禁燃事项进行通告：</w:t>
                  </w:r>
                </w:p>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一、禁燃区范围</w:t>
                  </w:r>
                </w:p>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县城规划建设区50平方公里范围内，即西至昆河线，东达小狗公路与石安公路交界段，北至宜九公路江头村与东南绕城交界段，南抵陈所渡、黑羊村一线的区域。</w:t>
                  </w:r>
                </w:p>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二、禁燃物品种类</w:t>
                  </w:r>
                </w:p>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（一）原（散）煤、洗选煤、蜂窝煤、焦炭、木炭、煤矸石、煤泥、煤焦油、重油、渣油、非生物质固体成型燃料（树木、秸秆、锯末、稻壳、蔗渣）等燃料；</w:t>
                  </w:r>
                </w:p>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（二）污染物含量超过国家规定限值的轻柴油、煤油、人工煤气等燃料；</w:t>
                  </w:r>
                </w:p>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（三）沥青、油毡、橡胶、塑料、皮革、垃圾以及其他产生有毒有害烟尘和恶臭气体的可燃物质（经依法批准的固体废弃物资源循环利用专业单位除外）；</w:t>
                  </w:r>
                </w:p>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（四）国家规定的其他高污染燃料。</w:t>
                  </w:r>
                </w:p>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三、禁燃要求</w:t>
                  </w:r>
                </w:p>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2021年8月1日（含）之后，禁止任何单位、个体经营户和个人在高污染燃料禁燃区内销售或使用高污染燃料。</w:t>
                  </w:r>
                </w:p>
              </w:tc>
              <w:tc>
                <w:tcPr>
                  <w:tcW w:w="1137" w:type="pct"/>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本项目位于宜良工业园区北古城片区，不属于县城规划建设区，不在禁燃区范围；项目使用生物质颗粒作为燃料，不属于禁燃物品种类；项目不使用国家规定的其他高污染燃料。</w:t>
                  </w:r>
                </w:p>
              </w:tc>
              <w:tc>
                <w:tcPr>
                  <w:tcW w:w="558" w:type="pct"/>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符合</w:t>
                  </w:r>
                </w:p>
              </w:tc>
            </w:tr>
          </w:tbl>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5、</w:t>
            </w:r>
            <w:r>
              <w:rPr>
                <w:rFonts w:hint="eastAsia" w:ascii="Times New Roman" w:hAnsi="Times New Roman" w:eastAsia="宋体" w:cs="Times New Roman"/>
                <w:b/>
                <w:bCs/>
                <w:color w:val="auto"/>
                <w:sz w:val="24"/>
                <w:szCs w:val="24"/>
                <w:highlight w:val="none"/>
                <w:lang w:val="en-US" w:eastAsia="zh-CN"/>
              </w:rPr>
              <w:t>项目与《云南省长江经济带发展负面清单指南实施细则》（试行，2022年版）相符性分析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项目与《云南省长江经济带发展负面清单指南实施细则》（试行，2022年版）相符性分析见表1-</w:t>
            </w:r>
            <w:r>
              <w:rPr>
                <w:rFonts w:hint="eastAsia" w:cs="Times New Roman"/>
                <w:color w:val="auto"/>
                <w:sz w:val="24"/>
                <w:szCs w:val="24"/>
                <w:highlight w:val="none"/>
                <w:lang w:val="en-US" w:eastAsia="zh-CN"/>
              </w:rPr>
              <w:t>7</w:t>
            </w:r>
            <w:r>
              <w:rPr>
                <w:rFonts w:hint="eastAsia" w:ascii="Times New Roman" w:hAnsi="Times New Roman" w:eastAsia="宋体" w:cs="Times New Roman"/>
                <w:color w:val="auto"/>
                <w:sz w:val="24"/>
                <w:szCs w:val="24"/>
                <w:highlight w:val="none"/>
                <w:lang w:val="en-US" w:eastAsia="zh-CN"/>
              </w:rPr>
              <w:t>。</w:t>
            </w:r>
          </w:p>
          <w:p>
            <w:pPr>
              <w:pStyle w:val="4"/>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lang w:val="en-US" w:eastAsia="zh-CN"/>
              </w:rPr>
              <w:t>-</w:t>
            </w:r>
            <w:r>
              <w:rPr>
                <w:rFonts w:hint="eastAsia" w:cs="Times New Roman"/>
                <w:b/>
                <w:bCs/>
                <w:color w:val="auto"/>
                <w:sz w:val="21"/>
                <w:szCs w:val="21"/>
                <w:highlight w:val="none"/>
                <w:lang w:val="en-US" w:eastAsia="zh-CN"/>
              </w:rPr>
              <w:t>7</w:t>
            </w:r>
            <w:r>
              <w:rPr>
                <w:rFonts w:hint="eastAsia" w:ascii="Times New Roman" w:hAnsi="Times New Roman" w:eastAsia="宋体" w:cs="Times New Roman"/>
                <w:b/>
                <w:bCs/>
                <w:color w:val="auto"/>
                <w:sz w:val="21"/>
                <w:szCs w:val="21"/>
                <w:highlight w:val="none"/>
                <w:lang w:val="en-US" w:eastAsia="zh-CN"/>
              </w:rPr>
              <w:t>项目与《云南省长江经济带发展负面清单指南实施细则》相符性分析</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0"/>
              <w:gridCol w:w="2588"/>
              <w:gridCol w:w="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6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云南省长江经济带发展负面清单指南实施细则</w:t>
                  </w:r>
                </w:p>
              </w:tc>
              <w:tc>
                <w:tcPr>
                  <w:tcW w:w="2588"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项目情况</w:t>
                  </w:r>
                </w:p>
              </w:tc>
              <w:tc>
                <w:tcPr>
                  <w:tcW w:w="889"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禁止建设不符合全国和省级港口布局规划以及港口总体规划的码头项目</w:t>
                  </w:r>
                </w:p>
              </w:tc>
              <w:tc>
                <w:tcPr>
                  <w:tcW w:w="2588"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不涉及</w:t>
                  </w:r>
                </w:p>
              </w:tc>
              <w:tc>
                <w:tcPr>
                  <w:tcW w:w="889"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禁止在生态保护红线范围内投资建设项目，生态保护红线内、自然保护地核心保护区原则上禁止人为活动；其他区域严格禁止开发性、生产性建设活动。除国家重大战略资源勘查项目、生态保护修复和环境治理项目、重大基础设施项目、军事国防项目以及农牧民基本生产生活等必要的民生项目以外的项目。生态保护红线原则上按禁止开发区域的要求进行管理外，仅允许对生态功能不造成破坏的有限人为活动</w:t>
                  </w:r>
                </w:p>
              </w:tc>
              <w:tc>
                <w:tcPr>
                  <w:tcW w:w="2588"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项目建设</w:t>
                  </w:r>
                  <w:r>
                    <w:rPr>
                      <w:rFonts w:hint="eastAsia" w:cs="Times New Roman"/>
                      <w:b w:val="0"/>
                      <w:bCs w:val="0"/>
                      <w:color w:val="auto"/>
                      <w:sz w:val="21"/>
                      <w:szCs w:val="21"/>
                      <w:highlight w:val="none"/>
                      <w:lang w:val="en-US" w:eastAsia="zh-CN"/>
                    </w:rPr>
                    <w:t>于宜良工业园区北古城片区饲料片区，</w:t>
                  </w:r>
                  <w:r>
                    <w:rPr>
                      <w:rFonts w:hint="default" w:ascii="Times New Roman" w:hAnsi="Times New Roman" w:eastAsia="宋体" w:cs="Times New Roman"/>
                      <w:b w:val="0"/>
                      <w:bCs w:val="0"/>
                      <w:color w:val="auto"/>
                      <w:sz w:val="21"/>
                      <w:szCs w:val="21"/>
                      <w:highlight w:val="none"/>
                      <w:lang w:val="en-US" w:eastAsia="zh-CN"/>
                    </w:rPr>
                    <w:t>用地范围不涉及生态保护红线内、自然保护地核心保护区</w:t>
                  </w:r>
                </w:p>
              </w:tc>
              <w:tc>
                <w:tcPr>
                  <w:tcW w:w="889"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8" w:hRule="atLeast"/>
                <w:jc w:val="center"/>
              </w:trPr>
              <w:tc>
                <w:tcPr>
                  <w:tcW w:w="456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禁止在自然保护区内进行砍伐、放牧、狩猎、捕捞、采药、开垦、烧荒、开矿、采石、挖沙等活动；禁止任何人进入自然保护区的核心区；禁止在自然保护区的缓冲区开展旅游和生产经营活动；严禁开设与自然保护区保护方向不一致的参观、旅游项目；在自然保护区的实验区内，不得建设污染环境、破坏资源或者景观的生产设施；自然保护区核心区，严禁任何生产经营活动；新建公路、铁路和其他基础设施不得穿越自然保护区核心区，尽量避免穿越缓冲区；禁止在自然保护区的核心区和缓冲区内建设畜禽养殖场、养殖小区</w:t>
                  </w:r>
                </w:p>
              </w:tc>
              <w:tc>
                <w:tcPr>
                  <w:tcW w:w="2588"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项目建设于宜良工业园区北古城片区饲料片区，用地范围不涉及自然保护区</w:t>
                  </w:r>
                </w:p>
              </w:tc>
              <w:tc>
                <w:tcPr>
                  <w:tcW w:w="889"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禁止在风景名胜区内进行开山、采石、开矿、开荒、修坟立碑等破坏景观、植被和地形地貌的活动以及修建储存爆炸性、易燃性、放射性、毒害性、腐蚀性物品的设施；禁止违反风景名胜区规划，在风景名胜区内设立各类开发区和在核心景区内建设宾馆、招待所、培训中心、疗养院以及与风景名胜资源保护无关的其他建筑物；禁止在风景名胜区从事与风景名胜资源无关的生产建设活动；风景名胜区内的水源、水体应当严加保护，禁止污染水源、水体，禁止擅自围、填、堵塞水面和围湖造田等；禁止在风景名胜区内建设畜禽养殖场、养殖小区</w:t>
                  </w:r>
                </w:p>
              </w:tc>
              <w:tc>
                <w:tcPr>
                  <w:tcW w:w="2588"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项目建设用地</w:t>
                  </w:r>
                  <w:r>
                    <w:rPr>
                      <w:rFonts w:hint="eastAsia" w:cs="Times New Roman"/>
                      <w:b w:val="0"/>
                      <w:bCs w:val="0"/>
                      <w:color w:val="auto"/>
                      <w:sz w:val="21"/>
                      <w:szCs w:val="21"/>
                      <w:highlight w:val="none"/>
                      <w:lang w:val="en-US" w:eastAsia="zh-CN"/>
                    </w:rPr>
                    <w:t>范围</w:t>
                  </w:r>
                  <w:r>
                    <w:rPr>
                      <w:rFonts w:hint="default" w:ascii="Times New Roman" w:hAnsi="Times New Roman" w:eastAsia="宋体" w:cs="Times New Roman"/>
                      <w:b w:val="0"/>
                      <w:bCs w:val="0"/>
                      <w:color w:val="auto"/>
                      <w:sz w:val="21"/>
                      <w:szCs w:val="21"/>
                      <w:highlight w:val="none"/>
                      <w:lang w:val="en-US" w:eastAsia="zh-CN"/>
                    </w:rPr>
                    <w:t>不涉及风景名胜区</w:t>
                  </w:r>
                </w:p>
              </w:tc>
              <w:tc>
                <w:tcPr>
                  <w:tcW w:w="889"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禁止擅自征收、占用国家湿地公园的土地。除国家另有规定外，禁止在国家湿地公园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滥采滥捕野生动植物，引入外来物种；擅自放牧、捕捞、取土、取水、排污、放生等破坏湿地及其生态功能的活动。国家湿地公园保育区除开展保护、监测、科学研究等必需的保护管理活动外，不得进行任何与湿地生态系统保护和管理无关的其他活动</w:t>
                  </w:r>
                </w:p>
              </w:tc>
              <w:tc>
                <w:tcPr>
                  <w:tcW w:w="2588"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项目建设用地</w:t>
                  </w:r>
                  <w:r>
                    <w:rPr>
                      <w:rFonts w:hint="eastAsia" w:cs="Times New Roman"/>
                      <w:b w:val="0"/>
                      <w:bCs w:val="0"/>
                      <w:color w:val="auto"/>
                      <w:sz w:val="21"/>
                      <w:szCs w:val="21"/>
                      <w:highlight w:val="none"/>
                      <w:lang w:val="en-US" w:eastAsia="zh-CN"/>
                    </w:rPr>
                    <w:t>范围</w:t>
                  </w:r>
                  <w:r>
                    <w:rPr>
                      <w:rFonts w:hint="default" w:ascii="Times New Roman" w:hAnsi="Times New Roman" w:eastAsia="宋体" w:cs="Times New Roman"/>
                      <w:b w:val="0"/>
                      <w:bCs w:val="0"/>
                      <w:color w:val="auto"/>
                      <w:sz w:val="21"/>
                      <w:szCs w:val="21"/>
                      <w:highlight w:val="none"/>
                      <w:lang w:val="en-US" w:eastAsia="zh-CN"/>
                    </w:rPr>
                    <w:t>不占用国家湿地公园土地</w:t>
                  </w:r>
                </w:p>
              </w:tc>
              <w:tc>
                <w:tcPr>
                  <w:tcW w:w="889"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禁止在饮用水水源一级保护区内新建、改扩建、扩建与供水设施和保护水源无关的建设项目；禁止在饮用水水源一级保护区内从事网箱养殖、旅游、游泳、垂钓或者其他可能污染饮用水水体的活动。禁止在饮用水水源二级保护区内新建、改扩建、扩建排放污染物的建设项目；在饮用水水源二级保护区内从事网箱养殖、旅游等活动的，应当按照规定采取措施，防止污染饮用水水体</w:t>
                  </w:r>
                </w:p>
              </w:tc>
              <w:tc>
                <w:tcPr>
                  <w:tcW w:w="2588"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项目建设用地</w:t>
                  </w:r>
                  <w:r>
                    <w:rPr>
                      <w:rFonts w:hint="eastAsia" w:cs="Times New Roman"/>
                      <w:b w:val="0"/>
                      <w:bCs w:val="0"/>
                      <w:color w:val="auto"/>
                      <w:sz w:val="21"/>
                      <w:szCs w:val="21"/>
                      <w:highlight w:val="none"/>
                      <w:lang w:val="en-US" w:eastAsia="zh-CN"/>
                    </w:rPr>
                    <w:t>范围</w:t>
                  </w:r>
                  <w:r>
                    <w:rPr>
                      <w:rFonts w:hint="default" w:ascii="Times New Roman" w:hAnsi="Times New Roman" w:eastAsia="宋体" w:cs="Times New Roman"/>
                      <w:b w:val="0"/>
                      <w:bCs w:val="0"/>
                      <w:color w:val="auto"/>
                      <w:sz w:val="21"/>
                      <w:szCs w:val="21"/>
                      <w:highlight w:val="none"/>
                      <w:lang w:val="en-US" w:eastAsia="zh-CN"/>
                    </w:rPr>
                    <w:t>不涉及饮用水源保护区</w:t>
                  </w:r>
                </w:p>
              </w:tc>
              <w:tc>
                <w:tcPr>
                  <w:tcW w:w="889"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除国家明确支持的重大建设项目、军事国防类项目、交通类项目、能源类项目、水利类项目、国务院投资主管部门或国务院投资主管部门会同有关部门支持和认可的交通、能源、水利基础设施项目外，禁止在永久基本农田范围内投资建设项目。重大建设项目选址难以避让永久基本农田的，在可行性研究阶段，对占用必要性、合理性和补划方案可行性进行严格论证，按数量不减、质量不降、布局稳定要求补划，报自然资源部用地预审，依法依规办理农用地转用和土地征收和法定程序修改相应的国土空间规划用途</w:t>
                  </w:r>
                </w:p>
              </w:tc>
              <w:tc>
                <w:tcPr>
                  <w:tcW w:w="2588"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项目建设用地不在《长江岸线保护和开发利用总体规划》划定的岸线保护区和保留区内，不占用永久基本农田</w:t>
                  </w:r>
                </w:p>
              </w:tc>
              <w:tc>
                <w:tcPr>
                  <w:tcW w:w="889"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禁止在《全国重要江河湖泊水功能区划》划定的河段及湖泊保护区、保留区内投资建设不利于水资源及自然生态保护的项目。禁止在金沙江、长江一级支流建设除党中央、国务院、国家投资主管部门、省级有关部门批复同意以外的过江基础设施项目；禁止未经许可在长江流域、九大高原湖泊流域新设、改设或扩大排污口，除入河（海）排污口命名与编码规则（HJ1235-2021）规定的第四类</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其他排口</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外。禁止在水产种质资源保护区内新建排污口，以及从事围湖造田、围湖造地或围填海工程</w:t>
                  </w:r>
                </w:p>
              </w:tc>
              <w:tc>
                <w:tcPr>
                  <w:tcW w:w="2588"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项目建设用地</w:t>
                  </w:r>
                  <w:r>
                    <w:rPr>
                      <w:rFonts w:hint="eastAsia" w:cs="Times New Roman"/>
                      <w:b w:val="0"/>
                      <w:bCs w:val="0"/>
                      <w:color w:val="auto"/>
                      <w:sz w:val="21"/>
                      <w:szCs w:val="21"/>
                      <w:highlight w:val="none"/>
                      <w:lang w:val="en-US" w:eastAsia="zh-CN"/>
                    </w:rPr>
                    <w:t>范围</w:t>
                  </w:r>
                  <w:r>
                    <w:rPr>
                      <w:rFonts w:hint="default" w:ascii="Times New Roman" w:hAnsi="Times New Roman" w:eastAsia="宋体" w:cs="Times New Roman"/>
                      <w:b w:val="0"/>
                      <w:bCs w:val="0"/>
                      <w:color w:val="auto"/>
                      <w:sz w:val="21"/>
                      <w:szCs w:val="21"/>
                      <w:highlight w:val="none"/>
                      <w:lang w:val="en-US" w:eastAsia="zh-CN"/>
                    </w:rPr>
                    <w:t>不在《全国重要江河湖泊水功能区划》划定的河段及湖泊保护区、保留区内</w:t>
                  </w:r>
                </w:p>
              </w:tc>
              <w:tc>
                <w:tcPr>
                  <w:tcW w:w="889"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禁止在金沙江、赤水河、乌江和等水生动植物自然保护区、水产种质资源保护区长江流域禁捕水域开展天然渔业资源生产性捕捞。禁止开（围）垦、填埋或者排干湿地；禁止截断湿地水源、挖沙、采矿、引入外来物种；禁止擅自放牧、捕捞、取土、取水、排污、放生；禁止其他破坏湿地及其生态功能活动</w:t>
                  </w:r>
                </w:p>
              </w:tc>
              <w:tc>
                <w:tcPr>
                  <w:tcW w:w="2588"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项目建设用地</w:t>
                  </w:r>
                  <w:r>
                    <w:rPr>
                      <w:rFonts w:hint="eastAsia" w:cs="Times New Roman"/>
                      <w:b w:val="0"/>
                      <w:bCs w:val="0"/>
                      <w:color w:val="auto"/>
                      <w:sz w:val="21"/>
                      <w:szCs w:val="21"/>
                      <w:highlight w:val="none"/>
                      <w:lang w:val="en-US" w:eastAsia="zh-CN"/>
                    </w:rPr>
                    <w:t>范围</w:t>
                  </w:r>
                  <w:r>
                    <w:rPr>
                      <w:rFonts w:hint="default" w:ascii="Times New Roman" w:hAnsi="Times New Roman" w:eastAsia="宋体" w:cs="Times New Roman"/>
                      <w:b w:val="0"/>
                      <w:bCs w:val="0"/>
                      <w:color w:val="auto"/>
                      <w:sz w:val="21"/>
                      <w:szCs w:val="21"/>
                      <w:highlight w:val="none"/>
                      <w:lang w:val="en-US" w:eastAsia="zh-CN"/>
                    </w:rPr>
                    <w:t>不涉及自然保护区、水产种质资源保护区</w:t>
                  </w:r>
                </w:p>
              </w:tc>
              <w:tc>
                <w:tcPr>
                  <w:tcW w:w="889"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禁止在金沙江、长江一级支流岸线边界一公里范围内新建、扩建化工园区和化工项目。新建化工园区充分留足与周边城镇未来扩张发展的安全距离，立足于生态工业园区建设方向，推广绿色化学和绿色化工发展模式。化工园区设立及园区产业发展规划由省级业务主管部门牵头组织专家论证后审定</w:t>
                  </w:r>
                </w:p>
              </w:tc>
              <w:tc>
                <w:tcPr>
                  <w:tcW w:w="2588"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本项目位于工业园区北古城片区，区域地表水为项目东南侧约1604m处的南盘江，不在金沙江、长江一级支流岸线边界1公里范围内</w:t>
                  </w:r>
                </w:p>
              </w:tc>
              <w:tc>
                <w:tcPr>
                  <w:tcW w:w="889"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禁止在金沙江干流岸线3公里、长江（金沙江）一级支流岸线1公里范围内新建、改扩建、扩建尾矿库、冶炼渣库和磷石膏库，以提升安全、生态环境保护水平为目的的改扩建除外</w:t>
                  </w:r>
                </w:p>
              </w:tc>
              <w:tc>
                <w:tcPr>
                  <w:tcW w:w="2588"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项目不在金沙江岸线3公里、长江一级支流岸线1公里范围内</w:t>
                  </w:r>
                </w:p>
              </w:tc>
              <w:tc>
                <w:tcPr>
                  <w:tcW w:w="889"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禁止在合规园区外新建、扩建钢铁、石化、化工、焦化、建材、有色、制浆造纸等高污染项目。禁止新增钢铁、水泥、平板玻璃等行业建设产能，确有必要建设的，应按规定实施产能等量或减量置换</w:t>
                  </w:r>
                </w:p>
              </w:tc>
              <w:tc>
                <w:tcPr>
                  <w:tcW w:w="2588"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项目位于宜良工业园区北古城片区，宜良工业园区于2009年2月正式纳入省级工业园区管理，为合规园区。</w:t>
                  </w:r>
                </w:p>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本项目为分布式集中供热项目，为园区企业进行供热，本项目使用生物质颗粒作为燃料，与现行的园区产业结构不冲突，本项目不属于</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园区环保负面清单</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中涉及的项目。</w:t>
                  </w:r>
                </w:p>
              </w:tc>
              <w:tc>
                <w:tcPr>
                  <w:tcW w:w="889"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禁止新建、扩建不符合国家石化、现代煤化工产业布局规划项目。禁止《云南省城镇人口密集区危险化学品生产企业搬迁改造名单》搬迁改造企业在原址新建、扩建危险化学品生产项目，加强搬迁入园、关闭退出企业腾退土地污染风险管控和治理修复，确保腾退土地符合规划用地土壤环境质量标准</w:t>
                  </w:r>
                </w:p>
              </w:tc>
              <w:tc>
                <w:tcPr>
                  <w:tcW w:w="2588"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不涉及</w:t>
                  </w:r>
                </w:p>
              </w:tc>
              <w:tc>
                <w:tcPr>
                  <w:tcW w:w="889"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禁止新建、扩建法律法规和相关政策明令禁止的落后产能项目，依法依规淘汰不符合要求的电石炉及开放式电石炉、无化产回收的单一炼焦生产设施，依法依规淘汰不符合要求的硫铁矿制酸、硫磺制酸、黄磷生产、有钙焙烧铬化合物生产装置和有机—无机复混肥料、过磷酸钙和钙镁磷肥生产线。禁止新建、扩建不符合国家产能置换要求的严重过剩产能行业的项目。禁止新建、扩建不符合要求的高耗能高排放项目。禁止建设高毒高残留以及对环境影响大的农药原药生产装置，严格控制尿素、磷铵、电石、焦炭、黄磷、烧碱、纯碱、聚氯乙烯等行业新增产能</w:t>
                  </w:r>
                </w:p>
              </w:tc>
              <w:tc>
                <w:tcPr>
                  <w:tcW w:w="2588"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本项目为分布式集中供热项目，项目不在《产业结构调整指导目录（2019年本）》（2021年修订）</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鼓励类、限制类和淘汰类</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规定范围内，属于允许类项目，且项目不属于过剩产能项目</w:t>
                  </w:r>
                </w:p>
              </w:tc>
              <w:tc>
                <w:tcPr>
                  <w:tcW w:w="889"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符合</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综上所述，项目符合《云南省长江经济带发展负面清单指南实施细则》（试行，2022年版）相关要求。</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6、项目与《昆明市大气污染防治条例》符合性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项目与《昆明市大气污染防治条例》符合性分析内容见表1-8。</w:t>
            </w:r>
          </w:p>
          <w:p>
            <w:pPr>
              <w:pStyle w:val="4"/>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表1-</w:t>
            </w:r>
            <w:r>
              <w:rPr>
                <w:rFonts w:hint="eastAsia" w:cs="Times New Roman"/>
                <w:b/>
                <w:bCs/>
                <w:color w:val="auto"/>
                <w:sz w:val="21"/>
                <w:szCs w:val="21"/>
                <w:highlight w:val="none"/>
                <w:lang w:val="en-US" w:eastAsia="zh-CN"/>
              </w:rPr>
              <w:t>8</w:t>
            </w:r>
            <w:r>
              <w:rPr>
                <w:rFonts w:hint="eastAsia" w:ascii="Times New Roman" w:hAnsi="Times New Roman" w:eastAsia="宋体" w:cs="Times New Roman"/>
                <w:b/>
                <w:bCs/>
                <w:color w:val="auto"/>
                <w:sz w:val="21"/>
                <w:szCs w:val="21"/>
                <w:highlight w:val="none"/>
                <w:lang w:val="en-US" w:eastAsia="zh-CN"/>
              </w:rPr>
              <w:t>本项目与《昆明市大气污染防治条例》相关要求符合性分析</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6"/>
              <w:gridCol w:w="3046"/>
              <w:gridCol w:w="3110"/>
              <w:gridCol w:w="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pct"/>
                  <w:tcBorders>
                    <w:tl2br w:val="nil"/>
                    <w:tr2bl w:val="nil"/>
                  </w:tcBorders>
                  <w:noWrap w:val="0"/>
                  <w:vAlign w:val="center"/>
                </w:tcPr>
                <w:p>
                  <w:pPr>
                    <w:pStyle w:val="107"/>
                    <w:bidi w:val="0"/>
                    <w:rPr>
                      <w:rFonts w:hint="default"/>
                      <w:b w:val="0"/>
                      <w:bCs w:val="0"/>
                      <w:color w:val="auto"/>
                      <w:highlight w:val="none"/>
                      <w:lang w:val="en-US" w:eastAsia="zh-CN" w:bidi="ar-SA"/>
                    </w:rPr>
                  </w:pPr>
                  <w:r>
                    <w:rPr>
                      <w:rFonts w:hint="eastAsia"/>
                      <w:b w:val="0"/>
                      <w:bCs w:val="0"/>
                      <w:color w:val="auto"/>
                      <w:highlight w:val="none"/>
                      <w:lang w:val="en-US" w:eastAsia="zh-CN" w:bidi="ar-SA"/>
                    </w:rPr>
                    <w:t>序号</w:t>
                  </w:r>
                </w:p>
              </w:tc>
              <w:tc>
                <w:tcPr>
                  <w:tcW w:w="1895" w:type="pct"/>
                  <w:tcBorders>
                    <w:tl2br w:val="nil"/>
                    <w:tr2bl w:val="nil"/>
                  </w:tcBorders>
                  <w:noWrap w:val="0"/>
                  <w:vAlign w:val="center"/>
                </w:tcPr>
                <w:p>
                  <w:pPr>
                    <w:pStyle w:val="107"/>
                    <w:bidi w:val="0"/>
                    <w:rPr>
                      <w:rFonts w:hint="default"/>
                      <w:b w:val="0"/>
                      <w:bCs w:val="0"/>
                      <w:color w:val="auto"/>
                      <w:highlight w:val="none"/>
                      <w:lang w:val="en-US" w:eastAsia="zh-CN" w:bidi="ar-SA"/>
                    </w:rPr>
                  </w:pPr>
                  <w:r>
                    <w:rPr>
                      <w:rFonts w:hint="default"/>
                      <w:b w:val="0"/>
                      <w:bCs w:val="0"/>
                      <w:color w:val="auto"/>
                      <w:highlight w:val="none"/>
                      <w:lang w:val="en-US" w:eastAsia="zh-CN" w:bidi="ar-SA"/>
                    </w:rPr>
                    <w:t>《昆明市大气污染防治条例》</w:t>
                  </w:r>
                  <w:r>
                    <w:rPr>
                      <w:rFonts w:hint="eastAsia"/>
                      <w:b w:val="0"/>
                      <w:bCs w:val="0"/>
                      <w:color w:val="auto"/>
                      <w:highlight w:val="none"/>
                      <w:lang w:val="en-US" w:eastAsia="zh-CN" w:bidi="ar-SA"/>
                    </w:rPr>
                    <w:t>内容</w:t>
                  </w:r>
                </w:p>
              </w:tc>
              <w:tc>
                <w:tcPr>
                  <w:tcW w:w="1935" w:type="pct"/>
                  <w:tcBorders>
                    <w:tl2br w:val="nil"/>
                    <w:tr2bl w:val="nil"/>
                  </w:tcBorders>
                  <w:noWrap w:val="0"/>
                  <w:vAlign w:val="center"/>
                </w:tcPr>
                <w:p>
                  <w:pPr>
                    <w:pStyle w:val="107"/>
                    <w:bidi w:val="0"/>
                    <w:rPr>
                      <w:rFonts w:hint="default"/>
                      <w:b w:val="0"/>
                      <w:bCs w:val="0"/>
                      <w:color w:val="auto"/>
                      <w:highlight w:val="none"/>
                      <w:lang w:val="en-US" w:eastAsia="zh-CN" w:bidi="ar-SA"/>
                    </w:rPr>
                  </w:pPr>
                  <w:r>
                    <w:rPr>
                      <w:rFonts w:hint="eastAsia"/>
                      <w:b w:val="0"/>
                      <w:bCs w:val="0"/>
                      <w:color w:val="auto"/>
                      <w:highlight w:val="none"/>
                      <w:lang w:val="en-US" w:eastAsia="zh-CN" w:bidi="ar-SA"/>
                    </w:rPr>
                    <w:t>项目情况</w:t>
                  </w:r>
                </w:p>
              </w:tc>
              <w:tc>
                <w:tcPr>
                  <w:tcW w:w="405" w:type="pct"/>
                  <w:tcBorders>
                    <w:tl2br w:val="nil"/>
                    <w:tr2bl w:val="nil"/>
                  </w:tcBorders>
                  <w:noWrap w:val="0"/>
                  <w:vAlign w:val="center"/>
                </w:tcPr>
                <w:p>
                  <w:pPr>
                    <w:pStyle w:val="107"/>
                    <w:bidi w:val="0"/>
                    <w:rPr>
                      <w:rFonts w:hint="default"/>
                      <w:b w:val="0"/>
                      <w:bCs w:val="0"/>
                      <w:color w:val="auto"/>
                      <w:highlight w:val="none"/>
                      <w:lang w:val="en-US" w:eastAsia="zh-CN" w:bidi="ar-SA"/>
                    </w:rPr>
                  </w:pPr>
                  <w:r>
                    <w:rPr>
                      <w:rFonts w:hint="eastAsia"/>
                      <w:b w:val="0"/>
                      <w:bCs w:val="0"/>
                      <w:color w:val="auto"/>
                      <w:highlight w:val="none"/>
                      <w:lang w:val="en-US" w:eastAsia="zh-CN" w:bidi="ar-S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2" w:hRule="atLeast"/>
                <w:jc w:val="center"/>
              </w:trPr>
              <w:tc>
                <w:tcPr>
                  <w:tcW w:w="763" w:type="pct"/>
                  <w:tcBorders>
                    <w:tl2br w:val="nil"/>
                    <w:tr2bl w:val="nil"/>
                  </w:tcBorders>
                  <w:noWrap w:val="0"/>
                  <w:vAlign w:val="center"/>
                </w:tcPr>
                <w:p>
                  <w:pPr>
                    <w:pStyle w:val="107"/>
                    <w:bidi w:val="0"/>
                    <w:jc w:val="both"/>
                    <w:rPr>
                      <w:rFonts w:hint="default"/>
                      <w:b w:val="0"/>
                      <w:bCs w:val="0"/>
                      <w:color w:val="auto"/>
                      <w:highlight w:val="none"/>
                      <w:lang w:val="en-US" w:eastAsia="zh-CN" w:bidi="ar-SA"/>
                    </w:rPr>
                  </w:pPr>
                  <w:r>
                    <w:rPr>
                      <w:rFonts w:hint="eastAsia"/>
                      <w:b w:val="0"/>
                      <w:bCs w:val="0"/>
                      <w:color w:val="auto"/>
                      <w:highlight w:val="none"/>
                      <w:lang w:val="en-US" w:eastAsia="zh-CN" w:bidi="ar-SA"/>
                    </w:rPr>
                    <w:t>十一条</w:t>
                  </w:r>
                </w:p>
              </w:tc>
              <w:tc>
                <w:tcPr>
                  <w:tcW w:w="1895" w:type="pct"/>
                  <w:tcBorders>
                    <w:tl2br w:val="nil"/>
                    <w:tr2bl w:val="nil"/>
                  </w:tcBorders>
                  <w:noWrap w:val="0"/>
                  <w:vAlign w:val="center"/>
                </w:tcPr>
                <w:p>
                  <w:pPr>
                    <w:pStyle w:val="107"/>
                    <w:bidi w:val="0"/>
                    <w:jc w:val="both"/>
                    <w:rPr>
                      <w:rFonts w:hint="default"/>
                      <w:b w:val="0"/>
                      <w:bCs w:val="0"/>
                      <w:color w:val="auto"/>
                      <w:highlight w:val="none"/>
                      <w:lang w:val="en-US" w:eastAsia="zh-CN" w:bidi="ar-SA"/>
                    </w:rPr>
                  </w:pPr>
                  <w:r>
                    <w:rPr>
                      <w:rFonts w:hint="default"/>
                      <w:b w:val="0"/>
                      <w:bCs w:val="0"/>
                      <w:color w:val="auto"/>
                      <w:highlight w:val="none"/>
                      <w:lang w:val="en-US" w:eastAsia="zh-CN" w:bidi="ar-SA"/>
                    </w:rPr>
                    <w:t>按照国家有关规定依法实行排污许可管理的单位，应当依法取得排污许可证，并按照排污许可证的规定排放大气污染物，禁止无排污许可证或者不按照排污许可证的规定排放大气污染物</w:t>
                  </w:r>
                </w:p>
              </w:tc>
              <w:tc>
                <w:tcPr>
                  <w:tcW w:w="1935" w:type="pct"/>
                  <w:tcBorders>
                    <w:tl2br w:val="nil"/>
                    <w:tr2bl w:val="nil"/>
                  </w:tcBorders>
                  <w:noWrap w:val="0"/>
                  <w:vAlign w:val="center"/>
                </w:tcPr>
                <w:p>
                  <w:pPr>
                    <w:pStyle w:val="107"/>
                    <w:bidi w:val="0"/>
                    <w:jc w:val="both"/>
                    <w:rPr>
                      <w:rFonts w:hint="default"/>
                      <w:b w:val="0"/>
                      <w:bCs w:val="0"/>
                      <w:color w:val="auto"/>
                      <w:highlight w:val="none"/>
                      <w:lang w:val="en-US" w:eastAsia="zh-CN" w:bidi="ar-SA"/>
                    </w:rPr>
                  </w:pPr>
                  <w:r>
                    <w:rPr>
                      <w:rFonts w:hint="eastAsia"/>
                      <w:b w:val="0"/>
                      <w:bCs w:val="0"/>
                      <w:color w:val="auto"/>
                      <w:highlight w:val="none"/>
                      <w:lang w:val="en-US" w:eastAsia="zh-CN" w:bidi="ar-SA"/>
                    </w:rPr>
                    <w:t>本项目属于重大变动后重新报批，现已经建成的一阶段工程已投运，项目建设单位昆明甲乙木能源技术有限公司已经于2022年11月15日取得排污许可证，证书编号：91530125MA6Q6XB8XL001V；待项目完全建设完工，将依法完成排污许可证变更手续，依规排放。</w:t>
                  </w:r>
                </w:p>
              </w:tc>
              <w:tc>
                <w:tcPr>
                  <w:tcW w:w="405" w:type="pct"/>
                  <w:tcBorders>
                    <w:tl2br w:val="nil"/>
                    <w:tr2bl w:val="nil"/>
                  </w:tcBorders>
                  <w:noWrap w:val="0"/>
                  <w:vAlign w:val="center"/>
                </w:tcPr>
                <w:p>
                  <w:pPr>
                    <w:pStyle w:val="107"/>
                    <w:bidi w:val="0"/>
                    <w:jc w:val="both"/>
                    <w:rPr>
                      <w:rFonts w:hint="default"/>
                      <w:b w:val="0"/>
                      <w:bCs w:val="0"/>
                      <w:color w:val="auto"/>
                      <w:highlight w:val="none"/>
                      <w:lang w:val="en-US" w:eastAsia="zh-CN" w:bidi="ar-SA"/>
                    </w:rPr>
                  </w:pPr>
                  <w:r>
                    <w:rPr>
                      <w:rFonts w:hint="eastAsia"/>
                      <w:b w:val="0"/>
                      <w:bCs w:val="0"/>
                      <w:color w:val="auto"/>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2" w:hRule="atLeast"/>
                <w:jc w:val="center"/>
              </w:trPr>
              <w:tc>
                <w:tcPr>
                  <w:tcW w:w="763" w:type="pct"/>
                  <w:tcBorders>
                    <w:tl2br w:val="nil"/>
                    <w:tr2bl w:val="nil"/>
                  </w:tcBorders>
                  <w:noWrap w:val="0"/>
                  <w:vAlign w:val="center"/>
                </w:tcPr>
                <w:p>
                  <w:pPr>
                    <w:pStyle w:val="107"/>
                    <w:bidi w:val="0"/>
                    <w:jc w:val="both"/>
                    <w:rPr>
                      <w:rFonts w:hint="default"/>
                      <w:b w:val="0"/>
                      <w:bCs w:val="0"/>
                      <w:color w:val="auto"/>
                      <w:highlight w:val="none"/>
                      <w:lang w:val="en-US" w:eastAsia="zh-CN" w:bidi="ar-SA"/>
                    </w:rPr>
                  </w:pPr>
                  <w:r>
                    <w:rPr>
                      <w:rFonts w:hint="eastAsia"/>
                      <w:b w:val="0"/>
                      <w:bCs w:val="0"/>
                      <w:color w:val="auto"/>
                      <w:highlight w:val="none"/>
                      <w:lang w:val="en-US" w:eastAsia="zh-CN" w:bidi="ar-SA"/>
                    </w:rPr>
                    <w:t>十二条</w:t>
                  </w:r>
                </w:p>
              </w:tc>
              <w:tc>
                <w:tcPr>
                  <w:tcW w:w="1895" w:type="pct"/>
                  <w:tcBorders>
                    <w:tl2br w:val="nil"/>
                    <w:tr2bl w:val="nil"/>
                  </w:tcBorders>
                  <w:noWrap w:val="0"/>
                  <w:vAlign w:val="center"/>
                </w:tcPr>
                <w:p>
                  <w:pPr>
                    <w:pStyle w:val="107"/>
                    <w:bidi w:val="0"/>
                    <w:jc w:val="both"/>
                    <w:rPr>
                      <w:rFonts w:hint="default"/>
                      <w:b w:val="0"/>
                      <w:bCs w:val="0"/>
                      <w:color w:val="auto"/>
                      <w:highlight w:val="none"/>
                      <w:lang w:val="en-US" w:eastAsia="zh-CN" w:bidi="ar-SA"/>
                    </w:rPr>
                  </w:pPr>
                  <w:r>
                    <w:rPr>
                      <w:rFonts w:hint="default"/>
                      <w:b w:val="0"/>
                      <w:bCs w:val="0"/>
                      <w:color w:val="auto"/>
                      <w:highlight w:val="none"/>
                      <w:lang w:val="en-US" w:eastAsia="zh-CN" w:bidi="ar-SA"/>
                    </w:rPr>
                    <w:t>禁止排放超过排放标准或者超过重点大气污染物排放总量控制指标的大气污染物</w:t>
                  </w:r>
                </w:p>
              </w:tc>
              <w:tc>
                <w:tcPr>
                  <w:tcW w:w="1935" w:type="pct"/>
                  <w:tcBorders>
                    <w:tl2br w:val="nil"/>
                    <w:tr2bl w:val="nil"/>
                  </w:tcBorders>
                  <w:noWrap w:val="0"/>
                  <w:vAlign w:val="center"/>
                </w:tcPr>
                <w:p>
                  <w:pPr>
                    <w:pStyle w:val="107"/>
                    <w:bidi w:val="0"/>
                    <w:jc w:val="both"/>
                    <w:rPr>
                      <w:rFonts w:hint="default"/>
                      <w:b w:val="0"/>
                      <w:bCs w:val="0"/>
                      <w:color w:val="auto"/>
                      <w:highlight w:val="none"/>
                      <w:lang w:val="en-US" w:eastAsia="zh-CN" w:bidi="ar-SA"/>
                    </w:rPr>
                  </w:pPr>
                  <w:r>
                    <w:rPr>
                      <w:rFonts w:hint="eastAsia"/>
                      <w:b w:val="0"/>
                      <w:bCs w:val="0"/>
                      <w:color w:val="auto"/>
                      <w:highlight w:val="none"/>
                      <w:lang w:val="en-US" w:eastAsia="zh-CN" w:bidi="ar-SA"/>
                    </w:rPr>
                    <w:t>项目锅炉配套建设除尘系统“多管旋风除尘器+布袋除尘器除尘”，经处理后的锅炉烟气可达标排放。</w:t>
                  </w:r>
                </w:p>
              </w:tc>
              <w:tc>
                <w:tcPr>
                  <w:tcW w:w="405" w:type="pct"/>
                  <w:tcBorders>
                    <w:tl2br w:val="nil"/>
                    <w:tr2bl w:val="nil"/>
                  </w:tcBorders>
                  <w:noWrap w:val="0"/>
                  <w:vAlign w:val="center"/>
                </w:tcPr>
                <w:p>
                  <w:pPr>
                    <w:pStyle w:val="107"/>
                    <w:bidi w:val="0"/>
                    <w:jc w:val="both"/>
                    <w:rPr>
                      <w:rFonts w:hint="default"/>
                      <w:b w:val="0"/>
                      <w:bCs w:val="0"/>
                      <w:color w:val="auto"/>
                      <w:highlight w:val="none"/>
                      <w:lang w:val="en-US" w:eastAsia="zh-CN" w:bidi="ar-SA"/>
                    </w:rPr>
                  </w:pPr>
                  <w:r>
                    <w:rPr>
                      <w:rFonts w:hint="eastAsia"/>
                      <w:b w:val="0"/>
                      <w:bCs w:val="0"/>
                      <w:color w:val="auto"/>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2" w:hRule="atLeast"/>
                <w:jc w:val="center"/>
              </w:trPr>
              <w:tc>
                <w:tcPr>
                  <w:tcW w:w="763" w:type="pct"/>
                  <w:tcBorders>
                    <w:tl2br w:val="nil"/>
                    <w:tr2bl w:val="nil"/>
                  </w:tcBorders>
                  <w:noWrap w:val="0"/>
                  <w:vAlign w:val="center"/>
                </w:tcPr>
                <w:p>
                  <w:pPr>
                    <w:pStyle w:val="107"/>
                    <w:bidi w:val="0"/>
                    <w:jc w:val="both"/>
                    <w:rPr>
                      <w:rFonts w:hint="eastAsia"/>
                      <w:b w:val="0"/>
                      <w:bCs w:val="0"/>
                      <w:color w:val="auto"/>
                      <w:highlight w:val="none"/>
                      <w:lang w:val="en-US" w:eastAsia="zh-CN" w:bidi="ar-SA"/>
                    </w:rPr>
                  </w:pPr>
                  <w:r>
                    <w:rPr>
                      <w:rFonts w:hint="eastAsia"/>
                      <w:b w:val="0"/>
                      <w:bCs w:val="0"/>
                      <w:color w:val="auto"/>
                      <w:highlight w:val="none"/>
                      <w:lang w:val="en-US" w:eastAsia="zh-CN" w:bidi="ar-SA"/>
                    </w:rPr>
                    <w:t>十五条</w:t>
                  </w:r>
                </w:p>
              </w:tc>
              <w:tc>
                <w:tcPr>
                  <w:tcW w:w="1895" w:type="pct"/>
                  <w:tcBorders>
                    <w:tl2br w:val="nil"/>
                    <w:tr2bl w:val="nil"/>
                  </w:tcBorders>
                  <w:noWrap w:val="0"/>
                  <w:vAlign w:val="center"/>
                </w:tcPr>
                <w:p>
                  <w:pPr>
                    <w:pStyle w:val="107"/>
                    <w:bidi w:val="0"/>
                    <w:jc w:val="both"/>
                    <w:rPr>
                      <w:rFonts w:hint="default"/>
                      <w:b w:val="0"/>
                      <w:bCs w:val="0"/>
                      <w:color w:val="auto"/>
                      <w:highlight w:val="none"/>
                      <w:lang w:val="en-US" w:eastAsia="zh-CN" w:bidi="ar-SA"/>
                    </w:rPr>
                  </w:pPr>
                  <w:r>
                    <w:rPr>
                      <w:rFonts w:hint="default"/>
                      <w:b w:val="0"/>
                      <w:bCs w:val="0"/>
                      <w:color w:val="auto"/>
                      <w:highlight w:val="none"/>
                      <w:lang w:val="en-US" w:eastAsia="zh-CN" w:bidi="ar-SA"/>
                    </w:rPr>
                    <w:t>排放大气污染物的企业事业单位和其他生产经营者应当加强精细化管理，严格按照有关规定，配套建设、使用和维护大气污染防治装备。</w:t>
                  </w:r>
                </w:p>
              </w:tc>
              <w:tc>
                <w:tcPr>
                  <w:tcW w:w="1935" w:type="pct"/>
                  <w:tcBorders>
                    <w:tl2br w:val="nil"/>
                    <w:tr2bl w:val="nil"/>
                  </w:tcBorders>
                  <w:noWrap w:val="0"/>
                  <w:vAlign w:val="center"/>
                </w:tcPr>
                <w:p>
                  <w:pPr>
                    <w:pStyle w:val="107"/>
                    <w:bidi w:val="0"/>
                    <w:jc w:val="both"/>
                    <w:rPr>
                      <w:rFonts w:hint="default"/>
                      <w:b w:val="0"/>
                      <w:bCs w:val="0"/>
                      <w:color w:val="auto"/>
                      <w:highlight w:val="none"/>
                      <w:lang w:val="en-US" w:eastAsia="zh-CN" w:bidi="ar-SA"/>
                    </w:rPr>
                  </w:pPr>
                  <w:r>
                    <w:rPr>
                      <w:rFonts w:hint="eastAsia"/>
                      <w:b w:val="0"/>
                      <w:bCs w:val="0"/>
                      <w:color w:val="auto"/>
                      <w:highlight w:val="none"/>
                      <w:lang w:val="en-US" w:eastAsia="zh-CN" w:bidi="ar-SA"/>
                    </w:rPr>
                    <w:t>锅炉配套建设除尘系统“多管旋风除尘器+布袋除尘器除尘”。</w:t>
                  </w:r>
                </w:p>
              </w:tc>
              <w:tc>
                <w:tcPr>
                  <w:tcW w:w="405" w:type="pct"/>
                  <w:tcBorders>
                    <w:tl2br w:val="nil"/>
                    <w:tr2bl w:val="nil"/>
                  </w:tcBorders>
                  <w:noWrap w:val="0"/>
                  <w:vAlign w:val="center"/>
                </w:tcPr>
                <w:p>
                  <w:pPr>
                    <w:pStyle w:val="107"/>
                    <w:bidi w:val="0"/>
                    <w:jc w:val="both"/>
                    <w:rPr>
                      <w:rFonts w:hint="eastAsia"/>
                      <w:b w:val="0"/>
                      <w:bCs w:val="0"/>
                      <w:color w:val="auto"/>
                      <w:highlight w:val="none"/>
                      <w:lang w:val="en-US" w:eastAsia="zh-CN" w:bidi="ar-SA"/>
                    </w:rPr>
                  </w:pPr>
                  <w:r>
                    <w:rPr>
                      <w:rFonts w:hint="eastAsia"/>
                      <w:b w:val="0"/>
                      <w:bCs w:val="0"/>
                      <w:color w:val="auto"/>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2" w:hRule="atLeast"/>
                <w:jc w:val="center"/>
              </w:trPr>
              <w:tc>
                <w:tcPr>
                  <w:tcW w:w="763" w:type="pct"/>
                  <w:tcBorders>
                    <w:tl2br w:val="nil"/>
                    <w:tr2bl w:val="nil"/>
                  </w:tcBorders>
                  <w:noWrap w:val="0"/>
                  <w:vAlign w:val="center"/>
                </w:tcPr>
                <w:p>
                  <w:pPr>
                    <w:pStyle w:val="107"/>
                    <w:bidi w:val="0"/>
                    <w:jc w:val="both"/>
                    <w:rPr>
                      <w:rFonts w:hint="default"/>
                      <w:b w:val="0"/>
                      <w:bCs w:val="0"/>
                      <w:color w:val="auto"/>
                      <w:highlight w:val="none"/>
                      <w:lang w:val="en-US" w:eastAsia="zh-CN" w:bidi="ar-SA"/>
                    </w:rPr>
                  </w:pPr>
                  <w:r>
                    <w:rPr>
                      <w:rFonts w:hint="eastAsia"/>
                      <w:b w:val="0"/>
                      <w:bCs w:val="0"/>
                      <w:color w:val="auto"/>
                      <w:highlight w:val="none"/>
                      <w:lang w:val="en-US" w:eastAsia="zh-CN" w:bidi="ar-SA"/>
                    </w:rPr>
                    <w:t>十六条</w:t>
                  </w:r>
                </w:p>
              </w:tc>
              <w:tc>
                <w:tcPr>
                  <w:tcW w:w="1895" w:type="pct"/>
                  <w:tcBorders>
                    <w:tl2br w:val="nil"/>
                    <w:tr2bl w:val="nil"/>
                  </w:tcBorders>
                  <w:noWrap w:val="0"/>
                  <w:vAlign w:val="center"/>
                </w:tcPr>
                <w:p>
                  <w:pPr>
                    <w:pStyle w:val="107"/>
                    <w:bidi w:val="0"/>
                    <w:jc w:val="both"/>
                    <w:rPr>
                      <w:rFonts w:hint="default"/>
                      <w:b w:val="0"/>
                      <w:bCs w:val="0"/>
                      <w:color w:val="auto"/>
                      <w:highlight w:val="none"/>
                      <w:lang w:val="en-US" w:eastAsia="zh-CN" w:bidi="ar-SA"/>
                    </w:rPr>
                  </w:pPr>
                  <w:r>
                    <w:rPr>
                      <w:rFonts w:hint="default"/>
                      <w:b w:val="0"/>
                      <w:bCs w:val="0"/>
                      <w:color w:val="auto"/>
                      <w:highlight w:val="none"/>
                      <w:lang w:val="en-US" w:eastAsia="zh-CN" w:bidi="ar-SA"/>
                    </w:rPr>
                    <w:t>向大气排放污染物的企业事业单位和其他生产经营者，应当按照有关规定设置大气污染物排放口</w:t>
                  </w:r>
                </w:p>
              </w:tc>
              <w:tc>
                <w:tcPr>
                  <w:tcW w:w="1935" w:type="pct"/>
                  <w:tcBorders>
                    <w:tl2br w:val="nil"/>
                    <w:tr2bl w:val="nil"/>
                  </w:tcBorders>
                  <w:noWrap w:val="0"/>
                  <w:vAlign w:val="center"/>
                </w:tcPr>
                <w:p>
                  <w:pPr>
                    <w:pStyle w:val="107"/>
                    <w:bidi w:val="0"/>
                    <w:jc w:val="both"/>
                    <w:rPr>
                      <w:rFonts w:hint="default"/>
                      <w:b w:val="0"/>
                      <w:bCs w:val="0"/>
                      <w:color w:val="auto"/>
                      <w:highlight w:val="none"/>
                      <w:lang w:val="en-US" w:eastAsia="zh-CN" w:bidi="ar-SA"/>
                    </w:rPr>
                  </w:pPr>
                  <w:r>
                    <w:rPr>
                      <w:rFonts w:hint="default"/>
                      <w:b w:val="0"/>
                      <w:bCs w:val="0"/>
                      <w:color w:val="auto"/>
                      <w:highlight w:val="none"/>
                      <w:lang w:val="en-US" w:eastAsia="zh-CN" w:bidi="ar-SA"/>
                    </w:rPr>
                    <w:t>本项目</w:t>
                  </w:r>
                  <w:r>
                    <w:rPr>
                      <w:rFonts w:hint="eastAsia"/>
                      <w:b w:val="0"/>
                      <w:bCs w:val="0"/>
                      <w:color w:val="auto"/>
                      <w:highlight w:val="none"/>
                      <w:lang w:val="en-US" w:eastAsia="zh-CN" w:bidi="ar-SA"/>
                    </w:rPr>
                    <w:t>现有工程</w:t>
                  </w:r>
                  <w:r>
                    <w:rPr>
                      <w:rFonts w:hint="default"/>
                      <w:b w:val="0"/>
                      <w:bCs w:val="0"/>
                      <w:color w:val="auto"/>
                      <w:highlight w:val="none"/>
                      <w:lang w:val="en-US" w:eastAsia="zh-CN" w:bidi="ar-SA"/>
                    </w:rPr>
                    <w:t>已规范废气排放口，并安排专人定期维护，保证设施正常运营</w:t>
                  </w:r>
                  <w:r>
                    <w:rPr>
                      <w:rFonts w:hint="eastAsia"/>
                      <w:b w:val="0"/>
                      <w:bCs w:val="0"/>
                      <w:color w:val="auto"/>
                      <w:highlight w:val="none"/>
                      <w:lang w:val="en-US" w:eastAsia="zh-CN" w:bidi="ar-SA"/>
                    </w:rPr>
                    <w:t>。</w:t>
                  </w:r>
                </w:p>
              </w:tc>
              <w:tc>
                <w:tcPr>
                  <w:tcW w:w="405" w:type="pct"/>
                  <w:tcBorders>
                    <w:tl2br w:val="nil"/>
                    <w:tr2bl w:val="nil"/>
                  </w:tcBorders>
                  <w:noWrap w:val="0"/>
                  <w:vAlign w:val="center"/>
                </w:tcPr>
                <w:p>
                  <w:pPr>
                    <w:pStyle w:val="107"/>
                    <w:bidi w:val="0"/>
                    <w:jc w:val="both"/>
                    <w:rPr>
                      <w:rFonts w:hint="default"/>
                      <w:b w:val="0"/>
                      <w:bCs w:val="0"/>
                      <w:color w:val="auto"/>
                      <w:highlight w:val="none"/>
                      <w:lang w:val="en-US" w:eastAsia="zh-CN" w:bidi="ar-SA"/>
                    </w:rPr>
                  </w:pPr>
                  <w:r>
                    <w:rPr>
                      <w:rFonts w:hint="eastAsia"/>
                      <w:b w:val="0"/>
                      <w:bCs w:val="0"/>
                      <w:color w:val="auto"/>
                      <w:highlight w:val="none"/>
                      <w:lang w:val="en-US" w:eastAsia="zh-CN" w:bidi="ar-SA"/>
                    </w:rPr>
                    <w:t>符合</w:t>
                  </w:r>
                </w:p>
              </w:tc>
            </w:tr>
          </w:tbl>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根据上表分析结果，本项目与《昆明市大气污染防治条例》中的相关要求相符。</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1" w:firstLineChars="200"/>
              <w:textAlignment w:val="auto"/>
              <w:rPr>
                <w:rFonts w:hint="eastAsia"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7、</w:t>
            </w:r>
            <w:r>
              <w:rPr>
                <w:rFonts w:hint="eastAsia" w:ascii="Times New Roman" w:hAnsi="Times New Roman" w:eastAsia="宋体" w:cs="Times New Roman"/>
                <w:b/>
                <w:bCs/>
                <w:color w:val="auto"/>
                <w:sz w:val="24"/>
                <w:highlight w:val="none"/>
                <w:lang w:val="en-US" w:eastAsia="zh-CN"/>
              </w:rPr>
              <w:t>项目选址合理性分析</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位于云南省昆明市宜良县北古城工业园区，项目不涉及生态保护红线、自然保护区、风景名胜区、饮用水水源保护区等环境敏感区。项目严格按照本环评的要求建设，不会改变评价区域的环境功能，且经过本环评分析，本项目产生的污染物均得到合理处置，外排污染物可实现达标排放，对周边环境的影响是可以接受的</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周边企业主要为饲料产品加工企业，项目具有与周边企业环境相容的条件项目产生的各污染物经过环保措施处理后都能达标排放。因此项目与周边环境相容。</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因此，</w:t>
            </w:r>
            <w:r>
              <w:rPr>
                <w:rFonts w:hint="eastAsia" w:ascii="Times New Roman" w:hAnsi="Times New Roman" w:eastAsia="宋体" w:cs="Times New Roman"/>
                <w:color w:val="auto"/>
                <w:sz w:val="24"/>
                <w:highlight w:val="none"/>
                <w:lang w:val="en-US" w:eastAsia="zh-CN"/>
              </w:rPr>
              <w:t>本项目选址合理。</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textAlignment w:val="auto"/>
              <w:rPr>
                <w:rFonts w:hint="default" w:ascii="Times New Roman" w:hAnsi="Times New Roman" w:cs="Times New Roman"/>
                <w:color w:val="auto"/>
                <w:kern w:val="0"/>
                <w:szCs w:val="21"/>
                <w:highlight w:val="none"/>
              </w:rPr>
            </w:pPr>
          </w:p>
        </w:tc>
      </w:tr>
    </w:tbl>
    <w:p>
      <w:pPr>
        <w:spacing w:line="360" w:lineRule="auto"/>
        <w:outlineLvl w:val="0"/>
        <w:rPr>
          <w:rFonts w:hint="default" w:ascii="Times New Roman" w:hAnsi="Times New Roman" w:eastAsia="黑体" w:cs="Times New Roman"/>
          <w:color w:val="auto"/>
          <w:sz w:val="30"/>
          <w:highlight w:val="none"/>
        </w:rPr>
        <w:sectPr>
          <w:footerReference r:id="rId7" w:type="default"/>
          <w:pgSz w:w="11906" w:h="16838"/>
          <w:pgMar w:top="1304" w:right="1020" w:bottom="1304"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5"/>
        <w:bidi w:val="0"/>
        <w:spacing w:line="260" w:lineRule="auto"/>
        <w:ind w:left="0" w:firstLine="0" w:firstLineChars="0"/>
        <w:jc w:val="center"/>
        <w:rPr>
          <w:rFonts w:hint="default" w:ascii="Times New Roman" w:hAnsi="Times New Roman" w:cs="Times New Roman"/>
          <w:color w:val="auto"/>
          <w:highlight w:val="none"/>
        </w:rPr>
      </w:pPr>
      <w:bookmarkStart w:id="4" w:name="_Toc25608"/>
      <w:r>
        <w:rPr>
          <w:rFonts w:hint="default" w:ascii="Times New Roman" w:hAnsi="Times New Roman" w:cs="Times New Roman"/>
          <w:color w:val="auto"/>
          <w:highlight w:val="none"/>
        </w:rPr>
        <w:t>二、建设项目工程分析</w:t>
      </w:r>
      <w:bookmarkEnd w:id="4"/>
    </w:p>
    <w:tbl>
      <w:tblPr>
        <w:tblStyle w:val="29"/>
        <w:tblW w:w="94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4"/>
        <w:gridCol w:w="90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0" w:hRule="atLeast"/>
          <w:jc w:val="center"/>
        </w:trPr>
        <w:tc>
          <w:tcPr>
            <w:tcW w:w="454" w:type="dxa"/>
            <w:noWrap w:val="0"/>
            <w:vAlign w:val="center"/>
          </w:tcPr>
          <w:p>
            <w:pPr>
              <w:pStyle w:val="27"/>
              <w:keepNext w:val="0"/>
              <w:keepLines w:val="0"/>
              <w:pageBreakBefore w:val="0"/>
              <w:kinsoku/>
              <w:wordWrap/>
              <w:overflowPunct/>
              <w:topLinePunct w:val="0"/>
              <w:bidi w:val="0"/>
              <w:adjustRightInd w:val="0"/>
              <w:snapToGrid w:val="0"/>
              <w:spacing w:before="0" w:beforeAutospacing="0" w:after="0" w:afterAutospacing="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建设内容</w:t>
            </w:r>
          </w:p>
        </w:tc>
        <w:tc>
          <w:tcPr>
            <w:tcW w:w="9003" w:type="dxa"/>
            <w:noWrap w:val="0"/>
            <w:vAlign w:val="top"/>
          </w:tcPr>
          <w:p>
            <w:pPr>
              <w:keepNext w:val="0"/>
              <w:keepLines w:val="0"/>
              <w:pageBreakBefore w:val="0"/>
              <w:widowControl w:val="0"/>
              <w:kinsoku/>
              <w:wordWrap/>
              <w:overflowPunct/>
              <w:topLinePunct w:val="0"/>
              <w:bidi w:val="0"/>
              <w:adjustRightInd/>
              <w:snapToGrid/>
              <w:spacing w:line="360" w:lineRule="auto"/>
              <w:ind w:firstLine="457" w:firstLineChars="200"/>
              <w:textAlignment w:val="auto"/>
              <w:rPr>
                <w:rFonts w:hint="default" w:cs="Times New Roman"/>
                <w:b/>
                <w:bCs w:val="0"/>
                <w:color w:val="auto"/>
                <w:spacing w:val="-6"/>
                <w:sz w:val="24"/>
                <w:szCs w:val="24"/>
                <w:highlight w:val="none"/>
                <w:lang w:val="en-US" w:eastAsia="zh-CN"/>
              </w:rPr>
            </w:pPr>
            <w:r>
              <w:rPr>
                <w:rFonts w:hint="eastAsia" w:cs="Times New Roman"/>
                <w:b/>
                <w:bCs w:val="0"/>
                <w:color w:val="auto"/>
                <w:spacing w:val="-6"/>
                <w:sz w:val="24"/>
                <w:szCs w:val="24"/>
                <w:highlight w:val="none"/>
                <w:lang w:val="en-US" w:eastAsia="zh-CN"/>
              </w:rPr>
              <w:t>一、项目背景</w:t>
            </w:r>
          </w:p>
          <w:p>
            <w:pPr>
              <w:keepNext w:val="0"/>
              <w:keepLines w:val="0"/>
              <w:pageBreakBefore w:val="0"/>
              <w:widowControl w:val="0"/>
              <w:kinsoku/>
              <w:wordWrap/>
              <w:overflowPunct/>
              <w:topLinePunct w:val="0"/>
              <w:bidi w:val="0"/>
              <w:adjustRightInd/>
              <w:snapToGrid/>
              <w:spacing w:line="360" w:lineRule="auto"/>
              <w:ind w:firstLine="456" w:firstLineChars="200"/>
              <w:textAlignment w:val="auto"/>
              <w:rPr>
                <w:rFonts w:hint="default" w:cs="Times New Roman"/>
                <w:bCs/>
                <w:color w:val="auto"/>
                <w:spacing w:val="-6"/>
                <w:sz w:val="24"/>
                <w:szCs w:val="24"/>
                <w:highlight w:val="none"/>
                <w:lang w:val="en-US" w:eastAsia="zh-CN"/>
              </w:rPr>
            </w:pPr>
            <w:r>
              <w:rPr>
                <w:rFonts w:hint="eastAsia" w:cs="Times New Roman"/>
                <w:bCs/>
                <w:color w:val="auto"/>
                <w:spacing w:val="-6"/>
                <w:sz w:val="24"/>
                <w:szCs w:val="24"/>
                <w:highlight w:val="none"/>
                <w:lang w:val="en-US" w:eastAsia="zh-CN"/>
              </w:rPr>
              <w:t>昆明甲乙木能源技术有限公司于2022年9月委托昆明绿岛环境科技有限公司编制完成了《宜良工业园区生物质绿色可再生能源分布式集中供热项目环境影响报告表》（报批稿），并于2022年9月14日取得昆明市生态环境局宜良分局文件宜生环〔2022〕55号关于对《宜良工业园区生物质绿色可再生能源分布式集中供热项目环境影响报告表》的批复。昆明甲乙木能源技术有限公司于2022年11月15日取得排污许可证，证书编号：91530125MA6Q6XB8XL001V。已批复的内容为：项目建设6台生物质锅炉，其中海大供热点设置四台锅炉，分别为4t/h一台、6t/h二台、10t/h一台，特驱供热点设置6t/h锅炉一台，漓源供热点设置4t/h锅炉一台，项目建设的锅炉主要是产蒸汽供给服务企业使用。实际建设内容：该项目目前现已建设完成4台锅炉及配套设施，并投入运行，但未验收，分别在海大供热点建设一台4t/h锅炉和一台6t/h锅炉，特驱供热点建设一台6t/h锅炉，漓源供热点建设一台4t/h锅炉。由于服务范围内企业用蒸汽需求量增加，项目建设计划发生如下变化：①海大供热点锅炉设置由原环评的4t/h一台、6t/h二台、10t/h一台，变更为4t/h一台、6t/h一台、15t/h一台；②特驱供热点锅炉设置由原环评的6t/h锅炉一台，变更为6t/h一台、20t/h一台。</w:t>
            </w:r>
            <w:r>
              <w:rPr>
                <w:rFonts w:hint="default" w:cs="Times New Roman"/>
                <w:bCs/>
                <w:color w:val="auto"/>
                <w:spacing w:val="-6"/>
                <w:sz w:val="24"/>
                <w:szCs w:val="24"/>
                <w:highlight w:val="none"/>
                <w:lang w:val="en-US" w:eastAsia="zh-CN"/>
              </w:rPr>
              <w:t>在项目实际建设过程中，</w:t>
            </w:r>
            <w:r>
              <w:rPr>
                <w:rFonts w:hint="eastAsia" w:cs="Times New Roman"/>
                <w:bCs/>
                <w:color w:val="auto"/>
                <w:spacing w:val="-6"/>
                <w:sz w:val="24"/>
                <w:szCs w:val="24"/>
                <w:highlight w:val="none"/>
                <w:lang w:val="en-US" w:eastAsia="zh-CN"/>
              </w:rPr>
              <w:t>由于供热点锅炉装机总容量增大，</w:t>
            </w:r>
            <w:r>
              <w:rPr>
                <w:rFonts w:hint="default" w:cs="Times New Roman"/>
                <w:bCs/>
                <w:color w:val="auto"/>
                <w:spacing w:val="-6"/>
                <w:sz w:val="24"/>
                <w:szCs w:val="24"/>
                <w:highlight w:val="none"/>
                <w:lang w:val="en-US" w:eastAsia="zh-CN"/>
              </w:rPr>
              <w:t>原辅材料用量</w:t>
            </w:r>
            <w:r>
              <w:rPr>
                <w:rFonts w:hint="eastAsia" w:cs="Times New Roman"/>
                <w:bCs/>
                <w:color w:val="auto"/>
                <w:spacing w:val="-6"/>
                <w:sz w:val="24"/>
                <w:szCs w:val="24"/>
                <w:highlight w:val="none"/>
                <w:lang w:val="en-US" w:eastAsia="zh-CN"/>
              </w:rPr>
              <w:t>发生了较大变化，</w:t>
            </w:r>
            <w:r>
              <w:rPr>
                <w:rFonts w:hint="default" w:cs="Times New Roman"/>
                <w:bCs/>
                <w:color w:val="auto"/>
                <w:spacing w:val="-6"/>
                <w:sz w:val="24"/>
                <w:szCs w:val="24"/>
                <w:highlight w:val="none"/>
                <w:lang w:val="en-US" w:eastAsia="zh-CN"/>
              </w:rPr>
              <w:t>考虑上述变化情况，本项目拟进行重新报批</w:t>
            </w:r>
            <w:r>
              <w:rPr>
                <w:rFonts w:hint="eastAsia" w:cs="Times New Roman"/>
                <w:bCs/>
                <w:color w:val="auto"/>
                <w:spacing w:val="-6"/>
                <w:sz w:val="24"/>
                <w:szCs w:val="24"/>
                <w:highlight w:val="none"/>
                <w:lang w:val="en-US" w:eastAsia="zh-CN"/>
              </w:rPr>
              <w:t>，重新核算污染物排放总量</w:t>
            </w:r>
            <w:r>
              <w:rPr>
                <w:rFonts w:hint="default" w:cs="Times New Roman"/>
                <w:bCs/>
                <w:color w:val="auto"/>
                <w:spacing w:val="-6"/>
                <w:sz w:val="24"/>
                <w:szCs w:val="24"/>
                <w:highlight w:val="none"/>
                <w:lang w:val="en-US" w:eastAsia="zh-CN"/>
              </w:rPr>
              <w:t>。</w:t>
            </w:r>
          </w:p>
          <w:p>
            <w:pPr>
              <w:keepNext w:val="0"/>
              <w:keepLines w:val="0"/>
              <w:pageBreakBefore w:val="0"/>
              <w:widowControl w:val="0"/>
              <w:kinsoku/>
              <w:wordWrap/>
              <w:overflowPunct/>
              <w:topLinePunct w:val="0"/>
              <w:bidi w:val="0"/>
              <w:adjustRightInd/>
              <w:snapToGrid/>
              <w:spacing w:line="360" w:lineRule="auto"/>
              <w:ind w:firstLine="456" w:firstLineChars="200"/>
              <w:textAlignment w:val="auto"/>
              <w:rPr>
                <w:rFonts w:hint="eastAsia" w:cs="Times New Roman"/>
                <w:bCs/>
                <w:color w:val="auto"/>
                <w:spacing w:val="-6"/>
                <w:sz w:val="24"/>
                <w:szCs w:val="24"/>
                <w:highlight w:val="none"/>
                <w:lang w:val="en-US" w:eastAsia="zh-CN"/>
              </w:rPr>
            </w:pPr>
            <w:r>
              <w:rPr>
                <w:rFonts w:hint="default" w:cs="Times New Roman"/>
                <w:bCs/>
                <w:color w:val="auto"/>
                <w:spacing w:val="-6"/>
                <w:sz w:val="24"/>
                <w:szCs w:val="24"/>
                <w:highlight w:val="none"/>
                <w:lang w:val="en-US" w:eastAsia="zh-CN"/>
              </w:rPr>
              <w:t>重新报批</w:t>
            </w:r>
            <w:r>
              <w:rPr>
                <w:rFonts w:hint="eastAsia" w:cs="Times New Roman"/>
                <w:bCs/>
                <w:color w:val="auto"/>
                <w:spacing w:val="-6"/>
                <w:sz w:val="24"/>
                <w:szCs w:val="24"/>
                <w:highlight w:val="none"/>
                <w:lang w:val="en-US" w:eastAsia="zh-CN"/>
              </w:rPr>
              <w:t>的项目内容：拟在海大供热点设置4台锅炉，分别为4t/h一台、6t/h一台、15t/h一台；特驱供热点设置2台锅炉，分别为6t/h一台、20t/h一台，漓源供热点设置4t/h锅炉一台。现申请办理项目环境影响评价审批手续。</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二</w:t>
            </w:r>
            <w:r>
              <w:rPr>
                <w:rFonts w:hint="default" w:ascii="Times New Roman" w:hAnsi="Times New Roman" w:eastAsia="宋体" w:cs="Times New Roman"/>
                <w:b/>
                <w:bCs/>
                <w:color w:val="auto"/>
                <w:sz w:val="24"/>
                <w:szCs w:val="24"/>
                <w:highlight w:val="none"/>
                <w:lang w:val="en-US" w:eastAsia="zh-CN"/>
              </w:rPr>
              <w:t>、项目概况</w:t>
            </w:r>
          </w:p>
          <w:p>
            <w:pPr>
              <w:autoSpaceDE w:val="0"/>
              <w:autoSpaceDN w:val="0"/>
              <w:adjustRightInd w:val="0"/>
              <w:spacing w:line="360" w:lineRule="auto"/>
              <w:ind w:firstLine="481" w:firstLineChars="200"/>
              <w:rPr>
                <w:rFonts w:hint="default"/>
                <w:b/>
                <w:bCs/>
                <w:color w:val="auto"/>
                <w:sz w:val="24"/>
                <w:szCs w:val="24"/>
                <w:highlight w:val="none"/>
                <w:lang w:val="en-US" w:eastAsia="zh-CN"/>
              </w:rPr>
            </w:pPr>
            <w:r>
              <w:rPr>
                <w:rFonts w:hint="eastAsia"/>
                <w:b/>
                <w:bCs/>
                <w:color w:val="auto"/>
                <w:sz w:val="24"/>
                <w:szCs w:val="24"/>
                <w:highlight w:val="none"/>
                <w:lang w:val="en-US" w:eastAsia="zh-CN"/>
              </w:rPr>
              <w:t>1、项目概况</w:t>
            </w:r>
          </w:p>
          <w:p>
            <w:pPr>
              <w:autoSpaceDE w:val="0"/>
              <w:autoSpaceDN w:val="0"/>
              <w:adjustRightInd w:val="0"/>
              <w:spacing w:line="360" w:lineRule="auto"/>
              <w:ind w:firstLine="481" w:firstLineChars="200"/>
              <w:rPr>
                <w:rFonts w:hint="eastAsia" w:eastAsia="宋体"/>
                <w:color w:val="auto"/>
                <w:sz w:val="24"/>
                <w:szCs w:val="24"/>
                <w:highlight w:val="none"/>
                <w:lang w:val="en-US" w:eastAsia="zh-CN"/>
              </w:rPr>
            </w:pPr>
            <w:r>
              <w:rPr>
                <w:rFonts w:hint="eastAsia"/>
                <w:b/>
                <w:bCs/>
                <w:color w:val="auto"/>
                <w:sz w:val="24"/>
                <w:szCs w:val="24"/>
                <w:highlight w:val="none"/>
                <w:lang w:val="en-US" w:eastAsia="zh-CN"/>
              </w:rPr>
              <w:t>项目名称：</w:t>
            </w:r>
            <w:r>
              <w:rPr>
                <w:rFonts w:hint="eastAsia" w:cs="Times New Roman"/>
                <w:b w:val="0"/>
                <w:bCs w:val="0"/>
                <w:color w:val="auto"/>
                <w:sz w:val="24"/>
                <w:szCs w:val="24"/>
                <w:highlight w:val="none"/>
                <w:u w:val="none"/>
                <w:lang w:eastAsia="zh-CN"/>
              </w:rPr>
              <w:t>宜良工业园区生物质绿色可再生能源分布式集中供热项目</w:t>
            </w:r>
          </w:p>
          <w:p>
            <w:pPr>
              <w:autoSpaceDE w:val="0"/>
              <w:autoSpaceDN w:val="0"/>
              <w:adjustRightInd w:val="0"/>
              <w:spacing w:line="360" w:lineRule="auto"/>
              <w:ind w:firstLine="481" w:firstLineChars="200"/>
              <w:rPr>
                <w:rFonts w:hint="eastAsia"/>
                <w:color w:val="auto"/>
                <w:sz w:val="24"/>
                <w:szCs w:val="24"/>
                <w:highlight w:val="none"/>
                <w:lang w:val="en-US" w:eastAsia="zh-CN"/>
              </w:rPr>
            </w:pPr>
            <w:r>
              <w:rPr>
                <w:rFonts w:hint="eastAsia"/>
                <w:b/>
                <w:bCs/>
                <w:color w:val="auto"/>
                <w:sz w:val="24"/>
                <w:szCs w:val="24"/>
                <w:highlight w:val="none"/>
                <w:lang w:val="en-US" w:eastAsia="zh-CN"/>
              </w:rPr>
              <w:t>建设单位：</w:t>
            </w:r>
            <w:r>
              <w:rPr>
                <w:rFonts w:hint="eastAsia" w:cs="Times New Roman"/>
                <w:bCs/>
                <w:color w:val="auto"/>
                <w:spacing w:val="-6"/>
                <w:sz w:val="24"/>
                <w:szCs w:val="24"/>
                <w:highlight w:val="none"/>
                <w:lang w:val="en-US" w:eastAsia="zh-CN"/>
              </w:rPr>
              <w:t>昆明甲乙木能源技术有限公司</w:t>
            </w:r>
          </w:p>
          <w:p>
            <w:pPr>
              <w:autoSpaceDE w:val="0"/>
              <w:autoSpaceDN w:val="0"/>
              <w:adjustRightInd w:val="0"/>
              <w:spacing w:line="360" w:lineRule="auto"/>
              <w:ind w:firstLine="481" w:firstLineChars="200"/>
              <w:rPr>
                <w:rFonts w:hint="eastAsia"/>
                <w:color w:val="auto"/>
                <w:sz w:val="24"/>
                <w:szCs w:val="24"/>
                <w:highlight w:val="none"/>
                <w:lang w:val="en-US" w:eastAsia="zh-CN"/>
              </w:rPr>
            </w:pPr>
            <w:r>
              <w:rPr>
                <w:rFonts w:hint="eastAsia"/>
                <w:b/>
                <w:bCs/>
                <w:color w:val="auto"/>
                <w:sz w:val="24"/>
                <w:szCs w:val="24"/>
                <w:highlight w:val="none"/>
                <w:lang w:val="en-US" w:eastAsia="zh-CN"/>
              </w:rPr>
              <w:t>建设性质：</w:t>
            </w:r>
            <w:r>
              <w:rPr>
                <w:rFonts w:hint="eastAsia"/>
                <w:color w:val="auto"/>
                <w:sz w:val="24"/>
                <w:szCs w:val="24"/>
                <w:highlight w:val="none"/>
                <w:lang w:val="en-US" w:eastAsia="zh-CN"/>
              </w:rPr>
              <w:t>新建</w:t>
            </w:r>
          </w:p>
          <w:p>
            <w:pPr>
              <w:autoSpaceDE w:val="0"/>
              <w:autoSpaceDN w:val="0"/>
              <w:adjustRightInd w:val="0"/>
              <w:spacing w:line="360" w:lineRule="auto"/>
              <w:ind w:firstLine="481" w:firstLineChars="200"/>
              <w:rPr>
                <w:rFonts w:hint="default" w:ascii="Times New Roman" w:hAnsi="Times New Roman" w:cs="Times New Roman"/>
                <w:b w:val="0"/>
                <w:bCs w:val="0"/>
                <w:color w:val="auto"/>
                <w:sz w:val="24"/>
                <w:szCs w:val="24"/>
                <w:highlight w:val="none"/>
                <w:lang w:val="en-US" w:eastAsia="zh-CN"/>
              </w:rPr>
            </w:pPr>
            <w:r>
              <w:rPr>
                <w:rFonts w:hint="eastAsia"/>
                <w:b/>
                <w:bCs/>
                <w:color w:val="auto"/>
                <w:sz w:val="24"/>
                <w:szCs w:val="24"/>
                <w:highlight w:val="none"/>
                <w:lang w:val="en-US" w:eastAsia="zh-CN"/>
              </w:rPr>
              <w:t>建设地点：</w:t>
            </w:r>
            <w:r>
              <w:rPr>
                <w:rFonts w:hint="eastAsia"/>
                <w:b w:val="0"/>
                <w:bCs w:val="0"/>
                <w:color w:val="auto"/>
                <w:sz w:val="24"/>
                <w:szCs w:val="24"/>
                <w:highlight w:val="none"/>
                <w:lang w:val="en-US" w:eastAsia="zh-CN"/>
              </w:rPr>
              <w:t>本项目位于宜良工业园北古城片区，建设三个供热点，为海大供热点、漓源供热点、特驱供热点。</w:t>
            </w:r>
            <w:r>
              <w:rPr>
                <w:rFonts w:hint="default" w:ascii="Times New Roman" w:hAnsi="Times New Roman" w:cs="Times New Roman"/>
                <w:b w:val="0"/>
                <w:bCs w:val="0"/>
                <w:color w:val="auto"/>
                <w:sz w:val="24"/>
                <w:szCs w:val="24"/>
                <w:highlight w:val="none"/>
                <w:lang w:val="en-US" w:eastAsia="zh-CN"/>
              </w:rPr>
              <w:t>海大供热点租用云南海大生物科技有限公司二期厂房规划建设用地建设</w:t>
            </w:r>
            <w:r>
              <w:rPr>
                <w:rFonts w:hint="eastAsia"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漓源供热点利用</w:t>
            </w:r>
            <w:r>
              <w:rPr>
                <w:rFonts w:hint="default" w:ascii="Times New Roman" w:hAnsi="Times New Roman" w:cs="Times New Roman"/>
                <w:b w:val="0"/>
                <w:bCs w:val="0"/>
                <w:color w:val="auto"/>
                <w:sz w:val="24"/>
                <w:szCs w:val="24"/>
                <w:highlight w:val="none"/>
                <w:lang w:val="en-US" w:eastAsia="zh-CN"/>
              </w:rPr>
              <w:fldChar w:fldCharType="begin"/>
            </w:r>
            <w:r>
              <w:rPr>
                <w:rFonts w:hint="default" w:ascii="Times New Roman" w:hAnsi="Times New Roman" w:cs="Times New Roman"/>
                <w:b w:val="0"/>
                <w:bCs w:val="0"/>
                <w:color w:val="auto"/>
                <w:sz w:val="24"/>
                <w:szCs w:val="24"/>
                <w:highlight w:val="none"/>
                <w:lang w:val="en-US" w:eastAsia="zh-CN"/>
              </w:rPr>
              <w:instrText xml:space="preserve"> HYPERLINK "http://www.baidu.com/link?url=k38QrQiOpPhdnIoPfF-NRVdrrP4Rhg1-USYOQr1U9jApQjA8Vs5PJx58NJfeIweWVLfmUDdOT8BfCt1bzwbTe5t9EnIlnBBtpJciK0lHMvG" \t "_blank" </w:instrText>
            </w:r>
            <w:r>
              <w:rPr>
                <w:rFonts w:hint="default" w:ascii="Times New Roman" w:hAnsi="Times New Roman" w:cs="Times New Roman"/>
                <w:b w:val="0"/>
                <w:bCs w:val="0"/>
                <w:color w:val="auto"/>
                <w:sz w:val="24"/>
                <w:szCs w:val="24"/>
                <w:highlight w:val="none"/>
                <w:lang w:val="en-US" w:eastAsia="zh-CN"/>
              </w:rPr>
              <w:fldChar w:fldCharType="separate"/>
            </w:r>
            <w:r>
              <w:rPr>
                <w:rFonts w:hint="default" w:ascii="Times New Roman" w:hAnsi="Times New Roman" w:cs="Times New Roman"/>
                <w:b w:val="0"/>
                <w:bCs w:val="0"/>
                <w:color w:val="auto"/>
                <w:sz w:val="24"/>
                <w:szCs w:val="24"/>
                <w:highlight w:val="none"/>
                <w:lang w:val="en-US" w:eastAsia="zh-CN"/>
              </w:rPr>
              <w:t>昆明漓源饲料有限公司</w:t>
            </w:r>
            <w:r>
              <w:rPr>
                <w:rFonts w:hint="default" w:ascii="Times New Roman" w:hAnsi="Times New Roman" w:cs="Times New Roman"/>
                <w:b w:val="0"/>
                <w:bCs w:val="0"/>
                <w:color w:val="auto"/>
                <w:sz w:val="24"/>
                <w:szCs w:val="24"/>
                <w:highlight w:val="none"/>
                <w:lang w:val="en-US" w:eastAsia="zh-CN"/>
              </w:rPr>
              <w:fldChar w:fldCharType="end"/>
            </w:r>
            <w:r>
              <w:rPr>
                <w:rFonts w:hint="default" w:ascii="Times New Roman" w:hAnsi="Times New Roman" w:cs="Times New Roman"/>
                <w:b w:val="0"/>
                <w:bCs w:val="0"/>
                <w:color w:val="auto"/>
                <w:sz w:val="24"/>
                <w:szCs w:val="24"/>
                <w:highlight w:val="none"/>
                <w:lang w:val="en-US" w:eastAsia="zh-CN"/>
              </w:rPr>
              <w:t>原有锅炉房进行建设</w:t>
            </w:r>
            <w:r>
              <w:rPr>
                <w:rFonts w:hint="eastAsia"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特驱供热点租用昆明特驱饲料有限公司锅炉房旁边空地建设</w:t>
            </w:r>
            <w:r>
              <w:rPr>
                <w:rFonts w:hint="eastAsia" w:cs="Times New Roman"/>
                <w:b w:val="0"/>
                <w:bCs w:val="0"/>
                <w:color w:val="auto"/>
                <w:sz w:val="24"/>
                <w:szCs w:val="24"/>
                <w:highlight w:val="none"/>
                <w:lang w:val="en-US" w:eastAsia="zh-CN"/>
              </w:rPr>
              <w:t>。</w:t>
            </w:r>
          </w:p>
          <w:p>
            <w:pPr>
              <w:autoSpaceDE w:val="0"/>
              <w:autoSpaceDN w:val="0"/>
              <w:adjustRightInd w:val="0"/>
              <w:spacing w:line="360" w:lineRule="auto"/>
              <w:ind w:firstLine="481" w:firstLineChars="200"/>
              <w:rPr>
                <w:rFonts w:hint="default"/>
                <w:color w:val="auto"/>
                <w:sz w:val="24"/>
                <w:szCs w:val="24"/>
                <w:highlight w:val="none"/>
                <w:lang w:val="en-US" w:eastAsia="zh-CN"/>
              </w:rPr>
            </w:pPr>
            <w:r>
              <w:rPr>
                <w:rFonts w:hint="eastAsia"/>
                <w:b/>
                <w:bCs/>
                <w:color w:val="auto"/>
                <w:sz w:val="24"/>
                <w:szCs w:val="24"/>
                <w:highlight w:val="none"/>
                <w:lang w:val="en-US" w:eastAsia="zh-CN"/>
              </w:rPr>
              <w:t>项目投资：</w:t>
            </w:r>
            <w:r>
              <w:rPr>
                <w:rFonts w:hint="eastAsia"/>
                <w:color w:val="auto"/>
                <w:sz w:val="24"/>
                <w:szCs w:val="24"/>
                <w:highlight w:val="none"/>
                <w:lang w:val="en-US" w:eastAsia="zh-CN"/>
              </w:rPr>
              <w:t>本项目总投资为1560万元，环保投资196.02万元。</w:t>
            </w:r>
          </w:p>
          <w:p>
            <w:pPr>
              <w:autoSpaceDE w:val="0"/>
              <w:autoSpaceDN w:val="0"/>
              <w:adjustRightInd w:val="0"/>
              <w:spacing w:line="360" w:lineRule="auto"/>
              <w:ind w:firstLine="481" w:firstLineChars="200"/>
              <w:rPr>
                <w:rFonts w:hint="default"/>
                <w:b/>
                <w:bCs/>
                <w:color w:val="auto"/>
                <w:sz w:val="24"/>
                <w:szCs w:val="24"/>
                <w:highlight w:val="none"/>
                <w:lang w:val="en-US" w:eastAsia="zh-CN"/>
              </w:rPr>
            </w:pPr>
            <w:r>
              <w:rPr>
                <w:rFonts w:hint="eastAsia"/>
                <w:b/>
                <w:bCs/>
                <w:color w:val="auto"/>
                <w:sz w:val="24"/>
                <w:szCs w:val="24"/>
                <w:highlight w:val="none"/>
                <w:lang w:val="en-US" w:eastAsia="zh-CN"/>
              </w:rPr>
              <w:t>2、工程建设内容</w:t>
            </w:r>
          </w:p>
          <w:p>
            <w:pPr>
              <w:autoSpaceDE w:val="0"/>
              <w:autoSpaceDN w:val="0"/>
              <w:adjustRightInd w:val="0"/>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项目建设海大供热点、特驱供热点、漓源供热点及调度系统。海大供热点设置四台锅炉，分别为</w:t>
            </w:r>
            <w:bookmarkStart w:id="5" w:name="OLE_LINK1"/>
            <w:bookmarkStart w:id="6" w:name="OLE_LINK2"/>
            <w:r>
              <w:rPr>
                <w:rFonts w:hint="eastAsia"/>
                <w:color w:val="auto"/>
                <w:sz w:val="24"/>
                <w:szCs w:val="24"/>
                <w:highlight w:val="none"/>
                <w:lang w:val="en-US" w:eastAsia="zh-CN"/>
              </w:rPr>
              <w:t>4t/h一台、6t/h一台、15t/h一台</w:t>
            </w:r>
            <w:bookmarkEnd w:id="5"/>
            <w:bookmarkEnd w:id="6"/>
            <w:r>
              <w:rPr>
                <w:rFonts w:hint="eastAsia"/>
                <w:color w:val="auto"/>
                <w:sz w:val="24"/>
                <w:szCs w:val="24"/>
                <w:highlight w:val="none"/>
                <w:lang w:val="en-US" w:eastAsia="zh-CN"/>
              </w:rPr>
              <w:t>，特驱供热点设置6t/h一台，20t/h一台，漓源供热点设置4t/h锅炉一台。项目区内不设置生活办公区，海大供热点及特驱供热点员工生活设施均依托于昆明特驱饲料有限公司已建成的生活设施，漓源供热点员工生活设施依托昆明漓源饲料有限公司已建成的生活设施。</w:t>
            </w:r>
          </w:p>
          <w:p>
            <w:pPr>
              <w:autoSpaceDE w:val="0"/>
              <w:autoSpaceDN w:val="0"/>
              <w:adjustRightInd w:val="0"/>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项目主要建设内容一览表见表2-1。</w:t>
            </w:r>
          </w:p>
          <w:p>
            <w:pPr>
              <w:pStyle w:val="4"/>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表2-1项目主要建设内容一览表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78"/>
              <w:gridCol w:w="5738"/>
              <w:gridCol w:w="1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0" w:type="pct"/>
                  <w:gridSpan w:val="2"/>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名称</w:t>
                  </w:r>
                </w:p>
              </w:tc>
              <w:tc>
                <w:tcPr>
                  <w:tcW w:w="3268"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建设内容</w:t>
                  </w:r>
                </w:p>
              </w:tc>
              <w:tc>
                <w:tcPr>
                  <w:tcW w:w="93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3" w:type="pct"/>
                  <w:vMerge w:val="restar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主体工程</w:t>
                  </w:r>
                </w:p>
              </w:tc>
              <w:tc>
                <w:tcPr>
                  <w:tcW w:w="556" w:type="pct"/>
                  <w:vMerge w:val="restar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海大供热点</w:t>
                  </w:r>
                </w:p>
              </w:tc>
              <w:tc>
                <w:tcPr>
                  <w:tcW w:w="3268"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租用云南海大生物科技有限公司二期建设用地，建设锅炉房</w:t>
                  </w:r>
                  <w:r>
                    <w:rPr>
                      <w:rFonts w:hint="eastAsia" w:cs="Times New Roman"/>
                      <w:bCs/>
                      <w:color w:val="auto"/>
                      <w:kern w:val="0"/>
                      <w:sz w:val="21"/>
                      <w:szCs w:val="21"/>
                      <w:highlight w:val="none"/>
                      <w:lang w:eastAsia="zh-CN"/>
                    </w:rPr>
                    <w:t>，</w:t>
                  </w:r>
                  <w:r>
                    <w:rPr>
                      <w:rFonts w:hint="eastAsia" w:cs="Times New Roman"/>
                      <w:bCs/>
                      <w:color w:val="auto"/>
                      <w:kern w:val="0"/>
                      <w:sz w:val="21"/>
                      <w:szCs w:val="21"/>
                      <w:highlight w:val="none"/>
                      <w:lang w:val="en-US" w:eastAsia="zh-CN"/>
                    </w:rPr>
                    <w:t>占地面积1600</w:t>
                  </w:r>
                  <w:r>
                    <w:rPr>
                      <w:rFonts w:hint="default" w:ascii="Times New Roman" w:hAnsi="Times New Roman" w:eastAsia="宋体" w:cs="Times New Roman"/>
                      <w:bCs/>
                      <w:color w:val="auto"/>
                      <w:kern w:val="0"/>
                      <w:sz w:val="21"/>
                      <w:szCs w:val="21"/>
                      <w:highlight w:val="none"/>
                      <w:lang w:val="en-US" w:eastAsia="zh-CN"/>
                    </w:rPr>
                    <w:t>m²</w:t>
                  </w:r>
                  <w:r>
                    <w:rPr>
                      <w:rFonts w:hint="eastAsia" w:cs="Times New Roman"/>
                      <w:bCs/>
                      <w:color w:val="auto"/>
                      <w:kern w:val="0"/>
                      <w:sz w:val="21"/>
                      <w:szCs w:val="21"/>
                      <w:highlight w:val="none"/>
                      <w:lang w:val="en-US" w:eastAsia="zh-CN"/>
                    </w:rPr>
                    <w:t>，</w:t>
                  </w:r>
                  <w:r>
                    <w:rPr>
                      <w:rFonts w:hint="eastAsia" w:ascii="Times New Roman" w:hAnsi="Times New Roman" w:eastAsia="宋体" w:cs="Times New Roman"/>
                      <w:bCs/>
                      <w:color w:val="auto"/>
                      <w:kern w:val="0"/>
                      <w:sz w:val="21"/>
                      <w:szCs w:val="21"/>
                      <w:highlight w:val="none"/>
                    </w:rPr>
                    <w:t>建筑面积为1432</w:t>
                  </w:r>
                  <w:r>
                    <w:rPr>
                      <w:rFonts w:hint="default" w:ascii="Times New Roman" w:hAnsi="Times New Roman" w:eastAsia="宋体" w:cs="Times New Roman"/>
                      <w:bCs/>
                      <w:color w:val="auto"/>
                      <w:kern w:val="0"/>
                      <w:sz w:val="21"/>
                      <w:szCs w:val="21"/>
                      <w:highlight w:val="none"/>
                      <w:lang w:val="en-US" w:eastAsia="zh-CN"/>
                    </w:rPr>
                    <w:t>m²</w:t>
                  </w:r>
                  <w:r>
                    <w:rPr>
                      <w:rFonts w:hint="eastAsia" w:cs="Times New Roman"/>
                      <w:bCs/>
                      <w:color w:val="auto"/>
                      <w:kern w:val="0"/>
                      <w:sz w:val="21"/>
                      <w:szCs w:val="21"/>
                      <w:highlight w:val="none"/>
                      <w:lang w:val="en-US" w:eastAsia="zh-CN"/>
                    </w:rPr>
                    <w:t>。</w:t>
                  </w:r>
                </w:p>
              </w:tc>
              <w:tc>
                <w:tcPr>
                  <w:tcW w:w="93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eastAsia="zh-CN"/>
                    </w:rPr>
                  </w:pPr>
                  <w:r>
                    <w:rPr>
                      <w:rFonts w:hint="eastAsia" w:cs="Times New Roman"/>
                      <w:bCs/>
                      <w:color w:val="auto"/>
                      <w:kern w:val="0"/>
                      <w:sz w:val="21"/>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3"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556"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3268" w:type="pct"/>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rPr>
                    <w:t>设置</w:t>
                  </w:r>
                  <w:r>
                    <w:rPr>
                      <w:rFonts w:hint="eastAsia" w:ascii="Times New Roman" w:hAnsi="Times New Roman" w:eastAsia="宋体" w:cs="Times New Roman"/>
                      <w:bCs/>
                      <w:color w:val="auto"/>
                      <w:kern w:val="0"/>
                      <w:sz w:val="21"/>
                      <w:szCs w:val="21"/>
                      <w:highlight w:val="none"/>
                      <w:lang w:val="en-US" w:eastAsia="zh-CN"/>
                    </w:rPr>
                    <w:t>4t/h</w:t>
                  </w:r>
                  <w:r>
                    <w:rPr>
                      <w:rFonts w:hint="eastAsia" w:cs="Times New Roman"/>
                      <w:bCs/>
                      <w:color w:val="auto"/>
                      <w:kern w:val="0"/>
                      <w:sz w:val="21"/>
                      <w:szCs w:val="21"/>
                      <w:highlight w:val="none"/>
                      <w:lang w:val="en-US" w:eastAsia="zh-CN"/>
                    </w:rPr>
                    <w:t>锅炉</w:t>
                  </w:r>
                  <w:r>
                    <w:rPr>
                      <w:rFonts w:hint="eastAsia" w:ascii="Times New Roman" w:hAnsi="Times New Roman" w:eastAsia="宋体" w:cs="Times New Roman"/>
                      <w:bCs/>
                      <w:color w:val="auto"/>
                      <w:kern w:val="0"/>
                      <w:sz w:val="21"/>
                      <w:szCs w:val="21"/>
                      <w:highlight w:val="none"/>
                      <w:lang w:val="en-US" w:eastAsia="zh-CN"/>
                    </w:rPr>
                    <w:t>一台、6t/h</w:t>
                  </w:r>
                  <w:r>
                    <w:rPr>
                      <w:rFonts w:hint="eastAsia" w:cs="Times New Roman"/>
                      <w:bCs/>
                      <w:color w:val="auto"/>
                      <w:kern w:val="0"/>
                      <w:sz w:val="21"/>
                      <w:szCs w:val="21"/>
                      <w:highlight w:val="none"/>
                      <w:lang w:val="en-US" w:eastAsia="zh-CN"/>
                    </w:rPr>
                    <w:t>锅炉</w:t>
                  </w:r>
                  <w:r>
                    <w:rPr>
                      <w:rFonts w:hint="eastAsia" w:ascii="Times New Roman" w:hAnsi="Times New Roman" w:eastAsia="宋体" w:cs="Times New Roman"/>
                      <w:bCs/>
                      <w:color w:val="auto"/>
                      <w:kern w:val="0"/>
                      <w:sz w:val="21"/>
                      <w:szCs w:val="21"/>
                      <w:highlight w:val="none"/>
                      <w:lang w:val="en-US" w:eastAsia="zh-CN"/>
                    </w:rPr>
                    <w:t>一台、15t/h</w:t>
                  </w:r>
                  <w:r>
                    <w:rPr>
                      <w:rFonts w:hint="eastAsia" w:cs="Times New Roman"/>
                      <w:bCs/>
                      <w:color w:val="auto"/>
                      <w:kern w:val="0"/>
                      <w:sz w:val="21"/>
                      <w:szCs w:val="21"/>
                      <w:highlight w:val="none"/>
                      <w:lang w:val="en-US" w:eastAsia="zh-CN"/>
                    </w:rPr>
                    <w:t>锅炉</w:t>
                  </w:r>
                  <w:r>
                    <w:rPr>
                      <w:rFonts w:hint="eastAsia" w:ascii="Times New Roman" w:hAnsi="Times New Roman" w:eastAsia="宋体" w:cs="Times New Roman"/>
                      <w:bCs/>
                      <w:color w:val="auto"/>
                      <w:kern w:val="0"/>
                      <w:sz w:val="21"/>
                      <w:szCs w:val="21"/>
                      <w:highlight w:val="none"/>
                      <w:lang w:val="en-US" w:eastAsia="zh-CN"/>
                    </w:rPr>
                    <w:t>一台</w:t>
                  </w:r>
                  <w:r>
                    <w:rPr>
                      <w:rFonts w:hint="eastAsia" w:ascii="Times New Roman" w:hAnsi="Times New Roman" w:eastAsia="宋体" w:cs="Times New Roman"/>
                      <w:bCs/>
                      <w:color w:val="auto"/>
                      <w:kern w:val="0"/>
                      <w:sz w:val="21"/>
                      <w:szCs w:val="21"/>
                      <w:highlight w:val="none"/>
                    </w:rPr>
                    <w:t>。</w:t>
                  </w:r>
                  <w:r>
                    <w:rPr>
                      <w:rFonts w:hint="eastAsia" w:cs="Times New Roman"/>
                      <w:bCs/>
                      <w:color w:val="auto"/>
                      <w:kern w:val="0"/>
                      <w:sz w:val="21"/>
                      <w:szCs w:val="21"/>
                      <w:highlight w:val="none"/>
                      <w:lang w:val="en-US" w:eastAsia="zh-CN"/>
                    </w:rPr>
                    <w:t>配套建设软水系统、除尘系统、烟气蒸发系统。</w:t>
                  </w:r>
                </w:p>
              </w:tc>
              <w:tc>
                <w:tcPr>
                  <w:tcW w:w="931" w:type="pct"/>
                  <w:vAlign w:val="center"/>
                </w:tcPr>
                <w:p>
                  <w:pPr>
                    <w:widowControl/>
                    <w:adjustRightInd w:val="0"/>
                    <w:snapToGrid w:val="0"/>
                    <w:jc w:val="center"/>
                    <w:rPr>
                      <w:rFonts w:hint="default"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已建4t/h一台、6t/h一台，15t/h锅炉暂未建设。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3"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556" w:type="pct"/>
                  <w:vMerge w:val="restar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特驱供热点</w:t>
                  </w:r>
                </w:p>
              </w:tc>
              <w:tc>
                <w:tcPr>
                  <w:tcW w:w="3268"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rPr>
                    <w:t>租用昆明特驱饲料有限公司锅炉房旁边空地建设，一层钢结构厂房，占地面积</w:t>
                  </w:r>
                  <w:r>
                    <w:rPr>
                      <w:rFonts w:hint="eastAsia" w:cs="Times New Roman"/>
                      <w:bCs/>
                      <w:color w:val="auto"/>
                      <w:kern w:val="0"/>
                      <w:sz w:val="21"/>
                      <w:szCs w:val="21"/>
                      <w:highlight w:val="none"/>
                      <w:lang w:val="en-US" w:eastAsia="zh-CN"/>
                    </w:rPr>
                    <w:t>600</w:t>
                  </w:r>
                  <w:r>
                    <w:rPr>
                      <w:rFonts w:hint="default" w:ascii="Times New Roman" w:hAnsi="Times New Roman" w:eastAsia="宋体" w:cs="Times New Roman"/>
                      <w:bCs/>
                      <w:color w:val="auto"/>
                      <w:kern w:val="0"/>
                      <w:sz w:val="21"/>
                      <w:szCs w:val="21"/>
                      <w:highlight w:val="none"/>
                      <w:lang w:val="en-US" w:eastAsia="zh-CN"/>
                    </w:rPr>
                    <w:t>m²</w:t>
                  </w:r>
                  <w:r>
                    <w:rPr>
                      <w:rFonts w:hint="eastAsia" w:ascii="Times New Roman" w:hAnsi="Times New Roman" w:eastAsia="宋体" w:cs="Times New Roman"/>
                      <w:bCs/>
                      <w:color w:val="auto"/>
                      <w:kern w:val="0"/>
                      <w:sz w:val="21"/>
                      <w:szCs w:val="21"/>
                      <w:highlight w:val="none"/>
                    </w:rPr>
                    <w:t>，建筑面积</w:t>
                  </w:r>
                  <w:r>
                    <w:rPr>
                      <w:rFonts w:hint="eastAsia" w:cs="Times New Roman"/>
                      <w:bCs/>
                      <w:color w:val="auto"/>
                      <w:kern w:val="0"/>
                      <w:sz w:val="21"/>
                      <w:szCs w:val="21"/>
                      <w:highlight w:val="none"/>
                      <w:lang w:val="en-US" w:eastAsia="zh-CN"/>
                    </w:rPr>
                    <w:t>500</w:t>
                  </w:r>
                  <w:r>
                    <w:rPr>
                      <w:rFonts w:hint="default" w:ascii="Times New Roman" w:hAnsi="Times New Roman" w:eastAsia="宋体" w:cs="Times New Roman"/>
                      <w:bCs/>
                      <w:color w:val="auto"/>
                      <w:kern w:val="0"/>
                      <w:sz w:val="21"/>
                      <w:szCs w:val="21"/>
                      <w:highlight w:val="none"/>
                      <w:lang w:val="en-US" w:eastAsia="zh-CN"/>
                    </w:rPr>
                    <w:t>m²</w:t>
                  </w:r>
                  <w:r>
                    <w:rPr>
                      <w:rFonts w:hint="eastAsia" w:cs="Times New Roman"/>
                      <w:bCs/>
                      <w:color w:val="auto"/>
                      <w:kern w:val="0"/>
                      <w:sz w:val="21"/>
                      <w:szCs w:val="21"/>
                      <w:highlight w:val="none"/>
                      <w:lang w:val="en-US" w:eastAsia="zh-CN"/>
                    </w:rPr>
                    <w:t>。</w:t>
                  </w:r>
                </w:p>
              </w:tc>
              <w:tc>
                <w:tcPr>
                  <w:tcW w:w="93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cs="Times New Roman"/>
                      <w:bCs/>
                      <w:color w:val="auto"/>
                      <w:kern w:val="0"/>
                      <w:sz w:val="21"/>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3"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556"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3268"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cs="Times New Roman"/>
                      <w:bCs/>
                      <w:color w:val="auto"/>
                      <w:kern w:val="0"/>
                      <w:sz w:val="21"/>
                      <w:szCs w:val="21"/>
                      <w:highlight w:val="none"/>
                      <w:lang w:val="en-US" w:eastAsia="zh-CN"/>
                    </w:rPr>
                    <w:t>建设</w:t>
                  </w:r>
                  <w:r>
                    <w:rPr>
                      <w:rFonts w:hint="eastAsia" w:ascii="Times New Roman" w:hAnsi="Times New Roman" w:eastAsia="宋体" w:cs="Times New Roman"/>
                      <w:bCs/>
                      <w:color w:val="auto"/>
                      <w:kern w:val="0"/>
                      <w:sz w:val="21"/>
                      <w:szCs w:val="21"/>
                      <w:highlight w:val="none"/>
                    </w:rPr>
                    <w:t>6t/h锅炉</w:t>
                  </w:r>
                  <w:r>
                    <w:rPr>
                      <w:rFonts w:hint="eastAsia" w:cs="Times New Roman"/>
                      <w:bCs/>
                      <w:color w:val="auto"/>
                      <w:kern w:val="0"/>
                      <w:sz w:val="21"/>
                      <w:szCs w:val="21"/>
                      <w:highlight w:val="none"/>
                      <w:lang w:val="en-US" w:eastAsia="zh-CN"/>
                    </w:rPr>
                    <w:t>一台、20</w:t>
                  </w:r>
                  <w:r>
                    <w:rPr>
                      <w:rFonts w:hint="eastAsia" w:ascii="Times New Roman" w:hAnsi="Times New Roman" w:eastAsia="宋体" w:cs="Times New Roman"/>
                      <w:bCs/>
                      <w:color w:val="auto"/>
                      <w:kern w:val="0"/>
                      <w:sz w:val="21"/>
                      <w:szCs w:val="21"/>
                      <w:highlight w:val="none"/>
                    </w:rPr>
                    <w:t>t/h锅炉</w:t>
                  </w:r>
                  <w:r>
                    <w:rPr>
                      <w:rFonts w:hint="eastAsia" w:cs="Times New Roman"/>
                      <w:bCs/>
                      <w:color w:val="auto"/>
                      <w:kern w:val="0"/>
                      <w:sz w:val="21"/>
                      <w:szCs w:val="21"/>
                      <w:highlight w:val="none"/>
                      <w:lang w:val="en-US" w:eastAsia="zh-CN"/>
                    </w:rPr>
                    <w:t>一台，配套建设软水系统、除尘系统、烟气蒸发系统。</w:t>
                  </w:r>
                </w:p>
              </w:tc>
              <w:tc>
                <w:tcPr>
                  <w:tcW w:w="93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cs="Times New Roman"/>
                      <w:bCs/>
                      <w:color w:val="auto"/>
                      <w:kern w:val="0"/>
                      <w:sz w:val="21"/>
                      <w:szCs w:val="21"/>
                      <w:highlight w:val="none"/>
                      <w:lang w:val="en-US" w:eastAsia="zh-CN"/>
                    </w:rPr>
                    <w:t>已建</w:t>
                  </w:r>
                  <w:r>
                    <w:rPr>
                      <w:rFonts w:hint="eastAsia" w:ascii="Times New Roman" w:hAnsi="Times New Roman" w:eastAsia="宋体" w:cs="Times New Roman"/>
                      <w:bCs/>
                      <w:color w:val="auto"/>
                      <w:kern w:val="0"/>
                      <w:sz w:val="21"/>
                      <w:szCs w:val="21"/>
                      <w:highlight w:val="none"/>
                    </w:rPr>
                    <w:t>6t/h锅炉</w:t>
                  </w:r>
                  <w:r>
                    <w:rPr>
                      <w:rFonts w:hint="eastAsia" w:cs="Times New Roman"/>
                      <w:bCs/>
                      <w:color w:val="auto"/>
                      <w:kern w:val="0"/>
                      <w:sz w:val="21"/>
                      <w:szCs w:val="21"/>
                      <w:highlight w:val="none"/>
                      <w:lang w:val="en-US" w:eastAsia="zh-CN"/>
                    </w:rPr>
                    <w:t>一台，20</w:t>
                  </w:r>
                  <w:r>
                    <w:rPr>
                      <w:rFonts w:hint="eastAsia" w:ascii="Times New Roman" w:hAnsi="Times New Roman" w:eastAsia="宋体" w:cs="Times New Roman"/>
                      <w:bCs/>
                      <w:color w:val="auto"/>
                      <w:kern w:val="0"/>
                      <w:sz w:val="21"/>
                      <w:szCs w:val="21"/>
                      <w:highlight w:val="none"/>
                    </w:rPr>
                    <w:t>t/h锅炉</w:t>
                  </w:r>
                  <w:r>
                    <w:rPr>
                      <w:rFonts w:hint="eastAsia" w:cs="Times New Roman"/>
                      <w:bCs/>
                      <w:color w:val="auto"/>
                      <w:kern w:val="0"/>
                      <w:sz w:val="21"/>
                      <w:szCs w:val="21"/>
                      <w:highlight w:val="none"/>
                      <w:lang w:val="en-US" w:eastAsia="zh-CN"/>
                    </w:rPr>
                    <w:t>暂未建设。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3"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556" w:type="pct"/>
                  <w:vMerge w:val="restar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漓源供热点</w:t>
                  </w:r>
                </w:p>
              </w:tc>
              <w:tc>
                <w:tcPr>
                  <w:tcW w:w="3268"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使用昆明漓源饲料有限公司原锅炉房，建筑面积480</w:t>
                  </w:r>
                  <w:r>
                    <w:rPr>
                      <w:rFonts w:hint="default" w:ascii="Times New Roman" w:hAnsi="Times New Roman" w:eastAsia="宋体" w:cs="Times New Roman"/>
                      <w:bCs/>
                      <w:color w:val="auto"/>
                      <w:kern w:val="0"/>
                      <w:sz w:val="21"/>
                      <w:szCs w:val="21"/>
                      <w:highlight w:val="none"/>
                      <w:lang w:val="en-US" w:eastAsia="zh-CN"/>
                    </w:rPr>
                    <w:t>m²</w:t>
                  </w:r>
                  <w:r>
                    <w:rPr>
                      <w:rFonts w:hint="eastAsia" w:ascii="Times New Roman" w:hAnsi="Times New Roman" w:eastAsia="宋体" w:cs="Times New Roman"/>
                      <w:bCs/>
                      <w:color w:val="auto"/>
                      <w:kern w:val="0"/>
                      <w:sz w:val="21"/>
                      <w:szCs w:val="21"/>
                      <w:highlight w:val="none"/>
                    </w:rPr>
                    <w:t>。</w:t>
                  </w:r>
                </w:p>
              </w:tc>
              <w:tc>
                <w:tcPr>
                  <w:tcW w:w="93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依托</w:t>
                  </w:r>
                  <w:r>
                    <w:rPr>
                      <w:rFonts w:hint="eastAsia" w:ascii="Times New Roman" w:hAnsi="Times New Roman" w:eastAsia="宋体" w:cs="Times New Roman"/>
                      <w:bCs/>
                      <w:color w:val="auto"/>
                      <w:kern w:val="0"/>
                      <w:sz w:val="21"/>
                      <w:szCs w:val="21"/>
                      <w:highlight w:val="none"/>
                    </w:rPr>
                    <w:t>昆明漓源饲料有限公司已建成锅炉房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3"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556"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3268"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eastAsia="zh-CN"/>
                    </w:rPr>
                  </w:pPr>
                  <w:r>
                    <w:rPr>
                      <w:rFonts w:hint="eastAsia" w:ascii="Times New Roman" w:hAnsi="Times New Roman" w:eastAsia="宋体" w:cs="Times New Roman"/>
                      <w:bCs/>
                      <w:color w:val="auto"/>
                      <w:kern w:val="0"/>
                      <w:sz w:val="21"/>
                      <w:szCs w:val="21"/>
                      <w:highlight w:val="none"/>
                    </w:rPr>
                    <w:t>新建一台4t/h的燃生物质锅炉</w:t>
                  </w:r>
                  <w:r>
                    <w:rPr>
                      <w:rFonts w:hint="eastAsia" w:cs="Times New Roman"/>
                      <w:bCs/>
                      <w:color w:val="auto"/>
                      <w:kern w:val="0"/>
                      <w:sz w:val="21"/>
                      <w:szCs w:val="21"/>
                      <w:highlight w:val="none"/>
                      <w:lang w:eastAsia="zh-CN"/>
                    </w:rPr>
                    <w:t>，</w:t>
                  </w:r>
                  <w:r>
                    <w:rPr>
                      <w:rFonts w:hint="eastAsia" w:cs="Times New Roman"/>
                      <w:bCs/>
                      <w:color w:val="auto"/>
                      <w:kern w:val="0"/>
                      <w:sz w:val="21"/>
                      <w:szCs w:val="21"/>
                      <w:highlight w:val="none"/>
                      <w:lang w:val="en-US" w:eastAsia="zh-CN"/>
                    </w:rPr>
                    <w:t>配套建设软水系统、除尘系统、烟气蒸发系统</w:t>
                  </w:r>
                  <w:r>
                    <w:rPr>
                      <w:rFonts w:hint="eastAsia" w:cs="Times New Roman"/>
                      <w:bCs/>
                      <w:color w:val="auto"/>
                      <w:kern w:val="0"/>
                      <w:sz w:val="21"/>
                      <w:szCs w:val="21"/>
                      <w:highlight w:val="none"/>
                      <w:lang w:eastAsia="zh-CN"/>
                    </w:rPr>
                    <w:t>。</w:t>
                  </w:r>
                </w:p>
              </w:tc>
              <w:tc>
                <w:tcPr>
                  <w:tcW w:w="93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3" w:type="pct"/>
                  <w:vMerge w:val="restar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供汽管网工程</w:t>
                  </w:r>
                </w:p>
              </w:tc>
              <w:tc>
                <w:tcPr>
                  <w:tcW w:w="556" w:type="pct"/>
                  <w:vMerge w:val="restar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海大供热点</w:t>
                  </w:r>
                </w:p>
              </w:tc>
              <w:tc>
                <w:tcPr>
                  <w:tcW w:w="3268" w:type="pct"/>
                  <w:tcBorders>
                    <w:bottom w:val="single" w:color="auto" w:sz="4" w:space="0"/>
                  </w:tcBorders>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采用低架空敷设方式，由锅炉房分汽缸沿围墙低架空约120</w:t>
                  </w:r>
                  <w:r>
                    <w:rPr>
                      <w:rFonts w:hint="eastAsia" w:cs="Times New Roman"/>
                      <w:bCs/>
                      <w:color w:val="auto"/>
                      <w:kern w:val="0"/>
                      <w:sz w:val="21"/>
                      <w:szCs w:val="21"/>
                      <w:highlight w:val="none"/>
                      <w:lang w:val="en-US" w:eastAsia="zh-CN"/>
                    </w:rPr>
                    <w:t>m</w:t>
                  </w:r>
                  <w:r>
                    <w:rPr>
                      <w:rFonts w:hint="eastAsia" w:ascii="Times New Roman" w:hAnsi="Times New Roman" w:eastAsia="宋体" w:cs="Times New Roman"/>
                      <w:bCs/>
                      <w:color w:val="auto"/>
                      <w:kern w:val="0"/>
                      <w:sz w:val="21"/>
                      <w:szCs w:val="21"/>
                      <w:highlight w:val="none"/>
                    </w:rPr>
                    <w:t>，接云南海大生物科技有限公司原主蒸汽管道供汽。</w:t>
                  </w:r>
                </w:p>
              </w:tc>
              <w:tc>
                <w:tcPr>
                  <w:tcW w:w="931" w:type="pct"/>
                  <w:tcBorders>
                    <w:bottom w:val="single" w:color="auto" w:sz="4" w:space="0"/>
                  </w:tcBorders>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3"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556"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3268" w:type="pct"/>
                  <w:tcBorders>
                    <w:bottom w:val="single" w:color="auto" w:sz="4" w:space="0"/>
                  </w:tcBorders>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供汽管道沿云南海大生物科技有限公司厂界架空340m至园区道路，套管地埋约30m穿过园区道路再通过500m蒸汽管网送至昆明滇大饲料有限公司</w:t>
                  </w:r>
                  <w:r>
                    <w:rPr>
                      <w:rFonts w:hint="eastAsia" w:cs="Times New Roman"/>
                      <w:bCs/>
                      <w:color w:val="auto"/>
                      <w:kern w:val="0"/>
                      <w:sz w:val="21"/>
                      <w:szCs w:val="21"/>
                      <w:highlight w:val="none"/>
                      <w:lang w:eastAsia="zh-CN"/>
                    </w:rPr>
                    <w:t>、</w:t>
                  </w:r>
                  <w:r>
                    <w:rPr>
                      <w:rFonts w:hint="eastAsia" w:ascii="Times New Roman" w:hAnsi="Times New Roman" w:eastAsia="宋体" w:cs="Times New Roman"/>
                      <w:bCs/>
                      <w:color w:val="auto"/>
                      <w:kern w:val="0"/>
                      <w:sz w:val="21"/>
                      <w:szCs w:val="21"/>
                      <w:highlight w:val="none"/>
                    </w:rPr>
                    <w:t>云南加大饲料有限公司、昆明通威饲料有限公司、云南大北农饲料科技有限公司、云南新希望动物营养食品有限公司，在加大饲料厂区架空260m接入原蒸汽管道供汽。</w:t>
                  </w:r>
                </w:p>
              </w:tc>
              <w:tc>
                <w:tcPr>
                  <w:tcW w:w="931" w:type="pct"/>
                  <w:tcBorders>
                    <w:bottom w:val="single" w:color="auto" w:sz="4" w:space="0"/>
                  </w:tcBorders>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3"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556" w:type="pct"/>
                  <w:vMerge w:val="continue"/>
                  <w:tcBorders>
                    <w:bottom w:val="single" w:color="auto" w:sz="4" w:space="0"/>
                  </w:tcBorders>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3268" w:type="pct"/>
                  <w:tcBorders>
                    <w:bottom w:val="single" w:color="auto" w:sz="4" w:space="0"/>
                  </w:tcBorders>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海大供热点</w:t>
                  </w:r>
                  <w:r>
                    <w:rPr>
                      <w:rFonts w:hint="eastAsia" w:cs="Times New Roman"/>
                      <w:bCs/>
                      <w:color w:val="auto"/>
                      <w:kern w:val="0"/>
                      <w:sz w:val="21"/>
                      <w:szCs w:val="21"/>
                      <w:highlight w:val="none"/>
                      <w:lang w:eastAsia="zh-CN"/>
                    </w:rPr>
                    <w:t>，</w:t>
                  </w:r>
                  <w:r>
                    <w:rPr>
                      <w:rFonts w:hint="eastAsia" w:cs="Times New Roman"/>
                      <w:bCs/>
                      <w:color w:val="auto"/>
                      <w:kern w:val="0"/>
                      <w:sz w:val="21"/>
                      <w:szCs w:val="21"/>
                      <w:highlight w:val="none"/>
                      <w:lang w:val="en-US" w:eastAsia="zh-CN"/>
                    </w:rPr>
                    <w:t>15t/h锅炉暂未建设，</w:t>
                  </w:r>
                  <w:r>
                    <w:rPr>
                      <w:rFonts w:hint="eastAsia" w:ascii="Times New Roman" w:hAnsi="Times New Roman" w:eastAsia="宋体" w:cs="Times New Roman"/>
                      <w:bCs/>
                      <w:color w:val="auto"/>
                      <w:kern w:val="0"/>
                      <w:sz w:val="21"/>
                      <w:szCs w:val="21"/>
                      <w:highlight w:val="none"/>
                    </w:rPr>
                    <w:t>由于暂未确定供汽企业，供汽管线不含在本次环境影响评价内。</w:t>
                  </w:r>
                </w:p>
              </w:tc>
              <w:tc>
                <w:tcPr>
                  <w:tcW w:w="931" w:type="pct"/>
                  <w:tcBorders>
                    <w:bottom w:val="single" w:color="auto" w:sz="4" w:space="0"/>
                  </w:tcBorders>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3"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556" w:type="pct"/>
                  <w:vMerge w:val="restar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特驱供热点</w:t>
                  </w:r>
                </w:p>
              </w:tc>
              <w:tc>
                <w:tcPr>
                  <w:tcW w:w="3268" w:type="pct"/>
                  <w:tcBorders>
                    <w:bottom w:val="single" w:color="auto" w:sz="4" w:space="0"/>
                  </w:tcBorders>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rPr>
                    <w:t>采用高架空敷设方式，30</w:t>
                  </w:r>
                  <w:r>
                    <w:rPr>
                      <w:rFonts w:hint="eastAsia" w:cs="Times New Roman"/>
                      <w:bCs/>
                      <w:color w:val="auto"/>
                      <w:kern w:val="0"/>
                      <w:sz w:val="21"/>
                      <w:szCs w:val="21"/>
                      <w:highlight w:val="none"/>
                      <w:lang w:val="en-US" w:eastAsia="zh-CN"/>
                    </w:rPr>
                    <w:t>m</w:t>
                  </w:r>
                  <w:r>
                    <w:rPr>
                      <w:rFonts w:hint="eastAsia" w:ascii="Times New Roman" w:hAnsi="Times New Roman" w:eastAsia="宋体" w:cs="Times New Roman"/>
                      <w:bCs/>
                      <w:color w:val="auto"/>
                      <w:kern w:val="0"/>
                      <w:sz w:val="21"/>
                      <w:szCs w:val="21"/>
                      <w:highlight w:val="none"/>
                    </w:rPr>
                    <w:t>左右与昆明特驱饲料有限公司原蒸汽管道相联供汽。</w:t>
                  </w:r>
                </w:p>
              </w:tc>
              <w:tc>
                <w:tcPr>
                  <w:tcW w:w="931" w:type="pct"/>
                  <w:tcBorders>
                    <w:bottom w:val="single" w:color="auto" w:sz="4" w:space="0"/>
                  </w:tcBorders>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cs="Times New Roman"/>
                      <w:bCs/>
                      <w:color w:val="auto"/>
                      <w:kern w:val="0"/>
                      <w:sz w:val="21"/>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3"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556"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3268" w:type="pct"/>
                  <w:tcBorders>
                    <w:bottom w:val="single" w:color="auto" w:sz="4" w:space="0"/>
                  </w:tcBorders>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rPr>
                    <w:t>采用高架空敷设方式，20</w:t>
                  </w:r>
                  <w:r>
                    <w:rPr>
                      <w:rFonts w:hint="eastAsia" w:cs="Times New Roman"/>
                      <w:bCs/>
                      <w:color w:val="auto"/>
                      <w:kern w:val="0"/>
                      <w:sz w:val="21"/>
                      <w:szCs w:val="21"/>
                      <w:highlight w:val="none"/>
                      <w:lang w:val="en-US" w:eastAsia="zh-CN"/>
                    </w:rPr>
                    <w:t>m</w:t>
                  </w:r>
                  <w:r>
                    <w:rPr>
                      <w:rFonts w:hint="eastAsia" w:ascii="Times New Roman" w:hAnsi="Times New Roman" w:eastAsia="宋体" w:cs="Times New Roman"/>
                      <w:bCs/>
                      <w:color w:val="auto"/>
                      <w:kern w:val="0"/>
                      <w:sz w:val="21"/>
                      <w:szCs w:val="21"/>
                      <w:highlight w:val="none"/>
                    </w:rPr>
                    <w:t>左右与云南新东道农业产业有限公司原蒸汽管道相联供汽。</w:t>
                  </w:r>
                </w:p>
              </w:tc>
              <w:tc>
                <w:tcPr>
                  <w:tcW w:w="931" w:type="pct"/>
                  <w:tcBorders>
                    <w:bottom w:val="single" w:color="auto" w:sz="4" w:space="0"/>
                  </w:tcBorders>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cs="Times New Roman"/>
                      <w:bCs/>
                      <w:color w:val="auto"/>
                      <w:kern w:val="0"/>
                      <w:sz w:val="21"/>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3"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556"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3268" w:type="pct"/>
                  <w:tcBorders>
                    <w:bottom w:val="single" w:color="auto" w:sz="4" w:space="0"/>
                  </w:tcBorders>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cs="Times New Roman"/>
                      <w:bCs/>
                      <w:color w:val="auto"/>
                      <w:kern w:val="0"/>
                      <w:sz w:val="21"/>
                      <w:szCs w:val="21"/>
                      <w:highlight w:val="none"/>
                      <w:lang w:eastAsia="zh-CN"/>
                    </w:rPr>
                    <w:t>特驱供热点，</w:t>
                  </w:r>
                  <w:r>
                    <w:rPr>
                      <w:rFonts w:hint="eastAsia" w:cs="Times New Roman"/>
                      <w:bCs/>
                      <w:color w:val="auto"/>
                      <w:kern w:val="0"/>
                      <w:sz w:val="21"/>
                      <w:szCs w:val="21"/>
                      <w:highlight w:val="none"/>
                      <w:lang w:val="en-US" w:eastAsia="zh-CN"/>
                    </w:rPr>
                    <w:t>20t/h锅炉暂未建设，</w:t>
                  </w:r>
                  <w:r>
                    <w:rPr>
                      <w:rFonts w:hint="eastAsia" w:ascii="Times New Roman" w:hAnsi="Times New Roman" w:eastAsia="宋体" w:cs="Times New Roman"/>
                      <w:bCs/>
                      <w:color w:val="auto"/>
                      <w:kern w:val="0"/>
                      <w:sz w:val="21"/>
                      <w:szCs w:val="21"/>
                      <w:highlight w:val="none"/>
                    </w:rPr>
                    <w:t>由于暂未确定供汽企业，供汽管线不含在本次环境影响评价内。</w:t>
                  </w:r>
                </w:p>
              </w:tc>
              <w:tc>
                <w:tcPr>
                  <w:tcW w:w="931" w:type="pct"/>
                  <w:tcBorders>
                    <w:bottom w:val="single" w:color="auto" w:sz="4" w:space="0"/>
                  </w:tcBorders>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lang w:val="en-US" w:eastAsia="zh-CN" w:bidi="ar-SA"/>
                    </w:rPr>
                  </w:pPr>
                  <w:r>
                    <w:rPr>
                      <w:rFonts w:hint="eastAsia" w:cs="Times New Roman"/>
                      <w:bCs/>
                      <w:color w:val="auto"/>
                      <w:kern w:val="0"/>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3"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556" w:type="pct"/>
                  <w:vMerge w:val="restar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漓源供热点</w:t>
                  </w:r>
                </w:p>
              </w:tc>
              <w:tc>
                <w:tcPr>
                  <w:tcW w:w="3268" w:type="pct"/>
                  <w:tcBorders>
                    <w:bottom w:val="single" w:color="auto" w:sz="4" w:space="0"/>
                  </w:tcBorders>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使用昆明漓源饲料有限公司原供汽管道。</w:t>
                  </w:r>
                </w:p>
              </w:tc>
              <w:tc>
                <w:tcPr>
                  <w:tcW w:w="931" w:type="pct"/>
                  <w:tcBorders>
                    <w:bottom w:val="single" w:color="auto" w:sz="4" w:space="0"/>
                  </w:tcBorders>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lang w:val="en-US"/>
                    </w:rPr>
                  </w:pPr>
                  <w:r>
                    <w:rPr>
                      <w:rFonts w:hint="eastAsia" w:cs="Times New Roman"/>
                      <w:bCs/>
                      <w:color w:val="auto"/>
                      <w:kern w:val="0"/>
                      <w:sz w:val="21"/>
                      <w:szCs w:val="21"/>
                      <w:highlight w:val="none"/>
                      <w:lang w:val="en-US" w:eastAsia="zh-CN"/>
                    </w:rPr>
                    <w:t>依托昆明漓源饲料有限公司已建成管道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3"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556" w:type="pct"/>
                  <w:vMerge w:val="continue"/>
                  <w:tcBorders>
                    <w:bottom w:val="single" w:color="auto" w:sz="4" w:space="0"/>
                  </w:tcBorders>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3268" w:type="pct"/>
                  <w:tcBorders>
                    <w:bottom w:val="single" w:color="auto" w:sz="4" w:space="0"/>
                  </w:tcBorders>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供汽管道通过架空320</w:t>
                  </w:r>
                  <w:r>
                    <w:rPr>
                      <w:rFonts w:hint="eastAsia" w:cs="Times New Roman"/>
                      <w:bCs/>
                      <w:color w:val="auto"/>
                      <w:kern w:val="0"/>
                      <w:sz w:val="21"/>
                      <w:szCs w:val="21"/>
                      <w:highlight w:val="none"/>
                      <w:lang w:val="en-US" w:eastAsia="zh-CN"/>
                    </w:rPr>
                    <w:t>m</w:t>
                  </w:r>
                  <w:r>
                    <w:rPr>
                      <w:rFonts w:hint="eastAsia" w:ascii="Times New Roman" w:hAnsi="Times New Roman" w:eastAsia="宋体" w:cs="Times New Roman"/>
                      <w:bCs/>
                      <w:color w:val="auto"/>
                      <w:kern w:val="0"/>
                      <w:sz w:val="21"/>
                      <w:szCs w:val="21"/>
                      <w:highlight w:val="none"/>
                    </w:rPr>
                    <w:t>引至云大饲料原蒸汽供汽管道供汽。</w:t>
                  </w:r>
                </w:p>
              </w:tc>
              <w:tc>
                <w:tcPr>
                  <w:tcW w:w="931" w:type="pct"/>
                  <w:tcBorders>
                    <w:bottom w:val="single" w:color="auto" w:sz="4" w:space="0"/>
                  </w:tcBorders>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3" w:type="pct"/>
                  <w:vMerge w:val="restar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储运工程</w:t>
                  </w:r>
                </w:p>
              </w:tc>
              <w:tc>
                <w:tcPr>
                  <w:tcW w:w="556"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海大供热点</w:t>
                  </w:r>
                </w:p>
              </w:tc>
              <w:tc>
                <w:tcPr>
                  <w:tcW w:w="3268"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建设</w:t>
                  </w:r>
                  <w:r>
                    <w:rPr>
                      <w:rFonts w:hint="eastAsia" w:cs="Times New Roman"/>
                      <w:bCs/>
                      <w:color w:val="auto"/>
                      <w:kern w:val="0"/>
                      <w:sz w:val="21"/>
                      <w:szCs w:val="21"/>
                      <w:highlight w:val="none"/>
                      <w:lang w:val="en-US" w:eastAsia="zh-CN"/>
                    </w:rPr>
                    <w:t>300</w:t>
                  </w:r>
                  <w:r>
                    <w:rPr>
                      <w:rFonts w:hint="default" w:ascii="Times New Roman" w:hAnsi="Times New Roman" w:eastAsia="宋体" w:cs="Times New Roman"/>
                      <w:bCs/>
                      <w:color w:val="auto"/>
                      <w:kern w:val="0"/>
                      <w:sz w:val="21"/>
                      <w:szCs w:val="21"/>
                      <w:highlight w:val="none"/>
                      <w:lang w:val="en-US" w:eastAsia="zh-CN"/>
                    </w:rPr>
                    <w:t>m²</w:t>
                  </w:r>
                  <w:r>
                    <w:rPr>
                      <w:rFonts w:hint="eastAsia" w:cs="Times New Roman"/>
                      <w:bCs/>
                      <w:color w:val="auto"/>
                      <w:kern w:val="0"/>
                      <w:sz w:val="21"/>
                      <w:szCs w:val="21"/>
                      <w:highlight w:val="none"/>
                      <w:lang w:val="en-US" w:eastAsia="zh-CN"/>
                    </w:rPr>
                    <w:t>仓储房，</w:t>
                  </w:r>
                  <w:r>
                    <w:rPr>
                      <w:rFonts w:hint="eastAsia" w:ascii="Times New Roman" w:hAnsi="Times New Roman" w:eastAsia="宋体" w:cs="Times New Roman"/>
                      <w:bCs/>
                      <w:color w:val="auto"/>
                      <w:kern w:val="0"/>
                      <w:sz w:val="21"/>
                      <w:szCs w:val="21"/>
                      <w:highlight w:val="none"/>
                    </w:rPr>
                    <w:t>生物质颗粒</w:t>
                  </w:r>
                  <w:r>
                    <w:rPr>
                      <w:rFonts w:hint="eastAsia" w:cs="Times New Roman"/>
                      <w:bCs/>
                      <w:color w:val="auto"/>
                      <w:kern w:val="0"/>
                      <w:sz w:val="21"/>
                      <w:szCs w:val="21"/>
                      <w:highlight w:val="none"/>
                      <w:lang w:eastAsia="zh-CN"/>
                    </w:rPr>
                    <w:t>、</w:t>
                  </w:r>
                  <w:r>
                    <w:rPr>
                      <w:rFonts w:hint="eastAsia" w:cs="Times New Roman"/>
                      <w:bCs/>
                      <w:color w:val="auto"/>
                      <w:kern w:val="0"/>
                      <w:sz w:val="21"/>
                      <w:szCs w:val="21"/>
                      <w:highlight w:val="none"/>
                      <w:lang w:val="en-US" w:eastAsia="zh-CN"/>
                    </w:rPr>
                    <w:t>灰渣均装袋后暂存于仓储房，</w:t>
                  </w:r>
                  <w:r>
                    <w:rPr>
                      <w:rFonts w:hint="eastAsia" w:ascii="Times New Roman" w:hAnsi="Times New Roman" w:eastAsia="宋体" w:cs="Times New Roman"/>
                      <w:bCs/>
                      <w:color w:val="auto"/>
                      <w:kern w:val="0"/>
                      <w:sz w:val="21"/>
                      <w:szCs w:val="21"/>
                      <w:highlight w:val="none"/>
                    </w:rPr>
                    <w:t>生物质颗粒由昆明腾元禾农林科技有限公司运输至项目。</w:t>
                  </w:r>
                </w:p>
              </w:tc>
              <w:tc>
                <w:tcPr>
                  <w:tcW w:w="93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3"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556"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rPr>
                    <w:t>特驱供热点</w:t>
                  </w:r>
                </w:p>
              </w:tc>
              <w:tc>
                <w:tcPr>
                  <w:tcW w:w="3268"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rPr>
                    <w:t>建设</w:t>
                  </w:r>
                  <w:r>
                    <w:rPr>
                      <w:rFonts w:hint="eastAsia" w:cs="Times New Roman"/>
                      <w:bCs/>
                      <w:color w:val="auto"/>
                      <w:kern w:val="0"/>
                      <w:sz w:val="21"/>
                      <w:szCs w:val="21"/>
                      <w:highlight w:val="none"/>
                      <w:lang w:val="en-US" w:eastAsia="zh-CN"/>
                    </w:rPr>
                    <w:t>200</w:t>
                  </w:r>
                  <w:r>
                    <w:rPr>
                      <w:rFonts w:hint="default" w:ascii="Times New Roman" w:hAnsi="Times New Roman" w:eastAsia="宋体" w:cs="Times New Roman"/>
                      <w:bCs/>
                      <w:color w:val="auto"/>
                      <w:kern w:val="0"/>
                      <w:sz w:val="21"/>
                      <w:szCs w:val="21"/>
                      <w:highlight w:val="none"/>
                      <w:lang w:val="en-US" w:eastAsia="zh-CN"/>
                    </w:rPr>
                    <w:t>m²</w:t>
                  </w:r>
                  <w:r>
                    <w:rPr>
                      <w:rFonts w:hint="eastAsia" w:cs="Times New Roman"/>
                      <w:bCs/>
                      <w:color w:val="auto"/>
                      <w:kern w:val="0"/>
                      <w:sz w:val="21"/>
                      <w:szCs w:val="21"/>
                      <w:highlight w:val="none"/>
                      <w:lang w:val="en-US" w:eastAsia="zh-CN"/>
                    </w:rPr>
                    <w:t>仓储房，</w:t>
                  </w:r>
                  <w:r>
                    <w:rPr>
                      <w:rFonts w:hint="eastAsia" w:ascii="Times New Roman" w:hAnsi="Times New Roman" w:eastAsia="宋体" w:cs="Times New Roman"/>
                      <w:bCs/>
                      <w:color w:val="auto"/>
                      <w:kern w:val="0"/>
                      <w:sz w:val="21"/>
                      <w:szCs w:val="21"/>
                      <w:highlight w:val="none"/>
                    </w:rPr>
                    <w:t>生物质颗粒</w:t>
                  </w:r>
                  <w:r>
                    <w:rPr>
                      <w:rFonts w:hint="eastAsia" w:cs="Times New Roman"/>
                      <w:bCs/>
                      <w:color w:val="auto"/>
                      <w:kern w:val="0"/>
                      <w:sz w:val="21"/>
                      <w:szCs w:val="21"/>
                      <w:highlight w:val="none"/>
                      <w:lang w:eastAsia="zh-CN"/>
                    </w:rPr>
                    <w:t>、</w:t>
                  </w:r>
                  <w:r>
                    <w:rPr>
                      <w:rFonts w:hint="eastAsia" w:cs="Times New Roman"/>
                      <w:bCs/>
                      <w:color w:val="auto"/>
                      <w:kern w:val="0"/>
                      <w:sz w:val="21"/>
                      <w:szCs w:val="21"/>
                      <w:highlight w:val="none"/>
                      <w:lang w:val="en-US" w:eastAsia="zh-CN"/>
                    </w:rPr>
                    <w:t>灰渣均装袋后暂存于仓储房，</w:t>
                  </w:r>
                  <w:r>
                    <w:rPr>
                      <w:rFonts w:hint="eastAsia" w:ascii="Times New Roman" w:hAnsi="Times New Roman" w:eastAsia="宋体" w:cs="Times New Roman"/>
                      <w:bCs/>
                      <w:color w:val="auto"/>
                      <w:kern w:val="0"/>
                      <w:sz w:val="21"/>
                      <w:szCs w:val="21"/>
                      <w:highlight w:val="none"/>
                    </w:rPr>
                    <w:t>生物质颗粒由昆明腾元禾农林科技有限公司运输至项目。</w:t>
                  </w:r>
                </w:p>
              </w:tc>
              <w:tc>
                <w:tcPr>
                  <w:tcW w:w="93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cs="Times New Roman"/>
                      <w:bCs/>
                      <w:color w:val="auto"/>
                      <w:kern w:val="0"/>
                      <w:sz w:val="21"/>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3"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556"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漓源供热点</w:t>
                  </w:r>
                </w:p>
              </w:tc>
              <w:tc>
                <w:tcPr>
                  <w:tcW w:w="3268"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利用漓源饲料公司现有空厂房，灰渣、生物质燃料均堆放在锅炉房内，不另设仓储房，</w:t>
                  </w:r>
                  <w:r>
                    <w:rPr>
                      <w:rFonts w:hint="eastAsia" w:ascii="Times New Roman" w:hAnsi="Times New Roman" w:eastAsia="宋体" w:cs="Times New Roman"/>
                      <w:bCs/>
                      <w:color w:val="auto"/>
                      <w:kern w:val="0"/>
                      <w:sz w:val="21"/>
                      <w:szCs w:val="21"/>
                      <w:highlight w:val="none"/>
                    </w:rPr>
                    <w:t>生物质颗粒由昆明腾元禾农林科技有限公司运输至项目。</w:t>
                  </w:r>
                </w:p>
              </w:tc>
              <w:tc>
                <w:tcPr>
                  <w:tcW w:w="93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3" w:type="pct"/>
                  <w:vMerge w:val="restar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公用工程</w:t>
                  </w:r>
                </w:p>
              </w:tc>
              <w:tc>
                <w:tcPr>
                  <w:tcW w:w="556"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办公及生活设施</w:t>
                  </w:r>
                </w:p>
              </w:tc>
              <w:tc>
                <w:tcPr>
                  <w:tcW w:w="3268"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项目</w:t>
                  </w:r>
                  <w:r>
                    <w:rPr>
                      <w:rFonts w:hint="eastAsia" w:cs="Times New Roman"/>
                      <w:bCs/>
                      <w:color w:val="auto"/>
                      <w:kern w:val="0"/>
                      <w:sz w:val="21"/>
                      <w:szCs w:val="21"/>
                      <w:highlight w:val="none"/>
                      <w:lang w:val="en-US" w:eastAsia="zh-CN"/>
                    </w:rPr>
                    <w:t>内</w:t>
                  </w:r>
                  <w:r>
                    <w:rPr>
                      <w:rFonts w:hint="eastAsia" w:ascii="Times New Roman" w:hAnsi="Times New Roman" w:eastAsia="宋体" w:cs="Times New Roman"/>
                      <w:bCs/>
                      <w:color w:val="auto"/>
                      <w:kern w:val="0"/>
                      <w:sz w:val="21"/>
                      <w:szCs w:val="21"/>
                      <w:highlight w:val="none"/>
                    </w:rPr>
                    <w:t>不设生活设施，</w:t>
                  </w:r>
                  <w:r>
                    <w:rPr>
                      <w:rFonts w:hint="eastAsia" w:ascii="Times New Roman" w:hAnsi="Times New Roman" w:eastAsia="宋体" w:cs="Times New Roman"/>
                      <w:bCs/>
                      <w:color w:val="auto"/>
                      <w:kern w:val="0"/>
                      <w:sz w:val="21"/>
                      <w:szCs w:val="21"/>
                      <w:highlight w:val="none"/>
                      <w:lang w:val="en-US" w:eastAsia="zh-CN"/>
                    </w:rPr>
                    <w:t>海大供热点及特驱供热点员工生活设施均依托于昆明特驱饲料有限公司已建成的生活设施，漓源供热点员工生活设施依托昆明漓源饲料有限公司已建成的生活设施。</w:t>
                  </w:r>
                </w:p>
              </w:tc>
              <w:tc>
                <w:tcPr>
                  <w:tcW w:w="93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3"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556"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供水</w:t>
                  </w:r>
                </w:p>
              </w:tc>
              <w:tc>
                <w:tcPr>
                  <w:tcW w:w="3268"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eastAsia="zh-CN"/>
                    </w:rPr>
                  </w:pPr>
                  <w:r>
                    <w:rPr>
                      <w:rFonts w:hint="eastAsia" w:ascii="Times New Roman" w:hAnsi="Times New Roman" w:eastAsia="宋体" w:cs="Times New Roman"/>
                      <w:bCs/>
                      <w:color w:val="auto"/>
                      <w:kern w:val="0"/>
                      <w:sz w:val="21"/>
                      <w:szCs w:val="21"/>
                      <w:highlight w:val="none"/>
                    </w:rPr>
                    <w:t>项目用水由工业园区供水管网供给水需求</w:t>
                  </w:r>
                  <w:r>
                    <w:rPr>
                      <w:rFonts w:hint="eastAsia" w:cs="Times New Roman"/>
                      <w:bCs/>
                      <w:color w:val="auto"/>
                      <w:kern w:val="0"/>
                      <w:sz w:val="21"/>
                      <w:szCs w:val="21"/>
                      <w:highlight w:val="none"/>
                      <w:lang w:eastAsia="zh-CN"/>
                    </w:rPr>
                    <w:t>。</w:t>
                  </w:r>
                </w:p>
              </w:tc>
              <w:tc>
                <w:tcPr>
                  <w:tcW w:w="93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依托园区已建成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3"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556"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供电</w:t>
                  </w:r>
                </w:p>
              </w:tc>
              <w:tc>
                <w:tcPr>
                  <w:tcW w:w="3268"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eastAsia="zh-CN"/>
                    </w:rPr>
                  </w:pPr>
                  <w:r>
                    <w:rPr>
                      <w:rFonts w:hint="eastAsia" w:ascii="Times New Roman" w:hAnsi="Times New Roman" w:eastAsia="宋体" w:cs="Times New Roman"/>
                      <w:bCs/>
                      <w:color w:val="auto"/>
                      <w:kern w:val="0"/>
                      <w:sz w:val="21"/>
                      <w:szCs w:val="21"/>
                      <w:highlight w:val="none"/>
                    </w:rPr>
                    <w:t>项目用电由工业园区接入</w:t>
                  </w:r>
                  <w:r>
                    <w:rPr>
                      <w:rFonts w:hint="eastAsia" w:cs="Times New Roman"/>
                      <w:bCs/>
                      <w:color w:val="auto"/>
                      <w:kern w:val="0"/>
                      <w:sz w:val="21"/>
                      <w:szCs w:val="21"/>
                      <w:highlight w:val="none"/>
                      <w:lang w:eastAsia="zh-CN"/>
                    </w:rPr>
                    <w:t>。</w:t>
                  </w:r>
                </w:p>
              </w:tc>
              <w:tc>
                <w:tcPr>
                  <w:tcW w:w="93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依托园区设施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3"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556" w:type="pct"/>
                  <w:vMerge w:val="restar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排水</w:t>
                  </w:r>
                </w:p>
              </w:tc>
              <w:tc>
                <w:tcPr>
                  <w:tcW w:w="3268"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项目区实行雨污分流，雨水经过雨水沟收集排入园区雨水管网。</w:t>
                  </w:r>
                </w:p>
              </w:tc>
              <w:tc>
                <w:tcPr>
                  <w:tcW w:w="93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3"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556"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3268"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软水制备废水和生物质锅炉排污水经过管道接入烟气蒸器用于烟气降温，随烟气蒸发，不外排。</w:t>
                  </w:r>
                </w:p>
              </w:tc>
              <w:tc>
                <w:tcPr>
                  <w:tcW w:w="93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3" w:type="pct"/>
                  <w:vMerge w:val="restar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环保工程</w:t>
                  </w:r>
                </w:p>
              </w:tc>
              <w:tc>
                <w:tcPr>
                  <w:tcW w:w="556" w:type="pct"/>
                  <w:vMerge w:val="restar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废气</w:t>
                  </w:r>
                </w:p>
              </w:tc>
              <w:tc>
                <w:tcPr>
                  <w:tcW w:w="3268"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海大供热点</w:t>
                  </w:r>
                  <w:r>
                    <w:rPr>
                      <w:rFonts w:hint="eastAsia" w:cs="Times New Roman"/>
                      <w:bCs/>
                      <w:color w:val="auto"/>
                      <w:kern w:val="0"/>
                      <w:sz w:val="21"/>
                      <w:szCs w:val="21"/>
                      <w:highlight w:val="none"/>
                      <w:lang w:val="en-US" w:eastAsia="zh-CN"/>
                    </w:rPr>
                    <w:t>3台锅炉分别建设1套除尘器，共用1根排气筒。</w:t>
                  </w:r>
                  <w:r>
                    <w:rPr>
                      <w:rFonts w:hint="eastAsia" w:ascii="Times New Roman" w:hAnsi="Times New Roman" w:eastAsia="宋体" w:cs="Times New Roman"/>
                      <w:bCs/>
                      <w:color w:val="auto"/>
                      <w:kern w:val="0"/>
                      <w:sz w:val="21"/>
                      <w:szCs w:val="21"/>
                      <w:highlight w:val="none"/>
                    </w:rPr>
                    <w:t>锅炉</w:t>
                  </w:r>
                  <w:r>
                    <w:rPr>
                      <w:rFonts w:hint="eastAsia" w:cs="Times New Roman"/>
                      <w:bCs/>
                      <w:color w:val="auto"/>
                      <w:kern w:val="0"/>
                      <w:sz w:val="21"/>
                      <w:szCs w:val="21"/>
                      <w:highlight w:val="none"/>
                      <w:lang w:val="en-US" w:eastAsia="zh-CN"/>
                    </w:rPr>
                    <w:t>烟气</w:t>
                  </w:r>
                  <w:r>
                    <w:rPr>
                      <w:rFonts w:hint="eastAsia" w:ascii="Times New Roman" w:hAnsi="Times New Roman" w:eastAsia="宋体" w:cs="Times New Roman"/>
                      <w:bCs/>
                      <w:color w:val="auto"/>
                      <w:kern w:val="0"/>
                      <w:sz w:val="21"/>
                      <w:szCs w:val="21"/>
                      <w:highlight w:val="none"/>
                    </w:rPr>
                    <w:t>经多管旋风除尘器+布袋除尘器处理后，经编号为DA001，高度为45</w:t>
                  </w:r>
                  <w:r>
                    <w:rPr>
                      <w:rFonts w:hint="eastAsia" w:cs="Times New Roman"/>
                      <w:bCs/>
                      <w:color w:val="auto"/>
                      <w:kern w:val="0"/>
                      <w:sz w:val="21"/>
                      <w:szCs w:val="21"/>
                      <w:highlight w:val="none"/>
                      <w:lang w:val="en-US" w:eastAsia="zh-CN"/>
                    </w:rPr>
                    <w:t>m</w:t>
                  </w:r>
                  <w:r>
                    <w:rPr>
                      <w:rFonts w:hint="eastAsia" w:ascii="Times New Roman" w:hAnsi="Times New Roman" w:eastAsia="宋体" w:cs="Times New Roman"/>
                      <w:bCs/>
                      <w:color w:val="auto"/>
                      <w:kern w:val="0"/>
                      <w:sz w:val="21"/>
                      <w:szCs w:val="21"/>
                      <w:highlight w:val="none"/>
                    </w:rPr>
                    <w:t>的1根烟囱排放。</w:t>
                  </w:r>
                </w:p>
              </w:tc>
              <w:tc>
                <w:tcPr>
                  <w:tcW w:w="931" w:type="pct"/>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lang w:val="en-US"/>
                    </w:rPr>
                  </w:pPr>
                  <w:r>
                    <w:rPr>
                      <w:rFonts w:hint="eastAsia" w:ascii="Times New Roman" w:hAnsi="Times New Roman" w:eastAsia="宋体" w:cs="Times New Roman"/>
                      <w:bCs/>
                      <w:color w:val="auto"/>
                      <w:kern w:val="0"/>
                      <w:sz w:val="21"/>
                      <w:szCs w:val="21"/>
                      <w:highlight w:val="none"/>
                      <w:lang w:val="en-US" w:eastAsia="zh-CN"/>
                    </w:rPr>
                    <w:t>15t/h锅炉</w:t>
                  </w:r>
                  <w:r>
                    <w:rPr>
                      <w:rFonts w:hint="eastAsia" w:cs="Times New Roman"/>
                      <w:bCs/>
                      <w:color w:val="auto"/>
                      <w:kern w:val="0"/>
                      <w:sz w:val="21"/>
                      <w:szCs w:val="21"/>
                      <w:highlight w:val="none"/>
                      <w:lang w:val="en-US" w:eastAsia="zh-CN"/>
                    </w:rPr>
                    <w:t>及配套除尘器</w:t>
                  </w:r>
                  <w:r>
                    <w:rPr>
                      <w:rFonts w:hint="eastAsia" w:ascii="Times New Roman" w:hAnsi="Times New Roman" w:eastAsia="宋体" w:cs="Times New Roman"/>
                      <w:bCs/>
                      <w:color w:val="auto"/>
                      <w:kern w:val="0"/>
                      <w:sz w:val="21"/>
                      <w:szCs w:val="21"/>
                      <w:highlight w:val="none"/>
                      <w:lang w:val="en-US" w:eastAsia="zh-CN"/>
                    </w:rPr>
                    <w:t>暂未建设</w:t>
                  </w:r>
                  <w:r>
                    <w:rPr>
                      <w:rFonts w:hint="eastAsia" w:cs="Times New Roman"/>
                      <w:bCs/>
                      <w:color w:val="auto"/>
                      <w:kern w:val="0"/>
                      <w:sz w:val="21"/>
                      <w:szCs w:val="21"/>
                      <w:highlight w:val="none"/>
                      <w:lang w:val="en-US" w:eastAsia="zh-CN"/>
                    </w:rPr>
                    <w:t>，其余已建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3"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556"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3268"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特驱供热点</w:t>
                  </w:r>
                  <w:r>
                    <w:rPr>
                      <w:rFonts w:hint="eastAsia" w:cs="Times New Roman"/>
                      <w:bCs/>
                      <w:color w:val="auto"/>
                      <w:kern w:val="0"/>
                      <w:sz w:val="21"/>
                      <w:szCs w:val="21"/>
                      <w:highlight w:val="none"/>
                      <w:lang w:val="en-US" w:eastAsia="zh-CN"/>
                    </w:rPr>
                    <w:t>2台</w:t>
                  </w:r>
                  <w:r>
                    <w:rPr>
                      <w:rFonts w:hint="eastAsia" w:ascii="Times New Roman" w:hAnsi="Times New Roman" w:eastAsia="宋体" w:cs="Times New Roman"/>
                      <w:bCs/>
                      <w:color w:val="auto"/>
                      <w:kern w:val="0"/>
                      <w:sz w:val="21"/>
                      <w:szCs w:val="21"/>
                      <w:highlight w:val="none"/>
                    </w:rPr>
                    <w:t>锅炉</w:t>
                  </w:r>
                  <w:r>
                    <w:rPr>
                      <w:rFonts w:hint="eastAsia" w:cs="Times New Roman"/>
                      <w:bCs/>
                      <w:color w:val="auto"/>
                      <w:kern w:val="0"/>
                      <w:sz w:val="21"/>
                      <w:szCs w:val="21"/>
                      <w:highlight w:val="none"/>
                      <w:lang w:val="en-US" w:eastAsia="zh-CN"/>
                    </w:rPr>
                    <w:t>分别建设1套除尘器，共用1根排气筒。</w:t>
                  </w:r>
                  <w:r>
                    <w:rPr>
                      <w:rFonts w:hint="eastAsia" w:ascii="Times New Roman" w:hAnsi="Times New Roman" w:eastAsia="宋体" w:cs="Times New Roman"/>
                      <w:bCs/>
                      <w:color w:val="auto"/>
                      <w:kern w:val="0"/>
                      <w:sz w:val="21"/>
                      <w:szCs w:val="21"/>
                      <w:highlight w:val="none"/>
                    </w:rPr>
                    <w:t>锅炉</w:t>
                  </w:r>
                  <w:r>
                    <w:rPr>
                      <w:rFonts w:hint="eastAsia" w:cs="Times New Roman"/>
                      <w:bCs/>
                      <w:color w:val="auto"/>
                      <w:kern w:val="0"/>
                      <w:sz w:val="21"/>
                      <w:szCs w:val="21"/>
                      <w:highlight w:val="none"/>
                      <w:lang w:val="en-US" w:eastAsia="zh-CN"/>
                    </w:rPr>
                    <w:t>烟气</w:t>
                  </w:r>
                  <w:r>
                    <w:rPr>
                      <w:rFonts w:hint="eastAsia" w:ascii="Times New Roman" w:hAnsi="Times New Roman" w:eastAsia="宋体" w:cs="Times New Roman"/>
                      <w:bCs/>
                      <w:color w:val="auto"/>
                      <w:kern w:val="0"/>
                      <w:sz w:val="21"/>
                      <w:szCs w:val="21"/>
                      <w:highlight w:val="none"/>
                    </w:rPr>
                    <w:t>经多管旋风除尘器+布袋除尘器处理后，经编号为DA00</w:t>
                  </w:r>
                  <w:r>
                    <w:rPr>
                      <w:rFonts w:hint="eastAsia" w:cs="Times New Roman"/>
                      <w:bCs/>
                      <w:color w:val="auto"/>
                      <w:kern w:val="0"/>
                      <w:sz w:val="21"/>
                      <w:szCs w:val="21"/>
                      <w:highlight w:val="none"/>
                      <w:lang w:val="en-US" w:eastAsia="zh-CN"/>
                    </w:rPr>
                    <w:t>2</w:t>
                  </w:r>
                  <w:r>
                    <w:rPr>
                      <w:rFonts w:hint="eastAsia" w:ascii="Times New Roman" w:hAnsi="Times New Roman" w:eastAsia="宋体" w:cs="Times New Roman"/>
                      <w:bCs/>
                      <w:color w:val="auto"/>
                      <w:kern w:val="0"/>
                      <w:sz w:val="21"/>
                      <w:szCs w:val="21"/>
                      <w:highlight w:val="none"/>
                    </w:rPr>
                    <w:t>，高度为</w:t>
                  </w:r>
                  <w:r>
                    <w:rPr>
                      <w:rFonts w:hint="eastAsia" w:cs="Times New Roman"/>
                      <w:bCs/>
                      <w:color w:val="auto"/>
                      <w:kern w:val="0"/>
                      <w:sz w:val="21"/>
                      <w:szCs w:val="21"/>
                      <w:highlight w:val="none"/>
                      <w:lang w:val="en-US" w:eastAsia="zh-CN"/>
                    </w:rPr>
                    <w:t>4</w:t>
                  </w:r>
                  <w:r>
                    <w:rPr>
                      <w:rFonts w:hint="eastAsia" w:ascii="Times New Roman" w:hAnsi="Times New Roman" w:eastAsia="宋体" w:cs="Times New Roman"/>
                      <w:bCs/>
                      <w:color w:val="auto"/>
                      <w:kern w:val="0"/>
                      <w:sz w:val="21"/>
                      <w:szCs w:val="21"/>
                      <w:highlight w:val="none"/>
                    </w:rPr>
                    <w:t>5</w:t>
                  </w:r>
                  <w:r>
                    <w:rPr>
                      <w:rFonts w:hint="eastAsia" w:cs="Times New Roman"/>
                      <w:bCs/>
                      <w:color w:val="auto"/>
                      <w:kern w:val="0"/>
                      <w:sz w:val="21"/>
                      <w:szCs w:val="21"/>
                      <w:highlight w:val="none"/>
                      <w:lang w:val="en-US" w:eastAsia="zh-CN"/>
                    </w:rPr>
                    <w:t>m的</w:t>
                  </w:r>
                  <w:r>
                    <w:rPr>
                      <w:rFonts w:hint="eastAsia" w:ascii="Times New Roman" w:hAnsi="Times New Roman" w:eastAsia="宋体" w:cs="Times New Roman"/>
                      <w:bCs/>
                      <w:color w:val="auto"/>
                      <w:kern w:val="0"/>
                      <w:sz w:val="21"/>
                      <w:szCs w:val="21"/>
                      <w:highlight w:val="none"/>
                    </w:rPr>
                    <w:t>1根烟囱排放。</w:t>
                  </w:r>
                </w:p>
              </w:tc>
              <w:tc>
                <w:tcPr>
                  <w:tcW w:w="931" w:type="pct"/>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20</w:t>
                  </w:r>
                  <w:r>
                    <w:rPr>
                      <w:rFonts w:hint="eastAsia" w:ascii="Times New Roman" w:hAnsi="Times New Roman" w:eastAsia="宋体" w:cs="Times New Roman"/>
                      <w:bCs/>
                      <w:color w:val="auto"/>
                      <w:kern w:val="0"/>
                      <w:sz w:val="21"/>
                      <w:szCs w:val="21"/>
                      <w:highlight w:val="none"/>
                      <w:lang w:val="en-US" w:eastAsia="zh-CN"/>
                    </w:rPr>
                    <w:t>t/h锅炉</w:t>
                  </w:r>
                  <w:r>
                    <w:rPr>
                      <w:rFonts w:hint="eastAsia" w:cs="Times New Roman"/>
                      <w:bCs/>
                      <w:color w:val="auto"/>
                      <w:kern w:val="0"/>
                      <w:sz w:val="21"/>
                      <w:szCs w:val="21"/>
                      <w:highlight w:val="none"/>
                      <w:lang w:val="en-US" w:eastAsia="zh-CN"/>
                    </w:rPr>
                    <w:t>及配套除尘器</w:t>
                  </w:r>
                  <w:r>
                    <w:rPr>
                      <w:rFonts w:hint="eastAsia" w:ascii="Times New Roman" w:hAnsi="Times New Roman" w:eastAsia="宋体" w:cs="Times New Roman"/>
                      <w:bCs/>
                      <w:color w:val="auto"/>
                      <w:kern w:val="0"/>
                      <w:sz w:val="21"/>
                      <w:szCs w:val="21"/>
                      <w:highlight w:val="none"/>
                      <w:lang w:val="en-US" w:eastAsia="zh-CN"/>
                    </w:rPr>
                    <w:t>暂未建设</w:t>
                  </w:r>
                  <w:r>
                    <w:rPr>
                      <w:rFonts w:hint="eastAsia" w:cs="Times New Roman"/>
                      <w:bCs/>
                      <w:color w:val="auto"/>
                      <w:kern w:val="0"/>
                      <w:sz w:val="21"/>
                      <w:szCs w:val="21"/>
                      <w:highlight w:val="none"/>
                      <w:lang w:val="en-US" w:eastAsia="zh-CN"/>
                    </w:rPr>
                    <w:t>，其余已建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3"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556"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3268"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漓源供热点</w:t>
                  </w:r>
                  <w:r>
                    <w:rPr>
                      <w:rFonts w:hint="eastAsia" w:cs="Times New Roman"/>
                      <w:bCs/>
                      <w:color w:val="auto"/>
                      <w:kern w:val="0"/>
                      <w:sz w:val="21"/>
                      <w:szCs w:val="21"/>
                      <w:highlight w:val="none"/>
                      <w:lang w:val="en-US" w:eastAsia="zh-CN"/>
                    </w:rPr>
                    <w:t>设1台</w:t>
                  </w:r>
                  <w:r>
                    <w:rPr>
                      <w:rFonts w:hint="eastAsia" w:ascii="Times New Roman" w:hAnsi="Times New Roman" w:eastAsia="宋体" w:cs="Times New Roman"/>
                      <w:bCs/>
                      <w:color w:val="auto"/>
                      <w:kern w:val="0"/>
                      <w:sz w:val="21"/>
                      <w:szCs w:val="21"/>
                      <w:highlight w:val="none"/>
                    </w:rPr>
                    <w:t>锅炉</w:t>
                  </w:r>
                  <w:r>
                    <w:rPr>
                      <w:rFonts w:hint="eastAsia" w:cs="Times New Roman"/>
                      <w:bCs/>
                      <w:color w:val="auto"/>
                      <w:kern w:val="0"/>
                      <w:sz w:val="21"/>
                      <w:szCs w:val="21"/>
                      <w:highlight w:val="none"/>
                      <w:lang w:eastAsia="zh-CN"/>
                    </w:rPr>
                    <w:t>，</w:t>
                  </w:r>
                  <w:r>
                    <w:rPr>
                      <w:rFonts w:hint="eastAsia" w:ascii="Times New Roman" w:hAnsi="Times New Roman" w:eastAsia="宋体" w:cs="Times New Roman"/>
                      <w:bCs/>
                      <w:color w:val="auto"/>
                      <w:kern w:val="0"/>
                      <w:sz w:val="21"/>
                      <w:szCs w:val="21"/>
                      <w:highlight w:val="none"/>
                    </w:rPr>
                    <w:t>锅炉</w:t>
                  </w:r>
                  <w:r>
                    <w:rPr>
                      <w:rFonts w:hint="eastAsia" w:cs="Times New Roman"/>
                      <w:bCs/>
                      <w:color w:val="auto"/>
                      <w:kern w:val="0"/>
                      <w:sz w:val="21"/>
                      <w:szCs w:val="21"/>
                      <w:highlight w:val="none"/>
                      <w:lang w:val="en-US" w:eastAsia="zh-CN"/>
                    </w:rPr>
                    <w:t>烟气</w:t>
                  </w:r>
                  <w:r>
                    <w:rPr>
                      <w:rFonts w:hint="eastAsia" w:ascii="Times New Roman" w:hAnsi="Times New Roman" w:eastAsia="宋体" w:cs="Times New Roman"/>
                      <w:bCs/>
                      <w:color w:val="auto"/>
                      <w:kern w:val="0"/>
                      <w:sz w:val="21"/>
                      <w:szCs w:val="21"/>
                      <w:highlight w:val="none"/>
                    </w:rPr>
                    <w:t>经多管旋风除尘器+布袋除尘器处理后，经编号为DA00</w:t>
                  </w:r>
                  <w:r>
                    <w:rPr>
                      <w:rFonts w:hint="eastAsia" w:cs="Times New Roman"/>
                      <w:bCs/>
                      <w:color w:val="auto"/>
                      <w:kern w:val="0"/>
                      <w:sz w:val="21"/>
                      <w:szCs w:val="21"/>
                      <w:highlight w:val="none"/>
                      <w:lang w:val="en-US" w:eastAsia="zh-CN"/>
                    </w:rPr>
                    <w:t>3</w:t>
                  </w:r>
                  <w:r>
                    <w:rPr>
                      <w:rFonts w:hint="eastAsia" w:ascii="Times New Roman" w:hAnsi="Times New Roman" w:eastAsia="宋体" w:cs="Times New Roman"/>
                      <w:bCs/>
                      <w:color w:val="auto"/>
                      <w:kern w:val="0"/>
                      <w:sz w:val="21"/>
                      <w:szCs w:val="21"/>
                      <w:highlight w:val="none"/>
                    </w:rPr>
                    <w:t>，高度为35</w:t>
                  </w:r>
                  <w:r>
                    <w:rPr>
                      <w:rFonts w:hint="eastAsia" w:cs="Times New Roman"/>
                      <w:bCs/>
                      <w:color w:val="auto"/>
                      <w:kern w:val="0"/>
                      <w:sz w:val="21"/>
                      <w:szCs w:val="21"/>
                      <w:highlight w:val="none"/>
                      <w:lang w:val="en-US" w:eastAsia="zh-CN"/>
                    </w:rPr>
                    <w:t>m的</w:t>
                  </w:r>
                  <w:r>
                    <w:rPr>
                      <w:rFonts w:hint="eastAsia" w:ascii="Times New Roman" w:hAnsi="Times New Roman" w:eastAsia="宋体" w:cs="Times New Roman"/>
                      <w:bCs/>
                      <w:color w:val="auto"/>
                      <w:kern w:val="0"/>
                      <w:sz w:val="21"/>
                      <w:szCs w:val="21"/>
                      <w:highlight w:val="none"/>
                    </w:rPr>
                    <w:t>1根烟囱排放。</w:t>
                  </w:r>
                </w:p>
              </w:tc>
              <w:tc>
                <w:tcPr>
                  <w:tcW w:w="93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3"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556"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3268"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项目在每个供热点配套建设一套烟气CEMS在线分析系统，共建设3套。</w:t>
                  </w:r>
                </w:p>
              </w:tc>
              <w:tc>
                <w:tcPr>
                  <w:tcW w:w="93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eastAsia="zh-CN"/>
                    </w:rPr>
                  </w:pPr>
                  <w:r>
                    <w:rPr>
                      <w:rFonts w:hint="eastAsia" w:cs="Times New Roman"/>
                      <w:bCs/>
                      <w:color w:val="auto"/>
                      <w:kern w:val="0"/>
                      <w:sz w:val="21"/>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3"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556"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生产废水</w:t>
                  </w:r>
                </w:p>
              </w:tc>
              <w:tc>
                <w:tcPr>
                  <w:tcW w:w="3268"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软水制备废水和生物质锅炉排污水经过管道接入烟气蒸器用于烟气降温，随烟气蒸发，不外排，共建设3套烟气蒸发器。</w:t>
                  </w:r>
                </w:p>
              </w:tc>
              <w:tc>
                <w:tcPr>
                  <w:tcW w:w="93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3"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556"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生活污水</w:t>
                  </w:r>
                </w:p>
              </w:tc>
              <w:tc>
                <w:tcPr>
                  <w:tcW w:w="3268"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海大供热点及特驱供热点员工生活设施均依托于昆明特驱饲料有限公司已建成的生活设施，产生的冲厕及洗手废水由昆明特驱饲料有限公司已建成并验收的一座5</w:t>
                  </w:r>
                  <w:r>
                    <w:rPr>
                      <w:rFonts w:hint="default" w:ascii="Times New Roman" w:hAnsi="Times New Roman" w:eastAsia="宋体" w:cs="Times New Roman"/>
                      <w:bCs/>
                      <w:color w:val="auto"/>
                      <w:kern w:val="0"/>
                      <w:sz w:val="21"/>
                      <w:szCs w:val="21"/>
                      <w:highlight w:val="none"/>
                    </w:rPr>
                    <w:t>m</w:t>
                  </w:r>
                  <w:r>
                    <w:rPr>
                      <w:rFonts w:hint="default" w:ascii="Times New Roman" w:hAnsi="Times New Roman" w:cs="Times New Roman"/>
                      <w:bCs/>
                      <w:color w:val="auto"/>
                      <w:kern w:val="0"/>
                      <w:sz w:val="21"/>
                      <w:szCs w:val="21"/>
                      <w:highlight w:val="none"/>
                      <w:lang w:val="en-US" w:eastAsia="zh-CN"/>
                    </w:rPr>
                    <w:t>³</w:t>
                  </w:r>
                  <w:r>
                    <w:rPr>
                      <w:rFonts w:hint="eastAsia" w:ascii="Times New Roman" w:hAnsi="Times New Roman" w:eastAsia="宋体" w:cs="Times New Roman"/>
                      <w:bCs/>
                      <w:color w:val="auto"/>
                      <w:kern w:val="0"/>
                      <w:sz w:val="21"/>
                      <w:szCs w:val="21"/>
                      <w:highlight w:val="none"/>
                    </w:rPr>
                    <w:t>/d的一体化膜生物反应器处理。</w:t>
                  </w:r>
                </w:p>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漓源供热点员工生活设施依托昆明漓源饲料有限公司已建成的生活设施，产的的生活污水由</w:t>
                  </w:r>
                  <w:r>
                    <w:rPr>
                      <w:rFonts w:hint="eastAsia" w:ascii="Times New Roman" w:hAnsi="Times New Roman" w:eastAsia="宋体" w:cs="Times New Roman"/>
                      <w:bCs/>
                      <w:color w:val="auto"/>
                      <w:kern w:val="0"/>
                      <w:sz w:val="21"/>
                      <w:szCs w:val="21"/>
                      <w:highlight w:val="none"/>
                    </w:rPr>
                    <w:fldChar w:fldCharType="begin"/>
                  </w:r>
                  <w:r>
                    <w:rPr>
                      <w:rFonts w:hint="eastAsia" w:ascii="Times New Roman" w:hAnsi="Times New Roman" w:eastAsia="宋体" w:cs="Times New Roman"/>
                      <w:bCs/>
                      <w:color w:val="auto"/>
                      <w:kern w:val="0"/>
                      <w:sz w:val="21"/>
                      <w:szCs w:val="21"/>
                      <w:highlight w:val="none"/>
                    </w:rPr>
                    <w:instrText xml:space="preserve"> HYPERLINK "http://www.baidu.com/link?url=k38QrQiOpPhdnIoPfF-NRVdrrP4Rhg1-USYOQr1U9jApQjA8Vs5PJx58NJfeIweWVLfmUDdOT8BfCt1bzwbTe5t9EnIlnBBtpJciK0lHMvG" \t "_blank" </w:instrText>
                  </w:r>
                  <w:r>
                    <w:rPr>
                      <w:rFonts w:hint="eastAsia" w:ascii="Times New Roman" w:hAnsi="Times New Roman" w:eastAsia="宋体" w:cs="Times New Roman"/>
                      <w:bCs/>
                      <w:color w:val="auto"/>
                      <w:kern w:val="0"/>
                      <w:sz w:val="21"/>
                      <w:szCs w:val="21"/>
                      <w:highlight w:val="none"/>
                    </w:rPr>
                    <w:fldChar w:fldCharType="separate"/>
                  </w:r>
                  <w:r>
                    <w:rPr>
                      <w:rFonts w:hint="eastAsia" w:ascii="Times New Roman" w:hAnsi="Times New Roman" w:eastAsia="宋体" w:cs="Times New Roman"/>
                      <w:bCs/>
                      <w:color w:val="auto"/>
                      <w:kern w:val="0"/>
                      <w:sz w:val="21"/>
                      <w:szCs w:val="21"/>
                      <w:highlight w:val="none"/>
                    </w:rPr>
                    <w:t>昆明漓源饲料有限公司</w:t>
                  </w:r>
                  <w:r>
                    <w:rPr>
                      <w:rFonts w:hint="eastAsia" w:ascii="Times New Roman" w:hAnsi="Times New Roman" w:eastAsia="宋体" w:cs="Times New Roman"/>
                      <w:bCs/>
                      <w:color w:val="auto"/>
                      <w:kern w:val="0"/>
                      <w:sz w:val="21"/>
                      <w:szCs w:val="21"/>
                      <w:highlight w:val="none"/>
                    </w:rPr>
                    <w:fldChar w:fldCharType="end"/>
                  </w:r>
                  <w:r>
                    <w:rPr>
                      <w:rFonts w:hint="eastAsia" w:ascii="Times New Roman" w:hAnsi="Times New Roman" w:eastAsia="宋体" w:cs="Times New Roman"/>
                      <w:bCs/>
                      <w:color w:val="auto"/>
                      <w:kern w:val="0"/>
                      <w:sz w:val="21"/>
                      <w:szCs w:val="21"/>
                      <w:highlight w:val="none"/>
                    </w:rPr>
                    <w:t>已建成并验收的一座15</w:t>
                  </w:r>
                  <w:r>
                    <w:rPr>
                      <w:rFonts w:hint="default" w:ascii="Times New Roman" w:hAnsi="Times New Roman" w:eastAsia="宋体" w:cs="Times New Roman"/>
                      <w:bCs/>
                      <w:color w:val="auto"/>
                      <w:kern w:val="0"/>
                      <w:sz w:val="21"/>
                      <w:szCs w:val="21"/>
                      <w:highlight w:val="none"/>
                    </w:rPr>
                    <w:t>m</w:t>
                  </w:r>
                  <w:r>
                    <w:rPr>
                      <w:rFonts w:hint="default" w:ascii="Times New Roman" w:hAnsi="Times New Roman" w:cs="Times New Roman"/>
                      <w:bCs/>
                      <w:color w:val="auto"/>
                      <w:kern w:val="0"/>
                      <w:sz w:val="21"/>
                      <w:szCs w:val="21"/>
                      <w:highlight w:val="none"/>
                      <w:lang w:val="en-US" w:eastAsia="zh-CN"/>
                    </w:rPr>
                    <w:t>³</w:t>
                  </w:r>
                  <w:r>
                    <w:rPr>
                      <w:rFonts w:hint="eastAsia" w:ascii="Times New Roman" w:hAnsi="Times New Roman" w:eastAsia="宋体" w:cs="Times New Roman"/>
                      <w:bCs/>
                      <w:color w:val="auto"/>
                      <w:kern w:val="0"/>
                      <w:sz w:val="21"/>
                      <w:szCs w:val="21"/>
                      <w:highlight w:val="none"/>
                    </w:rPr>
                    <w:t>/d一体化污水处理设施处理。</w:t>
                  </w:r>
                </w:p>
              </w:tc>
              <w:tc>
                <w:tcPr>
                  <w:tcW w:w="93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3"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556"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噪声</w:t>
                  </w:r>
                </w:p>
              </w:tc>
              <w:tc>
                <w:tcPr>
                  <w:tcW w:w="3268"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选用低噪声设备，机械设备采取减振、降噪措施，设备置于封闭式锅炉房内，加强机械设备维护。</w:t>
                  </w:r>
                </w:p>
              </w:tc>
              <w:tc>
                <w:tcPr>
                  <w:tcW w:w="93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eastAsia="zh-CN"/>
                    </w:rPr>
                  </w:pPr>
                  <w:r>
                    <w:rPr>
                      <w:rFonts w:hint="eastAsia" w:cs="Times New Roman"/>
                      <w:bCs/>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3"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556"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生活垃圾桶</w:t>
                  </w:r>
                </w:p>
              </w:tc>
              <w:tc>
                <w:tcPr>
                  <w:tcW w:w="3268"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eastAsia="zh-CN"/>
                    </w:rPr>
                  </w:pPr>
                  <w:r>
                    <w:rPr>
                      <w:rFonts w:hint="eastAsia" w:ascii="Times New Roman" w:hAnsi="Times New Roman" w:eastAsia="宋体" w:cs="Times New Roman"/>
                      <w:bCs/>
                      <w:color w:val="auto"/>
                      <w:kern w:val="0"/>
                      <w:sz w:val="21"/>
                      <w:szCs w:val="21"/>
                      <w:highlight w:val="none"/>
                    </w:rPr>
                    <w:t>生活垃圾收集后送至工业园区指定位置，由园区统一处置</w:t>
                  </w:r>
                  <w:r>
                    <w:rPr>
                      <w:rFonts w:hint="eastAsia" w:cs="Times New Roman"/>
                      <w:bCs/>
                      <w:color w:val="auto"/>
                      <w:kern w:val="0"/>
                      <w:sz w:val="21"/>
                      <w:szCs w:val="21"/>
                      <w:highlight w:val="none"/>
                      <w:lang w:eastAsia="zh-CN"/>
                    </w:rPr>
                    <w:t>。</w:t>
                  </w:r>
                </w:p>
              </w:tc>
              <w:tc>
                <w:tcPr>
                  <w:tcW w:w="93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243"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556" w:type="pct"/>
                  <w:vMerge w:val="restar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固体废物</w:t>
                  </w:r>
                </w:p>
              </w:tc>
              <w:tc>
                <w:tcPr>
                  <w:tcW w:w="3268" w:type="pct"/>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lang w:val="en-US"/>
                    </w:rPr>
                  </w:pPr>
                  <w:r>
                    <w:rPr>
                      <w:rFonts w:hint="eastAsia" w:cs="Times New Roman"/>
                      <w:bCs/>
                      <w:color w:val="auto"/>
                      <w:kern w:val="0"/>
                      <w:sz w:val="21"/>
                      <w:szCs w:val="21"/>
                      <w:highlight w:val="none"/>
                      <w:lang w:val="en-US" w:eastAsia="zh-CN"/>
                    </w:rPr>
                    <w:t>项目在漓源</w:t>
                  </w:r>
                  <w:r>
                    <w:rPr>
                      <w:rFonts w:hint="eastAsia" w:ascii="Times New Roman" w:hAnsi="Times New Roman" w:eastAsia="宋体" w:cs="Times New Roman"/>
                      <w:bCs/>
                      <w:color w:val="auto"/>
                      <w:kern w:val="0"/>
                      <w:sz w:val="21"/>
                      <w:szCs w:val="21"/>
                      <w:highlight w:val="none"/>
                    </w:rPr>
                    <w:t>供热点</w:t>
                  </w:r>
                  <w:r>
                    <w:rPr>
                      <w:rFonts w:hint="eastAsia" w:cs="Times New Roman"/>
                      <w:bCs/>
                      <w:color w:val="auto"/>
                      <w:kern w:val="0"/>
                      <w:sz w:val="21"/>
                      <w:szCs w:val="21"/>
                      <w:highlight w:val="none"/>
                      <w:lang w:val="en-US" w:eastAsia="zh-CN"/>
                    </w:rPr>
                    <w:t>建设1间建筑</w:t>
                  </w:r>
                  <w:r>
                    <w:rPr>
                      <w:rFonts w:hint="eastAsia" w:ascii="Times New Roman" w:hAnsi="Times New Roman" w:eastAsia="宋体" w:cs="Times New Roman"/>
                      <w:bCs/>
                      <w:color w:val="auto"/>
                      <w:kern w:val="0"/>
                      <w:sz w:val="21"/>
                      <w:szCs w:val="21"/>
                      <w:highlight w:val="none"/>
                    </w:rPr>
                    <w:t>面积约为</w:t>
                  </w:r>
                  <w:r>
                    <w:rPr>
                      <w:rFonts w:hint="eastAsia" w:cs="Times New Roman"/>
                      <w:bCs/>
                      <w:color w:val="auto"/>
                      <w:kern w:val="0"/>
                      <w:sz w:val="21"/>
                      <w:szCs w:val="21"/>
                      <w:highlight w:val="none"/>
                      <w:lang w:val="en-US" w:eastAsia="zh-CN"/>
                    </w:rPr>
                    <w:t>10</w:t>
                  </w:r>
                  <w:r>
                    <w:rPr>
                      <w:rFonts w:hint="default" w:ascii="Times New Roman" w:hAnsi="Times New Roman" w:eastAsia="宋体" w:cs="Times New Roman"/>
                      <w:bCs/>
                      <w:color w:val="auto"/>
                      <w:kern w:val="0"/>
                      <w:sz w:val="21"/>
                      <w:szCs w:val="21"/>
                      <w:highlight w:val="none"/>
                      <w:lang w:val="en-US" w:eastAsia="zh-CN"/>
                    </w:rPr>
                    <w:t>m²</w:t>
                  </w:r>
                  <w:r>
                    <w:rPr>
                      <w:rFonts w:hint="eastAsia" w:cs="Times New Roman"/>
                      <w:bCs/>
                      <w:color w:val="auto"/>
                      <w:kern w:val="0"/>
                      <w:sz w:val="21"/>
                      <w:szCs w:val="21"/>
                      <w:highlight w:val="none"/>
                      <w:lang w:val="en-US" w:eastAsia="zh-CN"/>
                    </w:rPr>
                    <w:t>的危险废物贮存库，贮存各供热点产生的危险废物。</w:t>
                  </w:r>
                </w:p>
              </w:tc>
              <w:tc>
                <w:tcPr>
                  <w:tcW w:w="93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3"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556"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3268"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海大供热点设置一间约</w:t>
                  </w:r>
                  <w:r>
                    <w:rPr>
                      <w:rFonts w:hint="eastAsia" w:cs="Times New Roman"/>
                      <w:bCs/>
                      <w:color w:val="auto"/>
                      <w:kern w:val="0"/>
                      <w:sz w:val="21"/>
                      <w:szCs w:val="21"/>
                      <w:highlight w:val="none"/>
                      <w:lang w:val="en-US" w:eastAsia="zh-CN"/>
                    </w:rPr>
                    <w:t>300</w:t>
                  </w:r>
                  <w:r>
                    <w:rPr>
                      <w:rFonts w:hint="default" w:ascii="Times New Roman" w:hAnsi="Times New Roman" w:eastAsia="宋体" w:cs="Times New Roman"/>
                      <w:bCs/>
                      <w:color w:val="auto"/>
                      <w:kern w:val="0"/>
                      <w:sz w:val="21"/>
                      <w:szCs w:val="21"/>
                      <w:highlight w:val="none"/>
                      <w:lang w:val="en-US" w:eastAsia="zh-CN"/>
                    </w:rPr>
                    <w:t>m²</w:t>
                  </w:r>
                  <w:r>
                    <w:rPr>
                      <w:rFonts w:hint="eastAsia" w:ascii="Times New Roman" w:hAnsi="Times New Roman" w:eastAsia="宋体" w:cs="Times New Roman"/>
                      <w:bCs/>
                      <w:color w:val="auto"/>
                      <w:kern w:val="0"/>
                      <w:sz w:val="21"/>
                      <w:szCs w:val="21"/>
                      <w:highlight w:val="none"/>
                    </w:rPr>
                    <w:t>的</w:t>
                  </w:r>
                  <w:r>
                    <w:rPr>
                      <w:rFonts w:hint="eastAsia" w:ascii="Times New Roman" w:hAnsi="Times New Roman" w:eastAsia="宋体" w:cs="Times New Roman"/>
                      <w:bCs/>
                      <w:color w:val="auto"/>
                      <w:kern w:val="0"/>
                      <w:sz w:val="21"/>
                      <w:szCs w:val="21"/>
                      <w:highlight w:val="none"/>
                      <w:lang w:val="en-US" w:eastAsia="zh-CN"/>
                    </w:rPr>
                    <w:t>仓储房</w:t>
                  </w:r>
                  <w:r>
                    <w:rPr>
                      <w:rFonts w:hint="eastAsia" w:cs="Times New Roman"/>
                      <w:bCs/>
                      <w:color w:val="auto"/>
                      <w:kern w:val="0"/>
                      <w:sz w:val="21"/>
                      <w:szCs w:val="21"/>
                      <w:highlight w:val="none"/>
                      <w:lang w:val="en-US" w:eastAsia="zh-CN"/>
                    </w:rPr>
                    <w:t>，</w:t>
                  </w:r>
                  <w:r>
                    <w:rPr>
                      <w:rFonts w:hint="eastAsia" w:ascii="Times New Roman" w:hAnsi="Times New Roman" w:eastAsia="宋体" w:cs="Times New Roman"/>
                      <w:bCs/>
                      <w:color w:val="auto"/>
                      <w:kern w:val="0"/>
                      <w:sz w:val="21"/>
                      <w:szCs w:val="21"/>
                      <w:highlight w:val="none"/>
                    </w:rPr>
                    <w:t>灰渣</w:t>
                  </w:r>
                  <w:r>
                    <w:rPr>
                      <w:rFonts w:hint="eastAsia" w:cs="Times New Roman"/>
                      <w:bCs/>
                      <w:color w:val="auto"/>
                      <w:kern w:val="0"/>
                      <w:sz w:val="21"/>
                      <w:szCs w:val="21"/>
                      <w:highlight w:val="none"/>
                      <w:lang w:val="en-US" w:eastAsia="zh-CN"/>
                    </w:rPr>
                    <w:t>暂存在仓储房内</w:t>
                  </w:r>
                  <w:r>
                    <w:rPr>
                      <w:rFonts w:hint="eastAsia" w:cs="Times New Roman"/>
                      <w:bCs/>
                      <w:color w:val="auto"/>
                      <w:kern w:val="0"/>
                      <w:sz w:val="21"/>
                      <w:szCs w:val="21"/>
                      <w:highlight w:val="none"/>
                      <w:lang w:eastAsia="zh-CN"/>
                    </w:rPr>
                    <w:t>；</w:t>
                  </w:r>
                  <w:r>
                    <w:rPr>
                      <w:rFonts w:hint="eastAsia" w:ascii="Times New Roman" w:hAnsi="Times New Roman" w:eastAsia="宋体" w:cs="Times New Roman"/>
                      <w:bCs/>
                      <w:color w:val="auto"/>
                      <w:kern w:val="0"/>
                      <w:sz w:val="21"/>
                      <w:szCs w:val="21"/>
                      <w:highlight w:val="none"/>
                    </w:rPr>
                    <w:t>特驱供热点设置一间约</w:t>
                  </w:r>
                  <w:r>
                    <w:rPr>
                      <w:rFonts w:hint="eastAsia" w:cs="Times New Roman"/>
                      <w:bCs/>
                      <w:color w:val="auto"/>
                      <w:kern w:val="0"/>
                      <w:sz w:val="21"/>
                      <w:szCs w:val="21"/>
                      <w:highlight w:val="none"/>
                      <w:lang w:val="en-US" w:eastAsia="zh-CN"/>
                    </w:rPr>
                    <w:t>200</w:t>
                  </w:r>
                  <w:r>
                    <w:rPr>
                      <w:rFonts w:hint="default" w:ascii="Times New Roman" w:hAnsi="Times New Roman" w:eastAsia="宋体" w:cs="Times New Roman"/>
                      <w:bCs/>
                      <w:color w:val="auto"/>
                      <w:kern w:val="0"/>
                      <w:sz w:val="21"/>
                      <w:szCs w:val="21"/>
                      <w:highlight w:val="none"/>
                      <w:lang w:val="en-US" w:eastAsia="zh-CN"/>
                    </w:rPr>
                    <w:t>m²</w:t>
                  </w:r>
                  <w:r>
                    <w:rPr>
                      <w:rFonts w:hint="eastAsia" w:ascii="Times New Roman" w:hAnsi="Times New Roman" w:eastAsia="宋体" w:cs="Times New Roman"/>
                      <w:bCs/>
                      <w:color w:val="auto"/>
                      <w:kern w:val="0"/>
                      <w:sz w:val="21"/>
                      <w:szCs w:val="21"/>
                      <w:highlight w:val="none"/>
                    </w:rPr>
                    <w:t>的</w:t>
                  </w:r>
                  <w:r>
                    <w:rPr>
                      <w:rFonts w:hint="eastAsia" w:ascii="Times New Roman" w:hAnsi="Times New Roman" w:eastAsia="宋体" w:cs="Times New Roman"/>
                      <w:bCs/>
                      <w:color w:val="auto"/>
                      <w:kern w:val="0"/>
                      <w:sz w:val="21"/>
                      <w:szCs w:val="21"/>
                      <w:highlight w:val="none"/>
                      <w:lang w:val="en-US" w:eastAsia="zh-CN"/>
                    </w:rPr>
                    <w:t>仓储房</w:t>
                  </w:r>
                  <w:r>
                    <w:rPr>
                      <w:rFonts w:hint="eastAsia" w:cs="Times New Roman"/>
                      <w:bCs/>
                      <w:color w:val="auto"/>
                      <w:kern w:val="0"/>
                      <w:sz w:val="21"/>
                      <w:szCs w:val="21"/>
                      <w:highlight w:val="none"/>
                      <w:lang w:val="en-US" w:eastAsia="zh-CN"/>
                    </w:rPr>
                    <w:t>，</w:t>
                  </w:r>
                  <w:r>
                    <w:rPr>
                      <w:rFonts w:hint="eastAsia" w:ascii="Times New Roman" w:hAnsi="Times New Roman" w:eastAsia="宋体" w:cs="Times New Roman"/>
                      <w:bCs/>
                      <w:color w:val="auto"/>
                      <w:kern w:val="0"/>
                      <w:sz w:val="21"/>
                      <w:szCs w:val="21"/>
                      <w:highlight w:val="none"/>
                    </w:rPr>
                    <w:t>灰渣</w:t>
                  </w:r>
                  <w:r>
                    <w:rPr>
                      <w:rFonts w:hint="eastAsia" w:cs="Times New Roman"/>
                      <w:bCs/>
                      <w:color w:val="auto"/>
                      <w:kern w:val="0"/>
                      <w:sz w:val="21"/>
                      <w:szCs w:val="21"/>
                      <w:highlight w:val="none"/>
                      <w:lang w:val="en-US" w:eastAsia="zh-CN"/>
                    </w:rPr>
                    <w:t>暂存在仓储房内</w:t>
                  </w:r>
                  <w:r>
                    <w:rPr>
                      <w:rFonts w:hint="eastAsia" w:cs="Times New Roman"/>
                      <w:bCs/>
                      <w:color w:val="auto"/>
                      <w:kern w:val="0"/>
                      <w:sz w:val="21"/>
                      <w:szCs w:val="21"/>
                      <w:highlight w:val="none"/>
                      <w:lang w:eastAsia="zh-CN"/>
                    </w:rPr>
                    <w:t>；</w:t>
                  </w:r>
                  <w:r>
                    <w:rPr>
                      <w:rFonts w:hint="eastAsia" w:cs="Times New Roman"/>
                      <w:bCs/>
                      <w:color w:val="auto"/>
                      <w:kern w:val="0"/>
                      <w:sz w:val="21"/>
                      <w:szCs w:val="21"/>
                      <w:highlight w:val="none"/>
                      <w:lang w:val="en-US" w:eastAsia="zh-CN"/>
                    </w:rPr>
                    <w:t>漓源供热点利用漓源饲料公司现有空厂房，灰渣、堆放在锅炉房内，不另设仓储房。</w:t>
                  </w:r>
                </w:p>
              </w:tc>
              <w:tc>
                <w:tcPr>
                  <w:tcW w:w="931"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已建</w:t>
                  </w:r>
                </w:p>
              </w:tc>
            </w:tr>
          </w:tbl>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3</w:t>
            </w:r>
            <w:r>
              <w:rPr>
                <w:rFonts w:hint="eastAsia" w:ascii="Times New Roman" w:hAnsi="Times New Roman" w:eastAsia="宋体" w:cs="Times New Roman"/>
                <w:b/>
                <w:bCs/>
                <w:color w:val="auto"/>
                <w:sz w:val="24"/>
                <w:szCs w:val="24"/>
                <w:highlight w:val="none"/>
                <w:lang w:val="en-US" w:eastAsia="zh-CN"/>
              </w:rPr>
              <w:t>、主要设施设备</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color w:val="auto"/>
                <w:sz w:val="24"/>
                <w:szCs w:val="24"/>
                <w:highlight w:val="none"/>
              </w:rPr>
            </w:pPr>
            <w:r>
              <w:rPr>
                <w:rFonts w:hint="eastAsia"/>
                <w:color w:val="auto"/>
                <w:sz w:val="24"/>
                <w:szCs w:val="24"/>
                <w:highlight w:val="none"/>
                <w:lang w:val="en-US" w:eastAsia="zh-CN"/>
              </w:rPr>
              <w:t>项目</w:t>
            </w:r>
            <w:r>
              <w:rPr>
                <w:rFonts w:hint="eastAsia"/>
                <w:color w:val="auto"/>
                <w:sz w:val="24"/>
                <w:szCs w:val="24"/>
                <w:highlight w:val="none"/>
              </w:rPr>
              <w:t>主要</w:t>
            </w:r>
            <w:r>
              <w:rPr>
                <w:rFonts w:hint="eastAsia" w:eastAsia="宋体"/>
                <w:color w:val="auto"/>
                <w:sz w:val="24"/>
                <w:szCs w:val="24"/>
                <w:highlight w:val="none"/>
                <w:lang w:val="en-US" w:eastAsia="zh-CN"/>
              </w:rPr>
              <w:t>设施</w:t>
            </w:r>
            <w:r>
              <w:rPr>
                <w:rFonts w:hint="eastAsia"/>
                <w:color w:val="auto"/>
                <w:sz w:val="24"/>
                <w:szCs w:val="24"/>
                <w:highlight w:val="none"/>
              </w:rPr>
              <w:t>设备见表</w:t>
            </w:r>
            <w:r>
              <w:rPr>
                <w:rFonts w:hint="eastAsia"/>
                <w:color w:val="auto"/>
                <w:sz w:val="24"/>
                <w:szCs w:val="24"/>
                <w:highlight w:val="none"/>
                <w:lang w:val="en-US" w:eastAsia="zh-CN"/>
              </w:rPr>
              <w:t>2-2</w:t>
            </w:r>
            <w:r>
              <w:rPr>
                <w:rFonts w:hint="eastAsia"/>
                <w:color w:val="auto"/>
                <w:sz w:val="24"/>
                <w:szCs w:val="24"/>
                <w:highlight w:val="none"/>
              </w:rPr>
              <w:t>。</w:t>
            </w:r>
          </w:p>
          <w:p>
            <w:pPr>
              <w:pStyle w:val="4"/>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w:t>
            </w:r>
            <w:r>
              <w:rPr>
                <w:rFonts w:hint="eastAsia" w:cs="Times New Roman"/>
                <w:b/>
                <w:bCs/>
                <w:color w:val="auto"/>
                <w:sz w:val="21"/>
                <w:szCs w:val="21"/>
                <w:highlight w:val="none"/>
                <w:lang w:val="en-US" w:eastAsia="zh-CN"/>
              </w:rPr>
              <w:t>2项目</w:t>
            </w:r>
            <w:r>
              <w:rPr>
                <w:rFonts w:hint="eastAsia" w:ascii="Times New Roman" w:hAnsi="Times New Roman" w:eastAsia="宋体" w:cs="Times New Roman"/>
                <w:b/>
                <w:bCs/>
                <w:color w:val="auto"/>
                <w:sz w:val="21"/>
                <w:szCs w:val="21"/>
                <w:highlight w:val="none"/>
                <w:lang w:val="en-US" w:eastAsia="zh-CN"/>
              </w:rPr>
              <w:t>主要设施设备</w:t>
            </w:r>
            <w:r>
              <w:rPr>
                <w:rFonts w:hint="eastAsia" w:cs="Times New Roman"/>
                <w:b/>
                <w:bCs/>
                <w:color w:val="auto"/>
                <w:sz w:val="21"/>
                <w:szCs w:val="21"/>
                <w:highlight w:val="none"/>
                <w:lang w:val="en-US" w:eastAsia="zh-CN"/>
              </w:rPr>
              <w:t>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2188"/>
              <w:gridCol w:w="3212"/>
              <w:gridCol w:w="2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90"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供热点</w:t>
                  </w:r>
                </w:p>
              </w:tc>
              <w:tc>
                <w:tcPr>
                  <w:tcW w:w="1246"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设备名称</w:t>
                  </w:r>
                </w:p>
              </w:tc>
              <w:tc>
                <w:tcPr>
                  <w:tcW w:w="1829"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设备型号</w:t>
                  </w:r>
                </w:p>
              </w:tc>
              <w:tc>
                <w:tcPr>
                  <w:tcW w:w="123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90" w:type="pct"/>
                  <w:vMerge w:val="restar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海大供热点</w:t>
                  </w:r>
                </w:p>
              </w:tc>
              <w:tc>
                <w:tcPr>
                  <w:tcW w:w="1246"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6t/h</w:t>
                  </w:r>
                  <w:r>
                    <w:rPr>
                      <w:rFonts w:hint="eastAsia" w:ascii="Times New Roman" w:hAnsi="Times New Roman" w:eastAsia="宋体" w:cs="Times New Roman"/>
                      <w:bCs/>
                      <w:color w:val="auto"/>
                      <w:kern w:val="0"/>
                      <w:sz w:val="21"/>
                      <w:szCs w:val="21"/>
                      <w:highlight w:val="none"/>
                    </w:rPr>
                    <w:t>生物质锅炉</w:t>
                  </w:r>
                </w:p>
              </w:tc>
              <w:tc>
                <w:tcPr>
                  <w:tcW w:w="1829"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SZL6-1.25-SCI</w:t>
                  </w:r>
                </w:p>
              </w:tc>
              <w:tc>
                <w:tcPr>
                  <w:tcW w:w="123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1</w:t>
                  </w:r>
                  <w:r>
                    <w:rPr>
                      <w:rFonts w:hint="eastAsia" w:ascii="Times New Roman" w:hAnsi="Times New Roman" w:eastAsia="宋体" w:cs="Times New Roman"/>
                      <w:bCs/>
                      <w:color w:val="auto"/>
                      <w:kern w:val="0"/>
                      <w:sz w:val="21"/>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90"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1246"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4t/h</w:t>
                  </w:r>
                  <w:r>
                    <w:rPr>
                      <w:rFonts w:hint="eastAsia" w:ascii="Times New Roman" w:hAnsi="Times New Roman" w:eastAsia="宋体" w:cs="Times New Roman"/>
                      <w:bCs/>
                      <w:color w:val="auto"/>
                      <w:kern w:val="0"/>
                      <w:sz w:val="21"/>
                      <w:szCs w:val="21"/>
                      <w:highlight w:val="none"/>
                    </w:rPr>
                    <w:t>生物质锅炉</w:t>
                  </w:r>
                </w:p>
              </w:tc>
              <w:tc>
                <w:tcPr>
                  <w:tcW w:w="1829"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SZL4-1.25-SCIII</w:t>
                  </w:r>
                </w:p>
              </w:tc>
              <w:tc>
                <w:tcPr>
                  <w:tcW w:w="123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90"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1246"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15t/h</w:t>
                  </w:r>
                  <w:r>
                    <w:rPr>
                      <w:rFonts w:hint="eastAsia" w:ascii="Times New Roman" w:hAnsi="Times New Roman" w:eastAsia="宋体" w:cs="Times New Roman"/>
                      <w:bCs/>
                      <w:color w:val="auto"/>
                      <w:kern w:val="0"/>
                      <w:sz w:val="21"/>
                      <w:szCs w:val="21"/>
                      <w:highlight w:val="none"/>
                    </w:rPr>
                    <w:t>生物质锅炉</w:t>
                  </w:r>
                </w:p>
              </w:tc>
              <w:tc>
                <w:tcPr>
                  <w:tcW w:w="1829"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SZW</w:t>
                  </w:r>
                  <w:r>
                    <w:rPr>
                      <w:rFonts w:hint="eastAsia" w:cs="Times New Roman"/>
                      <w:bCs/>
                      <w:color w:val="auto"/>
                      <w:kern w:val="0"/>
                      <w:sz w:val="21"/>
                      <w:szCs w:val="21"/>
                      <w:highlight w:val="none"/>
                      <w:lang w:val="en-US" w:eastAsia="zh-CN"/>
                    </w:rPr>
                    <w:t>15</w:t>
                  </w:r>
                  <w:r>
                    <w:rPr>
                      <w:rFonts w:hint="eastAsia" w:ascii="Times New Roman" w:hAnsi="Times New Roman" w:eastAsia="宋体" w:cs="Times New Roman"/>
                      <w:bCs/>
                      <w:color w:val="auto"/>
                      <w:kern w:val="0"/>
                      <w:sz w:val="21"/>
                      <w:szCs w:val="21"/>
                      <w:highlight w:val="none"/>
                    </w:rPr>
                    <w:t>-1.25-SCⅢ</w:t>
                  </w:r>
                </w:p>
              </w:tc>
              <w:tc>
                <w:tcPr>
                  <w:tcW w:w="123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90"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1246"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风机</w:t>
                  </w:r>
                </w:p>
              </w:tc>
              <w:tc>
                <w:tcPr>
                  <w:tcW w:w="1829"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w:t>
                  </w:r>
                </w:p>
              </w:tc>
              <w:tc>
                <w:tcPr>
                  <w:tcW w:w="123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6</w:t>
                  </w:r>
                  <w:r>
                    <w:rPr>
                      <w:rFonts w:hint="eastAsia" w:ascii="Times New Roman" w:hAnsi="Times New Roman" w:eastAsia="宋体" w:cs="Times New Roman"/>
                      <w:bCs/>
                      <w:color w:val="auto"/>
                      <w:kern w:val="0"/>
                      <w:sz w:val="21"/>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90"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1246"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水泵</w:t>
                  </w:r>
                </w:p>
              </w:tc>
              <w:tc>
                <w:tcPr>
                  <w:tcW w:w="1829"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w:t>
                  </w:r>
                </w:p>
              </w:tc>
              <w:tc>
                <w:tcPr>
                  <w:tcW w:w="123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4</w:t>
                  </w:r>
                  <w:r>
                    <w:rPr>
                      <w:rFonts w:hint="eastAsia" w:ascii="Times New Roman" w:hAnsi="Times New Roman" w:eastAsia="宋体" w:cs="Times New Roman"/>
                      <w:bCs/>
                      <w:color w:val="auto"/>
                      <w:kern w:val="0"/>
                      <w:sz w:val="21"/>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90"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1246"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空压机</w:t>
                  </w:r>
                </w:p>
              </w:tc>
              <w:tc>
                <w:tcPr>
                  <w:tcW w:w="1829"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Q=1.2m</w:t>
                  </w:r>
                  <w:r>
                    <w:rPr>
                      <w:rFonts w:hint="default" w:ascii="Times New Roman" w:hAnsi="Times New Roman" w:cs="Times New Roman"/>
                      <w:bCs/>
                      <w:color w:val="auto"/>
                      <w:kern w:val="0"/>
                      <w:sz w:val="21"/>
                      <w:szCs w:val="21"/>
                      <w:highlight w:val="none"/>
                      <w:lang w:val="en-US" w:eastAsia="zh-CN"/>
                    </w:rPr>
                    <w:t>³</w:t>
                  </w:r>
                  <w:r>
                    <w:rPr>
                      <w:rFonts w:hint="eastAsia" w:ascii="Times New Roman" w:hAnsi="Times New Roman" w:eastAsia="宋体" w:cs="Times New Roman"/>
                      <w:bCs/>
                      <w:color w:val="auto"/>
                      <w:kern w:val="0"/>
                      <w:sz w:val="21"/>
                      <w:szCs w:val="21"/>
                      <w:highlight w:val="none"/>
                    </w:rPr>
                    <w:t>，P=0.8Mpa</w:t>
                  </w:r>
                </w:p>
              </w:tc>
              <w:tc>
                <w:tcPr>
                  <w:tcW w:w="123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90"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1246"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空压机</w:t>
                  </w:r>
                </w:p>
              </w:tc>
              <w:tc>
                <w:tcPr>
                  <w:tcW w:w="1829"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V=2m</w:t>
                  </w:r>
                  <w:r>
                    <w:rPr>
                      <w:rFonts w:hint="default" w:ascii="Times New Roman" w:hAnsi="Times New Roman" w:cs="Times New Roman"/>
                      <w:bCs/>
                      <w:color w:val="auto"/>
                      <w:kern w:val="0"/>
                      <w:sz w:val="21"/>
                      <w:szCs w:val="21"/>
                      <w:highlight w:val="none"/>
                      <w:lang w:val="en-US" w:eastAsia="zh-CN"/>
                    </w:rPr>
                    <w:t>³</w:t>
                  </w:r>
                  <w:r>
                    <w:rPr>
                      <w:rFonts w:hint="eastAsia" w:ascii="Times New Roman" w:hAnsi="Times New Roman" w:eastAsia="宋体" w:cs="Times New Roman"/>
                      <w:bCs/>
                      <w:color w:val="auto"/>
                      <w:kern w:val="0"/>
                      <w:sz w:val="21"/>
                      <w:szCs w:val="21"/>
                      <w:highlight w:val="none"/>
                    </w:rPr>
                    <w:t>，P=0.8MPa</w:t>
                  </w:r>
                </w:p>
              </w:tc>
              <w:tc>
                <w:tcPr>
                  <w:tcW w:w="123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2</w:t>
                  </w:r>
                  <w:r>
                    <w:rPr>
                      <w:rFonts w:hint="eastAsia" w:ascii="Times New Roman" w:hAnsi="Times New Roman" w:eastAsia="宋体" w:cs="Times New Roman"/>
                      <w:bCs/>
                      <w:color w:val="auto"/>
                      <w:kern w:val="0"/>
                      <w:sz w:val="21"/>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90"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1246"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烟囱</w:t>
                  </w:r>
                </w:p>
              </w:tc>
              <w:tc>
                <w:tcPr>
                  <w:tcW w:w="1829"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45m</w:t>
                  </w:r>
                </w:p>
              </w:tc>
              <w:tc>
                <w:tcPr>
                  <w:tcW w:w="123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一根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90" w:type="pct"/>
                  <w:vMerge w:val="restar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特驱供热点</w:t>
                  </w:r>
                </w:p>
              </w:tc>
              <w:tc>
                <w:tcPr>
                  <w:tcW w:w="1246"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20t/h</w:t>
                  </w:r>
                  <w:r>
                    <w:rPr>
                      <w:rFonts w:hint="eastAsia" w:ascii="Times New Roman" w:hAnsi="Times New Roman" w:eastAsia="宋体" w:cs="Times New Roman"/>
                      <w:bCs/>
                      <w:color w:val="auto"/>
                      <w:kern w:val="0"/>
                      <w:sz w:val="21"/>
                      <w:szCs w:val="21"/>
                      <w:highlight w:val="none"/>
                    </w:rPr>
                    <w:t>生物质锅炉</w:t>
                  </w:r>
                </w:p>
              </w:tc>
              <w:tc>
                <w:tcPr>
                  <w:tcW w:w="1829"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SZW</w:t>
                  </w:r>
                  <w:r>
                    <w:rPr>
                      <w:rFonts w:hint="eastAsia" w:cs="Times New Roman"/>
                      <w:bCs/>
                      <w:color w:val="auto"/>
                      <w:kern w:val="0"/>
                      <w:sz w:val="21"/>
                      <w:szCs w:val="21"/>
                      <w:highlight w:val="none"/>
                      <w:lang w:val="en-US" w:eastAsia="zh-CN"/>
                    </w:rPr>
                    <w:t>20</w:t>
                  </w:r>
                  <w:r>
                    <w:rPr>
                      <w:rFonts w:hint="eastAsia" w:ascii="Times New Roman" w:hAnsi="Times New Roman" w:eastAsia="宋体" w:cs="Times New Roman"/>
                      <w:bCs/>
                      <w:color w:val="auto"/>
                      <w:kern w:val="0"/>
                      <w:sz w:val="21"/>
                      <w:szCs w:val="21"/>
                      <w:highlight w:val="none"/>
                    </w:rPr>
                    <w:t>-1.25-SCⅢ</w:t>
                  </w:r>
                </w:p>
              </w:tc>
              <w:tc>
                <w:tcPr>
                  <w:tcW w:w="123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90"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1246"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cs="Times New Roman"/>
                      <w:bCs/>
                      <w:color w:val="auto"/>
                      <w:kern w:val="0"/>
                      <w:sz w:val="21"/>
                      <w:szCs w:val="21"/>
                      <w:highlight w:val="none"/>
                      <w:lang w:val="en-US" w:eastAsia="zh-CN"/>
                    </w:rPr>
                    <w:t>6t/h</w:t>
                  </w:r>
                  <w:r>
                    <w:rPr>
                      <w:rFonts w:hint="eastAsia" w:ascii="Times New Roman" w:hAnsi="Times New Roman" w:eastAsia="宋体" w:cs="Times New Roman"/>
                      <w:bCs/>
                      <w:color w:val="auto"/>
                      <w:kern w:val="0"/>
                      <w:sz w:val="21"/>
                      <w:szCs w:val="21"/>
                      <w:highlight w:val="none"/>
                    </w:rPr>
                    <w:t>生物质锅炉</w:t>
                  </w:r>
                </w:p>
              </w:tc>
              <w:tc>
                <w:tcPr>
                  <w:tcW w:w="1829"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rPr>
                    <w:t>SZL6-1.25-SCI</w:t>
                  </w:r>
                </w:p>
              </w:tc>
              <w:tc>
                <w:tcPr>
                  <w:tcW w:w="123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90"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1246"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风机</w:t>
                  </w:r>
                </w:p>
              </w:tc>
              <w:tc>
                <w:tcPr>
                  <w:tcW w:w="1829"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w:t>
                  </w:r>
                </w:p>
              </w:tc>
              <w:tc>
                <w:tcPr>
                  <w:tcW w:w="123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2</w:t>
                  </w:r>
                  <w:r>
                    <w:rPr>
                      <w:rFonts w:hint="eastAsia" w:ascii="Times New Roman" w:hAnsi="Times New Roman" w:eastAsia="宋体" w:cs="Times New Roman"/>
                      <w:bCs/>
                      <w:color w:val="auto"/>
                      <w:kern w:val="0"/>
                      <w:sz w:val="21"/>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90"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1246"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水泵</w:t>
                  </w:r>
                </w:p>
              </w:tc>
              <w:tc>
                <w:tcPr>
                  <w:tcW w:w="1829"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w:t>
                  </w:r>
                </w:p>
              </w:tc>
              <w:tc>
                <w:tcPr>
                  <w:tcW w:w="123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4</w:t>
                  </w:r>
                  <w:r>
                    <w:rPr>
                      <w:rFonts w:hint="eastAsia" w:ascii="Times New Roman" w:hAnsi="Times New Roman" w:eastAsia="宋体" w:cs="Times New Roman"/>
                      <w:bCs/>
                      <w:color w:val="auto"/>
                      <w:kern w:val="0"/>
                      <w:sz w:val="21"/>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90"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1246"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空压机</w:t>
                  </w:r>
                </w:p>
              </w:tc>
              <w:tc>
                <w:tcPr>
                  <w:tcW w:w="1829"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Q=1.2m</w:t>
                  </w:r>
                  <w:r>
                    <w:rPr>
                      <w:rFonts w:hint="default" w:ascii="Times New Roman" w:hAnsi="Times New Roman" w:cs="Times New Roman"/>
                      <w:bCs/>
                      <w:color w:val="auto"/>
                      <w:kern w:val="0"/>
                      <w:sz w:val="21"/>
                      <w:szCs w:val="21"/>
                      <w:highlight w:val="none"/>
                      <w:lang w:val="en-US" w:eastAsia="zh-CN"/>
                    </w:rPr>
                    <w:t>³</w:t>
                  </w:r>
                  <w:r>
                    <w:rPr>
                      <w:rFonts w:hint="eastAsia" w:cs="Times New Roman"/>
                      <w:bCs/>
                      <w:color w:val="auto"/>
                      <w:kern w:val="0"/>
                      <w:sz w:val="21"/>
                      <w:szCs w:val="21"/>
                      <w:highlight w:val="none"/>
                      <w:lang w:eastAsia="zh-CN"/>
                    </w:rPr>
                    <w:t>，</w:t>
                  </w:r>
                  <w:r>
                    <w:rPr>
                      <w:rFonts w:hint="eastAsia" w:ascii="Times New Roman" w:hAnsi="Times New Roman" w:eastAsia="宋体" w:cs="Times New Roman"/>
                      <w:bCs/>
                      <w:color w:val="auto"/>
                      <w:kern w:val="0"/>
                      <w:sz w:val="21"/>
                      <w:szCs w:val="21"/>
                      <w:highlight w:val="none"/>
                    </w:rPr>
                    <w:t>P=0.8Mpa</w:t>
                  </w:r>
                </w:p>
              </w:tc>
              <w:tc>
                <w:tcPr>
                  <w:tcW w:w="123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1</w:t>
                  </w:r>
                  <w:r>
                    <w:rPr>
                      <w:rFonts w:hint="eastAsia" w:ascii="Times New Roman" w:hAnsi="Times New Roman" w:eastAsia="宋体" w:cs="Times New Roman"/>
                      <w:bCs/>
                      <w:color w:val="auto"/>
                      <w:kern w:val="0"/>
                      <w:sz w:val="21"/>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90"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1246"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rPr>
                    <w:t>空压机</w:t>
                  </w:r>
                </w:p>
              </w:tc>
              <w:tc>
                <w:tcPr>
                  <w:tcW w:w="1829"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rPr>
                    <w:t>V=2m</w:t>
                  </w:r>
                  <w:r>
                    <w:rPr>
                      <w:rFonts w:hint="default" w:ascii="Times New Roman" w:hAnsi="Times New Roman" w:cs="Times New Roman"/>
                      <w:bCs/>
                      <w:color w:val="auto"/>
                      <w:kern w:val="0"/>
                      <w:sz w:val="21"/>
                      <w:szCs w:val="21"/>
                      <w:highlight w:val="none"/>
                      <w:lang w:val="en-US" w:eastAsia="zh-CN"/>
                    </w:rPr>
                    <w:t>³</w:t>
                  </w:r>
                  <w:r>
                    <w:rPr>
                      <w:rFonts w:hint="eastAsia" w:ascii="Times New Roman" w:hAnsi="Times New Roman" w:eastAsia="宋体" w:cs="Times New Roman"/>
                      <w:bCs/>
                      <w:color w:val="auto"/>
                      <w:kern w:val="0"/>
                      <w:sz w:val="21"/>
                      <w:szCs w:val="21"/>
                      <w:highlight w:val="none"/>
                    </w:rPr>
                    <w:t>，P=0.8MPa</w:t>
                  </w:r>
                </w:p>
              </w:tc>
              <w:tc>
                <w:tcPr>
                  <w:tcW w:w="123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cs="Times New Roman"/>
                      <w:bCs/>
                      <w:color w:val="auto"/>
                      <w:kern w:val="0"/>
                      <w:sz w:val="21"/>
                      <w:szCs w:val="21"/>
                      <w:highlight w:val="none"/>
                      <w:lang w:val="en-US" w:eastAsia="zh-CN"/>
                    </w:rPr>
                    <w:t>1</w:t>
                  </w:r>
                  <w:r>
                    <w:rPr>
                      <w:rFonts w:hint="eastAsia" w:ascii="Times New Roman" w:hAnsi="Times New Roman" w:eastAsia="宋体" w:cs="Times New Roman"/>
                      <w:bCs/>
                      <w:color w:val="auto"/>
                      <w:kern w:val="0"/>
                      <w:sz w:val="21"/>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90"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1246"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烟囱</w:t>
                  </w:r>
                </w:p>
              </w:tc>
              <w:tc>
                <w:tcPr>
                  <w:tcW w:w="1829"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4</w:t>
                  </w:r>
                  <w:r>
                    <w:rPr>
                      <w:rFonts w:hint="eastAsia" w:ascii="Times New Roman" w:hAnsi="Times New Roman" w:eastAsia="宋体" w:cs="Times New Roman"/>
                      <w:bCs/>
                      <w:color w:val="auto"/>
                      <w:kern w:val="0"/>
                      <w:sz w:val="21"/>
                      <w:szCs w:val="21"/>
                      <w:highlight w:val="none"/>
                    </w:rPr>
                    <w:t>5m</w:t>
                  </w:r>
                </w:p>
              </w:tc>
              <w:tc>
                <w:tcPr>
                  <w:tcW w:w="123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一根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90" w:type="pct"/>
                  <w:vMerge w:val="restar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漓源供热点</w:t>
                  </w:r>
                </w:p>
              </w:tc>
              <w:tc>
                <w:tcPr>
                  <w:tcW w:w="1246"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4t/h</w:t>
                  </w:r>
                  <w:r>
                    <w:rPr>
                      <w:rFonts w:hint="eastAsia" w:ascii="Times New Roman" w:hAnsi="Times New Roman" w:eastAsia="宋体" w:cs="Times New Roman"/>
                      <w:bCs/>
                      <w:color w:val="auto"/>
                      <w:kern w:val="0"/>
                      <w:sz w:val="21"/>
                      <w:szCs w:val="21"/>
                      <w:highlight w:val="none"/>
                    </w:rPr>
                    <w:t>生物质锅炉</w:t>
                  </w:r>
                </w:p>
              </w:tc>
              <w:tc>
                <w:tcPr>
                  <w:tcW w:w="1829"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SZL4-1.25-SCI</w:t>
                  </w:r>
                </w:p>
              </w:tc>
              <w:tc>
                <w:tcPr>
                  <w:tcW w:w="123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90"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1246"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风机</w:t>
                  </w:r>
                </w:p>
              </w:tc>
              <w:tc>
                <w:tcPr>
                  <w:tcW w:w="1829"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w:t>
                  </w:r>
                </w:p>
              </w:tc>
              <w:tc>
                <w:tcPr>
                  <w:tcW w:w="123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90"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1246"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水泵</w:t>
                  </w:r>
                </w:p>
              </w:tc>
              <w:tc>
                <w:tcPr>
                  <w:tcW w:w="1829"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w:t>
                  </w:r>
                </w:p>
              </w:tc>
              <w:tc>
                <w:tcPr>
                  <w:tcW w:w="123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4</w:t>
                  </w:r>
                  <w:r>
                    <w:rPr>
                      <w:rFonts w:hint="eastAsia" w:ascii="Times New Roman" w:hAnsi="Times New Roman" w:eastAsia="宋体" w:cs="Times New Roman"/>
                      <w:bCs/>
                      <w:color w:val="auto"/>
                      <w:kern w:val="0"/>
                      <w:sz w:val="21"/>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90"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1246"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空压机</w:t>
                  </w:r>
                </w:p>
              </w:tc>
              <w:tc>
                <w:tcPr>
                  <w:tcW w:w="1829"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Q=1.2m</w:t>
                  </w:r>
                  <w:r>
                    <w:rPr>
                      <w:rFonts w:hint="default" w:ascii="Times New Roman" w:hAnsi="Times New Roman" w:cs="Times New Roman"/>
                      <w:bCs/>
                      <w:color w:val="auto"/>
                      <w:kern w:val="0"/>
                      <w:sz w:val="21"/>
                      <w:szCs w:val="21"/>
                      <w:highlight w:val="none"/>
                      <w:lang w:val="en-US" w:eastAsia="zh-CN"/>
                    </w:rPr>
                    <w:t>³</w:t>
                  </w:r>
                  <w:r>
                    <w:rPr>
                      <w:rFonts w:hint="eastAsia" w:cs="Times New Roman"/>
                      <w:bCs/>
                      <w:color w:val="auto"/>
                      <w:kern w:val="0"/>
                      <w:sz w:val="21"/>
                      <w:szCs w:val="21"/>
                      <w:highlight w:val="none"/>
                      <w:lang w:eastAsia="zh-CN"/>
                    </w:rPr>
                    <w:t>，</w:t>
                  </w:r>
                  <w:r>
                    <w:rPr>
                      <w:rFonts w:hint="eastAsia" w:ascii="Times New Roman" w:hAnsi="Times New Roman" w:eastAsia="宋体" w:cs="Times New Roman"/>
                      <w:bCs/>
                      <w:color w:val="auto"/>
                      <w:kern w:val="0"/>
                      <w:sz w:val="21"/>
                      <w:szCs w:val="21"/>
                      <w:highlight w:val="none"/>
                    </w:rPr>
                    <w:t>P=0.8Mpa</w:t>
                  </w:r>
                </w:p>
              </w:tc>
              <w:tc>
                <w:tcPr>
                  <w:tcW w:w="123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90" w:type="pct"/>
                  <w:vMerge w:val="continue"/>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p>
              </w:tc>
              <w:tc>
                <w:tcPr>
                  <w:tcW w:w="1246"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烟囱</w:t>
                  </w:r>
                </w:p>
              </w:tc>
              <w:tc>
                <w:tcPr>
                  <w:tcW w:w="1829"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35m</w:t>
                  </w:r>
                </w:p>
              </w:tc>
              <w:tc>
                <w:tcPr>
                  <w:tcW w:w="1233" w:type="pct"/>
                  <w:vAlign w:val="center"/>
                </w:tcPr>
                <w:p>
                  <w:pPr>
                    <w:widowControl/>
                    <w:adjustRightInd w:val="0"/>
                    <w:snapToGrid w:val="0"/>
                    <w:jc w:val="center"/>
                    <w:rPr>
                      <w:rFonts w:hint="eastAsia"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1根</w:t>
                  </w:r>
                </w:p>
              </w:tc>
            </w:tr>
          </w:tbl>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4</w:t>
            </w:r>
            <w:r>
              <w:rPr>
                <w:rFonts w:hint="eastAsia" w:ascii="Times New Roman" w:hAnsi="Times New Roman" w:eastAsia="宋体"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主要原辅材料消耗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项目运营期主要原辅材料及能源消耗见表2-3。</w:t>
            </w:r>
          </w:p>
          <w:p>
            <w:pPr>
              <w:pStyle w:val="4"/>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w:t>
            </w:r>
            <w:r>
              <w:rPr>
                <w:rFonts w:hint="eastAsia" w:cs="Times New Roman"/>
                <w:b/>
                <w:bCs/>
                <w:color w:val="auto"/>
                <w:sz w:val="21"/>
                <w:szCs w:val="21"/>
                <w:highlight w:val="none"/>
                <w:lang w:val="en-US" w:eastAsia="zh-CN"/>
              </w:rPr>
              <w:t>3</w:t>
            </w:r>
            <w:r>
              <w:rPr>
                <w:rFonts w:hint="eastAsia" w:ascii="Times New Roman" w:hAnsi="Times New Roman" w:eastAsia="宋体" w:cs="Times New Roman"/>
                <w:b/>
                <w:bCs/>
                <w:color w:val="auto"/>
                <w:sz w:val="21"/>
                <w:szCs w:val="21"/>
                <w:highlight w:val="none"/>
                <w:lang w:val="en-US" w:eastAsia="zh-CN"/>
              </w:rPr>
              <w:t>项目主要原辅材料及能源消耗表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2"/>
              <w:gridCol w:w="1052"/>
              <w:gridCol w:w="1731"/>
              <w:gridCol w:w="1770"/>
              <w:gridCol w:w="1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34" w:type="pct"/>
                  <w:vMerge w:val="restart"/>
                  <w:vAlign w:val="center"/>
                </w:tcPr>
                <w:p>
                  <w:pPr>
                    <w:pStyle w:val="25"/>
                    <w:bidi w:val="0"/>
                    <w:ind w:left="0" w:leftChars="0"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t>物料名称</w:t>
                  </w:r>
                </w:p>
              </w:tc>
              <w:tc>
                <w:tcPr>
                  <w:tcW w:w="599" w:type="pct"/>
                  <w:vMerge w:val="restart"/>
                  <w:vAlign w:val="center"/>
                </w:tcPr>
                <w:p>
                  <w:pPr>
                    <w:pStyle w:val="25"/>
                    <w:bidi w:val="0"/>
                    <w:ind w:left="0" w:leftChars="0"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t>单位</w:t>
                  </w:r>
                </w:p>
              </w:tc>
              <w:tc>
                <w:tcPr>
                  <w:tcW w:w="3066" w:type="pct"/>
                  <w:gridSpan w:val="3"/>
                  <w:vAlign w:val="center"/>
                </w:tcPr>
                <w:p>
                  <w:pPr>
                    <w:pStyle w:val="25"/>
                    <w:bidi w:val="0"/>
                    <w:ind w:left="0" w:leftChars="0"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t>年用量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34" w:type="pct"/>
                  <w:vMerge w:val="continue"/>
                  <w:vAlign w:val="center"/>
                </w:tcPr>
                <w:p>
                  <w:pPr>
                    <w:pStyle w:val="25"/>
                    <w:bidi w:val="0"/>
                    <w:ind w:left="0" w:leftChars="0" w:firstLine="0" w:firstLineChars="0"/>
                    <w:jc w:val="center"/>
                    <w:rPr>
                      <w:rFonts w:hint="eastAsia" w:cs="Times New Roman"/>
                      <w:color w:val="auto"/>
                      <w:highlight w:val="none"/>
                      <w:lang w:val="en-US" w:eastAsia="zh-CN"/>
                    </w:rPr>
                  </w:pPr>
                </w:p>
              </w:tc>
              <w:tc>
                <w:tcPr>
                  <w:tcW w:w="599" w:type="pct"/>
                  <w:vMerge w:val="continue"/>
                  <w:vAlign w:val="center"/>
                </w:tcPr>
                <w:p>
                  <w:pPr>
                    <w:pStyle w:val="25"/>
                    <w:bidi w:val="0"/>
                    <w:ind w:left="0" w:leftChars="0" w:firstLine="0" w:firstLineChars="0"/>
                    <w:jc w:val="center"/>
                    <w:rPr>
                      <w:rFonts w:hint="eastAsia" w:cs="Times New Roman"/>
                      <w:color w:val="auto"/>
                      <w:highlight w:val="none"/>
                      <w:lang w:val="en-US" w:eastAsia="zh-CN"/>
                    </w:rPr>
                  </w:pPr>
                </w:p>
              </w:tc>
              <w:tc>
                <w:tcPr>
                  <w:tcW w:w="986" w:type="pct"/>
                  <w:vAlign w:val="center"/>
                </w:tcPr>
                <w:p>
                  <w:pPr>
                    <w:pStyle w:val="25"/>
                    <w:bidi w:val="0"/>
                    <w:ind w:left="0" w:leftChars="0"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t>海大供热点</w:t>
                  </w:r>
                </w:p>
              </w:tc>
              <w:tc>
                <w:tcPr>
                  <w:tcW w:w="1008" w:type="pct"/>
                  <w:vAlign w:val="center"/>
                </w:tcPr>
                <w:p>
                  <w:pPr>
                    <w:pStyle w:val="25"/>
                    <w:bidi w:val="0"/>
                    <w:ind w:left="0" w:leftChars="0"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t>特驱供热点</w:t>
                  </w:r>
                </w:p>
              </w:tc>
              <w:tc>
                <w:tcPr>
                  <w:tcW w:w="1072" w:type="pct"/>
                  <w:vAlign w:val="center"/>
                </w:tcPr>
                <w:p>
                  <w:pPr>
                    <w:pStyle w:val="25"/>
                    <w:bidi w:val="0"/>
                    <w:ind w:left="0" w:leftChars="0"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t>漓源供热点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34" w:type="pct"/>
                  <w:vAlign w:val="center"/>
                </w:tcPr>
                <w:p>
                  <w:pPr>
                    <w:pStyle w:val="25"/>
                    <w:bidi w:val="0"/>
                    <w:ind w:left="0" w:leftChars="0"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t>生物质（非成型燃料）</w:t>
                  </w:r>
                </w:p>
              </w:tc>
              <w:tc>
                <w:tcPr>
                  <w:tcW w:w="599" w:type="pct"/>
                  <w:vAlign w:val="center"/>
                </w:tcPr>
                <w:p>
                  <w:pPr>
                    <w:pStyle w:val="25"/>
                    <w:bidi w:val="0"/>
                    <w:ind w:left="0" w:leftChars="0"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t>t/a</w:t>
                  </w:r>
                </w:p>
              </w:tc>
              <w:tc>
                <w:tcPr>
                  <w:tcW w:w="986" w:type="pct"/>
                  <w:vAlign w:val="center"/>
                </w:tcPr>
                <w:p>
                  <w:pPr>
                    <w:pStyle w:val="25"/>
                    <w:bidi w:val="0"/>
                    <w:ind w:left="0" w:leftChars="0"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t>42847.2</w:t>
                  </w:r>
                </w:p>
              </w:tc>
              <w:tc>
                <w:tcPr>
                  <w:tcW w:w="1008" w:type="pct"/>
                  <w:vAlign w:val="center"/>
                </w:tcPr>
                <w:p>
                  <w:pPr>
                    <w:pStyle w:val="25"/>
                    <w:bidi w:val="0"/>
                    <w:ind w:left="0" w:leftChars="0"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t>44287.7</w:t>
                  </w:r>
                </w:p>
              </w:tc>
              <w:tc>
                <w:tcPr>
                  <w:tcW w:w="1072" w:type="pct"/>
                  <w:vAlign w:val="center"/>
                </w:tcPr>
                <w:p>
                  <w:pPr>
                    <w:pStyle w:val="25"/>
                    <w:bidi w:val="0"/>
                    <w:ind w:left="0" w:leftChars="0"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t>6766.9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34" w:type="pct"/>
                  <w:vAlign w:val="center"/>
                </w:tcPr>
                <w:p>
                  <w:pPr>
                    <w:pStyle w:val="25"/>
                    <w:bidi w:val="0"/>
                    <w:ind w:left="0" w:leftChars="0"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t>水</w:t>
                  </w:r>
                </w:p>
              </w:tc>
              <w:tc>
                <w:tcPr>
                  <w:tcW w:w="599" w:type="pct"/>
                  <w:vAlign w:val="center"/>
                </w:tcPr>
                <w:p>
                  <w:pPr>
                    <w:pStyle w:val="25"/>
                    <w:bidi w:val="0"/>
                    <w:ind w:left="0" w:leftChars="0"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t>t/a</w:t>
                  </w:r>
                </w:p>
              </w:tc>
              <w:tc>
                <w:tcPr>
                  <w:tcW w:w="3066" w:type="pct"/>
                  <w:gridSpan w:val="3"/>
                  <w:vAlign w:val="center"/>
                </w:tcPr>
                <w:p>
                  <w:pPr>
                    <w:pStyle w:val="25"/>
                    <w:bidi w:val="0"/>
                    <w:ind w:left="0" w:lef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452067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34" w:type="pct"/>
                  <w:vAlign w:val="center"/>
                </w:tcPr>
                <w:p>
                  <w:pPr>
                    <w:pStyle w:val="25"/>
                    <w:bidi w:val="0"/>
                    <w:ind w:left="0" w:lef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电</w:t>
                  </w:r>
                </w:p>
              </w:tc>
              <w:tc>
                <w:tcPr>
                  <w:tcW w:w="599" w:type="pct"/>
                  <w:vAlign w:val="center"/>
                </w:tcPr>
                <w:p>
                  <w:pPr>
                    <w:pStyle w:val="25"/>
                    <w:bidi w:val="0"/>
                    <w:ind w:left="0" w:leftChars="0"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t>万度/a</w:t>
                  </w:r>
                </w:p>
              </w:tc>
              <w:tc>
                <w:tcPr>
                  <w:tcW w:w="3066" w:type="pct"/>
                  <w:gridSpan w:val="3"/>
                  <w:vAlign w:val="center"/>
                </w:tcPr>
                <w:p>
                  <w:pPr>
                    <w:pStyle w:val="25"/>
                    <w:bidi w:val="0"/>
                    <w:ind w:left="0" w:lef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300</w:t>
                  </w:r>
                </w:p>
              </w:tc>
            </w:tr>
          </w:tbl>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5</w:t>
            </w:r>
            <w:r>
              <w:rPr>
                <w:rFonts w:hint="eastAsia" w:ascii="Times New Roman" w:hAnsi="Times New Roman" w:eastAsia="宋体" w:cs="Times New Roman"/>
                <w:b/>
                <w:bCs/>
                <w:color w:val="auto"/>
                <w:sz w:val="24"/>
                <w:szCs w:val="24"/>
                <w:highlight w:val="none"/>
                <w:lang w:val="en-US" w:eastAsia="zh-CN"/>
              </w:rPr>
              <w:t>、生物质燃料</w:t>
            </w:r>
            <w:r>
              <w:rPr>
                <w:rFonts w:hint="eastAsia" w:cs="Times New Roman"/>
                <w:b/>
                <w:bCs/>
                <w:color w:val="auto"/>
                <w:sz w:val="24"/>
                <w:szCs w:val="24"/>
                <w:highlight w:val="none"/>
                <w:lang w:val="en-US" w:eastAsia="zh-CN"/>
              </w:rPr>
              <w:t>指标</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本项目外购昆明腾元禾农林科技有限公司生产的生物质燃料，</w:t>
            </w:r>
            <w:r>
              <w:rPr>
                <w:rFonts w:hint="eastAsia" w:ascii="Times New Roman" w:hAnsi="Times New Roman" w:eastAsia="宋体" w:cs="Times New Roman"/>
                <w:color w:val="auto"/>
                <w:sz w:val="24"/>
                <w:highlight w:val="none"/>
                <w:lang w:val="en-US" w:eastAsia="zh-CN"/>
              </w:rPr>
              <w:t>生物质燃料主要参数指标一览表</w:t>
            </w:r>
            <w:r>
              <w:rPr>
                <w:rFonts w:hint="eastAsia" w:ascii="Times New Roman" w:hAnsi="Times New Roman" w:eastAsia="宋体" w:cs="Times New Roman"/>
                <w:color w:val="auto"/>
                <w:sz w:val="24"/>
                <w:highlight w:val="none"/>
              </w:rPr>
              <w:t>见</w:t>
            </w:r>
            <w:r>
              <w:rPr>
                <w:rFonts w:hint="eastAsia" w:cs="Times New Roman"/>
                <w:color w:val="auto"/>
                <w:sz w:val="24"/>
                <w:highlight w:val="none"/>
                <w:lang w:val="en-US" w:eastAsia="zh-CN"/>
              </w:rPr>
              <w:t>下表</w:t>
            </w:r>
            <w:r>
              <w:rPr>
                <w:rFonts w:hint="eastAsia" w:ascii="Times New Roman" w:hAnsi="Times New Roman" w:eastAsia="宋体" w:cs="Times New Roman"/>
                <w:color w:val="auto"/>
                <w:sz w:val="24"/>
                <w:highlight w:val="none"/>
              </w:rPr>
              <w:t>。</w:t>
            </w:r>
          </w:p>
          <w:p>
            <w:pPr>
              <w:pStyle w:val="4"/>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w:t>
            </w:r>
            <w:r>
              <w:rPr>
                <w:rFonts w:hint="eastAsia" w:cs="Times New Roman"/>
                <w:b/>
                <w:bCs/>
                <w:color w:val="auto"/>
                <w:sz w:val="21"/>
                <w:szCs w:val="21"/>
                <w:highlight w:val="none"/>
                <w:lang w:val="en-US" w:eastAsia="zh-CN"/>
              </w:rPr>
              <w:t>4</w:t>
            </w:r>
            <w:r>
              <w:rPr>
                <w:rFonts w:hint="eastAsia" w:ascii="Times New Roman" w:hAnsi="Times New Roman" w:eastAsia="宋体" w:cs="Times New Roman"/>
                <w:b/>
                <w:bCs/>
                <w:color w:val="auto"/>
                <w:sz w:val="21"/>
                <w:szCs w:val="21"/>
                <w:highlight w:val="none"/>
                <w:lang w:val="en-US" w:eastAsia="zh-CN"/>
              </w:rPr>
              <w:t>生物质燃料主要参数指标一览表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3060"/>
              <w:gridCol w:w="1989"/>
              <w:gridCol w:w="2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pct"/>
                  <w:shd w:val="clear" w:color="auto" w:fill="auto"/>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序号</w:t>
                  </w:r>
                </w:p>
              </w:tc>
              <w:tc>
                <w:tcPr>
                  <w:tcW w:w="1743" w:type="pct"/>
                  <w:shd w:val="clear" w:color="auto" w:fill="auto"/>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项目</w:t>
                  </w:r>
                </w:p>
              </w:tc>
              <w:tc>
                <w:tcPr>
                  <w:tcW w:w="1133" w:type="pct"/>
                  <w:shd w:val="clear" w:color="auto" w:fill="auto"/>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单位</w:t>
                  </w:r>
                </w:p>
              </w:tc>
              <w:tc>
                <w:tcPr>
                  <w:tcW w:w="1582" w:type="pct"/>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生物质颗粒监测值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pct"/>
                  <w:shd w:val="clear" w:color="auto" w:fill="auto"/>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w:t>
                  </w:r>
                </w:p>
              </w:tc>
              <w:tc>
                <w:tcPr>
                  <w:tcW w:w="1743" w:type="pct"/>
                  <w:shd w:val="clear" w:color="auto" w:fill="auto"/>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空气干燥基水份</w:t>
                  </w:r>
                </w:p>
              </w:tc>
              <w:tc>
                <w:tcPr>
                  <w:tcW w:w="1133" w:type="pct"/>
                  <w:shd w:val="clear" w:color="auto" w:fill="auto"/>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w:t>
                  </w:r>
                </w:p>
              </w:tc>
              <w:tc>
                <w:tcPr>
                  <w:tcW w:w="1582" w:type="pct"/>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pct"/>
                  <w:shd w:val="clear" w:color="auto" w:fill="auto"/>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w:t>
                  </w:r>
                </w:p>
              </w:tc>
              <w:tc>
                <w:tcPr>
                  <w:tcW w:w="1743" w:type="pct"/>
                  <w:shd w:val="clear" w:color="auto" w:fill="auto"/>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空气干燥基挥发份</w:t>
                  </w:r>
                </w:p>
              </w:tc>
              <w:tc>
                <w:tcPr>
                  <w:tcW w:w="1133" w:type="pct"/>
                  <w:shd w:val="clear" w:color="auto" w:fill="auto"/>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w:t>
                  </w:r>
                </w:p>
              </w:tc>
              <w:tc>
                <w:tcPr>
                  <w:tcW w:w="1582" w:type="pct"/>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76.59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pct"/>
                  <w:shd w:val="clear" w:color="auto" w:fill="auto"/>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3</w:t>
                  </w:r>
                </w:p>
              </w:tc>
              <w:tc>
                <w:tcPr>
                  <w:tcW w:w="1743" w:type="pct"/>
                  <w:shd w:val="clear" w:color="auto" w:fill="auto"/>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空气干燥基灰份</w:t>
                  </w:r>
                </w:p>
              </w:tc>
              <w:tc>
                <w:tcPr>
                  <w:tcW w:w="1133" w:type="pct"/>
                  <w:shd w:val="clear" w:color="auto" w:fill="auto"/>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w:t>
                  </w:r>
                </w:p>
              </w:tc>
              <w:tc>
                <w:tcPr>
                  <w:tcW w:w="1582" w:type="pct"/>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pct"/>
                  <w:shd w:val="clear" w:color="auto" w:fill="auto"/>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4</w:t>
                  </w:r>
                </w:p>
              </w:tc>
              <w:tc>
                <w:tcPr>
                  <w:tcW w:w="1743" w:type="pct"/>
                  <w:shd w:val="clear" w:color="auto" w:fill="auto"/>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收到基水份</w:t>
                  </w:r>
                </w:p>
              </w:tc>
              <w:tc>
                <w:tcPr>
                  <w:tcW w:w="1133" w:type="pct"/>
                  <w:shd w:val="clear" w:color="auto" w:fill="auto"/>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w:t>
                  </w:r>
                </w:p>
              </w:tc>
              <w:tc>
                <w:tcPr>
                  <w:tcW w:w="1582" w:type="pct"/>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pct"/>
                  <w:shd w:val="clear" w:color="auto" w:fill="auto"/>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5</w:t>
                  </w:r>
                </w:p>
              </w:tc>
              <w:tc>
                <w:tcPr>
                  <w:tcW w:w="1743" w:type="pct"/>
                  <w:shd w:val="clear" w:color="auto" w:fill="auto"/>
                  <w:vAlign w:val="center"/>
                </w:tcPr>
                <w:p>
                  <w:pPr>
                    <w:pStyle w:val="25"/>
                    <w:bidi w:val="0"/>
                    <w:ind w:left="0" w:leftChars="0" w:firstLine="0" w:firstLineChars="0"/>
                    <w:jc w:val="center"/>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rPr>
                    <w:t>空气干燥基</w:t>
                  </w:r>
                  <w:r>
                    <w:rPr>
                      <w:rFonts w:hint="eastAsia" w:cs="Times New Roman"/>
                      <w:color w:val="auto"/>
                      <w:highlight w:val="none"/>
                      <w:lang w:val="en-US" w:eastAsia="zh-CN"/>
                    </w:rPr>
                    <w:t>高</w:t>
                  </w:r>
                  <w:r>
                    <w:rPr>
                      <w:rFonts w:hint="eastAsia" w:ascii="Times New Roman" w:hAnsi="Times New Roman" w:eastAsia="宋体" w:cs="Times New Roman"/>
                      <w:color w:val="auto"/>
                      <w:highlight w:val="none"/>
                    </w:rPr>
                    <w:t>位发热量Q</w:t>
                  </w:r>
                  <w:r>
                    <w:rPr>
                      <w:rFonts w:hint="eastAsia" w:cs="Times New Roman"/>
                      <w:color w:val="auto"/>
                      <w:highlight w:val="none"/>
                      <w:lang w:val="en-US" w:eastAsia="zh-CN"/>
                    </w:rPr>
                    <w:t>gr,v,</w:t>
                  </w:r>
                  <w:r>
                    <w:rPr>
                      <w:rFonts w:hint="eastAsia" w:ascii="Times New Roman" w:hAnsi="Times New Roman" w:eastAsia="宋体" w:cs="Times New Roman"/>
                      <w:color w:val="auto"/>
                      <w:highlight w:val="none"/>
                    </w:rPr>
                    <w:t>a</w:t>
                  </w:r>
                  <w:r>
                    <w:rPr>
                      <w:rFonts w:hint="eastAsia" w:cs="Times New Roman"/>
                      <w:color w:val="auto"/>
                      <w:highlight w:val="none"/>
                      <w:lang w:val="en-US" w:eastAsia="zh-CN"/>
                    </w:rPr>
                    <w:t>d</w:t>
                  </w:r>
                </w:p>
              </w:tc>
              <w:tc>
                <w:tcPr>
                  <w:tcW w:w="1133" w:type="pct"/>
                  <w:shd w:val="clear" w:color="auto" w:fill="auto"/>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MJ/kg</w:t>
                  </w:r>
                </w:p>
              </w:tc>
              <w:tc>
                <w:tcPr>
                  <w:tcW w:w="1582" w:type="pct"/>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19.709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pct"/>
                  <w:shd w:val="clear" w:color="auto" w:fill="auto"/>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6</w:t>
                  </w:r>
                </w:p>
              </w:tc>
              <w:tc>
                <w:tcPr>
                  <w:tcW w:w="1743" w:type="pct"/>
                  <w:shd w:val="clear" w:color="auto" w:fill="auto"/>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收到基低位发热值Qnet,</w:t>
                  </w:r>
                  <w:r>
                    <w:rPr>
                      <w:rFonts w:hint="eastAsia" w:cs="Times New Roman"/>
                      <w:color w:val="auto"/>
                      <w:highlight w:val="none"/>
                      <w:lang w:val="en-US" w:eastAsia="zh-CN"/>
                    </w:rPr>
                    <w:t>p,</w:t>
                  </w:r>
                  <w:r>
                    <w:rPr>
                      <w:rFonts w:hint="eastAsia" w:ascii="Times New Roman" w:hAnsi="Times New Roman" w:eastAsia="宋体" w:cs="Times New Roman"/>
                      <w:color w:val="auto"/>
                      <w:highlight w:val="none"/>
                    </w:rPr>
                    <w:t>ar</w:t>
                  </w:r>
                </w:p>
              </w:tc>
              <w:tc>
                <w:tcPr>
                  <w:tcW w:w="1133" w:type="pct"/>
                  <w:shd w:val="clear" w:color="auto" w:fill="auto"/>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MJ/kg</w:t>
                  </w:r>
                </w:p>
              </w:tc>
              <w:tc>
                <w:tcPr>
                  <w:tcW w:w="1582" w:type="pct"/>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17.108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pct"/>
                  <w:shd w:val="clear" w:color="auto" w:fill="auto"/>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7</w:t>
                  </w:r>
                </w:p>
              </w:tc>
              <w:tc>
                <w:tcPr>
                  <w:tcW w:w="1743" w:type="pct"/>
                  <w:shd w:val="clear" w:color="auto" w:fill="auto"/>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空气干燥基全硫</w:t>
                  </w:r>
                </w:p>
              </w:tc>
              <w:tc>
                <w:tcPr>
                  <w:tcW w:w="1133" w:type="pct"/>
                  <w:shd w:val="clear" w:color="auto" w:fill="auto"/>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w:t>
                  </w:r>
                </w:p>
              </w:tc>
              <w:tc>
                <w:tcPr>
                  <w:tcW w:w="1582" w:type="pct"/>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pct"/>
                  <w:shd w:val="clear" w:color="auto" w:fill="auto"/>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8</w:t>
                  </w:r>
                </w:p>
              </w:tc>
              <w:tc>
                <w:tcPr>
                  <w:tcW w:w="1743" w:type="pct"/>
                  <w:shd w:val="clear" w:color="auto" w:fill="auto"/>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空气干燥基固定碳</w:t>
                  </w:r>
                </w:p>
              </w:tc>
              <w:tc>
                <w:tcPr>
                  <w:tcW w:w="1133" w:type="pct"/>
                  <w:shd w:val="clear" w:color="auto" w:fill="auto"/>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w:t>
                  </w:r>
                </w:p>
              </w:tc>
              <w:tc>
                <w:tcPr>
                  <w:tcW w:w="1582" w:type="pct"/>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shd w:val="clear" w:color="auto" w:fill="auto"/>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注：1MJ/kg=239.14kcal/kg</w:t>
                  </w:r>
                </w:p>
              </w:tc>
            </w:tr>
          </w:tbl>
          <w:p>
            <w:pPr>
              <w:keepNext w:val="0"/>
              <w:keepLines w:val="0"/>
              <w:pageBreakBefore w:val="0"/>
              <w:widowControl w:val="0"/>
              <w:kinsoku/>
              <w:wordWrap/>
              <w:overflowPunct/>
              <w:topLinePunct w:val="0"/>
              <w:autoSpaceDE/>
              <w:autoSpaceDN/>
              <w:bidi w:val="0"/>
              <w:adjustRightInd w:val="0"/>
              <w:snapToGrid/>
              <w:spacing w:line="360" w:lineRule="auto"/>
              <w:ind w:firstLine="481" w:firstLineChars="200"/>
              <w:jc w:val="left"/>
              <w:textAlignment w:val="auto"/>
              <w:rPr>
                <w:rFonts w:hint="eastAsia" w:ascii="Times New Roman" w:hAnsi="Times New Roman" w:eastAsia="宋体" w:cs="Times New Roman"/>
                <w:b/>
                <w:bCs/>
                <w:color w:val="auto"/>
                <w:sz w:val="24"/>
                <w:highlight w:val="none"/>
              </w:rPr>
            </w:pPr>
            <w:r>
              <w:rPr>
                <w:rFonts w:hint="eastAsia" w:cs="Times New Roman"/>
                <w:b/>
                <w:bCs/>
                <w:color w:val="auto"/>
                <w:sz w:val="24"/>
                <w:highlight w:val="none"/>
                <w:lang w:val="en-US" w:eastAsia="zh-CN"/>
              </w:rPr>
              <w:t>6</w:t>
            </w:r>
            <w:r>
              <w:rPr>
                <w:rFonts w:hint="eastAsia" w:ascii="Times New Roman" w:hAnsi="Times New Roman" w:eastAsia="宋体" w:cs="Times New Roman"/>
                <w:b/>
                <w:bCs/>
                <w:color w:val="auto"/>
                <w:sz w:val="24"/>
                <w:highlight w:val="none"/>
              </w:rPr>
              <w:t>、项目产品方案</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项目产品方案详见表2-</w:t>
            </w:r>
            <w:r>
              <w:rPr>
                <w:rFonts w:hint="eastAsia" w:cs="Times New Roman"/>
                <w:color w:val="auto"/>
                <w:sz w:val="24"/>
                <w:highlight w:val="none"/>
                <w:lang w:val="en-US" w:eastAsia="zh-CN"/>
              </w:rPr>
              <w:t>5</w:t>
            </w:r>
            <w:r>
              <w:rPr>
                <w:rFonts w:hint="eastAsia" w:ascii="Times New Roman" w:hAnsi="Times New Roman" w:eastAsia="宋体" w:cs="Times New Roman"/>
                <w:color w:val="auto"/>
                <w:sz w:val="24"/>
                <w:highlight w:val="none"/>
              </w:rPr>
              <w:t>。</w:t>
            </w:r>
          </w:p>
          <w:p>
            <w:pPr>
              <w:pStyle w:val="4"/>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w:t>
            </w:r>
            <w:r>
              <w:rPr>
                <w:rFonts w:hint="eastAsia" w:cs="Times New Roman"/>
                <w:b/>
                <w:bCs/>
                <w:color w:val="auto"/>
                <w:sz w:val="21"/>
                <w:szCs w:val="21"/>
                <w:highlight w:val="none"/>
                <w:lang w:val="en-US" w:eastAsia="zh-CN"/>
              </w:rPr>
              <w:t>5</w:t>
            </w:r>
            <w:r>
              <w:rPr>
                <w:rFonts w:hint="eastAsia" w:ascii="Times New Roman" w:hAnsi="Times New Roman" w:eastAsia="宋体" w:cs="Times New Roman"/>
                <w:b/>
                <w:bCs/>
                <w:color w:val="auto"/>
                <w:sz w:val="21"/>
                <w:szCs w:val="21"/>
                <w:highlight w:val="none"/>
                <w:lang w:val="en-US" w:eastAsia="zh-CN"/>
              </w:rPr>
              <w:t>项目产品方案</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2793"/>
              <w:gridCol w:w="1466"/>
              <w:gridCol w:w="3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7" w:type="pct"/>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序号</w:t>
                  </w:r>
                </w:p>
              </w:tc>
              <w:tc>
                <w:tcPr>
                  <w:tcW w:w="1591" w:type="pct"/>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供热点</w:t>
                  </w:r>
                </w:p>
              </w:tc>
              <w:tc>
                <w:tcPr>
                  <w:tcW w:w="835" w:type="pct"/>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单位</w:t>
                  </w:r>
                </w:p>
              </w:tc>
              <w:tc>
                <w:tcPr>
                  <w:tcW w:w="1806" w:type="pct"/>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供汽量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7" w:type="pct"/>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w:t>
                  </w:r>
                </w:p>
              </w:tc>
              <w:tc>
                <w:tcPr>
                  <w:tcW w:w="1591" w:type="pct"/>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海大供热点</w:t>
                  </w:r>
                </w:p>
              </w:tc>
              <w:tc>
                <w:tcPr>
                  <w:tcW w:w="835" w:type="pct"/>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t/a</w:t>
                  </w:r>
                </w:p>
              </w:tc>
              <w:tc>
                <w:tcPr>
                  <w:tcW w:w="1806" w:type="pct"/>
                  <w:vAlign w:val="center"/>
                </w:tcPr>
                <w:p>
                  <w:pPr>
                    <w:pStyle w:val="25"/>
                    <w:bidi w:val="0"/>
                    <w:ind w:left="0" w:leftChars="0" w:firstLine="0" w:firstLineChars="0"/>
                    <w:jc w:val="center"/>
                    <w:rPr>
                      <w:rFonts w:hint="default" w:ascii="Times New Roman" w:hAnsi="Times New Roman" w:eastAsia="宋体" w:cs="Times New Roman"/>
                      <w:b w:val="0"/>
                      <w:bCs w:val="0"/>
                      <w:color w:val="auto"/>
                      <w:highlight w:val="none"/>
                      <w:lang w:val="en-US" w:eastAsia="zh-CN"/>
                    </w:rPr>
                  </w:pPr>
                  <w:r>
                    <w:rPr>
                      <w:rFonts w:hint="eastAsia" w:cs="Times New Roman"/>
                      <w:b w:val="0"/>
                      <w:bCs w:val="0"/>
                      <w:color w:val="auto"/>
                      <w:highlight w:val="none"/>
                      <w:lang w:val="en-US" w:eastAsia="zh-CN"/>
                    </w:rPr>
                    <w:t>198000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7" w:type="pct"/>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w:t>
                  </w:r>
                </w:p>
              </w:tc>
              <w:tc>
                <w:tcPr>
                  <w:tcW w:w="1591" w:type="pct"/>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特驱供热点</w:t>
                  </w:r>
                </w:p>
              </w:tc>
              <w:tc>
                <w:tcPr>
                  <w:tcW w:w="835" w:type="pct"/>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t/a</w:t>
                  </w:r>
                </w:p>
              </w:tc>
              <w:tc>
                <w:tcPr>
                  <w:tcW w:w="1806" w:type="pct"/>
                  <w:vAlign w:val="center"/>
                </w:tcPr>
                <w:p>
                  <w:pPr>
                    <w:pStyle w:val="25"/>
                    <w:bidi w:val="0"/>
                    <w:ind w:left="0" w:leftChars="0" w:firstLine="0" w:firstLineChars="0"/>
                    <w:jc w:val="center"/>
                    <w:rPr>
                      <w:rFonts w:hint="default" w:ascii="Times New Roman" w:hAnsi="Times New Roman" w:eastAsia="宋体" w:cs="Times New Roman"/>
                      <w:b w:val="0"/>
                      <w:bCs w:val="0"/>
                      <w:color w:val="auto"/>
                      <w:highlight w:val="none"/>
                      <w:lang w:val="en-US" w:eastAsia="zh-CN"/>
                    </w:rPr>
                  </w:pPr>
                  <w:r>
                    <w:rPr>
                      <w:rFonts w:hint="eastAsia" w:cs="Times New Roman"/>
                      <w:b w:val="0"/>
                      <w:bCs w:val="0"/>
                      <w:color w:val="auto"/>
                      <w:highlight w:val="none"/>
                      <w:lang w:val="en-US" w:eastAsia="zh-CN"/>
                    </w:rPr>
                    <w:t>205920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67" w:type="pct"/>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3</w:t>
                  </w:r>
                </w:p>
              </w:tc>
              <w:tc>
                <w:tcPr>
                  <w:tcW w:w="1591" w:type="pct"/>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漓源供热点</w:t>
                  </w:r>
                </w:p>
              </w:tc>
              <w:tc>
                <w:tcPr>
                  <w:tcW w:w="835" w:type="pct"/>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t/a</w:t>
                  </w:r>
                </w:p>
              </w:tc>
              <w:tc>
                <w:tcPr>
                  <w:tcW w:w="1806" w:type="pct"/>
                  <w:vAlign w:val="center"/>
                </w:tcPr>
                <w:p>
                  <w:pPr>
                    <w:pStyle w:val="25"/>
                    <w:bidi w:val="0"/>
                    <w:ind w:left="0" w:leftChars="0" w:firstLine="0" w:firstLineChars="0"/>
                    <w:jc w:val="center"/>
                    <w:rPr>
                      <w:rFonts w:hint="default" w:ascii="Times New Roman" w:hAnsi="Times New Roman" w:eastAsia="宋体" w:cs="Times New Roman"/>
                      <w:b w:val="0"/>
                      <w:bCs w:val="0"/>
                      <w:color w:val="auto"/>
                      <w:highlight w:val="none"/>
                      <w:lang w:val="en-US" w:eastAsia="zh-CN"/>
                    </w:rPr>
                  </w:pPr>
                  <w:r>
                    <w:rPr>
                      <w:rFonts w:hint="eastAsia" w:cs="Times New Roman"/>
                      <w:b w:val="0"/>
                      <w:bCs w:val="0"/>
                      <w:color w:val="auto"/>
                      <w:highlight w:val="none"/>
                      <w:lang w:val="en-US" w:eastAsia="zh-CN"/>
                    </w:rPr>
                    <w:t>15840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58" w:type="pct"/>
                  <w:gridSpan w:val="2"/>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合计</w:t>
                  </w:r>
                </w:p>
              </w:tc>
              <w:tc>
                <w:tcPr>
                  <w:tcW w:w="835" w:type="pct"/>
                  <w:vAlign w:val="center"/>
                </w:tcPr>
                <w:p>
                  <w:pPr>
                    <w:pStyle w:val="25"/>
                    <w:bidi w:val="0"/>
                    <w:ind w:left="0" w:leftChars="0"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t/a</w:t>
                  </w:r>
                </w:p>
              </w:tc>
              <w:tc>
                <w:tcPr>
                  <w:tcW w:w="1806" w:type="pct"/>
                  <w:vAlign w:val="center"/>
                </w:tcPr>
                <w:p>
                  <w:pPr>
                    <w:pStyle w:val="25"/>
                    <w:bidi w:val="0"/>
                    <w:ind w:left="0" w:leftChars="0" w:firstLine="0" w:firstLineChars="0"/>
                    <w:jc w:val="center"/>
                    <w:rPr>
                      <w:rFonts w:hint="default" w:ascii="Times New Roman" w:hAnsi="Times New Roman" w:eastAsia="宋体" w:cs="Times New Roman"/>
                      <w:b w:val="0"/>
                      <w:bCs w:val="0"/>
                      <w:color w:val="auto"/>
                      <w:highlight w:val="none"/>
                      <w:lang w:val="en-US" w:eastAsia="zh-CN"/>
                    </w:rPr>
                  </w:pPr>
                  <w:r>
                    <w:rPr>
                      <w:rFonts w:hint="eastAsia" w:cs="Times New Roman"/>
                      <w:b w:val="0"/>
                      <w:bCs w:val="0"/>
                      <w:color w:val="auto"/>
                      <w:highlight w:val="none"/>
                      <w:lang w:val="en-US" w:eastAsia="zh-CN"/>
                    </w:rPr>
                    <w:t>419760</w:t>
                  </w:r>
                </w:p>
              </w:tc>
            </w:tr>
          </w:tbl>
          <w:p>
            <w:pPr>
              <w:keepNext w:val="0"/>
              <w:keepLines w:val="0"/>
              <w:pageBreakBefore w:val="0"/>
              <w:widowControl w:val="0"/>
              <w:kinsoku/>
              <w:wordWrap/>
              <w:overflowPunct/>
              <w:topLinePunct w:val="0"/>
              <w:autoSpaceDE/>
              <w:autoSpaceDN/>
              <w:bidi w:val="0"/>
              <w:adjustRightInd w:val="0"/>
              <w:snapToGrid/>
              <w:spacing w:line="360" w:lineRule="auto"/>
              <w:ind w:firstLine="481" w:firstLineChars="200"/>
              <w:jc w:val="left"/>
              <w:textAlignment w:val="auto"/>
              <w:rPr>
                <w:rFonts w:hint="eastAsia" w:ascii="Times New Roman" w:hAnsi="Times New Roman" w:eastAsia="宋体" w:cs="Times New Roman"/>
                <w:b/>
                <w:bCs/>
                <w:color w:val="auto"/>
                <w:sz w:val="24"/>
                <w:highlight w:val="none"/>
              </w:rPr>
            </w:pPr>
            <w:r>
              <w:rPr>
                <w:rFonts w:hint="eastAsia" w:cs="Times New Roman"/>
                <w:b/>
                <w:bCs/>
                <w:color w:val="auto"/>
                <w:sz w:val="24"/>
                <w:highlight w:val="none"/>
                <w:lang w:val="en-US" w:eastAsia="zh-CN"/>
              </w:rPr>
              <w:t>7</w:t>
            </w:r>
            <w:r>
              <w:rPr>
                <w:rFonts w:hint="eastAsia" w:ascii="Times New Roman" w:hAnsi="Times New Roman" w:eastAsia="宋体" w:cs="Times New Roman"/>
                <w:b/>
                <w:bCs/>
                <w:color w:val="auto"/>
                <w:sz w:val="24"/>
                <w:highlight w:val="none"/>
              </w:rPr>
              <w:t>、项目供汽方案</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项目供热点供汽方案见表2-</w:t>
            </w:r>
            <w:r>
              <w:rPr>
                <w:rFonts w:hint="eastAsia" w:cs="Times New Roman"/>
                <w:color w:val="auto"/>
                <w:sz w:val="24"/>
                <w:highlight w:val="none"/>
                <w:lang w:val="en-US" w:eastAsia="zh-CN"/>
              </w:rPr>
              <w:t>6</w:t>
            </w:r>
            <w:r>
              <w:rPr>
                <w:rFonts w:hint="eastAsia" w:ascii="Times New Roman" w:hAnsi="Times New Roman" w:eastAsia="宋体" w:cs="Times New Roman"/>
                <w:color w:val="auto"/>
                <w:sz w:val="24"/>
                <w:highlight w:val="none"/>
              </w:rPr>
              <w:t>。</w:t>
            </w:r>
          </w:p>
          <w:p>
            <w:pPr>
              <w:pStyle w:val="4"/>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w:t>
            </w:r>
            <w:r>
              <w:rPr>
                <w:rFonts w:hint="eastAsia" w:cs="Times New Roman"/>
                <w:b/>
                <w:bCs/>
                <w:color w:val="auto"/>
                <w:sz w:val="21"/>
                <w:szCs w:val="21"/>
                <w:highlight w:val="none"/>
                <w:lang w:val="en-US" w:eastAsia="zh-CN"/>
              </w:rPr>
              <w:t>6</w:t>
            </w:r>
            <w:r>
              <w:rPr>
                <w:rFonts w:hint="eastAsia" w:ascii="Times New Roman" w:hAnsi="Times New Roman" w:eastAsia="宋体" w:cs="Times New Roman"/>
                <w:b/>
                <w:bCs/>
                <w:color w:val="auto"/>
                <w:sz w:val="21"/>
                <w:szCs w:val="21"/>
                <w:highlight w:val="none"/>
                <w:lang w:val="en-US" w:eastAsia="zh-CN"/>
              </w:rPr>
              <w:t>项目供汽方案一览表</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568"/>
              <w:gridCol w:w="1009"/>
              <w:gridCol w:w="3959"/>
              <w:gridCol w:w="1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8" w:type="pct"/>
                  <w:vAlign w:val="center"/>
                </w:tcPr>
                <w:p>
                  <w:pPr>
                    <w:pStyle w:val="25"/>
                    <w:ind w:left="0" w:leftChars="0" w:firstLine="0" w:firstLineChars="0"/>
                    <w:jc w:val="center"/>
                    <w:rPr>
                      <w:rFonts w:cs="Times New Roman"/>
                      <w:color w:val="auto"/>
                      <w:highlight w:val="none"/>
                    </w:rPr>
                  </w:pPr>
                  <w:r>
                    <w:rPr>
                      <w:rFonts w:hint="eastAsia" w:cs="Times New Roman"/>
                      <w:color w:val="auto"/>
                      <w:highlight w:val="none"/>
                    </w:rPr>
                    <w:t>供热点</w:t>
                  </w:r>
                </w:p>
              </w:tc>
              <w:tc>
                <w:tcPr>
                  <w:tcW w:w="893" w:type="pct"/>
                  <w:vAlign w:val="center"/>
                </w:tcPr>
                <w:p>
                  <w:pPr>
                    <w:pStyle w:val="25"/>
                    <w:ind w:left="0" w:leftChars="0" w:firstLine="0" w:firstLineChars="0"/>
                    <w:jc w:val="center"/>
                    <w:rPr>
                      <w:rFonts w:cs="Times New Roman"/>
                      <w:color w:val="auto"/>
                      <w:highlight w:val="none"/>
                    </w:rPr>
                  </w:pPr>
                  <w:r>
                    <w:rPr>
                      <w:rFonts w:hint="eastAsia" w:cs="Times New Roman"/>
                      <w:color w:val="auto"/>
                      <w:highlight w:val="none"/>
                    </w:rPr>
                    <w:t>用汽企业名称</w:t>
                  </w:r>
                </w:p>
              </w:tc>
              <w:tc>
                <w:tcPr>
                  <w:tcW w:w="575" w:type="pct"/>
                  <w:vAlign w:val="center"/>
                </w:tcPr>
                <w:p>
                  <w:pPr>
                    <w:pStyle w:val="25"/>
                    <w:ind w:left="0" w:leftChars="0" w:firstLine="0" w:firstLineChars="0"/>
                    <w:jc w:val="center"/>
                    <w:rPr>
                      <w:rFonts w:cs="Times New Roman"/>
                      <w:color w:val="auto"/>
                      <w:highlight w:val="none"/>
                    </w:rPr>
                  </w:pPr>
                  <w:r>
                    <w:rPr>
                      <w:rFonts w:hint="eastAsia" w:cs="Times New Roman"/>
                      <w:color w:val="auto"/>
                      <w:highlight w:val="none"/>
                    </w:rPr>
                    <w:t>供汽量（t/a）</w:t>
                  </w:r>
                </w:p>
              </w:tc>
              <w:tc>
                <w:tcPr>
                  <w:tcW w:w="2256" w:type="pct"/>
                  <w:vAlign w:val="center"/>
                </w:tcPr>
                <w:p>
                  <w:pPr>
                    <w:pStyle w:val="25"/>
                    <w:ind w:left="0" w:leftChars="0" w:firstLine="0" w:firstLineChars="0"/>
                    <w:jc w:val="center"/>
                    <w:rPr>
                      <w:rFonts w:cs="Times New Roman"/>
                      <w:color w:val="auto"/>
                      <w:highlight w:val="none"/>
                    </w:rPr>
                  </w:pPr>
                  <w:r>
                    <w:rPr>
                      <w:rFonts w:hint="eastAsia" w:cs="Times New Roman"/>
                      <w:color w:val="auto"/>
                      <w:highlight w:val="none"/>
                    </w:rPr>
                    <w:t>用汽企业锅炉现状</w:t>
                  </w:r>
                </w:p>
              </w:tc>
              <w:tc>
                <w:tcPr>
                  <w:tcW w:w="845" w:type="pct"/>
                  <w:vAlign w:val="center"/>
                </w:tcPr>
                <w:p>
                  <w:pPr>
                    <w:pStyle w:val="25"/>
                    <w:ind w:left="0" w:leftChars="0" w:firstLine="0" w:firstLineChars="0"/>
                    <w:jc w:val="center"/>
                    <w:rPr>
                      <w:rFonts w:cs="Times New Roman"/>
                      <w:color w:val="auto"/>
                      <w:highlight w:val="none"/>
                    </w:rPr>
                  </w:pPr>
                  <w:r>
                    <w:rPr>
                      <w:rFonts w:hint="eastAsia" w:cs="Times New Roman"/>
                      <w:color w:val="auto"/>
                      <w:highlight w:val="none"/>
                    </w:rPr>
                    <w:t>剩余负荷量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8" w:type="pct"/>
                  <w:vMerge w:val="restart"/>
                  <w:vAlign w:val="center"/>
                </w:tcPr>
                <w:p>
                  <w:pPr>
                    <w:pStyle w:val="25"/>
                    <w:ind w:left="0" w:leftChars="0" w:firstLine="0" w:firstLineChars="0"/>
                    <w:jc w:val="center"/>
                    <w:rPr>
                      <w:rFonts w:cs="Times New Roman"/>
                      <w:color w:val="auto"/>
                      <w:highlight w:val="none"/>
                    </w:rPr>
                  </w:pPr>
                  <w:r>
                    <w:rPr>
                      <w:rFonts w:hint="eastAsia" w:cs="Times New Roman"/>
                      <w:color w:val="auto"/>
                      <w:highlight w:val="none"/>
                    </w:rPr>
                    <w:t>海大供热点</w:t>
                  </w:r>
                </w:p>
              </w:tc>
              <w:tc>
                <w:tcPr>
                  <w:tcW w:w="893" w:type="pct"/>
                  <w:vAlign w:val="center"/>
                </w:tcPr>
                <w:p>
                  <w:pPr>
                    <w:pStyle w:val="25"/>
                    <w:ind w:left="0" w:leftChars="0" w:firstLine="0" w:firstLineChars="0"/>
                    <w:jc w:val="center"/>
                    <w:rPr>
                      <w:rFonts w:cs="Times New Roman"/>
                      <w:color w:val="auto"/>
                      <w:highlight w:val="none"/>
                    </w:rPr>
                  </w:pPr>
                  <w:r>
                    <w:rPr>
                      <w:rFonts w:hint="eastAsia" w:cs="Times New Roman"/>
                      <w:color w:val="auto"/>
                      <w:highlight w:val="none"/>
                    </w:rPr>
                    <w:t>云南海大生物科技有限公司</w:t>
                  </w:r>
                </w:p>
              </w:tc>
              <w:tc>
                <w:tcPr>
                  <w:tcW w:w="1009" w:type="dxa"/>
                  <w:vAlign w:val="center"/>
                </w:tcPr>
                <w:p>
                  <w:pPr>
                    <w:pStyle w:val="25"/>
                    <w:ind w:left="0" w:leftChars="0" w:firstLine="0" w:firstLineChars="0"/>
                    <w:jc w:val="center"/>
                    <w:rPr>
                      <w:rFonts w:hint="eastAsia"/>
                      <w:color w:val="auto"/>
                      <w:highlight w:val="none"/>
                    </w:rPr>
                  </w:pPr>
                  <w:r>
                    <w:rPr>
                      <w:rFonts w:hint="default"/>
                      <w:color w:val="auto"/>
                      <w:highlight w:val="none"/>
                      <w:lang w:val="en-US" w:eastAsia="zh-CN"/>
                    </w:rPr>
                    <w:t>79200</w:t>
                  </w:r>
                </w:p>
              </w:tc>
              <w:tc>
                <w:tcPr>
                  <w:tcW w:w="2256" w:type="pct"/>
                  <w:vAlign w:val="center"/>
                </w:tcPr>
                <w:p>
                  <w:pPr>
                    <w:pStyle w:val="25"/>
                    <w:ind w:left="0" w:leftChars="0" w:firstLine="0" w:firstLineChars="0"/>
                    <w:jc w:val="center"/>
                    <w:rPr>
                      <w:rFonts w:cs="Times New Roman"/>
                      <w:color w:val="auto"/>
                      <w:highlight w:val="none"/>
                    </w:rPr>
                  </w:pPr>
                  <w:r>
                    <w:rPr>
                      <w:rFonts w:hint="eastAsia" w:cs="Times New Roman"/>
                      <w:color w:val="auto"/>
                      <w:highlight w:val="none"/>
                    </w:rPr>
                    <w:t>10t/h燃煤锅炉，需蒸汽量约79200t/a</w:t>
                  </w:r>
                </w:p>
              </w:tc>
              <w:tc>
                <w:tcPr>
                  <w:tcW w:w="845" w:type="pct"/>
                  <w:vMerge w:val="restart"/>
                  <w:vAlign w:val="center"/>
                </w:tcPr>
                <w:p>
                  <w:pPr>
                    <w:pStyle w:val="25"/>
                    <w:ind w:left="0" w:leftChars="0" w:firstLine="0" w:firstLineChars="0"/>
                    <w:jc w:val="center"/>
                    <w:rPr>
                      <w:rFonts w:cs="Times New Roman"/>
                      <w:color w:val="auto"/>
                      <w:highlight w:val="none"/>
                    </w:rPr>
                  </w:pPr>
                  <w:r>
                    <w:rPr>
                      <w:rFonts w:hint="eastAsia" w:cs="Times New Roman"/>
                      <w:color w:val="auto"/>
                      <w:highlight w:val="none"/>
                    </w:rPr>
                    <w:t>还剩余</w:t>
                  </w:r>
                  <w:r>
                    <w:rPr>
                      <w:rFonts w:hint="eastAsia" w:cs="Times New Roman"/>
                      <w:color w:val="auto"/>
                      <w:highlight w:val="none"/>
                      <w:lang w:val="en-US" w:eastAsia="zh-CN"/>
                    </w:rPr>
                    <w:t>1.7</w:t>
                  </w:r>
                  <w:r>
                    <w:rPr>
                      <w:rFonts w:hint="eastAsia" w:cs="Times New Roman"/>
                      <w:color w:val="auto"/>
                      <w:highlight w:val="none"/>
                    </w:rPr>
                    <w:t>%负荷量，后期可供应其他需求企业使用。本项目可通过调节锅炉生产负荷来控制蒸汽产量，以满足各用汽企业对蒸汽量的</w:t>
                  </w:r>
                </w:p>
                <w:p>
                  <w:pPr>
                    <w:pStyle w:val="25"/>
                    <w:ind w:left="0" w:leftChars="0" w:firstLine="0" w:firstLineChars="0"/>
                    <w:jc w:val="center"/>
                    <w:rPr>
                      <w:rFonts w:cs="Times New Roman"/>
                      <w:color w:val="auto"/>
                      <w:highlight w:val="none"/>
                    </w:rPr>
                  </w:pPr>
                  <w:r>
                    <w:rPr>
                      <w:rFonts w:hint="eastAsia" w:cs="Times New Roman"/>
                      <w:color w:val="auto"/>
                      <w:highlight w:val="none"/>
                    </w:rPr>
                    <w:t>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8" w:type="pct"/>
                  <w:vMerge w:val="continue"/>
                  <w:vAlign w:val="center"/>
                </w:tcPr>
                <w:p>
                  <w:pPr>
                    <w:pStyle w:val="25"/>
                    <w:ind w:left="0" w:leftChars="0" w:firstLine="0" w:firstLineChars="0"/>
                    <w:jc w:val="center"/>
                    <w:rPr>
                      <w:rFonts w:cs="Times New Roman"/>
                      <w:color w:val="auto"/>
                      <w:highlight w:val="none"/>
                    </w:rPr>
                  </w:pPr>
                </w:p>
              </w:tc>
              <w:tc>
                <w:tcPr>
                  <w:tcW w:w="1568" w:type="dxa"/>
                  <w:vAlign w:val="center"/>
                </w:tcPr>
                <w:p>
                  <w:pPr>
                    <w:pStyle w:val="25"/>
                    <w:ind w:left="0" w:leftChars="0" w:firstLine="0" w:firstLineChars="0"/>
                    <w:jc w:val="center"/>
                    <w:rPr>
                      <w:rFonts w:hint="eastAsia"/>
                      <w:color w:val="auto"/>
                      <w:highlight w:val="none"/>
                    </w:rPr>
                  </w:pPr>
                  <w:r>
                    <w:rPr>
                      <w:rFonts w:hint="eastAsia"/>
                      <w:color w:val="auto"/>
                      <w:highlight w:val="none"/>
                    </w:rPr>
                    <w:t>昆明滇大饲料有限公司</w:t>
                  </w:r>
                </w:p>
              </w:tc>
              <w:tc>
                <w:tcPr>
                  <w:tcW w:w="1009" w:type="dxa"/>
                  <w:vAlign w:val="center"/>
                </w:tcPr>
                <w:p>
                  <w:pPr>
                    <w:pStyle w:val="25"/>
                    <w:ind w:left="0" w:leftChars="0" w:firstLine="0" w:firstLineChars="0"/>
                    <w:jc w:val="center"/>
                    <w:rPr>
                      <w:rFonts w:hint="eastAsia"/>
                      <w:color w:val="auto"/>
                      <w:highlight w:val="none"/>
                    </w:rPr>
                  </w:pPr>
                  <w:r>
                    <w:rPr>
                      <w:rFonts w:hint="default"/>
                      <w:color w:val="auto"/>
                      <w:highlight w:val="none"/>
                      <w:lang w:val="en-US" w:eastAsia="zh-CN"/>
                    </w:rPr>
                    <w:t>19800</w:t>
                  </w:r>
                </w:p>
              </w:tc>
              <w:tc>
                <w:tcPr>
                  <w:tcW w:w="3959" w:type="dxa"/>
                  <w:vAlign w:val="center"/>
                </w:tcPr>
                <w:p>
                  <w:pPr>
                    <w:pStyle w:val="25"/>
                    <w:ind w:left="0" w:leftChars="0" w:firstLine="0" w:firstLineChars="0"/>
                    <w:jc w:val="center"/>
                    <w:rPr>
                      <w:rFonts w:hint="eastAsia" w:cs="Times New Roman"/>
                      <w:color w:val="auto"/>
                      <w:highlight w:val="none"/>
                    </w:rPr>
                  </w:pPr>
                  <w:r>
                    <w:rPr>
                      <w:color w:val="auto"/>
                      <w:highlight w:val="none"/>
                    </w:rPr>
                    <w:t>2</w:t>
                  </w:r>
                  <w:r>
                    <w:rPr>
                      <w:rFonts w:hint="eastAsia"/>
                      <w:color w:val="auto"/>
                      <w:highlight w:val="none"/>
                    </w:rPr>
                    <w:t>t/h燃煤锅炉，需蒸汽量约</w:t>
                  </w:r>
                  <w:r>
                    <w:rPr>
                      <w:color w:val="auto"/>
                      <w:highlight w:val="none"/>
                    </w:rPr>
                    <w:t>198</w:t>
                  </w:r>
                  <w:r>
                    <w:rPr>
                      <w:rFonts w:hint="eastAsia"/>
                      <w:color w:val="auto"/>
                      <w:highlight w:val="none"/>
                    </w:rPr>
                    <w:t>0</w:t>
                  </w:r>
                  <w:r>
                    <w:rPr>
                      <w:rFonts w:hint="eastAsia"/>
                      <w:color w:val="auto"/>
                      <w:highlight w:val="none"/>
                      <w:lang w:val="en-US" w:eastAsia="zh-CN"/>
                    </w:rPr>
                    <w:t>0</w:t>
                  </w:r>
                  <w:r>
                    <w:rPr>
                      <w:rFonts w:hint="eastAsia"/>
                      <w:color w:val="auto"/>
                      <w:highlight w:val="none"/>
                    </w:rPr>
                    <w:t>t/a</w:t>
                  </w:r>
                </w:p>
              </w:tc>
              <w:tc>
                <w:tcPr>
                  <w:tcW w:w="845" w:type="pct"/>
                  <w:vMerge w:val="continue"/>
                  <w:vAlign w:val="center"/>
                </w:tcPr>
                <w:p>
                  <w:pPr>
                    <w:pStyle w:val="25"/>
                    <w:ind w:left="0" w:leftChars="0" w:firstLine="0" w:firstLineChars="0"/>
                    <w:jc w:val="center"/>
                    <w:rPr>
                      <w:rFonts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8" w:type="pct"/>
                  <w:vMerge w:val="continue"/>
                  <w:vAlign w:val="center"/>
                </w:tcPr>
                <w:p>
                  <w:pPr>
                    <w:pStyle w:val="25"/>
                    <w:ind w:left="0" w:leftChars="0" w:firstLine="0" w:firstLineChars="0"/>
                    <w:jc w:val="center"/>
                    <w:rPr>
                      <w:rFonts w:cs="Times New Roman"/>
                      <w:color w:val="auto"/>
                      <w:highlight w:val="none"/>
                    </w:rPr>
                  </w:pPr>
                </w:p>
              </w:tc>
              <w:tc>
                <w:tcPr>
                  <w:tcW w:w="1568" w:type="dxa"/>
                  <w:vAlign w:val="center"/>
                </w:tcPr>
                <w:p>
                  <w:pPr>
                    <w:pStyle w:val="25"/>
                    <w:ind w:left="0" w:leftChars="0" w:firstLine="0" w:firstLineChars="0"/>
                    <w:jc w:val="center"/>
                    <w:rPr>
                      <w:rFonts w:hint="eastAsia"/>
                      <w:color w:val="auto"/>
                      <w:highlight w:val="none"/>
                    </w:rPr>
                  </w:pPr>
                  <w:r>
                    <w:rPr>
                      <w:rFonts w:hint="eastAsia"/>
                      <w:color w:val="auto"/>
                      <w:highlight w:val="none"/>
                    </w:rPr>
                    <w:t>昆明通威饲料有限公司</w:t>
                  </w:r>
                </w:p>
              </w:tc>
              <w:tc>
                <w:tcPr>
                  <w:tcW w:w="1009" w:type="dxa"/>
                  <w:vAlign w:val="center"/>
                </w:tcPr>
                <w:p>
                  <w:pPr>
                    <w:pStyle w:val="25"/>
                    <w:ind w:left="0" w:leftChars="0" w:firstLine="0" w:firstLineChars="0"/>
                    <w:jc w:val="center"/>
                    <w:rPr>
                      <w:rFonts w:hint="eastAsia"/>
                      <w:color w:val="auto"/>
                      <w:highlight w:val="none"/>
                    </w:rPr>
                  </w:pPr>
                  <w:r>
                    <w:rPr>
                      <w:rFonts w:hint="default"/>
                      <w:color w:val="auto"/>
                      <w:highlight w:val="none"/>
                      <w:lang w:val="en-US" w:eastAsia="zh-CN"/>
                    </w:rPr>
                    <w:t>19800</w:t>
                  </w:r>
                </w:p>
              </w:tc>
              <w:tc>
                <w:tcPr>
                  <w:tcW w:w="3959" w:type="dxa"/>
                  <w:vAlign w:val="center"/>
                </w:tcPr>
                <w:p>
                  <w:pPr>
                    <w:pStyle w:val="25"/>
                    <w:ind w:left="0" w:leftChars="0" w:firstLine="0" w:firstLineChars="0"/>
                    <w:jc w:val="center"/>
                    <w:rPr>
                      <w:rFonts w:hint="eastAsia" w:cs="Times New Roman"/>
                      <w:color w:val="auto"/>
                      <w:highlight w:val="none"/>
                    </w:rPr>
                  </w:pPr>
                  <w:r>
                    <w:rPr>
                      <w:rFonts w:hint="eastAsia"/>
                      <w:color w:val="auto"/>
                      <w:highlight w:val="none"/>
                    </w:rPr>
                    <w:t>4t/h燃气锅炉，需蒸汽量约</w:t>
                  </w:r>
                  <w:r>
                    <w:rPr>
                      <w:rFonts w:hint="default" w:ascii="Times New Roman" w:hAnsi="Times New Roman" w:eastAsia="宋体" w:cs="Times New Roman"/>
                      <w:i w:val="0"/>
                      <w:iCs w:val="0"/>
                      <w:color w:val="auto"/>
                      <w:kern w:val="0"/>
                      <w:sz w:val="21"/>
                      <w:szCs w:val="21"/>
                      <w:highlight w:val="none"/>
                      <w:u w:val="none"/>
                      <w:lang w:val="en-US" w:eastAsia="zh-CN" w:bidi="ar"/>
                    </w:rPr>
                    <w:t>19800</w:t>
                  </w:r>
                  <w:r>
                    <w:rPr>
                      <w:rFonts w:hint="eastAsia"/>
                      <w:color w:val="auto"/>
                      <w:highlight w:val="none"/>
                    </w:rPr>
                    <w:t>t/a</w:t>
                  </w:r>
                </w:p>
              </w:tc>
              <w:tc>
                <w:tcPr>
                  <w:tcW w:w="845" w:type="pct"/>
                  <w:vMerge w:val="continue"/>
                  <w:vAlign w:val="center"/>
                </w:tcPr>
                <w:p>
                  <w:pPr>
                    <w:pStyle w:val="25"/>
                    <w:ind w:left="0" w:leftChars="0" w:firstLine="0" w:firstLineChars="0"/>
                    <w:jc w:val="center"/>
                    <w:rPr>
                      <w:rFonts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8" w:type="pct"/>
                  <w:vMerge w:val="continue"/>
                  <w:vAlign w:val="center"/>
                </w:tcPr>
                <w:p>
                  <w:pPr>
                    <w:pStyle w:val="25"/>
                    <w:ind w:left="0" w:leftChars="0" w:firstLine="0" w:firstLineChars="0"/>
                    <w:jc w:val="center"/>
                    <w:rPr>
                      <w:rFonts w:cs="Times New Roman"/>
                      <w:color w:val="auto"/>
                      <w:highlight w:val="none"/>
                    </w:rPr>
                  </w:pPr>
                </w:p>
              </w:tc>
              <w:tc>
                <w:tcPr>
                  <w:tcW w:w="1568" w:type="dxa"/>
                  <w:vAlign w:val="center"/>
                </w:tcPr>
                <w:p>
                  <w:pPr>
                    <w:pStyle w:val="25"/>
                    <w:ind w:left="0" w:leftChars="0" w:firstLine="0" w:firstLineChars="0"/>
                    <w:jc w:val="center"/>
                    <w:rPr>
                      <w:rFonts w:hint="eastAsia"/>
                      <w:color w:val="auto"/>
                      <w:highlight w:val="none"/>
                    </w:rPr>
                  </w:pPr>
                  <w:r>
                    <w:rPr>
                      <w:rFonts w:hint="eastAsia"/>
                      <w:color w:val="auto"/>
                      <w:highlight w:val="none"/>
                    </w:rPr>
                    <w:t>云南大北农饲料科技有限公司</w:t>
                  </w:r>
                </w:p>
              </w:tc>
              <w:tc>
                <w:tcPr>
                  <w:tcW w:w="1009" w:type="dxa"/>
                  <w:vAlign w:val="center"/>
                </w:tcPr>
                <w:p>
                  <w:pPr>
                    <w:pStyle w:val="25"/>
                    <w:ind w:left="0" w:leftChars="0" w:firstLine="0" w:firstLineChars="0"/>
                    <w:jc w:val="center"/>
                    <w:rPr>
                      <w:rFonts w:hint="eastAsia"/>
                      <w:color w:val="auto"/>
                      <w:highlight w:val="none"/>
                    </w:rPr>
                  </w:pPr>
                  <w:r>
                    <w:rPr>
                      <w:rFonts w:hint="default"/>
                      <w:color w:val="auto"/>
                      <w:highlight w:val="none"/>
                      <w:lang w:val="en-US" w:eastAsia="zh-CN"/>
                    </w:rPr>
                    <w:t>19800</w:t>
                  </w:r>
                </w:p>
              </w:tc>
              <w:tc>
                <w:tcPr>
                  <w:tcW w:w="3959" w:type="dxa"/>
                  <w:vAlign w:val="center"/>
                </w:tcPr>
                <w:p>
                  <w:pPr>
                    <w:pStyle w:val="25"/>
                    <w:ind w:left="0" w:leftChars="0" w:firstLine="0" w:firstLineChars="0"/>
                    <w:jc w:val="center"/>
                    <w:rPr>
                      <w:rFonts w:hint="eastAsia" w:cs="Times New Roman"/>
                      <w:color w:val="auto"/>
                      <w:highlight w:val="none"/>
                    </w:rPr>
                  </w:pPr>
                  <w:r>
                    <w:rPr>
                      <w:rFonts w:hint="eastAsia"/>
                      <w:color w:val="auto"/>
                      <w:highlight w:val="none"/>
                    </w:rPr>
                    <w:t>4t/h燃气锅炉，需蒸汽量约</w:t>
                  </w:r>
                  <w:r>
                    <w:rPr>
                      <w:rFonts w:hint="default" w:ascii="Times New Roman" w:hAnsi="Times New Roman" w:eastAsia="宋体" w:cs="Times New Roman"/>
                      <w:i w:val="0"/>
                      <w:iCs w:val="0"/>
                      <w:color w:val="auto"/>
                      <w:kern w:val="0"/>
                      <w:sz w:val="21"/>
                      <w:szCs w:val="21"/>
                      <w:highlight w:val="none"/>
                      <w:u w:val="none"/>
                      <w:lang w:val="en-US" w:eastAsia="zh-CN" w:bidi="ar"/>
                    </w:rPr>
                    <w:t>19800</w:t>
                  </w:r>
                  <w:r>
                    <w:rPr>
                      <w:rFonts w:hint="eastAsia"/>
                      <w:color w:val="auto"/>
                      <w:highlight w:val="none"/>
                    </w:rPr>
                    <w:t>t/a</w:t>
                  </w:r>
                </w:p>
              </w:tc>
              <w:tc>
                <w:tcPr>
                  <w:tcW w:w="845" w:type="pct"/>
                  <w:vMerge w:val="continue"/>
                  <w:vAlign w:val="center"/>
                </w:tcPr>
                <w:p>
                  <w:pPr>
                    <w:pStyle w:val="25"/>
                    <w:ind w:left="0" w:leftChars="0" w:firstLine="0" w:firstLineChars="0"/>
                    <w:jc w:val="center"/>
                    <w:rPr>
                      <w:rFonts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8" w:type="pct"/>
                  <w:vMerge w:val="continue"/>
                  <w:vAlign w:val="center"/>
                </w:tcPr>
                <w:p>
                  <w:pPr>
                    <w:pStyle w:val="25"/>
                    <w:ind w:left="0" w:leftChars="0" w:firstLine="0" w:firstLineChars="0"/>
                    <w:jc w:val="center"/>
                    <w:rPr>
                      <w:rFonts w:cs="Times New Roman"/>
                      <w:color w:val="auto"/>
                      <w:highlight w:val="none"/>
                    </w:rPr>
                  </w:pPr>
                </w:p>
              </w:tc>
              <w:tc>
                <w:tcPr>
                  <w:tcW w:w="1568" w:type="dxa"/>
                  <w:vAlign w:val="center"/>
                </w:tcPr>
                <w:p>
                  <w:pPr>
                    <w:pStyle w:val="25"/>
                    <w:ind w:left="0" w:leftChars="0" w:firstLine="0" w:firstLineChars="0"/>
                    <w:jc w:val="center"/>
                    <w:rPr>
                      <w:rFonts w:hint="eastAsia"/>
                      <w:color w:val="auto"/>
                      <w:highlight w:val="none"/>
                    </w:rPr>
                  </w:pPr>
                  <w:r>
                    <w:rPr>
                      <w:rFonts w:hint="eastAsia"/>
                      <w:color w:val="auto"/>
                      <w:highlight w:val="none"/>
                    </w:rPr>
                    <w:t>云南新希望动物营养食品有限公司</w:t>
                  </w:r>
                </w:p>
              </w:tc>
              <w:tc>
                <w:tcPr>
                  <w:tcW w:w="1009" w:type="dxa"/>
                  <w:vAlign w:val="center"/>
                </w:tcPr>
                <w:p>
                  <w:pPr>
                    <w:pStyle w:val="25"/>
                    <w:ind w:left="0" w:leftChars="0" w:firstLine="0" w:firstLineChars="0"/>
                    <w:jc w:val="center"/>
                    <w:rPr>
                      <w:rFonts w:hint="eastAsia"/>
                      <w:color w:val="auto"/>
                      <w:highlight w:val="none"/>
                    </w:rPr>
                  </w:pPr>
                  <w:r>
                    <w:rPr>
                      <w:rFonts w:hint="default"/>
                      <w:color w:val="auto"/>
                      <w:highlight w:val="none"/>
                      <w:lang w:val="en-US" w:eastAsia="zh-CN"/>
                    </w:rPr>
                    <w:t>79200</w:t>
                  </w:r>
                </w:p>
              </w:tc>
              <w:tc>
                <w:tcPr>
                  <w:tcW w:w="3959" w:type="dxa"/>
                  <w:vAlign w:val="center"/>
                </w:tcPr>
                <w:p>
                  <w:pPr>
                    <w:pStyle w:val="25"/>
                    <w:ind w:left="0" w:leftChars="0" w:firstLine="0" w:firstLineChars="0"/>
                    <w:jc w:val="center"/>
                    <w:rPr>
                      <w:rFonts w:hint="eastAsia" w:cs="Times New Roman"/>
                      <w:color w:val="auto"/>
                      <w:highlight w:val="none"/>
                    </w:rPr>
                  </w:pPr>
                  <w:r>
                    <w:rPr>
                      <w:rFonts w:hint="eastAsia"/>
                      <w:color w:val="auto"/>
                      <w:highlight w:val="none"/>
                    </w:rPr>
                    <w:t>一台4t/h燃煤锅炉</w:t>
                  </w:r>
                  <w:r>
                    <w:rPr>
                      <w:rFonts w:hint="eastAsia"/>
                      <w:color w:val="auto"/>
                      <w:highlight w:val="none"/>
                      <w:lang w:eastAsia="zh-CN"/>
                    </w:rPr>
                    <w:t>，</w:t>
                  </w:r>
                  <w:r>
                    <w:rPr>
                      <w:rFonts w:hint="eastAsia"/>
                      <w:color w:val="auto"/>
                      <w:highlight w:val="none"/>
                    </w:rPr>
                    <w:t>一台4t/h燃气锅炉，需蒸汽量约79200t/a</w:t>
                  </w:r>
                </w:p>
              </w:tc>
              <w:tc>
                <w:tcPr>
                  <w:tcW w:w="845" w:type="pct"/>
                  <w:vMerge w:val="continue"/>
                  <w:vAlign w:val="center"/>
                </w:tcPr>
                <w:p>
                  <w:pPr>
                    <w:pStyle w:val="25"/>
                    <w:ind w:left="0" w:leftChars="0" w:firstLine="0" w:firstLineChars="0"/>
                    <w:jc w:val="center"/>
                    <w:rPr>
                      <w:rFonts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8" w:type="pct"/>
                  <w:vMerge w:val="continue"/>
                  <w:vAlign w:val="center"/>
                </w:tcPr>
                <w:p>
                  <w:pPr>
                    <w:pStyle w:val="25"/>
                    <w:ind w:left="0" w:leftChars="0" w:firstLine="0" w:firstLineChars="0"/>
                    <w:jc w:val="center"/>
                    <w:rPr>
                      <w:rFonts w:cs="Times New Roman"/>
                      <w:color w:val="auto"/>
                      <w:highlight w:val="none"/>
                    </w:rPr>
                  </w:pPr>
                </w:p>
              </w:tc>
              <w:tc>
                <w:tcPr>
                  <w:tcW w:w="893" w:type="pct"/>
                  <w:vAlign w:val="center"/>
                </w:tcPr>
                <w:p>
                  <w:pPr>
                    <w:pStyle w:val="25"/>
                    <w:ind w:left="0" w:leftChars="0" w:firstLine="0" w:firstLineChars="0"/>
                    <w:jc w:val="center"/>
                    <w:rPr>
                      <w:rFonts w:cs="Times New Roman"/>
                      <w:color w:val="auto"/>
                      <w:highlight w:val="none"/>
                    </w:rPr>
                  </w:pPr>
                  <w:r>
                    <w:rPr>
                      <w:rFonts w:hint="eastAsia" w:cs="Times New Roman"/>
                      <w:color w:val="auto"/>
                      <w:highlight w:val="none"/>
                    </w:rPr>
                    <w:t>云南加大饲料有限公司</w:t>
                  </w:r>
                </w:p>
              </w:tc>
              <w:tc>
                <w:tcPr>
                  <w:tcW w:w="1009" w:type="dxa"/>
                  <w:vAlign w:val="center"/>
                </w:tcPr>
                <w:p>
                  <w:pPr>
                    <w:pStyle w:val="25"/>
                    <w:ind w:left="0" w:leftChars="0" w:firstLine="0" w:firstLineChars="0"/>
                    <w:jc w:val="center"/>
                    <w:rPr>
                      <w:rFonts w:hint="eastAsia"/>
                      <w:color w:val="auto"/>
                      <w:highlight w:val="none"/>
                    </w:rPr>
                  </w:pPr>
                  <w:r>
                    <w:rPr>
                      <w:rFonts w:hint="default"/>
                      <w:color w:val="auto"/>
                      <w:highlight w:val="none"/>
                      <w:lang w:val="en-US" w:eastAsia="zh-CN"/>
                    </w:rPr>
                    <w:t>39600</w:t>
                  </w:r>
                </w:p>
              </w:tc>
              <w:tc>
                <w:tcPr>
                  <w:tcW w:w="2256" w:type="pct"/>
                  <w:vAlign w:val="center"/>
                </w:tcPr>
                <w:p>
                  <w:pPr>
                    <w:pStyle w:val="25"/>
                    <w:ind w:left="0" w:leftChars="0" w:firstLine="0" w:firstLineChars="0"/>
                    <w:jc w:val="center"/>
                    <w:rPr>
                      <w:rFonts w:cs="Times New Roman"/>
                      <w:color w:val="auto"/>
                      <w:highlight w:val="none"/>
                    </w:rPr>
                  </w:pPr>
                  <w:r>
                    <w:rPr>
                      <w:rFonts w:hint="eastAsia" w:cs="Times New Roman"/>
                      <w:color w:val="auto"/>
                      <w:highlight w:val="none"/>
                    </w:rPr>
                    <w:t>4t/h燃煤锅炉，需蒸汽量约39600t/a</w:t>
                  </w:r>
                </w:p>
              </w:tc>
              <w:tc>
                <w:tcPr>
                  <w:tcW w:w="845" w:type="pct"/>
                  <w:vMerge w:val="continue"/>
                  <w:vAlign w:val="center"/>
                </w:tcPr>
                <w:p>
                  <w:pPr>
                    <w:pStyle w:val="25"/>
                    <w:ind w:left="0" w:leftChars="0" w:firstLine="0" w:firstLineChars="0"/>
                    <w:jc w:val="center"/>
                    <w:rPr>
                      <w:rFonts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8" w:type="pct"/>
                  <w:vMerge w:val="restart"/>
                  <w:vAlign w:val="center"/>
                </w:tcPr>
                <w:p>
                  <w:pPr>
                    <w:pStyle w:val="25"/>
                    <w:ind w:left="0" w:leftChars="0" w:firstLine="0" w:firstLineChars="0"/>
                    <w:jc w:val="center"/>
                    <w:rPr>
                      <w:rFonts w:cs="Times New Roman"/>
                      <w:color w:val="auto"/>
                      <w:highlight w:val="none"/>
                    </w:rPr>
                  </w:pPr>
                  <w:r>
                    <w:rPr>
                      <w:rFonts w:hint="eastAsia" w:cs="Times New Roman"/>
                      <w:color w:val="auto"/>
                      <w:highlight w:val="none"/>
                    </w:rPr>
                    <w:t>特驱供热点</w:t>
                  </w:r>
                </w:p>
              </w:tc>
              <w:tc>
                <w:tcPr>
                  <w:tcW w:w="893" w:type="pct"/>
                  <w:vAlign w:val="center"/>
                </w:tcPr>
                <w:p>
                  <w:pPr>
                    <w:pStyle w:val="25"/>
                    <w:ind w:left="0" w:leftChars="0" w:firstLine="0" w:firstLineChars="0"/>
                    <w:jc w:val="center"/>
                    <w:rPr>
                      <w:rFonts w:cs="Times New Roman"/>
                      <w:color w:val="auto"/>
                      <w:highlight w:val="none"/>
                    </w:rPr>
                  </w:pPr>
                  <w:r>
                    <w:rPr>
                      <w:color w:val="auto"/>
                      <w:highlight w:val="none"/>
                    </w:rPr>
                    <w:fldChar w:fldCharType="begin"/>
                  </w:r>
                  <w:r>
                    <w:rPr>
                      <w:color w:val="auto"/>
                      <w:highlight w:val="none"/>
                    </w:rPr>
                    <w:instrText xml:space="preserve"> HYPERLINK "https://aiqicha.baidu.com/detail/compinfo?pid=xlTM-TogKuTwp56dOZz546tmDwVaavKg7wmd&amp;rq=ef&amp;pd=ee&amp;from=ps" \t "_blank" </w:instrText>
                  </w:r>
                  <w:r>
                    <w:rPr>
                      <w:color w:val="auto"/>
                      <w:highlight w:val="none"/>
                    </w:rPr>
                    <w:fldChar w:fldCharType="separate"/>
                  </w:r>
                  <w:r>
                    <w:rPr>
                      <w:rFonts w:hint="eastAsia" w:cs="Times New Roman"/>
                      <w:color w:val="auto"/>
                      <w:highlight w:val="none"/>
                    </w:rPr>
                    <w:t>昆明特驱饲料有限公司</w:t>
                  </w:r>
                  <w:r>
                    <w:rPr>
                      <w:rFonts w:hint="eastAsia" w:cs="Times New Roman"/>
                      <w:color w:val="auto"/>
                      <w:highlight w:val="none"/>
                    </w:rPr>
                    <w:fldChar w:fldCharType="end"/>
                  </w:r>
                </w:p>
              </w:tc>
              <w:tc>
                <w:tcPr>
                  <w:tcW w:w="1009" w:type="dxa"/>
                  <w:vAlign w:val="center"/>
                </w:tcPr>
                <w:p>
                  <w:pPr>
                    <w:pStyle w:val="25"/>
                    <w:ind w:left="0" w:leftChars="0" w:firstLine="0" w:firstLineChars="0"/>
                    <w:jc w:val="center"/>
                    <w:rPr>
                      <w:rFonts w:hint="eastAsia"/>
                      <w:color w:val="auto"/>
                      <w:highlight w:val="none"/>
                    </w:rPr>
                  </w:pPr>
                  <w:r>
                    <w:rPr>
                      <w:rFonts w:hint="default"/>
                      <w:color w:val="auto"/>
                      <w:highlight w:val="none"/>
                      <w:lang w:val="en-US" w:eastAsia="zh-CN"/>
                    </w:rPr>
                    <w:t>39600</w:t>
                  </w:r>
                </w:p>
              </w:tc>
              <w:tc>
                <w:tcPr>
                  <w:tcW w:w="2256" w:type="pct"/>
                  <w:vAlign w:val="center"/>
                </w:tcPr>
                <w:p>
                  <w:pPr>
                    <w:pStyle w:val="25"/>
                    <w:ind w:left="0" w:leftChars="0" w:firstLine="0" w:firstLineChars="0"/>
                    <w:jc w:val="center"/>
                    <w:rPr>
                      <w:rFonts w:cs="Times New Roman"/>
                      <w:color w:val="auto"/>
                      <w:highlight w:val="none"/>
                    </w:rPr>
                  </w:pPr>
                  <w:r>
                    <w:rPr>
                      <w:rFonts w:hint="eastAsia" w:cs="Times New Roman"/>
                      <w:color w:val="auto"/>
                      <w:highlight w:val="none"/>
                    </w:rPr>
                    <w:t>4t/h燃煤锅炉，需蒸汽量约</w:t>
                  </w:r>
                  <w:r>
                    <w:rPr>
                      <w:rFonts w:cs="Times New Roman"/>
                      <w:color w:val="auto"/>
                      <w:highlight w:val="none"/>
                    </w:rPr>
                    <w:t>39600</w:t>
                  </w:r>
                  <w:r>
                    <w:rPr>
                      <w:rFonts w:hint="eastAsia" w:cs="Times New Roman"/>
                      <w:color w:val="auto"/>
                      <w:highlight w:val="none"/>
                    </w:rPr>
                    <w:t>t/a</w:t>
                  </w:r>
                </w:p>
              </w:tc>
              <w:tc>
                <w:tcPr>
                  <w:tcW w:w="845" w:type="pct"/>
                  <w:vMerge w:val="continue"/>
                  <w:vAlign w:val="center"/>
                </w:tcPr>
                <w:p>
                  <w:pPr>
                    <w:pStyle w:val="25"/>
                    <w:ind w:left="0" w:leftChars="0" w:firstLine="0" w:firstLineChars="0"/>
                    <w:jc w:val="center"/>
                    <w:rPr>
                      <w:rFonts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8" w:type="pct"/>
                  <w:vMerge w:val="continue"/>
                  <w:vAlign w:val="center"/>
                </w:tcPr>
                <w:p>
                  <w:pPr>
                    <w:pStyle w:val="25"/>
                    <w:ind w:left="0" w:leftChars="0" w:firstLine="0" w:firstLineChars="0"/>
                    <w:jc w:val="center"/>
                    <w:rPr>
                      <w:rFonts w:cs="Times New Roman"/>
                      <w:color w:val="auto"/>
                      <w:highlight w:val="none"/>
                    </w:rPr>
                  </w:pPr>
                </w:p>
              </w:tc>
              <w:tc>
                <w:tcPr>
                  <w:tcW w:w="893" w:type="pct"/>
                  <w:vAlign w:val="center"/>
                </w:tcPr>
                <w:p>
                  <w:pPr>
                    <w:pStyle w:val="25"/>
                    <w:ind w:left="0" w:leftChars="0" w:firstLine="0" w:firstLineChars="0"/>
                    <w:jc w:val="center"/>
                    <w:rPr>
                      <w:rFonts w:cs="Times New Roman"/>
                      <w:color w:val="auto"/>
                      <w:highlight w:val="none"/>
                    </w:rPr>
                  </w:pPr>
                  <w:r>
                    <w:rPr>
                      <w:rFonts w:hint="eastAsia" w:cs="Times New Roman"/>
                      <w:color w:val="auto"/>
                      <w:highlight w:val="none"/>
                    </w:rPr>
                    <w:t>云南新东道农业产业有限公司</w:t>
                  </w:r>
                </w:p>
              </w:tc>
              <w:tc>
                <w:tcPr>
                  <w:tcW w:w="1009" w:type="dxa"/>
                  <w:vAlign w:val="center"/>
                </w:tcPr>
                <w:p>
                  <w:pPr>
                    <w:pStyle w:val="25"/>
                    <w:ind w:left="0" w:leftChars="0" w:firstLine="0" w:firstLineChars="0"/>
                    <w:jc w:val="center"/>
                    <w:rPr>
                      <w:rFonts w:hint="eastAsia"/>
                      <w:color w:val="auto"/>
                      <w:highlight w:val="none"/>
                    </w:rPr>
                  </w:pPr>
                  <w:r>
                    <w:rPr>
                      <w:rFonts w:hint="default"/>
                      <w:color w:val="auto"/>
                      <w:highlight w:val="none"/>
                      <w:lang w:val="en-US" w:eastAsia="zh-CN"/>
                    </w:rPr>
                    <w:t>19800</w:t>
                  </w:r>
                </w:p>
              </w:tc>
              <w:tc>
                <w:tcPr>
                  <w:tcW w:w="2256" w:type="pct"/>
                  <w:vAlign w:val="center"/>
                </w:tcPr>
                <w:p>
                  <w:pPr>
                    <w:pStyle w:val="25"/>
                    <w:ind w:left="0" w:leftChars="0" w:firstLine="0" w:firstLineChars="0"/>
                    <w:jc w:val="center"/>
                    <w:rPr>
                      <w:rFonts w:cs="Times New Roman"/>
                      <w:color w:val="auto"/>
                      <w:highlight w:val="none"/>
                    </w:rPr>
                  </w:pPr>
                  <w:r>
                    <w:rPr>
                      <w:rFonts w:hint="eastAsia" w:cs="Times New Roman"/>
                      <w:color w:val="auto"/>
                      <w:highlight w:val="none"/>
                    </w:rPr>
                    <w:t>4t/h燃煤锅炉，需蒸汽约</w:t>
                  </w:r>
                  <w:r>
                    <w:rPr>
                      <w:rFonts w:hint="default" w:ascii="Times New Roman" w:hAnsi="Times New Roman" w:eastAsia="宋体" w:cs="Times New Roman"/>
                      <w:i w:val="0"/>
                      <w:iCs w:val="0"/>
                      <w:color w:val="auto"/>
                      <w:kern w:val="0"/>
                      <w:sz w:val="21"/>
                      <w:szCs w:val="21"/>
                      <w:highlight w:val="none"/>
                      <w:u w:val="none"/>
                      <w:lang w:val="en-US" w:eastAsia="zh-CN" w:bidi="ar"/>
                    </w:rPr>
                    <w:t>19800</w:t>
                  </w:r>
                  <w:r>
                    <w:rPr>
                      <w:rFonts w:hint="eastAsia" w:cs="Times New Roman"/>
                      <w:color w:val="auto"/>
                      <w:highlight w:val="none"/>
                    </w:rPr>
                    <w:t>t/a</w:t>
                  </w:r>
                </w:p>
              </w:tc>
              <w:tc>
                <w:tcPr>
                  <w:tcW w:w="845" w:type="pct"/>
                  <w:vMerge w:val="continue"/>
                  <w:vAlign w:val="center"/>
                </w:tcPr>
                <w:p>
                  <w:pPr>
                    <w:pStyle w:val="25"/>
                    <w:ind w:left="0" w:leftChars="0" w:firstLine="0" w:firstLineChars="0"/>
                    <w:jc w:val="center"/>
                    <w:rPr>
                      <w:rFonts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8" w:type="pct"/>
                  <w:vMerge w:val="continue"/>
                  <w:vAlign w:val="center"/>
                </w:tcPr>
                <w:p>
                  <w:pPr>
                    <w:pStyle w:val="25"/>
                    <w:ind w:left="0" w:leftChars="0" w:firstLine="0" w:firstLineChars="0"/>
                    <w:jc w:val="center"/>
                    <w:rPr>
                      <w:rFonts w:cs="Times New Roman"/>
                      <w:color w:val="auto"/>
                      <w:highlight w:val="none"/>
                    </w:rPr>
                  </w:pPr>
                </w:p>
              </w:tc>
              <w:tc>
                <w:tcPr>
                  <w:tcW w:w="893" w:type="pct"/>
                  <w:vAlign w:val="center"/>
                </w:tcPr>
                <w:p>
                  <w:pPr>
                    <w:pStyle w:val="25"/>
                    <w:ind w:left="0" w:leftChars="0" w:firstLine="0" w:firstLineChars="0"/>
                    <w:jc w:val="center"/>
                    <w:rPr>
                      <w:rFonts w:hint="eastAsia" w:cs="Times New Roman"/>
                      <w:color w:val="auto"/>
                      <w:highlight w:val="none"/>
                    </w:rPr>
                  </w:pPr>
                  <w:r>
                    <w:rPr>
                      <w:rFonts w:hint="eastAsia" w:cs="Times New Roman"/>
                      <w:color w:val="auto"/>
                      <w:highlight w:val="none"/>
                    </w:rPr>
                    <w:t>云南大台农台标农业科技有限公司</w:t>
                  </w:r>
                </w:p>
              </w:tc>
              <w:tc>
                <w:tcPr>
                  <w:tcW w:w="1009" w:type="dxa"/>
                  <w:vAlign w:val="center"/>
                </w:tcPr>
                <w:p>
                  <w:pPr>
                    <w:pStyle w:val="25"/>
                    <w:ind w:left="0" w:leftChars="0" w:firstLine="0" w:firstLineChars="0"/>
                    <w:jc w:val="center"/>
                    <w:rPr>
                      <w:rFonts w:hint="eastAsia"/>
                      <w:color w:val="auto"/>
                      <w:highlight w:val="none"/>
                    </w:rPr>
                  </w:pPr>
                  <w:r>
                    <w:rPr>
                      <w:rFonts w:hint="default"/>
                      <w:color w:val="auto"/>
                      <w:highlight w:val="none"/>
                      <w:lang w:val="en-US" w:eastAsia="zh-CN"/>
                    </w:rPr>
                    <w:t>32000</w:t>
                  </w:r>
                </w:p>
              </w:tc>
              <w:tc>
                <w:tcPr>
                  <w:tcW w:w="2256" w:type="pct"/>
                  <w:vAlign w:val="center"/>
                </w:tcPr>
                <w:p>
                  <w:pPr>
                    <w:pStyle w:val="25"/>
                    <w:ind w:left="0" w:leftChars="0" w:firstLine="0" w:firstLineChars="0"/>
                    <w:jc w:val="center"/>
                    <w:rPr>
                      <w:rFonts w:hint="eastAsia" w:cs="Times New Roman"/>
                      <w:color w:val="auto"/>
                      <w:highlight w:val="none"/>
                    </w:rPr>
                  </w:pPr>
                  <w:r>
                    <w:rPr>
                      <w:rFonts w:cs="Times New Roman"/>
                      <w:color w:val="auto"/>
                      <w:highlight w:val="none"/>
                    </w:rPr>
                    <w:t>2</w:t>
                  </w:r>
                  <w:r>
                    <w:rPr>
                      <w:rFonts w:hint="eastAsia" w:cs="Times New Roman"/>
                      <w:color w:val="auto"/>
                      <w:highlight w:val="none"/>
                    </w:rPr>
                    <w:t>X</w:t>
                  </w:r>
                  <w:r>
                    <w:rPr>
                      <w:rFonts w:cs="Times New Roman"/>
                      <w:color w:val="auto"/>
                      <w:highlight w:val="none"/>
                    </w:rPr>
                    <w:t>2t</w:t>
                  </w:r>
                  <w:r>
                    <w:rPr>
                      <w:rFonts w:hint="eastAsia" w:cs="Times New Roman"/>
                      <w:color w:val="auto"/>
                      <w:highlight w:val="none"/>
                    </w:rPr>
                    <w:t>/</w:t>
                  </w:r>
                  <w:r>
                    <w:rPr>
                      <w:rFonts w:cs="Times New Roman"/>
                      <w:color w:val="auto"/>
                      <w:highlight w:val="none"/>
                    </w:rPr>
                    <w:t>h</w:t>
                  </w:r>
                  <w:r>
                    <w:rPr>
                      <w:rFonts w:hint="eastAsia" w:cs="Times New Roman"/>
                      <w:color w:val="auto"/>
                      <w:highlight w:val="none"/>
                    </w:rPr>
                    <w:t>两台蒸汽发生器，需蒸汽约3</w:t>
                  </w:r>
                  <w:r>
                    <w:rPr>
                      <w:rFonts w:cs="Times New Roman"/>
                      <w:color w:val="auto"/>
                      <w:highlight w:val="none"/>
                    </w:rPr>
                    <w:t>2000</w:t>
                  </w:r>
                  <w:r>
                    <w:rPr>
                      <w:rFonts w:hint="eastAsia" w:cs="Times New Roman"/>
                      <w:color w:val="auto"/>
                      <w:highlight w:val="none"/>
                    </w:rPr>
                    <w:t>t</w:t>
                  </w:r>
                  <w:r>
                    <w:rPr>
                      <w:rFonts w:cs="Times New Roman"/>
                      <w:color w:val="auto"/>
                      <w:highlight w:val="none"/>
                    </w:rPr>
                    <w:t>/a</w:t>
                  </w:r>
                </w:p>
              </w:tc>
              <w:tc>
                <w:tcPr>
                  <w:tcW w:w="845" w:type="pct"/>
                  <w:vMerge w:val="continue"/>
                  <w:vAlign w:val="center"/>
                </w:tcPr>
                <w:p>
                  <w:pPr>
                    <w:pStyle w:val="25"/>
                    <w:ind w:left="0" w:leftChars="0" w:firstLine="0" w:firstLineChars="0"/>
                    <w:jc w:val="center"/>
                    <w:rPr>
                      <w:rFonts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8" w:type="pct"/>
                  <w:vMerge w:val="continue"/>
                  <w:vAlign w:val="center"/>
                </w:tcPr>
                <w:p>
                  <w:pPr>
                    <w:pStyle w:val="25"/>
                    <w:ind w:left="0" w:leftChars="0" w:firstLine="0" w:firstLineChars="0"/>
                    <w:jc w:val="center"/>
                    <w:rPr>
                      <w:rFonts w:cs="Times New Roman"/>
                      <w:color w:val="auto"/>
                      <w:highlight w:val="none"/>
                    </w:rPr>
                  </w:pPr>
                </w:p>
              </w:tc>
              <w:tc>
                <w:tcPr>
                  <w:tcW w:w="893" w:type="pct"/>
                  <w:vAlign w:val="center"/>
                </w:tcPr>
                <w:p>
                  <w:pPr>
                    <w:pStyle w:val="25"/>
                    <w:ind w:left="0" w:leftChars="0" w:firstLine="0" w:firstLineChars="0"/>
                    <w:jc w:val="center"/>
                    <w:rPr>
                      <w:rFonts w:hint="eastAsia" w:cs="Times New Roman"/>
                      <w:color w:val="auto"/>
                      <w:highlight w:val="none"/>
                    </w:rPr>
                  </w:pPr>
                  <w:r>
                    <w:rPr>
                      <w:rFonts w:hint="eastAsia" w:cs="Times New Roman"/>
                      <w:color w:val="auto"/>
                      <w:highlight w:val="none"/>
                    </w:rPr>
                    <w:t>云南巨星农牧有限公司</w:t>
                  </w:r>
                </w:p>
              </w:tc>
              <w:tc>
                <w:tcPr>
                  <w:tcW w:w="1009" w:type="dxa"/>
                  <w:vAlign w:val="center"/>
                </w:tcPr>
                <w:p>
                  <w:pPr>
                    <w:pStyle w:val="25"/>
                    <w:ind w:left="0" w:leftChars="0" w:firstLine="0" w:firstLineChars="0"/>
                    <w:jc w:val="center"/>
                    <w:rPr>
                      <w:rFonts w:hint="eastAsia"/>
                      <w:color w:val="auto"/>
                      <w:highlight w:val="none"/>
                    </w:rPr>
                  </w:pPr>
                  <w:r>
                    <w:rPr>
                      <w:rFonts w:hint="default"/>
                      <w:color w:val="auto"/>
                      <w:highlight w:val="none"/>
                      <w:lang w:val="en-US" w:eastAsia="zh-CN"/>
                    </w:rPr>
                    <w:t>48000</w:t>
                  </w:r>
                </w:p>
              </w:tc>
              <w:tc>
                <w:tcPr>
                  <w:tcW w:w="2256" w:type="pct"/>
                  <w:vAlign w:val="center"/>
                </w:tcPr>
                <w:p>
                  <w:pPr>
                    <w:pStyle w:val="25"/>
                    <w:ind w:left="0" w:leftChars="0" w:firstLine="0" w:firstLineChars="0"/>
                    <w:jc w:val="center"/>
                    <w:rPr>
                      <w:rFonts w:hint="eastAsia" w:cs="Times New Roman"/>
                      <w:color w:val="auto"/>
                      <w:highlight w:val="none"/>
                    </w:rPr>
                  </w:pPr>
                  <w:r>
                    <w:rPr>
                      <w:rFonts w:hint="eastAsia" w:cs="Times New Roman"/>
                      <w:color w:val="auto"/>
                      <w:highlight w:val="none"/>
                    </w:rPr>
                    <w:t>6t</w:t>
                  </w:r>
                  <w:r>
                    <w:rPr>
                      <w:rFonts w:cs="Times New Roman"/>
                      <w:color w:val="auto"/>
                      <w:highlight w:val="none"/>
                    </w:rPr>
                    <w:t>/h</w:t>
                  </w:r>
                  <w:r>
                    <w:rPr>
                      <w:rFonts w:hint="eastAsia" w:cs="Times New Roman"/>
                      <w:color w:val="auto"/>
                      <w:highlight w:val="none"/>
                    </w:rPr>
                    <w:t>燃气锅炉，需蒸汽约4</w:t>
                  </w:r>
                  <w:r>
                    <w:rPr>
                      <w:rFonts w:cs="Times New Roman"/>
                      <w:color w:val="auto"/>
                      <w:highlight w:val="none"/>
                    </w:rPr>
                    <w:t>8000</w:t>
                  </w:r>
                  <w:r>
                    <w:rPr>
                      <w:rFonts w:hint="eastAsia" w:cs="Times New Roman"/>
                      <w:color w:val="auto"/>
                      <w:highlight w:val="none"/>
                    </w:rPr>
                    <w:t>t/</w:t>
                  </w:r>
                  <w:r>
                    <w:rPr>
                      <w:rFonts w:cs="Times New Roman"/>
                      <w:color w:val="auto"/>
                      <w:highlight w:val="none"/>
                    </w:rPr>
                    <w:t>a</w:t>
                  </w:r>
                </w:p>
              </w:tc>
              <w:tc>
                <w:tcPr>
                  <w:tcW w:w="845" w:type="pct"/>
                  <w:vMerge w:val="continue"/>
                  <w:vAlign w:val="center"/>
                </w:tcPr>
                <w:p>
                  <w:pPr>
                    <w:pStyle w:val="25"/>
                    <w:ind w:left="0" w:leftChars="0" w:firstLine="0" w:firstLineChars="0"/>
                    <w:jc w:val="center"/>
                    <w:rPr>
                      <w:rFonts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8" w:type="pct"/>
                  <w:vMerge w:val="restart"/>
                  <w:vAlign w:val="center"/>
                </w:tcPr>
                <w:p>
                  <w:pPr>
                    <w:pStyle w:val="25"/>
                    <w:ind w:left="0" w:leftChars="0" w:firstLine="0" w:firstLineChars="0"/>
                    <w:jc w:val="center"/>
                    <w:rPr>
                      <w:rFonts w:cs="Times New Roman"/>
                      <w:color w:val="auto"/>
                      <w:highlight w:val="none"/>
                    </w:rPr>
                  </w:pPr>
                  <w:r>
                    <w:rPr>
                      <w:rFonts w:hint="eastAsia" w:cs="Times New Roman"/>
                      <w:color w:val="auto"/>
                      <w:highlight w:val="none"/>
                    </w:rPr>
                    <w:t>漓源供热点</w:t>
                  </w:r>
                </w:p>
              </w:tc>
              <w:tc>
                <w:tcPr>
                  <w:tcW w:w="893" w:type="pct"/>
                  <w:vAlign w:val="center"/>
                </w:tcPr>
                <w:p>
                  <w:pPr>
                    <w:pStyle w:val="25"/>
                    <w:ind w:left="0" w:leftChars="0" w:firstLine="0" w:firstLineChars="0"/>
                    <w:jc w:val="center"/>
                    <w:rPr>
                      <w:rFonts w:cs="Times New Roman"/>
                      <w:color w:val="auto"/>
                      <w:highlight w:val="none"/>
                    </w:rPr>
                  </w:pPr>
                  <w:r>
                    <w:rPr>
                      <w:color w:val="auto"/>
                      <w:highlight w:val="none"/>
                    </w:rPr>
                    <w:fldChar w:fldCharType="begin"/>
                  </w:r>
                  <w:r>
                    <w:rPr>
                      <w:color w:val="auto"/>
                      <w:highlight w:val="none"/>
                    </w:rPr>
                    <w:instrText xml:space="preserve"> HYPERLINK "http://www.baidu.com/link?url=k38QrQiOpPhdnIoPfF-NRVdrrP4Rhg1-USYOQr1U9jApQjA8Vs5PJx58NJfeIweWVLfmUDdOT8BfCt1bzwbTe5t9EnIlnBBtpJciK0lHMvG" \t "_blank" </w:instrText>
                  </w:r>
                  <w:r>
                    <w:rPr>
                      <w:color w:val="auto"/>
                      <w:highlight w:val="none"/>
                    </w:rPr>
                    <w:fldChar w:fldCharType="separate"/>
                  </w:r>
                  <w:r>
                    <w:rPr>
                      <w:rFonts w:hint="eastAsia" w:cs="Times New Roman"/>
                      <w:color w:val="auto"/>
                      <w:highlight w:val="none"/>
                    </w:rPr>
                    <w:t>昆明漓源饲料有限公司</w:t>
                  </w:r>
                  <w:r>
                    <w:rPr>
                      <w:rFonts w:hint="eastAsia" w:cs="Times New Roman"/>
                      <w:color w:val="auto"/>
                      <w:highlight w:val="none"/>
                    </w:rPr>
                    <w:fldChar w:fldCharType="end"/>
                  </w:r>
                </w:p>
              </w:tc>
              <w:tc>
                <w:tcPr>
                  <w:tcW w:w="1009" w:type="dxa"/>
                  <w:vAlign w:val="center"/>
                </w:tcPr>
                <w:p>
                  <w:pPr>
                    <w:pStyle w:val="25"/>
                    <w:ind w:left="0" w:leftChars="0" w:firstLine="0" w:firstLineChars="0"/>
                    <w:jc w:val="center"/>
                    <w:rPr>
                      <w:rFonts w:hint="eastAsia"/>
                      <w:color w:val="auto"/>
                      <w:highlight w:val="none"/>
                    </w:rPr>
                  </w:pPr>
                  <w:r>
                    <w:rPr>
                      <w:rFonts w:hint="default"/>
                      <w:color w:val="auto"/>
                      <w:highlight w:val="none"/>
                      <w:lang w:val="en-US" w:eastAsia="zh-CN"/>
                    </w:rPr>
                    <w:t>7920</w:t>
                  </w:r>
                </w:p>
              </w:tc>
              <w:tc>
                <w:tcPr>
                  <w:tcW w:w="2256" w:type="pct"/>
                  <w:vAlign w:val="center"/>
                </w:tcPr>
                <w:p>
                  <w:pPr>
                    <w:pStyle w:val="25"/>
                    <w:ind w:left="0" w:leftChars="0" w:firstLine="0" w:firstLineChars="0"/>
                    <w:jc w:val="center"/>
                    <w:rPr>
                      <w:rFonts w:cs="Times New Roman"/>
                      <w:color w:val="auto"/>
                      <w:highlight w:val="none"/>
                    </w:rPr>
                  </w:pPr>
                  <w:r>
                    <w:rPr>
                      <w:rFonts w:hint="eastAsia" w:cs="Times New Roman"/>
                      <w:color w:val="auto"/>
                      <w:highlight w:val="none"/>
                    </w:rPr>
                    <w:t>4t/h燃煤锅炉，需蒸汽约7920t/a</w:t>
                  </w:r>
                </w:p>
              </w:tc>
              <w:tc>
                <w:tcPr>
                  <w:tcW w:w="845" w:type="pct"/>
                  <w:vMerge w:val="continue"/>
                  <w:vAlign w:val="center"/>
                </w:tcPr>
                <w:p>
                  <w:pPr>
                    <w:pStyle w:val="25"/>
                    <w:ind w:left="0" w:leftChars="0" w:firstLine="0" w:firstLineChars="0"/>
                    <w:jc w:val="center"/>
                    <w:rPr>
                      <w:rFonts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8" w:type="pct"/>
                  <w:vMerge w:val="continue"/>
                  <w:vAlign w:val="center"/>
                </w:tcPr>
                <w:p>
                  <w:pPr>
                    <w:pStyle w:val="25"/>
                    <w:ind w:left="0" w:leftChars="0" w:firstLine="0" w:firstLineChars="0"/>
                    <w:jc w:val="center"/>
                    <w:rPr>
                      <w:rFonts w:cs="Times New Roman"/>
                      <w:color w:val="auto"/>
                      <w:highlight w:val="none"/>
                    </w:rPr>
                  </w:pPr>
                </w:p>
              </w:tc>
              <w:tc>
                <w:tcPr>
                  <w:tcW w:w="893" w:type="pct"/>
                  <w:vAlign w:val="center"/>
                </w:tcPr>
                <w:p>
                  <w:pPr>
                    <w:pStyle w:val="25"/>
                    <w:ind w:left="0" w:leftChars="0" w:firstLine="0" w:firstLineChars="0"/>
                    <w:jc w:val="center"/>
                    <w:rPr>
                      <w:rFonts w:cs="Times New Roman"/>
                      <w:color w:val="auto"/>
                      <w:highlight w:val="none"/>
                    </w:rPr>
                  </w:pPr>
                  <w:r>
                    <w:rPr>
                      <w:rFonts w:hint="eastAsia" w:cs="Times New Roman"/>
                      <w:color w:val="auto"/>
                      <w:highlight w:val="none"/>
                    </w:rPr>
                    <w:t>云南云大饲料有限公司</w:t>
                  </w:r>
                </w:p>
              </w:tc>
              <w:tc>
                <w:tcPr>
                  <w:tcW w:w="1009" w:type="dxa"/>
                  <w:vAlign w:val="center"/>
                </w:tcPr>
                <w:p>
                  <w:pPr>
                    <w:pStyle w:val="25"/>
                    <w:ind w:left="0" w:leftChars="0" w:firstLine="0" w:firstLineChars="0"/>
                    <w:jc w:val="center"/>
                    <w:rPr>
                      <w:rFonts w:hint="eastAsia"/>
                      <w:color w:val="auto"/>
                      <w:highlight w:val="none"/>
                    </w:rPr>
                  </w:pPr>
                  <w:r>
                    <w:rPr>
                      <w:rFonts w:hint="default"/>
                      <w:color w:val="auto"/>
                      <w:highlight w:val="none"/>
                      <w:lang w:val="en-US" w:eastAsia="zh-CN"/>
                    </w:rPr>
                    <w:t>7920</w:t>
                  </w:r>
                </w:p>
              </w:tc>
              <w:tc>
                <w:tcPr>
                  <w:tcW w:w="2256" w:type="pct"/>
                  <w:vAlign w:val="center"/>
                </w:tcPr>
                <w:p>
                  <w:pPr>
                    <w:pStyle w:val="25"/>
                    <w:ind w:left="0" w:leftChars="0" w:firstLine="0" w:firstLineChars="0"/>
                    <w:jc w:val="center"/>
                    <w:rPr>
                      <w:rFonts w:cs="Times New Roman"/>
                      <w:color w:val="auto"/>
                      <w:highlight w:val="none"/>
                    </w:rPr>
                  </w:pPr>
                  <w:r>
                    <w:rPr>
                      <w:rFonts w:hint="eastAsia" w:cs="Times New Roman"/>
                      <w:color w:val="auto"/>
                      <w:highlight w:val="none"/>
                    </w:rPr>
                    <w:t>4t/h燃煤锅炉，需蒸汽约7920t/a</w:t>
                  </w:r>
                </w:p>
              </w:tc>
              <w:tc>
                <w:tcPr>
                  <w:tcW w:w="845" w:type="pct"/>
                  <w:vMerge w:val="continue"/>
                  <w:vAlign w:val="center"/>
                </w:tcPr>
                <w:p>
                  <w:pPr>
                    <w:pStyle w:val="25"/>
                    <w:ind w:left="0" w:leftChars="0" w:firstLine="0" w:firstLineChars="0"/>
                    <w:jc w:val="center"/>
                    <w:rPr>
                      <w:rFonts w:cs="Times New Roman"/>
                      <w:color w:val="auto"/>
                      <w:highlight w:val="none"/>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8</w:t>
            </w:r>
            <w:r>
              <w:rPr>
                <w:rFonts w:hint="eastAsia" w:ascii="Times New Roman" w:hAnsi="Times New Roman" w:eastAsia="宋体" w:cs="Times New Roman"/>
                <w:b/>
                <w:bCs/>
                <w:color w:val="auto"/>
                <w:sz w:val="24"/>
                <w:szCs w:val="24"/>
                <w:highlight w:val="none"/>
                <w:lang w:val="en-US" w:eastAsia="zh-CN"/>
              </w:rPr>
              <w:t>、项目劳动定员与工作制度</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highlight w:val="none"/>
                <w:lang w:val="en-US" w:eastAsia="zh-CN"/>
              </w:rPr>
            </w:pPr>
            <w:r>
              <w:rPr>
                <w:rFonts w:hint="eastAsia"/>
                <w:color w:val="auto"/>
                <w:sz w:val="24"/>
                <w:highlight w:val="none"/>
                <w:lang w:val="en-US" w:eastAsia="zh-CN"/>
              </w:rPr>
              <w:t>项目不设生活设施，各供热点所有工作人员均依托服务企业生活设施。项目劳动定员与工作制度一览表如下：</w:t>
            </w:r>
          </w:p>
          <w:p>
            <w:pPr>
              <w:pStyle w:val="4"/>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w:t>
            </w:r>
            <w:r>
              <w:rPr>
                <w:rFonts w:hint="eastAsia" w:cs="Times New Roman"/>
                <w:b/>
                <w:bCs/>
                <w:color w:val="auto"/>
                <w:sz w:val="21"/>
                <w:szCs w:val="21"/>
                <w:highlight w:val="none"/>
                <w:lang w:val="en-US" w:eastAsia="zh-CN"/>
              </w:rPr>
              <w:t>7项目劳动定员与工作制度一览表</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5"/>
              <w:gridCol w:w="2053"/>
              <w:gridCol w:w="2100"/>
              <w:gridCol w:w="2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359" w:type="pct"/>
                  <w:vAlign w:val="center"/>
                </w:tcPr>
                <w:p>
                  <w:pPr>
                    <w:pStyle w:val="9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供热点</w:t>
                  </w:r>
                </w:p>
              </w:tc>
              <w:tc>
                <w:tcPr>
                  <w:tcW w:w="1170" w:type="pct"/>
                  <w:vAlign w:val="center"/>
                </w:tcPr>
                <w:p>
                  <w:pPr>
                    <w:pStyle w:val="9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海大供热点</w:t>
                  </w:r>
                </w:p>
              </w:tc>
              <w:tc>
                <w:tcPr>
                  <w:tcW w:w="1197" w:type="pct"/>
                  <w:vAlign w:val="center"/>
                </w:tcPr>
                <w:p>
                  <w:pPr>
                    <w:pStyle w:val="9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特驱供热点</w:t>
                  </w:r>
                </w:p>
              </w:tc>
              <w:tc>
                <w:tcPr>
                  <w:tcW w:w="1273" w:type="pct"/>
                  <w:vAlign w:val="center"/>
                </w:tcPr>
                <w:p>
                  <w:pPr>
                    <w:pStyle w:val="9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漓源供热点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9" w:type="pct"/>
                  <w:vAlign w:val="center"/>
                </w:tcPr>
                <w:p>
                  <w:pPr>
                    <w:pStyle w:val="9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管理及生产人员</w:t>
                  </w:r>
                </w:p>
              </w:tc>
              <w:tc>
                <w:tcPr>
                  <w:tcW w:w="1170" w:type="pct"/>
                  <w:vAlign w:val="center"/>
                </w:tcPr>
                <w:p>
                  <w:pPr>
                    <w:pStyle w:val="9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4人</w:t>
                  </w:r>
                </w:p>
              </w:tc>
              <w:tc>
                <w:tcPr>
                  <w:tcW w:w="1197" w:type="pct"/>
                  <w:vAlign w:val="center"/>
                </w:tcPr>
                <w:p>
                  <w:pPr>
                    <w:pStyle w:val="9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4人</w:t>
                  </w:r>
                </w:p>
              </w:tc>
              <w:tc>
                <w:tcPr>
                  <w:tcW w:w="1273" w:type="pct"/>
                  <w:vAlign w:val="center"/>
                </w:tcPr>
                <w:p>
                  <w:pPr>
                    <w:pStyle w:val="9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9" w:type="pct"/>
                  <w:vAlign w:val="center"/>
                </w:tcPr>
                <w:p>
                  <w:pPr>
                    <w:pStyle w:val="9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工作制度</w:t>
                  </w:r>
                </w:p>
              </w:tc>
              <w:tc>
                <w:tcPr>
                  <w:tcW w:w="1170" w:type="pct"/>
                  <w:vAlign w:val="center"/>
                </w:tcPr>
                <w:p>
                  <w:pPr>
                    <w:pStyle w:val="9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2班制，每班12小时</w:t>
                  </w:r>
                </w:p>
              </w:tc>
              <w:tc>
                <w:tcPr>
                  <w:tcW w:w="1197" w:type="pct"/>
                  <w:vAlign w:val="center"/>
                </w:tcPr>
                <w:p>
                  <w:pPr>
                    <w:pStyle w:val="9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2班制，每班12小时</w:t>
                  </w:r>
                </w:p>
              </w:tc>
              <w:tc>
                <w:tcPr>
                  <w:tcW w:w="1273" w:type="pct"/>
                  <w:vAlign w:val="center"/>
                </w:tcPr>
                <w:p>
                  <w:pPr>
                    <w:pStyle w:val="9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2班制，每班6小时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359" w:type="pct"/>
                  <w:vAlign w:val="center"/>
                </w:tcPr>
                <w:p>
                  <w:pPr>
                    <w:pStyle w:val="9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锅炉运行时间</w:t>
                  </w:r>
                </w:p>
              </w:tc>
              <w:tc>
                <w:tcPr>
                  <w:tcW w:w="3640" w:type="pct"/>
                  <w:gridSpan w:val="3"/>
                  <w:vAlign w:val="center"/>
                </w:tcPr>
                <w:p>
                  <w:pPr>
                    <w:pStyle w:val="9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330天/年</w:t>
                  </w:r>
                </w:p>
              </w:tc>
            </w:tr>
          </w:tbl>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9</w:t>
            </w:r>
            <w:r>
              <w:rPr>
                <w:rFonts w:hint="eastAsia" w:ascii="Times New Roman" w:hAnsi="Times New Roman" w:eastAsia="宋体" w:cs="Times New Roman"/>
                <w:b/>
                <w:bCs/>
                <w:color w:val="auto"/>
                <w:sz w:val="24"/>
                <w:szCs w:val="24"/>
                <w:highlight w:val="none"/>
                <w:lang w:val="en-US" w:eastAsia="zh-CN"/>
              </w:rPr>
              <w:t>、项目环保投资</w:t>
            </w:r>
          </w:p>
          <w:p>
            <w:pPr>
              <w:autoSpaceDE w:val="0"/>
              <w:autoSpaceDN w:val="0"/>
              <w:adjustRightInd w:val="0"/>
              <w:spacing w:line="360" w:lineRule="auto"/>
              <w:ind w:firstLine="472" w:firstLineChars="197"/>
              <w:rPr>
                <w:rFonts w:hint="eastAsia"/>
                <w:snapToGrid w:val="0"/>
                <w:color w:val="auto"/>
                <w:kern w:val="0"/>
                <w:sz w:val="24"/>
                <w:highlight w:val="none"/>
              </w:rPr>
            </w:pPr>
            <w:r>
              <w:rPr>
                <w:rFonts w:hint="eastAsia"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eastAsia="zh-CN"/>
              </w:rPr>
              <w:t>总投资</w:t>
            </w:r>
            <w:r>
              <w:rPr>
                <w:rFonts w:hint="eastAsia" w:cs="Times New Roman"/>
                <w:color w:val="auto"/>
                <w:sz w:val="24"/>
                <w:szCs w:val="24"/>
                <w:highlight w:val="none"/>
                <w:lang w:val="en-US" w:eastAsia="zh-CN"/>
              </w:rPr>
              <w:t>1560</w:t>
            </w:r>
            <w:r>
              <w:rPr>
                <w:rFonts w:hint="eastAsia" w:ascii="Times New Roman" w:hAnsi="Times New Roman" w:eastAsia="宋体" w:cs="Times New Roman"/>
                <w:color w:val="auto"/>
                <w:sz w:val="24"/>
                <w:szCs w:val="24"/>
                <w:highlight w:val="none"/>
                <w:lang w:val="en-US" w:eastAsia="zh-CN"/>
              </w:rPr>
              <w:t>万</w:t>
            </w:r>
            <w:r>
              <w:rPr>
                <w:rFonts w:hint="default" w:ascii="Times New Roman" w:hAnsi="Times New Roman" w:eastAsia="宋体" w:cs="Times New Roman"/>
                <w:color w:val="auto"/>
                <w:sz w:val="24"/>
                <w:szCs w:val="24"/>
                <w:highlight w:val="none"/>
                <w:lang w:eastAsia="zh-CN"/>
              </w:rPr>
              <w:t>元</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其中环保投资</w:t>
            </w:r>
            <w:r>
              <w:rPr>
                <w:rFonts w:hint="eastAsia" w:cs="Times New Roman"/>
                <w:color w:val="auto"/>
                <w:sz w:val="24"/>
                <w:szCs w:val="24"/>
                <w:highlight w:val="none"/>
                <w:lang w:val="en-US" w:eastAsia="zh-CN"/>
              </w:rPr>
              <w:t>196.02</w:t>
            </w:r>
            <w:r>
              <w:rPr>
                <w:rFonts w:hint="default" w:ascii="Times New Roman" w:hAnsi="Times New Roman" w:eastAsia="宋体" w:cs="Times New Roman"/>
                <w:color w:val="auto"/>
                <w:sz w:val="24"/>
                <w:szCs w:val="24"/>
                <w:highlight w:val="none"/>
                <w:lang w:eastAsia="zh-CN"/>
              </w:rPr>
              <w:t>万元，占总投资的</w:t>
            </w:r>
            <w:r>
              <w:rPr>
                <w:rFonts w:hint="eastAsia" w:cs="Times New Roman"/>
                <w:color w:val="auto"/>
                <w:sz w:val="24"/>
                <w:szCs w:val="24"/>
                <w:highlight w:val="none"/>
                <w:lang w:val="en-US" w:eastAsia="zh-CN"/>
              </w:rPr>
              <w:t>12.56</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eastAsia="zh-CN"/>
              </w:rPr>
              <w:t>。详见</w:t>
            </w:r>
            <w:r>
              <w:rPr>
                <w:rFonts w:hint="eastAsia" w:cs="Times New Roman"/>
                <w:color w:val="auto"/>
                <w:sz w:val="24"/>
                <w:szCs w:val="24"/>
                <w:highlight w:val="none"/>
                <w:lang w:val="en-US" w:eastAsia="zh-CN"/>
              </w:rPr>
              <w:t>下表</w:t>
            </w:r>
            <w:r>
              <w:rPr>
                <w:rFonts w:hint="eastAsia" w:ascii="Times New Roman" w:hAnsi="Times New Roman" w:eastAsia="宋体" w:cs="Times New Roman"/>
                <w:color w:val="auto"/>
                <w:sz w:val="24"/>
                <w:szCs w:val="24"/>
                <w:highlight w:val="none"/>
                <w:lang w:eastAsia="zh-CN"/>
              </w:rPr>
              <w:t>。</w:t>
            </w:r>
          </w:p>
          <w:p>
            <w:pPr>
              <w:pStyle w:val="4"/>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w:t>
            </w:r>
            <w:r>
              <w:rPr>
                <w:rFonts w:hint="eastAsia" w:cs="Times New Roman"/>
                <w:b/>
                <w:bCs/>
                <w:color w:val="auto"/>
                <w:sz w:val="21"/>
                <w:szCs w:val="21"/>
                <w:highlight w:val="none"/>
                <w:lang w:val="en-US" w:eastAsia="zh-CN"/>
              </w:rPr>
              <w:t>8项目</w:t>
            </w:r>
            <w:r>
              <w:rPr>
                <w:rFonts w:hint="eastAsia" w:ascii="Times New Roman" w:hAnsi="Times New Roman" w:eastAsia="宋体" w:cs="Times New Roman"/>
                <w:b/>
                <w:bCs/>
                <w:color w:val="auto"/>
                <w:sz w:val="21"/>
                <w:szCs w:val="21"/>
                <w:highlight w:val="none"/>
                <w:lang w:val="en-US" w:eastAsia="zh-CN"/>
              </w:rPr>
              <w:t>环保投资估算一览表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
              <w:gridCol w:w="3174"/>
              <w:gridCol w:w="2844"/>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520" w:type="pct"/>
                  <w:vAlign w:val="center"/>
                </w:tcPr>
                <w:p>
                  <w:pPr>
                    <w:jc w:val="center"/>
                    <w:textAlignment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序号</w:t>
                  </w:r>
                </w:p>
              </w:tc>
              <w:tc>
                <w:tcPr>
                  <w:tcW w:w="1808" w:type="pct"/>
                  <w:vAlign w:val="center"/>
                </w:tcPr>
                <w:p>
                  <w:pPr>
                    <w:jc w:val="center"/>
                    <w:textAlignment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环保措施</w:t>
                  </w:r>
                </w:p>
              </w:tc>
              <w:tc>
                <w:tcPr>
                  <w:tcW w:w="1620" w:type="pct"/>
                  <w:vAlign w:val="center"/>
                </w:tcPr>
                <w:p>
                  <w:pPr>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数量</w:t>
                  </w:r>
                </w:p>
              </w:tc>
              <w:tc>
                <w:tcPr>
                  <w:tcW w:w="1051" w:type="pct"/>
                  <w:vAlign w:val="center"/>
                </w:tcPr>
                <w:p>
                  <w:pPr>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投资额（万元）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520" w:type="pct"/>
                  <w:vAlign w:val="center"/>
                </w:tcPr>
                <w:p>
                  <w:pPr>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w:t>
                  </w:r>
                </w:p>
              </w:tc>
              <w:tc>
                <w:tcPr>
                  <w:tcW w:w="1808" w:type="pct"/>
                  <w:vAlign w:val="center"/>
                </w:tcPr>
                <w:p>
                  <w:pPr>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旋风除尘器+布袋除尘器</w:t>
                  </w:r>
                </w:p>
              </w:tc>
              <w:tc>
                <w:tcPr>
                  <w:tcW w:w="1620" w:type="pct"/>
                  <w:vAlign w:val="center"/>
                </w:tcPr>
                <w:p>
                  <w:pPr>
                    <w:jc w:val="center"/>
                    <w:textAlignment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6</w:t>
                  </w:r>
                  <w:r>
                    <w:rPr>
                      <w:rFonts w:hint="default" w:ascii="Times New Roman" w:hAnsi="Times New Roman" w:eastAsia="宋体" w:cs="Times New Roman"/>
                      <w:bCs/>
                      <w:color w:val="auto"/>
                      <w:sz w:val="21"/>
                      <w:szCs w:val="21"/>
                      <w:highlight w:val="none"/>
                    </w:rPr>
                    <w:t>套</w:t>
                  </w:r>
                </w:p>
              </w:tc>
              <w:tc>
                <w:tcPr>
                  <w:tcW w:w="1051" w:type="pct"/>
                  <w:vAlign w:val="center"/>
                </w:tcPr>
                <w:p>
                  <w:pPr>
                    <w:jc w:val="center"/>
                    <w:textAlignment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520" w:type="pct"/>
                  <w:vAlign w:val="center"/>
                </w:tcPr>
                <w:p>
                  <w:pPr>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w:t>
                  </w:r>
                </w:p>
              </w:tc>
              <w:tc>
                <w:tcPr>
                  <w:tcW w:w="1808" w:type="pct"/>
                  <w:vAlign w:val="center"/>
                </w:tcPr>
                <w:p>
                  <w:pPr>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烟囱</w:t>
                  </w:r>
                </w:p>
              </w:tc>
              <w:tc>
                <w:tcPr>
                  <w:tcW w:w="1620" w:type="pct"/>
                  <w:vAlign w:val="center"/>
                </w:tcPr>
                <w:p>
                  <w:pPr>
                    <w:jc w:val="center"/>
                    <w:textAlignment w:val="center"/>
                    <w:rPr>
                      <w:rFonts w:hint="default" w:ascii="Times New Roman" w:hAnsi="Times New Roman" w:eastAsia="宋体" w:cs="Times New Roman"/>
                      <w:bCs/>
                      <w:color w:val="auto"/>
                      <w:sz w:val="21"/>
                      <w:szCs w:val="21"/>
                      <w:highlight w:val="none"/>
                    </w:rPr>
                  </w:pPr>
                  <w:r>
                    <w:rPr>
                      <w:rFonts w:hint="eastAsia" w:cs="Times New Roman"/>
                      <w:bCs/>
                      <w:color w:val="auto"/>
                      <w:sz w:val="21"/>
                      <w:szCs w:val="21"/>
                      <w:highlight w:val="none"/>
                      <w:lang w:val="en-US" w:eastAsia="zh-CN"/>
                    </w:rPr>
                    <w:t>2</w:t>
                  </w:r>
                  <w:r>
                    <w:rPr>
                      <w:rFonts w:hint="default" w:ascii="Times New Roman" w:hAnsi="Times New Roman" w:eastAsia="宋体" w:cs="Times New Roman"/>
                      <w:bCs/>
                      <w:color w:val="auto"/>
                      <w:sz w:val="21"/>
                      <w:szCs w:val="21"/>
                      <w:highlight w:val="none"/>
                    </w:rPr>
                    <w:t>根</w:t>
                  </w:r>
                  <w:r>
                    <w:rPr>
                      <w:rFonts w:hint="eastAsia" w:ascii="Times New Roman" w:hAnsi="Times New Roman" w:eastAsia="宋体" w:cs="Times New Roman"/>
                      <w:bCs/>
                      <w:color w:val="auto"/>
                      <w:sz w:val="21"/>
                      <w:szCs w:val="21"/>
                      <w:highlight w:val="none"/>
                    </w:rPr>
                    <w:t>45</w:t>
                  </w:r>
                  <w:r>
                    <w:rPr>
                      <w:rFonts w:hint="default" w:ascii="Times New Roman" w:hAnsi="Times New Roman" w:eastAsia="宋体" w:cs="Times New Roman"/>
                      <w:bCs/>
                      <w:color w:val="auto"/>
                      <w:sz w:val="21"/>
                      <w:szCs w:val="21"/>
                      <w:highlight w:val="none"/>
                    </w:rPr>
                    <w:t>m，</w:t>
                  </w:r>
                  <w:r>
                    <w:rPr>
                      <w:rFonts w:hint="eastAsia" w:cs="Times New Roman"/>
                      <w:bCs/>
                      <w:color w:val="auto"/>
                      <w:sz w:val="21"/>
                      <w:szCs w:val="21"/>
                      <w:highlight w:val="none"/>
                      <w:lang w:val="en-US" w:eastAsia="zh-CN"/>
                    </w:rPr>
                    <w:t>1</w:t>
                  </w:r>
                  <w:r>
                    <w:rPr>
                      <w:rFonts w:hint="default" w:ascii="Times New Roman" w:hAnsi="Times New Roman" w:eastAsia="宋体" w:cs="Times New Roman"/>
                      <w:bCs/>
                      <w:color w:val="auto"/>
                      <w:sz w:val="21"/>
                      <w:szCs w:val="21"/>
                      <w:highlight w:val="none"/>
                    </w:rPr>
                    <w:t>根35m</w:t>
                  </w:r>
                </w:p>
              </w:tc>
              <w:tc>
                <w:tcPr>
                  <w:tcW w:w="1051" w:type="pct"/>
                  <w:vAlign w:val="center"/>
                </w:tcPr>
                <w:p>
                  <w:pPr>
                    <w:jc w:val="center"/>
                    <w:textAlignment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520" w:type="pct"/>
                  <w:vAlign w:val="center"/>
                </w:tcPr>
                <w:p>
                  <w:pPr>
                    <w:jc w:val="center"/>
                    <w:textAlignment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3</w:t>
                  </w:r>
                </w:p>
              </w:tc>
              <w:tc>
                <w:tcPr>
                  <w:tcW w:w="1808" w:type="pct"/>
                  <w:vAlign w:val="center"/>
                </w:tcPr>
                <w:p>
                  <w:pPr>
                    <w:jc w:val="center"/>
                    <w:textAlignment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烟气CEMS在线分析系统</w:t>
                  </w:r>
                </w:p>
              </w:tc>
              <w:tc>
                <w:tcPr>
                  <w:tcW w:w="1620" w:type="pct"/>
                  <w:vAlign w:val="center"/>
                </w:tcPr>
                <w:p>
                  <w:pPr>
                    <w:jc w:val="center"/>
                    <w:textAlignment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3套</w:t>
                  </w:r>
                </w:p>
              </w:tc>
              <w:tc>
                <w:tcPr>
                  <w:tcW w:w="1051" w:type="pct"/>
                  <w:vAlign w:val="center"/>
                </w:tcPr>
                <w:p>
                  <w:pPr>
                    <w:jc w:val="center"/>
                    <w:textAlignment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520" w:type="pct"/>
                  <w:vAlign w:val="center"/>
                </w:tcPr>
                <w:p>
                  <w:pPr>
                    <w:jc w:val="center"/>
                    <w:textAlignment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4</w:t>
                  </w:r>
                </w:p>
              </w:tc>
              <w:tc>
                <w:tcPr>
                  <w:tcW w:w="1808" w:type="pct"/>
                  <w:vAlign w:val="center"/>
                </w:tcPr>
                <w:p>
                  <w:pPr>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基础减振、墙壁隔声、消声器</w:t>
                  </w:r>
                </w:p>
              </w:tc>
              <w:tc>
                <w:tcPr>
                  <w:tcW w:w="1620" w:type="pct"/>
                  <w:vAlign w:val="center"/>
                </w:tcPr>
                <w:p>
                  <w:pPr>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1051" w:type="pct"/>
                  <w:vAlign w:val="center"/>
                </w:tcPr>
                <w:p>
                  <w:pPr>
                    <w:jc w:val="center"/>
                    <w:textAlignment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520" w:type="pct"/>
                  <w:vAlign w:val="center"/>
                </w:tcPr>
                <w:p>
                  <w:pPr>
                    <w:jc w:val="center"/>
                    <w:textAlignment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5</w:t>
                  </w:r>
                </w:p>
              </w:tc>
              <w:tc>
                <w:tcPr>
                  <w:tcW w:w="1808" w:type="pct"/>
                  <w:vAlign w:val="center"/>
                </w:tcPr>
                <w:p>
                  <w:pPr>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危险废物贮存库</w:t>
                  </w:r>
                </w:p>
              </w:tc>
              <w:tc>
                <w:tcPr>
                  <w:tcW w:w="1620" w:type="pct"/>
                  <w:vAlign w:val="center"/>
                </w:tcPr>
                <w:p>
                  <w:pPr>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10</w:t>
                  </w:r>
                  <w:r>
                    <w:rPr>
                      <w:rFonts w:hint="default" w:ascii="Times New Roman" w:hAnsi="Times New Roman" w:eastAsia="宋体" w:cs="Times New Roman"/>
                      <w:bCs/>
                      <w:color w:val="auto"/>
                      <w:kern w:val="0"/>
                      <w:sz w:val="21"/>
                      <w:szCs w:val="21"/>
                      <w:highlight w:val="none"/>
                      <w:lang w:val="en-US" w:eastAsia="zh-CN"/>
                    </w:rPr>
                    <w:t>m²</w:t>
                  </w:r>
                </w:p>
              </w:tc>
              <w:tc>
                <w:tcPr>
                  <w:tcW w:w="1051" w:type="pct"/>
                  <w:vAlign w:val="center"/>
                </w:tcPr>
                <w:p>
                  <w:pPr>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520" w:type="pct"/>
                  <w:vAlign w:val="center"/>
                </w:tcPr>
                <w:p>
                  <w:pPr>
                    <w:jc w:val="center"/>
                    <w:textAlignment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6</w:t>
                  </w:r>
                </w:p>
              </w:tc>
              <w:tc>
                <w:tcPr>
                  <w:tcW w:w="1808" w:type="pct"/>
                  <w:vAlign w:val="center"/>
                </w:tcPr>
                <w:p>
                  <w:pPr>
                    <w:jc w:val="center"/>
                    <w:textAlignment w:val="center"/>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烟气蒸发</w:t>
                  </w:r>
                  <w:r>
                    <w:rPr>
                      <w:rFonts w:hint="eastAsia" w:cs="Times New Roman"/>
                      <w:bCs/>
                      <w:color w:val="auto"/>
                      <w:sz w:val="21"/>
                      <w:szCs w:val="21"/>
                      <w:highlight w:val="none"/>
                      <w:lang w:val="en-US" w:eastAsia="zh-CN"/>
                    </w:rPr>
                    <w:t>系统</w:t>
                  </w:r>
                </w:p>
              </w:tc>
              <w:tc>
                <w:tcPr>
                  <w:tcW w:w="1620" w:type="pct"/>
                  <w:vAlign w:val="center"/>
                </w:tcPr>
                <w:p>
                  <w:pPr>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rPr>
                    <w:t>3套</w:t>
                  </w:r>
                </w:p>
              </w:tc>
              <w:tc>
                <w:tcPr>
                  <w:tcW w:w="1051" w:type="pct"/>
                  <w:vAlign w:val="center"/>
                </w:tcPr>
                <w:p>
                  <w:pPr>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520" w:type="pct"/>
                  <w:vAlign w:val="center"/>
                </w:tcPr>
                <w:p>
                  <w:pPr>
                    <w:jc w:val="center"/>
                    <w:textAlignment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8</w:t>
                  </w:r>
                </w:p>
              </w:tc>
              <w:tc>
                <w:tcPr>
                  <w:tcW w:w="1808" w:type="pct"/>
                  <w:vAlign w:val="center"/>
                </w:tcPr>
                <w:p>
                  <w:pPr>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生活垃圾桶</w:t>
                  </w:r>
                </w:p>
              </w:tc>
              <w:tc>
                <w:tcPr>
                  <w:tcW w:w="1620" w:type="pct"/>
                  <w:vAlign w:val="center"/>
                </w:tcPr>
                <w:p>
                  <w:pPr>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3个</w:t>
                  </w:r>
                </w:p>
              </w:tc>
              <w:tc>
                <w:tcPr>
                  <w:tcW w:w="1051" w:type="pct"/>
                  <w:vAlign w:val="center"/>
                </w:tcPr>
                <w:p>
                  <w:pPr>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328" w:type="pct"/>
                  <w:gridSpan w:val="2"/>
                  <w:vAlign w:val="center"/>
                </w:tcPr>
                <w:p>
                  <w:pPr>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合计</w:t>
                  </w:r>
                </w:p>
              </w:tc>
              <w:tc>
                <w:tcPr>
                  <w:tcW w:w="2671" w:type="pct"/>
                  <w:gridSpan w:val="2"/>
                  <w:vAlign w:val="center"/>
                </w:tcPr>
                <w:p>
                  <w:pPr>
                    <w:jc w:val="center"/>
                    <w:textAlignment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196.02</w:t>
                  </w:r>
                </w:p>
              </w:tc>
            </w:tr>
          </w:tbl>
          <w:p>
            <w:pPr>
              <w:autoSpaceDE w:val="0"/>
              <w:autoSpaceDN w:val="0"/>
              <w:adjustRightInd w:val="0"/>
              <w:spacing w:line="360" w:lineRule="auto"/>
              <w:ind w:firstLine="474" w:firstLineChars="197"/>
              <w:rPr>
                <w:rFonts w:hint="default" w:ascii="Times New Roman" w:hAnsi="宋体" w:eastAsia="宋体" w:cs="Times New Roman"/>
                <w:b/>
                <w:bCs/>
                <w:color w:val="auto"/>
                <w:sz w:val="24"/>
                <w:highlight w:val="none"/>
                <w:lang w:val="en-US" w:eastAsia="zh-CN"/>
              </w:rPr>
            </w:pPr>
            <w:r>
              <w:rPr>
                <w:rFonts w:hint="eastAsia" w:hAnsi="宋体" w:cs="Times New Roman"/>
                <w:b/>
                <w:bCs/>
                <w:color w:val="auto"/>
                <w:sz w:val="24"/>
                <w:highlight w:val="none"/>
                <w:lang w:val="en-US" w:eastAsia="zh-CN"/>
              </w:rPr>
              <w:t>10、水平衡分析</w:t>
            </w:r>
          </w:p>
          <w:p>
            <w:pPr>
              <w:autoSpaceDE w:val="0"/>
              <w:autoSpaceDN w:val="0"/>
              <w:adjustRightInd w:val="0"/>
              <w:spacing w:line="360" w:lineRule="auto"/>
              <w:ind w:firstLine="472" w:firstLineChars="197"/>
              <w:rPr>
                <w:rFonts w:hint="eastAsia" w:ascii="Times New Roman" w:hAnsi="宋体" w:eastAsia="宋体" w:cs="Times New Roman"/>
                <w:color w:val="auto"/>
                <w:sz w:val="24"/>
                <w:highlight w:val="none"/>
                <w:lang w:val="en-US" w:eastAsia="zh-CN"/>
              </w:rPr>
            </w:pPr>
            <w:r>
              <w:rPr>
                <w:rFonts w:hint="eastAsia" w:ascii="Times New Roman" w:hAnsi="宋体" w:eastAsia="宋体" w:cs="Times New Roman"/>
                <w:color w:val="auto"/>
                <w:sz w:val="24"/>
                <w:highlight w:val="none"/>
                <w:lang w:val="en-US" w:eastAsia="zh-CN"/>
              </w:rPr>
              <w:t>根据下文第四章节中废水污染物源强核算，本项目用排水情况如下：</w:t>
            </w:r>
          </w:p>
          <w:p>
            <w:pPr>
              <w:autoSpaceDE w:val="0"/>
              <w:autoSpaceDN w:val="0"/>
              <w:adjustRightInd w:val="0"/>
              <w:spacing w:line="360" w:lineRule="auto"/>
              <w:ind w:firstLine="472" w:firstLineChars="197"/>
              <w:rPr>
                <w:rFonts w:hint="default" w:ascii="Times New Roman" w:hAnsi="宋体" w:eastAsia="宋体" w:cs="Times New Roman"/>
                <w:color w:val="auto"/>
                <w:sz w:val="24"/>
                <w:highlight w:val="none"/>
                <w:lang w:val="en-US" w:eastAsia="zh-CN"/>
              </w:rPr>
            </w:pPr>
            <w:r>
              <w:rPr>
                <w:rFonts w:hint="eastAsia" w:ascii="Times New Roman" w:hAnsi="宋体" w:eastAsia="宋体" w:cs="Times New Roman"/>
                <w:color w:val="auto"/>
                <w:sz w:val="24"/>
                <w:highlight w:val="none"/>
                <w:lang w:val="en-US" w:eastAsia="zh-CN"/>
              </w:rPr>
              <w:t>海大供热锅炉：新鲜水用水量213246t/a，646.2</w:t>
            </w:r>
            <w:r>
              <w:rPr>
                <w:rFonts w:hint="default" w:ascii="Times New Roman" w:hAnsi="Times New Roman" w:eastAsia="宋体" w:cs="Times New Roman"/>
                <w:color w:val="auto"/>
                <w:sz w:val="24"/>
                <w:highlight w:val="none"/>
                <w:lang w:val="en-US" w:eastAsia="zh-CN"/>
              </w:rPr>
              <w:t>m³</w:t>
            </w:r>
            <w:r>
              <w:rPr>
                <w:rFonts w:hint="eastAsia" w:ascii="Times New Roman" w:hAnsi="宋体" w:eastAsia="宋体" w:cs="Times New Roman"/>
                <w:color w:val="auto"/>
                <w:sz w:val="24"/>
                <w:highlight w:val="none"/>
                <w:lang w:val="en-US" w:eastAsia="zh-CN"/>
              </w:rPr>
              <w:t>/d，产生的软化处理废水4156.2t/a，12.6</w:t>
            </w:r>
            <w:r>
              <w:rPr>
                <w:rFonts w:hint="default" w:ascii="Times New Roman" w:hAnsi="Times New Roman" w:eastAsia="宋体" w:cs="Times New Roman"/>
                <w:color w:val="auto"/>
                <w:sz w:val="24"/>
                <w:highlight w:val="none"/>
                <w:lang w:val="en-US" w:eastAsia="zh-CN"/>
              </w:rPr>
              <w:t>m³</w:t>
            </w:r>
            <w:r>
              <w:rPr>
                <w:rFonts w:hint="eastAsia" w:ascii="Times New Roman" w:hAnsi="宋体" w:eastAsia="宋体" w:cs="Times New Roman"/>
                <w:color w:val="auto"/>
                <w:sz w:val="24"/>
                <w:highlight w:val="none"/>
                <w:lang w:val="en-US" w:eastAsia="zh-CN"/>
              </w:rPr>
              <w:t>/d；锅炉排污水量11097.4t/a，33.6</w:t>
            </w:r>
            <w:r>
              <w:rPr>
                <w:rFonts w:hint="default" w:ascii="Times New Roman" w:hAnsi="Times New Roman" w:eastAsia="宋体" w:cs="Times New Roman"/>
                <w:color w:val="auto"/>
                <w:sz w:val="24"/>
                <w:highlight w:val="none"/>
                <w:lang w:val="en-US" w:eastAsia="zh-CN"/>
              </w:rPr>
              <w:t>m³</w:t>
            </w:r>
            <w:r>
              <w:rPr>
                <w:rFonts w:hint="eastAsia" w:ascii="Times New Roman" w:hAnsi="宋体" w:eastAsia="宋体" w:cs="Times New Roman"/>
                <w:color w:val="auto"/>
                <w:sz w:val="24"/>
                <w:highlight w:val="none"/>
                <w:lang w:val="en-US" w:eastAsia="zh-CN"/>
              </w:rPr>
              <w:t>/d。</w:t>
            </w:r>
          </w:p>
          <w:p>
            <w:pPr>
              <w:autoSpaceDE w:val="0"/>
              <w:autoSpaceDN w:val="0"/>
              <w:adjustRightInd w:val="0"/>
              <w:spacing w:line="360" w:lineRule="auto"/>
              <w:ind w:firstLine="472" w:firstLineChars="197"/>
              <w:rPr>
                <w:rFonts w:hint="default" w:ascii="Times New Roman" w:hAnsi="宋体" w:eastAsia="宋体" w:cs="Times New Roman"/>
                <w:color w:val="auto"/>
                <w:sz w:val="24"/>
                <w:highlight w:val="none"/>
                <w:lang w:val="en-US" w:eastAsia="zh-CN"/>
              </w:rPr>
            </w:pPr>
            <w:r>
              <w:rPr>
                <w:rFonts w:hint="eastAsia" w:ascii="Times New Roman" w:hAnsi="宋体" w:eastAsia="宋体" w:cs="Times New Roman"/>
                <w:color w:val="auto"/>
                <w:sz w:val="24"/>
                <w:highlight w:val="none"/>
                <w:lang w:val="en-US" w:eastAsia="zh-CN"/>
              </w:rPr>
              <w:t>特驱供热锅炉：新鲜水用水量221694t/a，671.8</w:t>
            </w:r>
            <w:r>
              <w:rPr>
                <w:rFonts w:hint="default" w:ascii="Times New Roman" w:hAnsi="Times New Roman" w:eastAsia="宋体" w:cs="Times New Roman"/>
                <w:color w:val="auto"/>
                <w:sz w:val="24"/>
                <w:highlight w:val="none"/>
                <w:lang w:val="en-US" w:eastAsia="zh-CN"/>
              </w:rPr>
              <w:t>m³</w:t>
            </w:r>
            <w:r>
              <w:rPr>
                <w:rFonts w:hint="eastAsia" w:ascii="Times New Roman" w:hAnsi="宋体" w:eastAsia="宋体" w:cs="Times New Roman"/>
                <w:color w:val="auto"/>
                <w:sz w:val="24"/>
                <w:highlight w:val="none"/>
                <w:lang w:val="en-US" w:eastAsia="zh-CN"/>
              </w:rPr>
              <w:t>/d，产生的软化处理废水4295.9t/a，13</w:t>
            </w:r>
            <w:r>
              <w:rPr>
                <w:rFonts w:hint="default" w:ascii="Times New Roman" w:hAnsi="Times New Roman" w:eastAsia="宋体" w:cs="Times New Roman"/>
                <w:color w:val="auto"/>
                <w:sz w:val="24"/>
                <w:highlight w:val="none"/>
                <w:lang w:val="en-US" w:eastAsia="zh-CN"/>
              </w:rPr>
              <w:t>m³</w:t>
            </w:r>
            <w:r>
              <w:rPr>
                <w:rFonts w:hint="eastAsia" w:ascii="Times New Roman" w:hAnsi="宋体" w:eastAsia="宋体" w:cs="Times New Roman"/>
                <w:color w:val="auto"/>
                <w:sz w:val="24"/>
                <w:highlight w:val="none"/>
                <w:lang w:val="en-US" w:eastAsia="zh-CN"/>
              </w:rPr>
              <w:t>/d；锅炉排污水量11470.5t/a，34.8</w:t>
            </w:r>
            <w:r>
              <w:rPr>
                <w:rFonts w:hint="default" w:ascii="Times New Roman" w:hAnsi="Times New Roman" w:eastAsia="宋体" w:cs="Times New Roman"/>
                <w:color w:val="auto"/>
                <w:sz w:val="24"/>
                <w:highlight w:val="none"/>
                <w:lang w:val="en-US" w:eastAsia="zh-CN"/>
              </w:rPr>
              <w:t>m³</w:t>
            </w:r>
            <w:r>
              <w:rPr>
                <w:rFonts w:hint="eastAsia" w:ascii="Times New Roman" w:hAnsi="宋体" w:eastAsia="宋体" w:cs="Times New Roman"/>
                <w:color w:val="auto"/>
                <w:sz w:val="24"/>
                <w:highlight w:val="none"/>
                <w:lang w:val="en-US" w:eastAsia="zh-CN"/>
              </w:rPr>
              <w:t>/d。</w:t>
            </w:r>
          </w:p>
          <w:p>
            <w:pPr>
              <w:autoSpaceDE w:val="0"/>
              <w:autoSpaceDN w:val="0"/>
              <w:adjustRightInd w:val="0"/>
              <w:spacing w:line="360" w:lineRule="auto"/>
              <w:ind w:firstLine="472" w:firstLineChars="197"/>
              <w:rPr>
                <w:rFonts w:hint="default" w:ascii="Times New Roman" w:hAnsi="宋体" w:eastAsia="宋体" w:cs="Times New Roman"/>
                <w:color w:val="auto"/>
                <w:sz w:val="24"/>
                <w:highlight w:val="none"/>
                <w:lang w:val="en-US" w:eastAsia="zh-CN"/>
              </w:rPr>
            </w:pPr>
            <w:r>
              <w:rPr>
                <w:rFonts w:hint="eastAsia" w:ascii="Times New Roman" w:hAnsi="宋体" w:eastAsia="宋体" w:cs="Times New Roman"/>
                <w:color w:val="auto"/>
                <w:sz w:val="24"/>
                <w:highlight w:val="none"/>
                <w:lang w:val="en-US" w:eastAsia="zh-CN"/>
              </w:rPr>
              <w:t>漓源供热锅炉：新鲜水用水量17028t/a，51.6</w:t>
            </w:r>
            <w:r>
              <w:rPr>
                <w:rFonts w:hint="default" w:ascii="Times New Roman" w:hAnsi="Times New Roman" w:eastAsia="宋体" w:cs="Times New Roman"/>
                <w:color w:val="auto"/>
                <w:sz w:val="24"/>
                <w:highlight w:val="none"/>
                <w:lang w:val="en-US" w:eastAsia="zh-CN"/>
              </w:rPr>
              <w:t>m³</w:t>
            </w:r>
            <w:r>
              <w:rPr>
                <w:rFonts w:hint="eastAsia" w:ascii="Times New Roman" w:hAnsi="宋体" w:eastAsia="宋体" w:cs="Times New Roman"/>
                <w:color w:val="auto"/>
                <w:sz w:val="24"/>
                <w:highlight w:val="none"/>
                <w:lang w:val="en-US" w:eastAsia="zh-CN"/>
              </w:rPr>
              <w:t>/d，产生的软化处理废水656.4t/a，1.0</w:t>
            </w:r>
            <w:r>
              <w:rPr>
                <w:rFonts w:hint="default" w:ascii="Times New Roman" w:hAnsi="Times New Roman" w:eastAsia="宋体" w:cs="Times New Roman"/>
                <w:color w:val="auto"/>
                <w:sz w:val="24"/>
                <w:highlight w:val="none"/>
                <w:lang w:val="en-US" w:eastAsia="zh-CN"/>
              </w:rPr>
              <w:t>m³</w:t>
            </w:r>
            <w:r>
              <w:rPr>
                <w:rFonts w:hint="eastAsia" w:ascii="Times New Roman" w:hAnsi="宋体" w:eastAsia="宋体" w:cs="Times New Roman"/>
                <w:color w:val="auto"/>
                <w:sz w:val="24"/>
                <w:highlight w:val="none"/>
                <w:lang w:val="en-US" w:eastAsia="zh-CN"/>
              </w:rPr>
              <w:t>/d；锅炉排污水量1752.6t/a，2.6</w:t>
            </w:r>
            <w:r>
              <w:rPr>
                <w:rFonts w:hint="default" w:ascii="Times New Roman" w:hAnsi="Times New Roman" w:eastAsia="宋体" w:cs="Times New Roman"/>
                <w:color w:val="auto"/>
                <w:sz w:val="24"/>
                <w:highlight w:val="none"/>
                <w:lang w:val="en-US" w:eastAsia="zh-CN"/>
              </w:rPr>
              <w:t>m³</w:t>
            </w:r>
            <w:r>
              <w:rPr>
                <w:rFonts w:hint="eastAsia" w:ascii="Times New Roman" w:hAnsi="宋体" w:eastAsia="宋体" w:cs="Times New Roman"/>
                <w:color w:val="auto"/>
                <w:sz w:val="24"/>
                <w:highlight w:val="none"/>
                <w:lang w:val="en-US" w:eastAsia="zh-CN"/>
              </w:rPr>
              <w:t>/d。</w:t>
            </w:r>
          </w:p>
          <w:p>
            <w:pPr>
              <w:autoSpaceDE w:val="0"/>
              <w:autoSpaceDN w:val="0"/>
              <w:adjustRightInd w:val="0"/>
              <w:spacing w:line="360" w:lineRule="auto"/>
              <w:ind w:firstLine="472" w:firstLineChars="197"/>
              <w:rPr>
                <w:rFonts w:hint="eastAsia" w:ascii="Times New Roman" w:hAnsi="宋体" w:eastAsia="宋体" w:cs="Times New Roman"/>
                <w:color w:val="auto"/>
                <w:sz w:val="24"/>
                <w:highlight w:val="none"/>
                <w:lang w:val="en-US" w:eastAsia="zh-CN"/>
              </w:rPr>
            </w:pPr>
            <w:r>
              <w:rPr>
                <w:rFonts w:hint="eastAsia" w:ascii="Times New Roman" w:hAnsi="宋体" w:eastAsia="宋体" w:cs="Times New Roman"/>
                <w:color w:val="auto"/>
                <w:sz w:val="24"/>
                <w:highlight w:val="none"/>
                <w:lang w:val="en-US" w:eastAsia="zh-CN"/>
              </w:rPr>
              <w:t>员工生活：用水量99t/a，0.3</w:t>
            </w:r>
            <w:r>
              <w:rPr>
                <w:rFonts w:hint="default" w:ascii="Times New Roman" w:hAnsi="Times New Roman" w:eastAsia="宋体" w:cs="Times New Roman"/>
                <w:color w:val="auto"/>
                <w:sz w:val="24"/>
                <w:highlight w:val="none"/>
                <w:lang w:val="en-US" w:eastAsia="zh-CN"/>
              </w:rPr>
              <w:t>m³</w:t>
            </w:r>
            <w:r>
              <w:rPr>
                <w:rFonts w:hint="eastAsia" w:ascii="Times New Roman" w:hAnsi="宋体" w:eastAsia="宋体" w:cs="Times New Roman"/>
                <w:color w:val="auto"/>
                <w:sz w:val="24"/>
                <w:highlight w:val="none"/>
                <w:lang w:val="en-US" w:eastAsia="zh-CN"/>
              </w:rPr>
              <w:t>/d，其中海大供热点及特驱供热点用水量79.2t/a，0.24</w:t>
            </w:r>
            <w:r>
              <w:rPr>
                <w:rFonts w:hint="default" w:ascii="Times New Roman" w:hAnsi="Times New Roman" w:eastAsia="宋体" w:cs="Times New Roman"/>
                <w:color w:val="auto"/>
                <w:sz w:val="24"/>
                <w:highlight w:val="none"/>
                <w:lang w:val="en-US" w:eastAsia="zh-CN"/>
              </w:rPr>
              <w:t>m³</w:t>
            </w:r>
            <w:r>
              <w:rPr>
                <w:rFonts w:hint="eastAsia" w:ascii="Times New Roman" w:hAnsi="宋体" w:eastAsia="宋体" w:cs="Times New Roman"/>
                <w:color w:val="auto"/>
                <w:sz w:val="24"/>
                <w:highlight w:val="none"/>
                <w:lang w:val="en-US" w:eastAsia="zh-CN"/>
              </w:rPr>
              <w:t>/d，污水量63.36t/a，0.192</w:t>
            </w:r>
            <w:r>
              <w:rPr>
                <w:rFonts w:hint="default" w:ascii="Times New Roman" w:hAnsi="Times New Roman" w:eastAsia="宋体" w:cs="Times New Roman"/>
                <w:color w:val="auto"/>
                <w:sz w:val="24"/>
                <w:highlight w:val="none"/>
                <w:lang w:val="en-US" w:eastAsia="zh-CN"/>
              </w:rPr>
              <w:t>m³</w:t>
            </w:r>
            <w:r>
              <w:rPr>
                <w:rFonts w:hint="eastAsia" w:ascii="Times New Roman" w:hAnsi="宋体" w:eastAsia="宋体" w:cs="Times New Roman"/>
                <w:color w:val="auto"/>
                <w:sz w:val="24"/>
                <w:highlight w:val="none"/>
                <w:lang w:val="en-US" w:eastAsia="zh-CN"/>
              </w:rPr>
              <w:t>/d。漓源供热点用水量19.8t/a，0.06</w:t>
            </w:r>
            <w:r>
              <w:rPr>
                <w:rFonts w:hint="default" w:ascii="Times New Roman" w:hAnsi="Times New Roman" w:eastAsia="宋体" w:cs="Times New Roman"/>
                <w:color w:val="auto"/>
                <w:sz w:val="24"/>
                <w:highlight w:val="none"/>
                <w:lang w:val="en-US" w:eastAsia="zh-CN"/>
              </w:rPr>
              <w:t>m³</w:t>
            </w:r>
            <w:r>
              <w:rPr>
                <w:rFonts w:hint="eastAsia" w:ascii="Times New Roman" w:hAnsi="宋体" w:eastAsia="宋体" w:cs="Times New Roman"/>
                <w:color w:val="auto"/>
                <w:sz w:val="24"/>
                <w:highlight w:val="none"/>
                <w:lang w:val="en-US" w:eastAsia="zh-CN"/>
              </w:rPr>
              <w:t>/d，污水量15.84t/a，0.048</w:t>
            </w:r>
            <w:r>
              <w:rPr>
                <w:rFonts w:hint="default" w:ascii="Times New Roman" w:hAnsi="Times New Roman" w:eastAsia="宋体" w:cs="Times New Roman"/>
                <w:color w:val="auto"/>
                <w:sz w:val="24"/>
                <w:highlight w:val="none"/>
                <w:lang w:val="en-US" w:eastAsia="zh-CN"/>
              </w:rPr>
              <w:t>m³</w:t>
            </w:r>
            <w:r>
              <w:rPr>
                <w:rFonts w:hint="eastAsia" w:ascii="Times New Roman" w:hAnsi="宋体" w:eastAsia="宋体" w:cs="Times New Roman"/>
                <w:color w:val="auto"/>
                <w:sz w:val="24"/>
                <w:highlight w:val="none"/>
                <w:lang w:val="en-US" w:eastAsia="zh-CN"/>
              </w:rPr>
              <w:t>/d，</w:t>
            </w:r>
          </w:p>
          <w:p>
            <w:pPr>
              <w:autoSpaceDE w:val="0"/>
              <w:autoSpaceDN w:val="0"/>
              <w:adjustRightInd w:val="0"/>
              <w:spacing w:line="360" w:lineRule="auto"/>
              <w:ind w:firstLine="472" w:firstLineChars="197"/>
              <w:rPr>
                <w:rFonts w:hint="eastAsia" w:ascii="Times New Roman" w:hAnsi="宋体" w:eastAsia="宋体" w:cs="Times New Roman"/>
                <w:color w:val="auto"/>
                <w:sz w:val="24"/>
                <w:highlight w:val="none"/>
                <w:lang w:val="en-US" w:eastAsia="zh-CN"/>
              </w:rPr>
            </w:pPr>
            <w:r>
              <w:rPr>
                <w:rFonts w:hint="eastAsia" w:hAnsi="宋体" w:cs="Times New Roman"/>
                <w:color w:val="auto"/>
                <w:sz w:val="24"/>
                <w:highlight w:val="none"/>
                <w:lang w:val="en-US" w:eastAsia="zh-CN"/>
              </w:rPr>
              <w:t>本项目</w:t>
            </w:r>
            <w:r>
              <w:rPr>
                <w:rFonts w:hint="eastAsia" w:ascii="Times New Roman" w:hAnsi="宋体" w:eastAsia="宋体" w:cs="Times New Roman"/>
                <w:color w:val="auto"/>
                <w:sz w:val="24"/>
                <w:highlight w:val="none"/>
                <w:lang w:val="en-US" w:eastAsia="zh-CN"/>
              </w:rPr>
              <w:t>水量平衡图见图</w:t>
            </w:r>
            <w:r>
              <w:rPr>
                <w:rFonts w:hint="eastAsia" w:hAnsi="宋体" w:cs="Times New Roman"/>
                <w:color w:val="auto"/>
                <w:sz w:val="24"/>
                <w:highlight w:val="none"/>
                <w:lang w:val="en-US" w:eastAsia="zh-CN"/>
              </w:rPr>
              <w:t>2-1</w:t>
            </w:r>
            <w:r>
              <w:rPr>
                <w:rFonts w:hint="eastAsia" w:ascii="Times New Roman" w:hAnsi="宋体" w:eastAsia="宋体" w:cs="Times New Roman"/>
                <w:color w:val="auto"/>
                <w:sz w:val="24"/>
                <w:highlight w:val="none"/>
                <w:lang w:val="en-US" w:eastAsia="zh-CN"/>
              </w:rPr>
              <w:t>所示。</w:t>
            </w:r>
          </w:p>
          <w:p>
            <w:pPr>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eastAsia"/>
                <w:b/>
                <w:color w:val="auto"/>
                <w:szCs w:val="21"/>
                <w:highlight w:val="none"/>
                <w:lang w:val="en-US" w:eastAsia="zh-CN"/>
              </w:rPr>
            </w:pPr>
            <w:r>
              <w:rPr>
                <w:color w:val="auto"/>
                <w:highlight w:val="none"/>
              </w:rPr>
              <w:object>
                <v:shape id="_x0000_i1025" o:spt="75" type="#_x0000_t75" style="height:426pt;width:397.5pt;" o:ole="t" filled="f" o:preferrelative="t" stroked="f" coordsize="21600,21600">
                  <v:path/>
                  <v:fill on="f" focussize="0,0"/>
                  <v:stroke on="f"/>
                  <v:imagedata r:id="rId34" o:title=""/>
                  <o:lock v:ext="edit" aspectratio="t"/>
                  <w10:wrap type="none"/>
                  <w10:anchorlock/>
                </v:shape>
                <o:OLEObject Type="Embed" ProgID="Visio.Drawing.11" ShapeID="_x0000_i1025" DrawAspect="Content" ObjectID="_1468075725" r:id="rId33">
                  <o:LockedField>false</o:LockedField>
                </o:OLEObject>
              </w:object>
            </w:r>
          </w:p>
          <w:p>
            <w:pPr>
              <w:pStyle w:val="98"/>
              <w:bidi w:val="0"/>
              <w:rPr>
                <w:rFonts w:hint="eastAsia" w:ascii="Times New Roman" w:hAnsi="Times New Roman" w:eastAsia="宋体" w:cs="Times New Roman"/>
                <w:b/>
                <w:color w:val="auto"/>
                <w:kern w:val="2"/>
                <w:sz w:val="21"/>
                <w:szCs w:val="21"/>
                <w:highlight w:val="none"/>
                <w:lang w:val="en-US" w:eastAsia="zh-CN" w:bidi="ar-SA"/>
              </w:rPr>
            </w:pPr>
            <w:r>
              <w:rPr>
                <w:rFonts w:hint="eastAsia" w:ascii="Times New Roman" w:hAnsi="Times New Roman" w:eastAsia="宋体" w:cs="Times New Roman"/>
                <w:b/>
                <w:color w:val="auto"/>
                <w:kern w:val="2"/>
                <w:sz w:val="21"/>
                <w:szCs w:val="21"/>
                <w:highlight w:val="none"/>
                <w:lang w:val="en-US" w:eastAsia="zh-CN" w:bidi="ar-SA"/>
              </w:rPr>
              <w:t>图2-1项目水平衡图（单位m</w:t>
            </w:r>
            <w:r>
              <w:rPr>
                <w:rFonts w:hint="default" w:ascii="Times New Roman" w:hAnsi="Times New Roman" w:eastAsia="宋体" w:cs="Times New Roman"/>
                <w:b/>
                <w:color w:val="auto"/>
                <w:kern w:val="2"/>
                <w:sz w:val="21"/>
                <w:szCs w:val="21"/>
                <w:highlight w:val="none"/>
                <w:lang w:val="en-US" w:eastAsia="zh-CN" w:bidi="ar-SA"/>
              </w:rPr>
              <w:t>³</w:t>
            </w:r>
            <w:r>
              <w:rPr>
                <w:rFonts w:hint="eastAsia" w:ascii="Times New Roman" w:hAnsi="Times New Roman" w:eastAsia="宋体" w:cs="Times New Roman"/>
                <w:b/>
                <w:color w:val="auto"/>
                <w:kern w:val="2"/>
                <w:sz w:val="21"/>
                <w:szCs w:val="21"/>
                <w:highlight w:val="none"/>
                <w:lang w:val="en-US" w:eastAsia="zh-CN" w:bidi="ar-SA"/>
              </w:rPr>
              <w:t>/d）</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eastAsia="宋体" w:cs="Times New Roman"/>
                <w:bCs/>
                <w:color w:val="auto"/>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4" w:type="dxa"/>
            <w:noWrap w:val="0"/>
            <w:vAlign w:val="center"/>
          </w:tcPr>
          <w:p>
            <w:pPr>
              <w:pStyle w:val="27"/>
              <w:keepNext w:val="0"/>
              <w:keepLines w:val="0"/>
              <w:pageBreakBefore w:val="0"/>
              <w:kinsoku/>
              <w:wordWrap/>
              <w:overflowPunct/>
              <w:topLinePunct w:val="0"/>
              <w:bidi w:val="0"/>
              <w:adjustRightInd w:val="0"/>
              <w:snapToGrid w:val="0"/>
              <w:spacing w:before="0" w:beforeAutospacing="0" w:after="0" w:afterAutospacing="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工艺流程和产排污环节</w:t>
            </w:r>
          </w:p>
        </w:tc>
        <w:tc>
          <w:tcPr>
            <w:tcW w:w="9003" w:type="dxa"/>
            <w:noWrap w:val="0"/>
            <w:vAlign w:val="top"/>
          </w:tcPr>
          <w:p>
            <w:pPr>
              <w:keepNext w:val="0"/>
              <w:keepLines w:val="0"/>
              <w:pageBreakBefore w:val="0"/>
              <w:widowControl w:val="0"/>
              <w:kinsoku/>
              <w:wordWrap/>
              <w:overflowPunct/>
              <w:topLinePunct w:val="0"/>
              <w:autoSpaceDE/>
              <w:autoSpaceDN/>
              <w:bidi w:val="0"/>
              <w:adjustRightInd/>
              <w:snapToGrid/>
              <w:spacing w:before="313" w:beforeLines="100" w:line="360" w:lineRule="auto"/>
              <w:ind w:firstLine="481" w:firstLineChars="200"/>
              <w:textAlignment w:val="auto"/>
              <w:rPr>
                <w:rFonts w:hint="eastAsia"/>
                <w:b/>
                <w:color w:val="auto"/>
                <w:sz w:val="24"/>
                <w:szCs w:val="24"/>
                <w:highlight w:val="none"/>
                <w:lang w:val="en-US" w:eastAsia="zh-CN"/>
              </w:rPr>
            </w:pPr>
            <w:r>
              <w:rPr>
                <w:rFonts w:hint="eastAsia"/>
                <w:b/>
                <w:color w:val="auto"/>
                <w:sz w:val="24"/>
                <w:szCs w:val="24"/>
                <w:highlight w:val="none"/>
                <w:lang w:val="en-US" w:eastAsia="zh-CN"/>
              </w:rPr>
              <w:t>一、施工期工艺流程和产排污环节</w:t>
            </w:r>
          </w:p>
          <w:p>
            <w:pPr>
              <w:keepNext w:val="0"/>
              <w:keepLines w:val="0"/>
              <w:pageBreakBefore w:val="0"/>
              <w:kinsoku/>
              <w:wordWrap/>
              <w:overflowPunct/>
              <w:topLinePunct w:val="0"/>
              <w:autoSpaceDE w:val="0"/>
              <w:autoSpaceDN w:val="0"/>
              <w:bidi w:val="0"/>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本项目施工期主要以锅炉设备及配套除尘设施安装为主，不涉及土建工程。施工期产生的污染物主要是运输车辆尾气、施工器械燃油废气、施工人员生活污水、施工器械及运输车辆噪声。</w:t>
            </w:r>
          </w:p>
          <w:p>
            <w:pPr>
              <w:keepNext w:val="0"/>
              <w:keepLines w:val="0"/>
              <w:pageBreakBefore w:val="0"/>
              <w:kinsoku/>
              <w:wordWrap/>
              <w:overflowPunct/>
              <w:topLinePunct w:val="0"/>
              <w:autoSpaceDE w:val="0"/>
              <w:autoSpaceDN w:val="0"/>
              <w:bidi w:val="0"/>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施工期施工流程及各阶段产污环节见</w:t>
            </w:r>
            <w:r>
              <w:rPr>
                <w:rFonts w:hint="eastAsia" w:cs="Times New Roman"/>
                <w:color w:val="auto"/>
                <w:sz w:val="24"/>
                <w:szCs w:val="24"/>
                <w:highlight w:val="none"/>
                <w:lang w:val="en-US" w:eastAsia="zh-CN"/>
              </w:rPr>
              <w:t>下图</w:t>
            </w:r>
            <w:r>
              <w:rPr>
                <w:rFonts w:hint="eastAsia" w:ascii="Times New Roman" w:hAnsi="Times New Roman" w:eastAsia="宋体" w:cs="Times New Roman"/>
                <w:color w:val="auto"/>
                <w:sz w:val="24"/>
                <w:szCs w:val="24"/>
                <w:highlight w:val="none"/>
                <w:lang w:val="en-US" w:eastAsia="zh-CN"/>
              </w:rPr>
              <w:t>。</w:t>
            </w:r>
          </w:p>
          <w:p>
            <w:pPr>
              <w:pStyle w:val="49"/>
              <w:bidi w:val="0"/>
              <w:rPr>
                <w:rFonts w:hint="eastAsia"/>
                <w:color w:val="auto"/>
                <w:highlight w:val="none"/>
                <w:lang w:val="en-US" w:eastAsia="zh-CN"/>
              </w:rPr>
            </w:pPr>
            <w:r>
              <w:rPr>
                <w:rFonts w:hint="eastAsia"/>
                <w:color w:val="auto"/>
                <w:highlight w:val="none"/>
                <w:lang w:val="en-US" w:eastAsia="zh-CN"/>
              </w:rPr>
              <w:drawing>
                <wp:inline distT="0" distB="0" distL="114300" distR="114300">
                  <wp:extent cx="3052445" cy="3085465"/>
                  <wp:effectExtent l="0" t="0" r="0" b="0"/>
                  <wp:docPr id="2" name="ECB019B1-382A-4266-B25C-5B523AA43C14-1" descr="C:/Users/ASUS/AppData/Local/Temp/wps.aqRfCBwps"/>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ECB019B1-382A-4266-B25C-5B523AA43C14-1" descr="C:/Users/ASUS/AppData/Local/Temp/wps.aqRfCBwps"/>
                          <pic:cNvPicPr>
                            <a:picLocks noChangeAspect="true"/>
                          </pic:cNvPicPr>
                        </pic:nvPicPr>
                        <pic:blipFill>
                          <a:blip r:embed="rId35"/>
                          <a:stretch>
                            <a:fillRect/>
                          </a:stretch>
                        </pic:blipFill>
                        <pic:spPr>
                          <a:xfrm>
                            <a:off x="0" y="0"/>
                            <a:ext cx="3052445" cy="3085465"/>
                          </a:xfrm>
                          <a:prstGeom prst="rect">
                            <a:avLst/>
                          </a:prstGeom>
                        </pic:spPr>
                      </pic:pic>
                    </a:graphicData>
                  </a:graphic>
                </wp:inline>
              </w:drawing>
            </w:r>
          </w:p>
          <w:p>
            <w:pPr>
              <w:pStyle w:val="98"/>
              <w:bidi w:val="0"/>
              <w:rPr>
                <w:rFonts w:hint="default" w:ascii="Times New Roman" w:hAnsi="Times New Roman" w:eastAsia="宋体" w:cs="Times New Roman"/>
                <w:b/>
                <w:color w:val="auto"/>
                <w:kern w:val="2"/>
                <w:sz w:val="21"/>
                <w:szCs w:val="21"/>
                <w:highlight w:val="none"/>
                <w:lang w:val="en-US" w:eastAsia="zh-CN" w:bidi="ar-SA"/>
              </w:rPr>
            </w:pPr>
            <w:r>
              <w:rPr>
                <w:rFonts w:hint="eastAsia" w:ascii="Times New Roman" w:hAnsi="Times New Roman" w:eastAsia="宋体" w:cs="Times New Roman"/>
                <w:b/>
                <w:color w:val="auto"/>
                <w:kern w:val="2"/>
                <w:sz w:val="21"/>
                <w:szCs w:val="21"/>
                <w:highlight w:val="none"/>
                <w:lang w:val="en-US" w:eastAsia="zh-CN" w:bidi="ar-SA"/>
              </w:rPr>
              <w:t>图2-</w:t>
            </w:r>
            <w:r>
              <w:rPr>
                <w:rFonts w:hint="eastAsia" w:eastAsia="宋体" w:cs="Times New Roman"/>
                <w:b/>
                <w:color w:val="auto"/>
                <w:kern w:val="2"/>
                <w:sz w:val="21"/>
                <w:szCs w:val="21"/>
                <w:highlight w:val="none"/>
                <w:lang w:val="en-US" w:eastAsia="zh-CN" w:bidi="ar-SA"/>
              </w:rPr>
              <w:t>2</w:t>
            </w:r>
            <w:r>
              <w:rPr>
                <w:rFonts w:hint="eastAsia" w:ascii="Times New Roman" w:hAnsi="Times New Roman" w:eastAsia="宋体" w:cs="Times New Roman"/>
                <w:b/>
                <w:color w:val="auto"/>
                <w:kern w:val="2"/>
                <w:sz w:val="21"/>
                <w:szCs w:val="21"/>
                <w:highlight w:val="none"/>
                <w:lang w:val="en-US" w:eastAsia="zh-CN" w:bidi="ar-SA"/>
              </w:rPr>
              <w:t>施工期工艺流程及产污节点图</w:t>
            </w:r>
          </w:p>
          <w:p>
            <w:pPr>
              <w:keepNext w:val="0"/>
              <w:keepLines w:val="0"/>
              <w:pageBreakBefore w:val="0"/>
              <w:widowControl w:val="0"/>
              <w:kinsoku/>
              <w:wordWrap/>
              <w:overflowPunct/>
              <w:topLinePunct w:val="0"/>
              <w:autoSpaceDE/>
              <w:autoSpaceDN/>
              <w:bidi w:val="0"/>
              <w:adjustRightInd/>
              <w:snapToGrid/>
              <w:spacing w:before="313" w:beforeLines="100" w:line="360" w:lineRule="auto"/>
              <w:ind w:firstLine="481" w:firstLineChars="200"/>
              <w:textAlignment w:val="auto"/>
              <w:rPr>
                <w:rFonts w:hint="eastAsia"/>
                <w:b/>
                <w:color w:val="auto"/>
                <w:sz w:val="24"/>
                <w:szCs w:val="24"/>
                <w:highlight w:val="none"/>
                <w:lang w:val="en-US" w:eastAsia="zh-CN"/>
              </w:rPr>
            </w:pPr>
            <w:r>
              <w:rPr>
                <w:rFonts w:hint="eastAsia"/>
                <w:b/>
                <w:color w:val="auto"/>
                <w:sz w:val="24"/>
                <w:szCs w:val="24"/>
                <w:highlight w:val="none"/>
                <w:lang w:val="en-US" w:eastAsia="zh-CN"/>
              </w:rPr>
              <w:t>二、运营期工艺流程和产排污环节</w:t>
            </w:r>
          </w:p>
          <w:p>
            <w:pPr>
              <w:keepNext w:val="0"/>
              <w:keepLines w:val="0"/>
              <w:pageBreakBefore w:val="0"/>
              <w:kinsoku/>
              <w:wordWrap/>
              <w:overflowPunct/>
              <w:topLinePunct w:val="0"/>
              <w:autoSpaceDE w:val="0"/>
              <w:autoSpaceDN w:val="0"/>
              <w:bidi w:val="0"/>
              <w:snapToGrid/>
              <w:spacing w:line="360" w:lineRule="auto"/>
              <w:ind w:firstLine="481"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1、工艺流程及产排污环节</w:t>
            </w:r>
          </w:p>
          <w:p>
            <w:pPr>
              <w:keepNext w:val="0"/>
              <w:keepLines w:val="0"/>
              <w:pageBreakBefore w:val="0"/>
              <w:kinsoku/>
              <w:wordWrap/>
              <w:overflowPunct/>
              <w:topLinePunct w:val="0"/>
              <w:autoSpaceDE w:val="0"/>
              <w:autoSpaceDN w:val="0"/>
              <w:bidi w:val="0"/>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项目运营期工艺流程和产排污环节见图2-</w:t>
            </w:r>
            <w:r>
              <w:rPr>
                <w:rFonts w:hint="eastAsia"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w:t>
            </w:r>
          </w:p>
          <w:p>
            <w:pPr>
              <w:adjustRightInd w:val="0"/>
              <w:snapToGrid w:val="0"/>
              <w:spacing w:line="360" w:lineRule="auto"/>
              <w:jc w:val="center"/>
              <w:rPr>
                <w:rFonts w:hint="eastAsia"/>
                <w:b/>
                <w:color w:val="auto"/>
                <w:szCs w:val="21"/>
                <w:highlight w:val="none"/>
                <w:lang w:val="en-US" w:eastAsia="zh-CN"/>
              </w:rPr>
            </w:pPr>
            <w:r>
              <w:rPr>
                <w:rFonts w:hint="eastAsia"/>
                <w:b/>
                <w:color w:val="auto"/>
                <w:szCs w:val="21"/>
                <w:highlight w:val="none"/>
                <w:lang w:val="en-US" w:eastAsia="zh-CN"/>
              </w:rPr>
              <w:object>
                <v:shape id="_x0000_i1026" o:spt="75" type="#_x0000_t75" style="height:307.9pt;width:445pt;" o:ole="t" filled="f" o:preferrelative="t" stroked="f" coordsize="21600,21600">
                  <v:path/>
                  <v:fill on="f" focussize="0,0"/>
                  <v:stroke on="f"/>
                  <v:imagedata r:id="rId37" o:title=""/>
                  <o:lock v:ext="edit" aspectratio="f"/>
                  <w10:wrap type="none"/>
                  <w10:anchorlock/>
                </v:shape>
                <o:OLEObject Type="Embed" ProgID="Visio.Drawing.11" ShapeID="_x0000_i1026" DrawAspect="Content" ObjectID="_1468075726" r:id="rId36">
                  <o:LockedField>false</o:LockedField>
                </o:OLEObject>
              </w:object>
            </w:r>
          </w:p>
          <w:p>
            <w:pPr>
              <w:adjustRightInd w:val="0"/>
              <w:snapToGrid w:val="0"/>
              <w:spacing w:line="360" w:lineRule="auto"/>
              <w:jc w:val="center"/>
              <w:rPr>
                <w:rFonts w:hint="eastAsia"/>
                <w:b/>
                <w:color w:val="auto"/>
                <w:szCs w:val="21"/>
                <w:highlight w:val="none"/>
                <w:lang w:val="en-US" w:eastAsia="zh-CN"/>
              </w:rPr>
            </w:pPr>
            <w:r>
              <w:rPr>
                <w:rFonts w:hint="eastAsia"/>
                <w:b/>
                <w:color w:val="auto"/>
                <w:szCs w:val="21"/>
                <w:highlight w:val="none"/>
                <w:lang w:val="en-US" w:eastAsia="zh-CN"/>
              </w:rPr>
              <w:t>图2-3项目运营期工艺流程及产污节点图</w:t>
            </w:r>
          </w:p>
          <w:p>
            <w:pPr>
              <w:keepNext w:val="0"/>
              <w:keepLines w:val="0"/>
              <w:pageBreakBefore w:val="0"/>
              <w:kinsoku/>
              <w:wordWrap/>
              <w:overflowPunct/>
              <w:topLinePunct w:val="0"/>
              <w:autoSpaceDE w:val="0"/>
              <w:autoSpaceDN w:val="0"/>
              <w:bidi w:val="0"/>
              <w:snapToGrid/>
              <w:spacing w:line="360" w:lineRule="auto"/>
              <w:ind w:firstLine="481"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2、</w:t>
            </w:r>
            <w:r>
              <w:rPr>
                <w:rFonts w:hint="eastAsia" w:ascii="Times New Roman" w:hAnsi="Times New Roman" w:eastAsia="宋体" w:cs="Times New Roman"/>
                <w:b/>
                <w:bCs/>
                <w:color w:val="auto"/>
                <w:sz w:val="24"/>
                <w:szCs w:val="24"/>
                <w:highlight w:val="none"/>
                <w:lang w:val="en-US" w:eastAsia="zh-CN"/>
              </w:rPr>
              <w:t>工艺流程简述：</w:t>
            </w:r>
          </w:p>
          <w:p>
            <w:pPr>
              <w:keepNext w:val="0"/>
              <w:keepLines w:val="0"/>
              <w:pageBreakBefore w:val="0"/>
              <w:kinsoku/>
              <w:wordWrap/>
              <w:overflowPunct/>
              <w:topLinePunct w:val="0"/>
              <w:autoSpaceDE w:val="0"/>
              <w:autoSpaceDN w:val="0"/>
              <w:bidi w:val="0"/>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本项目蒸汽锅炉采用</w:t>
            </w:r>
            <w:r>
              <w:rPr>
                <w:rFonts w:hint="eastAsia" w:cs="Times New Roman"/>
                <w:b w:val="0"/>
                <w:bCs w:val="0"/>
                <w:color w:val="auto"/>
                <w:sz w:val="24"/>
                <w:szCs w:val="24"/>
                <w:highlight w:val="none"/>
                <w:lang w:val="en-US" w:eastAsia="zh-CN"/>
              </w:rPr>
              <w:t>固体生物质</w:t>
            </w:r>
            <w:r>
              <w:rPr>
                <w:rFonts w:hint="default" w:ascii="Times New Roman" w:hAnsi="Times New Roman" w:eastAsia="宋体" w:cs="Times New Roman"/>
                <w:b w:val="0"/>
                <w:bCs w:val="0"/>
                <w:color w:val="auto"/>
                <w:sz w:val="24"/>
                <w:szCs w:val="24"/>
                <w:highlight w:val="none"/>
                <w:lang w:val="en-US" w:eastAsia="zh-CN"/>
              </w:rPr>
              <w:t>作为燃料，由昆明腾元禾农林科技有限公司运输至项目</w:t>
            </w:r>
            <w:r>
              <w:rPr>
                <w:rFonts w:hint="eastAsia" w:cs="Times New Roman"/>
                <w:b w:val="0"/>
                <w:bCs w:val="0"/>
                <w:color w:val="auto"/>
                <w:sz w:val="24"/>
                <w:szCs w:val="24"/>
                <w:highlight w:val="none"/>
                <w:lang w:val="en-US" w:eastAsia="zh-CN"/>
              </w:rPr>
              <w:t>供热点</w:t>
            </w:r>
            <w:r>
              <w:rPr>
                <w:rFonts w:hint="default" w:ascii="Times New Roman" w:hAnsi="Times New Roman" w:eastAsia="宋体" w:cs="Times New Roman"/>
                <w:b w:val="0"/>
                <w:bCs w:val="0"/>
                <w:color w:val="auto"/>
                <w:sz w:val="24"/>
                <w:szCs w:val="24"/>
                <w:highlight w:val="none"/>
                <w:lang w:val="en-US" w:eastAsia="zh-CN"/>
              </w:rPr>
              <w:t>，经人工送至料仓，经过皮带运输机送至上料系统进入炉膛燃烧，自来水经过软水制备系统进行软化后供给锅炉，锅炉产生的蒸汽提供给企业。燃烧废气经过多管旋风除尘器+布袋除尘器处理后从烟囱排放。软水制备产生的废水及锅炉排污水经管道接入烟气蒸发器蒸发处理。蒸汽经供汽管道输送至用汽企业使用后，不回收，不建设蒸汽回收管道。</w:t>
            </w:r>
          </w:p>
          <w:p>
            <w:pPr>
              <w:keepNext w:val="0"/>
              <w:keepLines w:val="0"/>
              <w:pageBreakBefore w:val="0"/>
              <w:kinsoku/>
              <w:wordWrap/>
              <w:overflowPunct/>
              <w:topLinePunct w:val="0"/>
              <w:autoSpaceDE w:val="0"/>
              <w:autoSpaceDN w:val="0"/>
              <w:bidi w:val="0"/>
              <w:snapToGrid/>
              <w:spacing w:line="360" w:lineRule="auto"/>
              <w:ind w:firstLine="481"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3</w:t>
            </w:r>
            <w:r>
              <w:rPr>
                <w:rFonts w:hint="eastAsia" w:ascii="Times New Roman" w:hAnsi="Times New Roman" w:eastAsia="宋体" w:cs="Times New Roman"/>
                <w:b/>
                <w:bCs/>
                <w:color w:val="auto"/>
                <w:sz w:val="24"/>
                <w:szCs w:val="24"/>
                <w:highlight w:val="none"/>
                <w:lang w:val="en-US" w:eastAsia="zh-CN"/>
              </w:rPr>
              <w:t>、主要污染源与污染因子识别</w:t>
            </w:r>
          </w:p>
          <w:p>
            <w:pPr>
              <w:keepNext w:val="0"/>
              <w:keepLines w:val="0"/>
              <w:pageBreakBefore w:val="0"/>
              <w:kinsoku/>
              <w:wordWrap/>
              <w:overflowPunct/>
              <w:topLinePunct w:val="0"/>
              <w:autoSpaceDE w:val="0"/>
              <w:autoSpaceDN w:val="0"/>
              <w:bidi w:val="0"/>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w:t>
            </w:r>
            <w:r>
              <w:rPr>
                <w:rFonts w:hint="eastAsia" w:cs="Times New Roman"/>
                <w:color w:val="auto"/>
                <w:sz w:val="24"/>
                <w:szCs w:val="24"/>
                <w:highlight w:val="none"/>
                <w:lang w:val="en-US" w:eastAsia="zh-CN"/>
              </w:rPr>
              <w:t>运营期</w:t>
            </w:r>
            <w:r>
              <w:rPr>
                <w:rFonts w:hint="eastAsia" w:ascii="Times New Roman" w:hAnsi="Times New Roman" w:eastAsia="宋体" w:cs="Times New Roman"/>
                <w:color w:val="auto"/>
                <w:sz w:val="24"/>
                <w:szCs w:val="24"/>
                <w:highlight w:val="none"/>
                <w:lang w:val="en-US" w:eastAsia="zh-CN"/>
              </w:rPr>
              <w:t>产生的污染物主要为</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锅炉</w:t>
            </w:r>
            <w:r>
              <w:rPr>
                <w:rFonts w:hint="eastAsia" w:cs="Times New Roman"/>
                <w:color w:val="auto"/>
                <w:sz w:val="24"/>
                <w:szCs w:val="24"/>
                <w:highlight w:val="none"/>
                <w:lang w:val="en-US" w:eastAsia="zh-CN"/>
              </w:rPr>
              <w:t>烟气、</w:t>
            </w:r>
            <w:r>
              <w:rPr>
                <w:rFonts w:hint="eastAsia" w:ascii="Times New Roman" w:hAnsi="Times New Roman" w:eastAsia="宋体" w:cs="Times New Roman"/>
                <w:color w:val="auto"/>
                <w:sz w:val="24"/>
                <w:szCs w:val="24"/>
                <w:highlight w:val="none"/>
                <w:lang w:val="en-US" w:eastAsia="zh-CN"/>
              </w:rPr>
              <w:t>无组织粉尘</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软水处理废水、锅炉</w:t>
            </w:r>
            <w:r>
              <w:rPr>
                <w:rFonts w:hint="eastAsia" w:cs="Times New Roman"/>
                <w:color w:val="auto"/>
                <w:sz w:val="24"/>
                <w:szCs w:val="24"/>
                <w:highlight w:val="none"/>
                <w:lang w:val="en-US" w:eastAsia="zh-CN"/>
              </w:rPr>
              <w:t>排污</w:t>
            </w:r>
            <w:r>
              <w:rPr>
                <w:rFonts w:hint="eastAsia" w:ascii="Times New Roman" w:hAnsi="Times New Roman" w:eastAsia="宋体" w:cs="Times New Roman"/>
                <w:color w:val="auto"/>
                <w:sz w:val="24"/>
                <w:szCs w:val="24"/>
                <w:highlight w:val="none"/>
                <w:lang w:val="en-US" w:eastAsia="zh-CN"/>
              </w:rPr>
              <w:t>水</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风机、泵体运作噪声，炉渣、除尘灰、</w:t>
            </w:r>
            <w:r>
              <w:rPr>
                <w:rFonts w:hint="eastAsia" w:cs="Times New Roman"/>
                <w:color w:val="auto"/>
                <w:sz w:val="24"/>
                <w:szCs w:val="24"/>
                <w:highlight w:val="none"/>
                <w:lang w:val="en-US" w:eastAsia="zh-CN"/>
              </w:rPr>
              <w:t>废弃</w:t>
            </w:r>
            <w:r>
              <w:rPr>
                <w:rFonts w:hint="eastAsia" w:ascii="Times New Roman" w:hAnsi="Times New Roman" w:eastAsia="宋体" w:cs="Times New Roman"/>
                <w:color w:val="auto"/>
                <w:sz w:val="24"/>
                <w:szCs w:val="24"/>
                <w:highlight w:val="none"/>
                <w:lang w:val="en-US" w:eastAsia="zh-CN"/>
              </w:rPr>
              <w:t>离子交换树脂。</w:t>
            </w:r>
          </w:p>
          <w:p>
            <w:pPr>
              <w:keepNext w:val="0"/>
              <w:keepLines w:val="0"/>
              <w:pageBreakBefore w:val="0"/>
              <w:kinsoku/>
              <w:wordWrap/>
              <w:overflowPunct/>
              <w:topLinePunct w:val="0"/>
              <w:autoSpaceDE w:val="0"/>
              <w:autoSpaceDN w:val="0"/>
              <w:bidi w:val="0"/>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根据项目特点，项目营运期主要污染源与污染因子</w:t>
            </w:r>
            <w:r>
              <w:rPr>
                <w:rFonts w:hint="eastAsia" w:cs="Times New Roman"/>
                <w:color w:val="auto"/>
                <w:sz w:val="24"/>
                <w:szCs w:val="24"/>
                <w:highlight w:val="none"/>
                <w:lang w:val="en-US" w:eastAsia="zh-CN"/>
              </w:rPr>
              <w:t>识别</w:t>
            </w:r>
            <w:r>
              <w:rPr>
                <w:rFonts w:hint="eastAsia" w:ascii="Times New Roman" w:hAnsi="Times New Roman" w:eastAsia="宋体" w:cs="Times New Roman"/>
                <w:color w:val="auto"/>
                <w:sz w:val="24"/>
                <w:szCs w:val="24"/>
                <w:highlight w:val="none"/>
                <w:lang w:val="en-US" w:eastAsia="zh-CN"/>
              </w:rPr>
              <w:t>见下表。</w:t>
            </w:r>
          </w:p>
          <w:p>
            <w:pPr>
              <w:pStyle w:val="4"/>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w:t>
            </w:r>
            <w:r>
              <w:rPr>
                <w:rFonts w:hint="eastAsia" w:cs="Times New Roman"/>
                <w:b/>
                <w:bCs/>
                <w:color w:val="auto"/>
                <w:sz w:val="21"/>
                <w:szCs w:val="21"/>
                <w:highlight w:val="none"/>
                <w:lang w:val="en-US" w:eastAsia="zh-CN"/>
              </w:rPr>
              <w:t>9</w:t>
            </w:r>
            <w:r>
              <w:rPr>
                <w:rFonts w:hint="eastAsia" w:ascii="Times New Roman" w:hAnsi="Times New Roman" w:eastAsia="宋体" w:cs="Times New Roman"/>
                <w:b/>
                <w:bCs/>
                <w:color w:val="auto"/>
                <w:sz w:val="21"/>
                <w:szCs w:val="21"/>
                <w:highlight w:val="none"/>
                <w:lang w:val="en-US" w:eastAsia="zh-CN"/>
              </w:rPr>
              <w:t>项目营运期主要污染源与污染因子识别表</w:t>
            </w:r>
          </w:p>
          <w:tbl>
            <w:tblPr>
              <w:tblStyle w:val="29"/>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67"/>
              <w:gridCol w:w="1865"/>
              <w:gridCol w:w="1785"/>
              <w:gridCol w:w="39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8" w:type="pct"/>
                  <w:gridSpan w:val="2"/>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类别</w:t>
                  </w:r>
                </w:p>
              </w:tc>
              <w:tc>
                <w:tcPr>
                  <w:tcW w:w="1017"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产污环节</w:t>
                  </w:r>
                </w:p>
              </w:tc>
              <w:tc>
                <w:tcPr>
                  <w:tcW w:w="2254"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污染物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65" w:type="pct"/>
                  <w:vMerge w:val="restar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废气</w:t>
                  </w:r>
                </w:p>
              </w:tc>
              <w:tc>
                <w:tcPr>
                  <w:tcW w:w="1063"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锅炉烟气</w:t>
                  </w:r>
                </w:p>
              </w:tc>
              <w:tc>
                <w:tcPr>
                  <w:tcW w:w="1017"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生物质燃烧</w:t>
                  </w:r>
                </w:p>
              </w:tc>
              <w:tc>
                <w:tcPr>
                  <w:tcW w:w="2254"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颗粒物、二氧化硫、氮氧化物、烟气黑度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65" w:type="pct"/>
                  <w:vMerge w:val="continue"/>
                  <w:tcBorders>
                    <w:tl2br w:val="nil"/>
                    <w:tr2bl w:val="nil"/>
                  </w:tcBorders>
                  <w:noWrap w:val="0"/>
                  <w:vAlign w:val="center"/>
                </w:tcPr>
                <w:p>
                  <w:pPr>
                    <w:pStyle w:val="49"/>
                    <w:bidi w:val="0"/>
                    <w:jc w:val="center"/>
                    <w:rPr>
                      <w:rFonts w:hint="eastAsia" w:ascii="Times New Roman" w:hAnsi="Times New Roman" w:eastAsia="宋体" w:cs="Times New Roman"/>
                      <w:color w:val="auto"/>
                      <w:highlight w:val="none"/>
                      <w:lang w:val="en-US" w:eastAsia="zh-CN"/>
                    </w:rPr>
                  </w:pPr>
                </w:p>
              </w:tc>
              <w:tc>
                <w:tcPr>
                  <w:tcW w:w="1063"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粉尘</w:t>
                  </w:r>
                </w:p>
              </w:tc>
              <w:tc>
                <w:tcPr>
                  <w:tcW w:w="1017"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堆渣间</w:t>
                  </w:r>
                </w:p>
              </w:tc>
              <w:tc>
                <w:tcPr>
                  <w:tcW w:w="2254"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颗粒物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65" w:type="pct"/>
                  <w:vMerge w:val="restar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废水</w:t>
                  </w:r>
                </w:p>
              </w:tc>
              <w:tc>
                <w:tcPr>
                  <w:tcW w:w="1063"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软水制备废水</w:t>
                  </w:r>
                </w:p>
              </w:tc>
              <w:tc>
                <w:tcPr>
                  <w:tcW w:w="1017"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软水制备</w:t>
                  </w:r>
                </w:p>
              </w:tc>
              <w:tc>
                <w:tcPr>
                  <w:tcW w:w="2254"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全盐量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65" w:type="pct"/>
                  <w:vMerge w:val="continue"/>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c>
                <w:tcPr>
                  <w:tcW w:w="1063"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锅炉排污水</w:t>
                  </w:r>
                </w:p>
              </w:tc>
              <w:tc>
                <w:tcPr>
                  <w:tcW w:w="1017"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锅炉排污</w:t>
                  </w:r>
                </w:p>
              </w:tc>
              <w:tc>
                <w:tcPr>
                  <w:tcW w:w="2254"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kern w:val="0"/>
                      <w:sz w:val="21"/>
                      <w:szCs w:val="20"/>
                      <w:highlight w:val="none"/>
                      <w:lang w:val="en-US" w:eastAsia="zh-CN" w:bidi="ar-SA"/>
                    </w:rPr>
                    <w:t>pH、COD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65" w:type="pct"/>
                  <w:vMerge w:val="continue"/>
                  <w:tcBorders>
                    <w:tl2br w:val="nil"/>
                    <w:tr2bl w:val="nil"/>
                  </w:tcBorders>
                  <w:noWrap w:val="0"/>
                  <w:vAlign w:val="center"/>
                </w:tcPr>
                <w:p>
                  <w:pPr>
                    <w:pStyle w:val="49"/>
                    <w:bidi w:val="0"/>
                    <w:jc w:val="center"/>
                    <w:rPr>
                      <w:rFonts w:hint="eastAsia" w:ascii="Times New Roman" w:hAnsi="Times New Roman" w:eastAsia="宋体" w:cs="Times New Roman"/>
                      <w:color w:val="auto"/>
                      <w:highlight w:val="none"/>
                      <w:lang w:val="en-US" w:eastAsia="zh-CN"/>
                    </w:rPr>
                  </w:pPr>
                </w:p>
              </w:tc>
              <w:tc>
                <w:tcPr>
                  <w:tcW w:w="1063"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生活污水</w:t>
                  </w:r>
                </w:p>
              </w:tc>
              <w:tc>
                <w:tcPr>
                  <w:tcW w:w="1017"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员工洗手及冲厕</w:t>
                  </w:r>
                </w:p>
              </w:tc>
              <w:tc>
                <w:tcPr>
                  <w:tcW w:w="2254"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pH值、</w:t>
                  </w:r>
                  <w:r>
                    <w:rPr>
                      <w:rFonts w:hint="eastAsia" w:ascii="Times New Roman" w:cs="Times New Roman"/>
                      <w:b w:val="0"/>
                      <w:bCs w:val="0"/>
                      <w:color w:val="auto"/>
                      <w:sz w:val="21"/>
                      <w:szCs w:val="21"/>
                      <w:highlight w:val="none"/>
                      <w:lang w:val="en-US" w:eastAsia="zh-CN"/>
                    </w:rPr>
                    <w:t>COD</w:t>
                  </w:r>
                  <w:r>
                    <w:rPr>
                      <w:rFonts w:hint="eastAsia" w:ascii="Times New Roman" w:hAnsi="Times New Roman" w:eastAsia="宋体" w:cs="Times New Roman"/>
                      <w:b w:val="0"/>
                      <w:bCs w:val="0"/>
                      <w:color w:val="auto"/>
                      <w:sz w:val="21"/>
                      <w:szCs w:val="21"/>
                      <w:highlight w:val="none"/>
                      <w:lang w:val="en-US" w:eastAsia="zh-CN"/>
                    </w:rPr>
                    <w:t>、BOD</w:t>
                  </w:r>
                  <w:r>
                    <w:rPr>
                      <w:rFonts w:hint="eastAsia" w:ascii="Times New Roman" w:hAnsi="Times New Roman" w:eastAsia="宋体" w:cs="Times New Roman"/>
                      <w:b w:val="0"/>
                      <w:bCs w:val="0"/>
                      <w:color w:val="auto"/>
                      <w:sz w:val="21"/>
                      <w:szCs w:val="21"/>
                      <w:highlight w:val="none"/>
                      <w:vertAlign w:val="subscript"/>
                      <w:lang w:val="en-US" w:eastAsia="zh-CN"/>
                    </w:rPr>
                    <w:t>5</w:t>
                  </w:r>
                  <w:r>
                    <w:rPr>
                      <w:rFonts w:hint="eastAsia" w:ascii="Times New Roman" w:hAnsi="Times New Roman" w:eastAsia="宋体" w:cs="Times New Roman"/>
                      <w:b w:val="0"/>
                      <w:bCs w:val="0"/>
                      <w:color w:val="auto"/>
                      <w:sz w:val="21"/>
                      <w:szCs w:val="21"/>
                      <w:highlight w:val="none"/>
                      <w:lang w:val="en-US" w:eastAsia="zh-CN"/>
                    </w:rPr>
                    <w:t>、氨氮、总氮、</w:t>
                  </w:r>
                  <w:r>
                    <w:rPr>
                      <w:rFonts w:hint="eastAsia" w:ascii="Times New Roman" w:cs="Times New Roman"/>
                      <w:b w:val="0"/>
                      <w:bCs w:val="0"/>
                      <w:color w:val="auto"/>
                      <w:sz w:val="21"/>
                      <w:szCs w:val="21"/>
                      <w:highlight w:val="none"/>
                      <w:lang w:val="en-US" w:eastAsia="zh-CN"/>
                    </w:rPr>
                    <w:t>SS</w:t>
                  </w:r>
                  <w:r>
                    <w:rPr>
                      <w:rFonts w:hint="eastAsia" w:ascii="Times New Roman" w:hAnsi="Times New Roman" w:eastAsia="宋体" w:cs="Times New Roman"/>
                      <w:b w:val="0"/>
                      <w:bCs w:val="0"/>
                      <w:color w:val="auto"/>
                      <w:sz w:val="21"/>
                      <w:szCs w:val="21"/>
                      <w:highlight w:val="none"/>
                      <w:lang w:val="en-US" w:eastAsia="zh-CN"/>
                    </w:rPr>
                    <w:t>、总磷、动植物油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65"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噪声</w:t>
                  </w:r>
                </w:p>
              </w:tc>
              <w:tc>
                <w:tcPr>
                  <w:tcW w:w="2080" w:type="pct"/>
                  <w:gridSpan w:val="2"/>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生产设备</w:t>
                  </w:r>
                </w:p>
              </w:tc>
              <w:tc>
                <w:tcPr>
                  <w:tcW w:w="2254"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噪声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65" w:type="pct"/>
                  <w:vMerge w:val="restar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固体废物</w:t>
                  </w:r>
                </w:p>
              </w:tc>
              <w:tc>
                <w:tcPr>
                  <w:tcW w:w="1063" w:type="pct"/>
                  <w:vMerge w:val="restar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一般固废</w:t>
                  </w:r>
                </w:p>
              </w:tc>
              <w:tc>
                <w:tcPr>
                  <w:tcW w:w="1017"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员工</w:t>
                  </w:r>
                </w:p>
              </w:tc>
              <w:tc>
                <w:tcPr>
                  <w:tcW w:w="2254"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生活垃圾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65" w:type="pct"/>
                  <w:vMerge w:val="continue"/>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c>
                <w:tcPr>
                  <w:tcW w:w="1063"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1017"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软水制备</w:t>
                  </w:r>
                </w:p>
              </w:tc>
              <w:tc>
                <w:tcPr>
                  <w:tcW w:w="2254"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废弃离子交换树脂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65" w:type="pct"/>
                  <w:vMerge w:val="continue"/>
                  <w:tcBorders>
                    <w:tl2br w:val="nil"/>
                    <w:tr2bl w:val="nil"/>
                  </w:tcBorders>
                  <w:noWrap w:val="0"/>
                  <w:vAlign w:val="center"/>
                </w:tcPr>
                <w:p>
                  <w:pPr>
                    <w:pStyle w:val="49"/>
                    <w:bidi w:val="0"/>
                    <w:ind w:left="0" w:leftChars="0" w:firstLine="0" w:firstLineChars="0"/>
                    <w:jc w:val="center"/>
                    <w:rPr>
                      <w:color w:val="auto"/>
                      <w:highlight w:val="none"/>
                    </w:rPr>
                  </w:pPr>
                </w:p>
              </w:tc>
              <w:tc>
                <w:tcPr>
                  <w:tcW w:w="1063"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1017"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生物质燃烧</w:t>
                  </w:r>
                </w:p>
              </w:tc>
              <w:tc>
                <w:tcPr>
                  <w:tcW w:w="2254"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炉渣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65" w:type="pct"/>
                  <w:vMerge w:val="continue"/>
                  <w:tcBorders>
                    <w:tl2br w:val="nil"/>
                    <w:tr2bl w:val="nil"/>
                  </w:tcBorders>
                  <w:noWrap w:val="0"/>
                  <w:vAlign w:val="center"/>
                </w:tcPr>
                <w:p>
                  <w:pPr>
                    <w:pStyle w:val="49"/>
                    <w:bidi w:val="0"/>
                    <w:jc w:val="center"/>
                    <w:rPr>
                      <w:rFonts w:hint="eastAsia" w:ascii="Times New Roman" w:hAnsi="Times New Roman" w:eastAsia="宋体" w:cs="Times New Roman"/>
                      <w:color w:val="auto"/>
                      <w:highlight w:val="none"/>
                      <w:lang w:val="en-US" w:eastAsia="zh-CN"/>
                    </w:rPr>
                  </w:pPr>
                </w:p>
              </w:tc>
              <w:tc>
                <w:tcPr>
                  <w:tcW w:w="1063"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1017"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烟气除尘</w:t>
                  </w:r>
                </w:p>
              </w:tc>
              <w:tc>
                <w:tcPr>
                  <w:tcW w:w="2254"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除尘灰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65" w:type="pct"/>
                  <w:vMerge w:val="continue"/>
                  <w:tcBorders>
                    <w:tl2br w:val="nil"/>
                    <w:tr2bl w:val="nil"/>
                  </w:tcBorders>
                  <w:noWrap w:val="0"/>
                  <w:vAlign w:val="center"/>
                </w:tcPr>
                <w:p>
                  <w:pPr>
                    <w:pStyle w:val="49"/>
                    <w:bidi w:val="0"/>
                    <w:jc w:val="center"/>
                    <w:rPr>
                      <w:rFonts w:hint="eastAsia" w:ascii="Times New Roman" w:hAnsi="Times New Roman" w:eastAsia="宋体" w:cs="Times New Roman"/>
                      <w:color w:val="auto"/>
                      <w:highlight w:val="none"/>
                      <w:lang w:val="en-US" w:eastAsia="zh-CN"/>
                    </w:rPr>
                  </w:pPr>
                </w:p>
              </w:tc>
              <w:tc>
                <w:tcPr>
                  <w:tcW w:w="1063"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危险废物</w:t>
                  </w:r>
                </w:p>
              </w:tc>
              <w:tc>
                <w:tcPr>
                  <w:tcW w:w="1017"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设备维修</w:t>
                  </w:r>
                </w:p>
              </w:tc>
              <w:tc>
                <w:tcPr>
                  <w:tcW w:w="2254"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废机油</w:t>
                  </w:r>
                </w:p>
              </w:tc>
            </w:tr>
          </w:tbl>
          <w:p>
            <w:pPr>
              <w:keepNext w:val="0"/>
              <w:keepLines w:val="0"/>
              <w:pageBreakBefore w:val="0"/>
              <w:numPr>
                <w:ilvl w:val="0"/>
                <w:numId w:val="0"/>
              </w:numPr>
              <w:kinsoku/>
              <w:wordWrap/>
              <w:overflowPunct/>
              <w:topLinePunct w:val="0"/>
              <w:autoSpaceDE w:val="0"/>
              <w:autoSpaceDN w:val="0"/>
              <w:bidi w:val="0"/>
              <w:snapToGrid/>
              <w:spacing w:line="360" w:lineRule="auto"/>
              <w:ind w:firstLine="420" w:firstLineChars="200"/>
              <w:textAlignment w:val="auto"/>
              <w:rPr>
                <w:rFonts w:hint="default"/>
                <w:color w:val="auto"/>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4" w:type="dxa"/>
            <w:noWrap w:val="0"/>
            <w:vAlign w:val="center"/>
          </w:tcPr>
          <w:p>
            <w:pPr>
              <w:pStyle w:val="27"/>
              <w:keepNext w:val="0"/>
              <w:keepLines w:val="0"/>
              <w:pageBreakBefore w:val="0"/>
              <w:kinsoku/>
              <w:wordWrap/>
              <w:overflowPunct/>
              <w:topLinePunct w:val="0"/>
              <w:bidi w:val="0"/>
              <w:adjustRightInd w:val="0"/>
              <w:snapToGrid w:val="0"/>
              <w:spacing w:before="0" w:beforeAutospacing="0" w:after="0" w:afterAutospacing="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kern w:val="2"/>
                <w:sz w:val="24"/>
                <w:szCs w:val="24"/>
                <w:highlight w:val="none"/>
              </w:rPr>
              <w:t>与项目有关的原有环境污染问题</w:t>
            </w:r>
          </w:p>
        </w:tc>
        <w:tc>
          <w:tcPr>
            <w:tcW w:w="9003" w:type="dxa"/>
            <w:noWrap w:val="0"/>
            <w:vAlign w:val="top"/>
          </w:tcPr>
          <w:p>
            <w:pPr>
              <w:keepNext w:val="0"/>
              <w:keepLines w:val="0"/>
              <w:pageBreakBefore w:val="0"/>
              <w:widowControl w:val="0"/>
              <w:kinsoku/>
              <w:wordWrap/>
              <w:overflowPunct/>
              <w:topLinePunct w:val="0"/>
              <w:bidi w:val="0"/>
              <w:adjustRightInd/>
              <w:snapToGrid/>
              <w:spacing w:line="360" w:lineRule="auto"/>
              <w:ind w:firstLine="457" w:firstLineChars="200"/>
              <w:textAlignment w:val="auto"/>
              <w:rPr>
                <w:rFonts w:hint="eastAsia" w:cs="Times New Roman"/>
                <w:b/>
                <w:bCs w:val="0"/>
                <w:color w:val="auto"/>
                <w:spacing w:val="-6"/>
                <w:sz w:val="24"/>
                <w:szCs w:val="24"/>
                <w:highlight w:val="none"/>
                <w:lang w:val="en-US" w:eastAsia="zh-CN"/>
              </w:rPr>
            </w:pPr>
            <w:r>
              <w:rPr>
                <w:rFonts w:hint="eastAsia" w:cs="Times New Roman"/>
                <w:b/>
                <w:bCs w:val="0"/>
                <w:color w:val="auto"/>
                <w:spacing w:val="-6"/>
                <w:sz w:val="24"/>
                <w:szCs w:val="24"/>
                <w:highlight w:val="none"/>
                <w:lang w:val="en-US" w:eastAsia="zh-CN"/>
              </w:rPr>
              <w:t>1、原项目回顾性分析</w:t>
            </w:r>
          </w:p>
          <w:p>
            <w:pPr>
              <w:keepNext w:val="0"/>
              <w:keepLines w:val="0"/>
              <w:pageBreakBefore w:val="0"/>
              <w:widowControl w:val="0"/>
              <w:kinsoku/>
              <w:wordWrap/>
              <w:overflowPunct/>
              <w:topLinePunct w:val="0"/>
              <w:bidi w:val="0"/>
              <w:adjustRightInd/>
              <w:snapToGrid/>
              <w:spacing w:line="360" w:lineRule="auto"/>
              <w:ind w:firstLine="456" w:firstLineChars="200"/>
              <w:textAlignment w:val="auto"/>
              <w:rPr>
                <w:rFonts w:hint="eastAsia" w:cs="Times New Roman"/>
                <w:bCs/>
                <w:color w:val="auto"/>
                <w:spacing w:val="-6"/>
                <w:sz w:val="24"/>
                <w:szCs w:val="24"/>
                <w:highlight w:val="none"/>
                <w:lang w:val="en-US" w:eastAsia="zh-CN"/>
              </w:rPr>
            </w:pPr>
            <w:r>
              <w:rPr>
                <w:rFonts w:hint="eastAsia" w:cs="Times New Roman"/>
                <w:bCs/>
                <w:color w:val="auto"/>
                <w:spacing w:val="-6"/>
                <w:sz w:val="24"/>
                <w:szCs w:val="24"/>
                <w:highlight w:val="none"/>
                <w:lang w:val="en-US" w:eastAsia="zh-CN"/>
              </w:rPr>
              <w:t>项目在生产建设过程中，由于锅炉装机容量发生变化，随即原辅材料的使用量发生了较大变化，因此需要重新报批环评。原项目已取得环评批复、排污许可证，但未组织竣工验收，本次变更后一并完善。项目自投入运营以来，未发生因环保问题引起的投诉。</w:t>
            </w:r>
          </w:p>
          <w:p>
            <w:pPr>
              <w:keepNext w:val="0"/>
              <w:keepLines w:val="0"/>
              <w:pageBreakBefore w:val="0"/>
              <w:widowControl w:val="0"/>
              <w:kinsoku/>
              <w:wordWrap/>
              <w:overflowPunct/>
              <w:topLinePunct w:val="0"/>
              <w:bidi w:val="0"/>
              <w:adjustRightInd/>
              <w:snapToGrid/>
              <w:spacing w:line="360" w:lineRule="auto"/>
              <w:ind w:firstLine="456" w:firstLineChars="200"/>
              <w:textAlignment w:val="auto"/>
              <w:rPr>
                <w:rFonts w:hint="eastAsia" w:cs="Times New Roman"/>
                <w:bCs/>
                <w:color w:val="auto"/>
                <w:spacing w:val="-6"/>
                <w:sz w:val="24"/>
                <w:szCs w:val="24"/>
                <w:highlight w:val="none"/>
                <w:lang w:val="en-US" w:eastAsia="zh-CN"/>
              </w:rPr>
            </w:pPr>
            <w:r>
              <w:rPr>
                <w:rFonts w:hint="eastAsia" w:cs="Times New Roman"/>
                <w:bCs/>
                <w:color w:val="auto"/>
                <w:spacing w:val="-6"/>
                <w:sz w:val="24"/>
                <w:szCs w:val="24"/>
                <w:highlight w:val="none"/>
                <w:lang w:val="en-US" w:eastAsia="zh-CN"/>
              </w:rPr>
              <w:t>现有项目已于2022年9月14日取得昆明市生态环境局宜良分局文件宜生环〔2022〕55号关于对《宜良工业园区生物质绿色可再生能源分布式集中供热项目环境影响报告表》的批复。于2022年11月15日取得排污许可证，证书编号：91530125MA6Q6XB8XL001V。</w:t>
            </w:r>
          </w:p>
          <w:p>
            <w:pPr>
              <w:keepNext w:val="0"/>
              <w:keepLines w:val="0"/>
              <w:pageBreakBefore w:val="0"/>
              <w:widowControl w:val="0"/>
              <w:kinsoku/>
              <w:wordWrap/>
              <w:overflowPunct/>
              <w:topLinePunct w:val="0"/>
              <w:bidi w:val="0"/>
              <w:adjustRightInd/>
              <w:snapToGrid/>
              <w:spacing w:line="360" w:lineRule="auto"/>
              <w:ind w:firstLine="456" w:firstLineChars="200"/>
              <w:textAlignment w:val="auto"/>
              <w:rPr>
                <w:rFonts w:hint="default" w:cs="Times New Roman"/>
                <w:bCs/>
                <w:color w:val="auto"/>
                <w:spacing w:val="-6"/>
                <w:sz w:val="24"/>
                <w:szCs w:val="24"/>
                <w:highlight w:val="none"/>
                <w:lang w:val="en-US" w:eastAsia="zh-CN"/>
              </w:rPr>
            </w:pPr>
            <w:r>
              <w:rPr>
                <w:rFonts w:hint="eastAsia" w:cs="Times New Roman"/>
                <w:bCs/>
                <w:color w:val="auto"/>
                <w:spacing w:val="-6"/>
                <w:sz w:val="24"/>
                <w:szCs w:val="24"/>
                <w:highlight w:val="none"/>
                <w:lang w:val="en-US" w:eastAsia="zh-CN"/>
              </w:rPr>
              <w:t>本项目现已建设完成4台锅炉及配套设施，并投入运行，尚未验收。现状已在海大供热点建设一台4t/h锅炉和一台6t/h锅炉，于2023年4月投运；特驱供热点建设一台6t/h锅炉，于2023年4月投运；漓源供热点建设一台4t/h锅炉，于2023年9月投运。与项目有关的原有环境污染问题主要是现已建成并投运的4台锅炉产生的环境污染。为了解现已投运的4台锅炉污染排放情况，现对4台锅炉污染物实际排放及治理情况进行回顾性分析。</w:t>
            </w:r>
          </w:p>
          <w:p>
            <w:pPr>
              <w:keepNext w:val="0"/>
              <w:keepLines w:val="0"/>
              <w:pageBreakBefore w:val="0"/>
              <w:widowControl w:val="0"/>
              <w:kinsoku/>
              <w:wordWrap/>
              <w:overflowPunct/>
              <w:topLinePunct w:val="0"/>
              <w:bidi w:val="0"/>
              <w:adjustRightInd/>
              <w:snapToGrid/>
              <w:spacing w:line="360" w:lineRule="auto"/>
              <w:ind w:firstLine="457" w:firstLineChars="200"/>
              <w:textAlignment w:val="auto"/>
              <w:rPr>
                <w:rFonts w:hint="eastAsia" w:cs="Times New Roman"/>
                <w:b/>
                <w:bCs w:val="0"/>
                <w:color w:val="auto"/>
                <w:spacing w:val="-6"/>
                <w:sz w:val="24"/>
                <w:szCs w:val="24"/>
                <w:highlight w:val="none"/>
                <w:lang w:val="en-US" w:eastAsia="zh-CN"/>
              </w:rPr>
            </w:pPr>
            <w:r>
              <w:rPr>
                <w:rFonts w:hint="eastAsia" w:cs="Times New Roman"/>
                <w:b/>
                <w:bCs w:val="0"/>
                <w:color w:val="auto"/>
                <w:spacing w:val="-6"/>
                <w:sz w:val="24"/>
                <w:szCs w:val="24"/>
                <w:highlight w:val="none"/>
                <w:lang w:val="en-US" w:eastAsia="zh-CN"/>
              </w:rPr>
              <w:t>2、变更前污染源强及治理措施</w:t>
            </w:r>
          </w:p>
          <w:p>
            <w:pPr>
              <w:keepNext w:val="0"/>
              <w:keepLines w:val="0"/>
              <w:pageBreakBefore w:val="0"/>
              <w:widowControl w:val="0"/>
              <w:kinsoku/>
              <w:wordWrap/>
              <w:overflowPunct/>
              <w:topLinePunct w:val="0"/>
              <w:bidi w:val="0"/>
              <w:adjustRightInd/>
              <w:snapToGrid/>
              <w:spacing w:line="360" w:lineRule="auto"/>
              <w:ind w:firstLine="456" w:firstLineChars="200"/>
              <w:textAlignment w:val="auto"/>
              <w:rPr>
                <w:rFonts w:hint="eastAsia" w:cs="Times New Roman"/>
                <w:bCs/>
                <w:color w:val="auto"/>
                <w:spacing w:val="-6"/>
                <w:sz w:val="24"/>
                <w:szCs w:val="24"/>
                <w:highlight w:val="none"/>
                <w:lang w:val="en-US" w:eastAsia="zh-CN"/>
              </w:rPr>
            </w:pPr>
            <w:r>
              <w:rPr>
                <w:rFonts w:hint="eastAsia" w:cs="Times New Roman"/>
                <w:bCs/>
                <w:color w:val="auto"/>
                <w:spacing w:val="-6"/>
                <w:sz w:val="24"/>
                <w:szCs w:val="24"/>
                <w:highlight w:val="none"/>
                <w:lang w:val="en-US" w:eastAsia="zh-CN"/>
              </w:rPr>
              <w:t>变更前，项目主要的污染源为锅炉烟气、无组织粉尘、锅炉废水、软水制备废水、生活污水、噪声、锅炉灰渣、除尘器收集粉尘、废离子交换树脂、废机油等。本项目变更前，投运工程已落实了相应的防范治理措施，未收到环保方面的投诉，对周围环境影响不大。</w:t>
            </w:r>
          </w:p>
          <w:p>
            <w:pPr>
              <w:keepNext w:val="0"/>
              <w:keepLines w:val="0"/>
              <w:pageBreakBefore w:val="0"/>
              <w:widowControl w:val="0"/>
              <w:kinsoku/>
              <w:wordWrap/>
              <w:overflowPunct/>
              <w:topLinePunct w:val="0"/>
              <w:bidi w:val="0"/>
              <w:adjustRightInd/>
              <w:snapToGrid/>
              <w:spacing w:line="360" w:lineRule="auto"/>
              <w:ind w:firstLine="456" w:firstLineChars="200"/>
              <w:textAlignment w:val="auto"/>
              <w:rPr>
                <w:rFonts w:hint="eastAsia" w:cs="Times New Roman"/>
                <w:bCs/>
                <w:color w:val="auto"/>
                <w:spacing w:val="-6"/>
                <w:sz w:val="24"/>
                <w:szCs w:val="24"/>
                <w:highlight w:val="none"/>
                <w:lang w:val="en-US" w:eastAsia="zh-CN"/>
              </w:rPr>
            </w:pPr>
            <w:r>
              <w:rPr>
                <w:rFonts w:hint="eastAsia" w:cs="Times New Roman"/>
                <w:bCs/>
                <w:color w:val="auto"/>
                <w:spacing w:val="-6"/>
                <w:sz w:val="24"/>
                <w:szCs w:val="24"/>
                <w:highlight w:val="none"/>
                <w:lang w:val="en-US" w:eastAsia="zh-CN"/>
              </w:rPr>
              <w:t>项目变更前，原环评核算的各污染物产生及排放情况见下表。</w:t>
            </w:r>
          </w:p>
          <w:p>
            <w:pPr>
              <w:pStyle w:val="4"/>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w:t>
            </w:r>
            <w:r>
              <w:rPr>
                <w:rFonts w:hint="eastAsia" w:cs="Times New Roman"/>
                <w:b/>
                <w:bCs/>
                <w:color w:val="auto"/>
                <w:sz w:val="21"/>
                <w:szCs w:val="21"/>
                <w:highlight w:val="none"/>
                <w:lang w:val="en-US" w:eastAsia="zh-CN"/>
              </w:rPr>
              <w:t>2-10变更前原环评核算的项目污染源强汇总一览表</w:t>
            </w:r>
          </w:p>
          <w:tbl>
            <w:tblPr>
              <w:tblStyle w:val="29"/>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55"/>
              <w:gridCol w:w="771"/>
              <w:gridCol w:w="958"/>
              <w:gridCol w:w="1201"/>
              <w:gridCol w:w="869"/>
              <w:gridCol w:w="1001"/>
              <w:gridCol w:w="1109"/>
              <w:gridCol w:w="1081"/>
              <w:gridCol w:w="12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供热点</w:t>
                  </w:r>
                </w:p>
              </w:tc>
              <w:tc>
                <w:tcPr>
                  <w:tcW w:w="439"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类型</w:t>
                  </w:r>
                </w:p>
              </w:tc>
              <w:tc>
                <w:tcPr>
                  <w:tcW w:w="546"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污染源</w:t>
                  </w:r>
                </w:p>
              </w:tc>
              <w:tc>
                <w:tcPr>
                  <w:tcW w:w="684"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污染因子</w:t>
                  </w:r>
                </w:p>
              </w:tc>
              <w:tc>
                <w:tcPr>
                  <w:tcW w:w="495"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产生量</w:t>
                  </w:r>
                </w:p>
              </w:tc>
              <w:tc>
                <w:tcPr>
                  <w:tcW w:w="570"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排放量</w:t>
                  </w:r>
                </w:p>
              </w:tc>
              <w:tc>
                <w:tcPr>
                  <w:tcW w:w="632"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排放浓度</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排放标准</w:t>
                  </w:r>
                </w:p>
              </w:tc>
              <w:tc>
                <w:tcPr>
                  <w:tcW w:w="699"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污染治理措施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restar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海大供热点</w:t>
                  </w:r>
                </w:p>
              </w:tc>
              <w:tc>
                <w:tcPr>
                  <w:tcW w:w="439" w:type="pct"/>
                  <w:vMerge w:val="restar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default" w:ascii="Times New Roman" w:cs="Times New Roman"/>
                      <w:color w:val="auto"/>
                      <w:highlight w:val="none"/>
                      <w:lang w:val="en-US" w:eastAsia="zh-CN"/>
                    </w:rPr>
                    <w:t>废气</w:t>
                  </w:r>
                </w:p>
              </w:tc>
              <w:tc>
                <w:tcPr>
                  <w:tcW w:w="546" w:type="pct"/>
                  <w:vMerge w:val="restar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default" w:ascii="Times New Roman" w:cs="Times New Roman"/>
                      <w:color w:val="auto"/>
                      <w:highlight w:val="none"/>
                      <w:lang w:val="en-US" w:eastAsia="zh-CN"/>
                    </w:rPr>
                    <w:t>DA001</w:t>
                  </w:r>
                  <w:r>
                    <w:rPr>
                      <w:rFonts w:hint="eastAsia" w:ascii="Times New Roman" w:cs="Times New Roman"/>
                      <w:color w:val="auto"/>
                      <w:highlight w:val="none"/>
                      <w:lang w:val="en-US" w:eastAsia="zh-CN"/>
                    </w:rPr>
                    <w:t>排气筒</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颗粒物</w:t>
                  </w:r>
                </w:p>
              </w:tc>
              <w:tc>
                <w:tcPr>
                  <w:tcW w:w="495"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7.0t/a</w:t>
                  </w:r>
                </w:p>
              </w:tc>
              <w:tc>
                <w:tcPr>
                  <w:tcW w:w="57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0.0063</w:t>
                  </w:r>
                  <w:r>
                    <w:rPr>
                      <w:rFonts w:hint="eastAsia" w:ascii="Times New Roman" w:cs="Times New Roman"/>
                      <w:color w:val="auto"/>
                      <w:highlight w:val="none"/>
                      <w:lang w:val="en-US" w:eastAsia="zh-CN"/>
                    </w:rPr>
                    <w:t>t/a</w:t>
                  </w:r>
                </w:p>
              </w:tc>
              <w:tc>
                <w:tcPr>
                  <w:tcW w:w="632"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0.072mg/m</w:t>
                  </w:r>
                  <w:r>
                    <w:rPr>
                      <w:rFonts w:hint="default" w:ascii="Times New Roman" w:hAnsi="Times New Roman" w:eastAsia="宋体" w:cs="Times New Roman"/>
                      <w:color w:val="auto"/>
                      <w:highlight w:val="none"/>
                      <w:lang w:val="en-US" w:eastAsia="zh-CN"/>
                    </w:rPr>
                    <w:t>³</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50</w:t>
                  </w:r>
                  <w:r>
                    <w:rPr>
                      <w:rFonts w:hint="eastAsia"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lang w:val="en-US" w:eastAsia="zh-CN"/>
                    </w:rPr>
                    <w:t>³</w:t>
                  </w:r>
                </w:p>
              </w:tc>
              <w:tc>
                <w:tcPr>
                  <w:tcW w:w="699" w:type="pct"/>
                  <w:vMerge w:val="restar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低氮燃烧技术+旋风除尘器+布袋除尘器+45m烟囱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SO</w:t>
                  </w:r>
                  <w:r>
                    <w:rPr>
                      <w:rFonts w:hint="eastAsia" w:ascii="Times New Roman" w:cs="Times New Roman"/>
                      <w:color w:val="auto"/>
                      <w:highlight w:val="none"/>
                      <w:vertAlign w:val="subscript"/>
                      <w:lang w:val="en-US" w:eastAsia="zh-CN"/>
                    </w:rPr>
                    <w:t>2</w:t>
                  </w:r>
                </w:p>
              </w:tc>
              <w:tc>
                <w:tcPr>
                  <w:tcW w:w="495"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4.76t/a</w:t>
                  </w:r>
                </w:p>
              </w:tc>
              <w:tc>
                <w:tcPr>
                  <w:tcW w:w="57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4.76</w:t>
                  </w:r>
                  <w:r>
                    <w:rPr>
                      <w:rFonts w:hint="eastAsia" w:ascii="Times New Roman" w:cs="Times New Roman"/>
                      <w:color w:val="auto"/>
                      <w:highlight w:val="none"/>
                      <w:lang w:val="en-US" w:eastAsia="zh-CN"/>
                    </w:rPr>
                    <w:t>t/a</w:t>
                  </w:r>
                </w:p>
              </w:tc>
              <w:tc>
                <w:tcPr>
                  <w:tcW w:w="632"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54.49mg/m</w:t>
                  </w:r>
                  <w:r>
                    <w:rPr>
                      <w:rFonts w:hint="default" w:ascii="Times New Roman" w:hAnsi="Times New Roman" w:eastAsia="宋体" w:cs="Times New Roman"/>
                      <w:color w:val="auto"/>
                      <w:highlight w:val="none"/>
                      <w:lang w:val="en-US" w:eastAsia="zh-CN"/>
                    </w:rPr>
                    <w:t>³</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300</w:t>
                  </w:r>
                  <w:r>
                    <w:rPr>
                      <w:rFonts w:hint="eastAsia"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lang w:val="en-US" w:eastAsia="zh-CN"/>
                    </w:rPr>
                    <w:t>³</w:t>
                  </w:r>
                </w:p>
              </w:tc>
              <w:tc>
                <w:tcPr>
                  <w:tcW w:w="699" w:type="pct"/>
                  <w:vMerge w:val="continue"/>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684"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NOx</w:t>
                  </w:r>
                </w:p>
              </w:tc>
              <w:tc>
                <w:tcPr>
                  <w:tcW w:w="495"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14.28t/a</w:t>
                  </w:r>
                </w:p>
              </w:tc>
              <w:tc>
                <w:tcPr>
                  <w:tcW w:w="57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9.996</w:t>
                  </w:r>
                  <w:r>
                    <w:rPr>
                      <w:rFonts w:hint="eastAsia" w:ascii="Times New Roman" w:cs="Times New Roman"/>
                      <w:color w:val="auto"/>
                      <w:highlight w:val="none"/>
                      <w:lang w:val="en-US" w:eastAsia="zh-CN"/>
                    </w:rPr>
                    <w:t>t/a</w:t>
                  </w:r>
                </w:p>
              </w:tc>
              <w:tc>
                <w:tcPr>
                  <w:tcW w:w="632"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114.423mg/m</w:t>
                  </w:r>
                  <w:r>
                    <w:rPr>
                      <w:rFonts w:hint="default" w:ascii="Times New Roman" w:hAnsi="Times New Roman" w:eastAsia="宋体" w:cs="Times New Roman"/>
                      <w:color w:val="auto"/>
                      <w:highlight w:val="none"/>
                      <w:lang w:val="en-US" w:eastAsia="zh-CN"/>
                    </w:rPr>
                    <w:t>³</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300</w:t>
                  </w:r>
                  <w:r>
                    <w:rPr>
                      <w:rFonts w:hint="eastAsia"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lang w:val="en-US" w:eastAsia="zh-CN"/>
                    </w:rPr>
                    <w:t>³</w:t>
                  </w:r>
                </w:p>
              </w:tc>
              <w:tc>
                <w:tcPr>
                  <w:tcW w:w="699" w:type="pct"/>
                  <w:vMerge w:val="continue"/>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堆渣间、生物质储存间</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无组织粉尘</w:t>
                  </w:r>
                </w:p>
              </w:tc>
              <w:tc>
                <w:tcPr>
                  <w:tcW w:w="495"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4.2t/a</w:t>
                  </w:r>
                </w:p>
              </w:tc>
              <w:tc>
                <w:tcPr>
                  <w:tcW w:w="570"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0.42t/a</w:t>
                  </w:r>
                </w:p>
              </w:tc>
              <w:tc>
                <w:tcPr>
                  <w:tcW w:w="632"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1.0</w:t>
                  </w:r>
                  <w:r>
                    <w:rPr>
                      <w:rFonts w:hint="eastAsia"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lang w:val="en-US" w:eastAsia="zh-CN"/>
                    </w:rPr>
                    <w:t>³</w:t>
                  </w:r>
                </w:p>
              </w:tc>
              <w:tc>
                <w:tcPr>
                  <w:tcW w:w="699"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袋装存放于密闭料仓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运输汽车尾气</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CO、THC、NOx</w:t>
                  </w:r>
                </w:p>
              </w:tc>
              <w:tc>
                <w:tcPr>
                  <w:tcW w:w="495"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w:t>
                  </w:r>
                </w:p>
              </w:tc>
              <w:tc>
                <w:tcPr>
                  <w:tcW w:w="570"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32"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99"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自然扩散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restar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废水</w:t>
                  </w:r>
                </w:p>
              </w:tc>
              <w:tc>
                <w:tcPr>
                  <w:tcW w:w="546"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锅炉排污</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锅炉废水</w:t>
                  </w:r>
                </w:p>
              </w:tc>
              <w:tc>
                <w:tcPr>
                  <w:tcW w:w="495"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700t/a</w:t>
                  </w:r>
                </w:p>
              </w:tc>
              <w:tc>
                <w:tcPr>
                  <w:tcW w:w="570"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32"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99" w:type="pct"/>
                  <w:vMerge w:val="restar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软水制备废水和锅炉排污水接入烟气蒸器蒸发，不外排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软水制备设备</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软水制备废水</w:t>
                  </w:r>
                </w:p>
              </w:tc>
              <w:tc>
                <w:tcPr>
                  <w:tcW w:w="495"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12476.47t/a</w:t>
                  </w:r>
                </w:p>
              </w:tc>
              <w:tc>
                <w:tcPr>
                  <w:tcW w:w="570"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32"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99" w:type="pct"/>
                  <w:vMerge w:val="continue"/>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员工生活</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pH值、</w:t>
                  </w:r>
                  <w:r>
                    <w:rPr>
                      <w:rFonts w:hint="eastAsia" w:ascii="Times New Roman" w:cs="Times New Roman"/>
                      <w:b w:val="0"/>
                      <w:bCs w:val="0"/>
                      <w:color w:val="auto"/>
                      <w:sz w:val="21"/>
                      <w:szCs w:val="21"/>
                      <w:highlight w:val="none"/>
                      <w:lang w:val="en-US" w:eastAsia="zh-CN"/>
                    </w:rPr>
                    <w:t>COD</w:t>
                  </w:r>
                  <w:r>
                    <w:rPr>
                      <w:rFonts w:hint="eastAsia" w:ascii="Times New Roman" w:hAnsi="Times New Roman" w:eastAsia="宋体" w:cs="Times New Roman"/>
                      <w:b w:val="0"/>
                      <w:bCs w:val="0"/>
                      <w:color w:val="auto"/>
                      <w:sz w:val="21"/>
                      <w:szCs w:val="21"/>
                      <w:highlight w:val="none"/>
                      <w:lang w:val="en-US" w:eastAsia="zh-CN"/>
                    </w:rPr>
                    <w:t>、BOD</w:t>
                  </w:r>
                  <w:r>
                    <w:rPr>
                      <w:rFonts w:hint="eastAsia" w:ascii="Times New Roman" w:hAnsi="Times New Roman" w:eastAsia="宋体" w:cs="Times New Roman"/>
                      <w:b w:val="0"/>
                      <w:bCs w:val="0"/>
                      <w:color w:val="auto"/>
                      <w:sz w:val="21"/>
                      <w:szCs w:val="21"/>
                      <w:highlight w:val="none"/>
                      <w:vertAlign w:val="subscript"/>
                      <w:lang w:val="en-US" w:eastAsia="zh-CN"/>
                    </w:rPr>
                    <w:t>5</w:t>
                  </w:r>
                  <w:r>
                    <w:rPr>
                      <w:rFonts w:hint="eastAsia" w:ascii="Times New Roman" w:hAnsi="Times New Roman" w:eastAsia="宋体" w:cs="Times New Roman"/>
                      <w:b w:val="0"/>
                      <w:bCs w:val="0"/>
                      <w:color w:val="auto"/>
                      <w:sz w:val="21"/>
                      <w:szCs w:val="21"/>
                      <w:highlight w:val="none"/>
                      <w:lang w:val="en-US" w:eastAsia="zh-CN"/>
                    </w:rPr>
                    <w:t>、氨氮、总氮、</w:t>
                  </w:r>
                  <w:r>
                    <w:rPr>
                      <w:rFonts w:hint="eastAsia" w:ascii="Times New Roman" w:cs="Times New Roman"/>
                      <w:b w:val="0"/>
                      <w:bCs w:val="0"/>
                      <w:color w:val="auto"/>
                      <w:sz w:val="21"/>
                      <w:szCs w:val="21"/>
                      <w:highlight w:val="none"/>
                      <w:lang w:val="en-US" w:eastAsia="zh-CN"/>
                    </w:rPr>
                    <w:t>SS</w:t>
                  </w:r>
                  <w:r>
                    <w:rPr>
                      <w:rFonts w:hint="eastAsia" w:ascii="Times New Roman" w:hAnsi="Times New Roman" w:eastAsia="宋体" w:cs="Times New Roman"/>
                      <w:b w:val="0"/>
                      <w:bCs w:val="0"/>
                      <w:color w:val="auto"/>
                      <w:sz w:val="21"/>
                      <w:szCs w:val="21"/>
                      <w:highlight w:val="none"/>
                      <w:lang w:val="en-US" w:eastAsia="zh-CN"/>
                    </w:rPr>
                    <w:t>、总磷、动植物油</w:t>
                  </w:r>
                </w:p>
              </w:tc>
              <w:tc>
                <w:tcPr>
                  <w:tcW w:w="495"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39.6t/a</w:t>
                  </w:r>
                </w:p>
              </w:tc>
              <w:tc>
                <w:tcPr>
                  <w:tcW w:w="57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39.6t/a</w:t>
                  </w:r>
                </w:p>
              </w:tc>
              <w:tc>
                <w:tcPr>
                  <w:tcW w:w="632"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99"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依托服务企业现有生活设施及生活污水处理设施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噪声</w:t>
                  </w:r>
                </w:p>
              </w:tc>
              <w:tc>
                <w:tcPr>
                  <w:tcW w:w="546"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噪声设备</w:t>
                  </w:r>
                </w:p>
              </w:tc>
              <w:tc>
                <w:tcPr>
                  <w:tcW w:w="684"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噪声</w:t>
                  </w:r>
                </w:p>
              </w:tc>
              <w:tc>
                <w:tcPr>
                  <w:tcW w:w="495"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w:t>
                  </w:r>
                </w:p>
              </w:tc>
              <w:tc>
                <w:tcPr>
                  <w:tcW w:w="570"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32"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99"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基础减振、厂房墙壁隔声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restar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固体废物</w:t>
                  </w:r>
                </w:p>
              </w:tc>
              <w:tc>
                <w:tcPr>
                  <w:tcW w:w="546"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生物质燃烧</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灰渣</w:t>
                  </w:r>
                </w:p>
              </w:tc>
              <w:tc>
                <w:tcPr>
                  <w:tcW w:w="495"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242.34t/a</w:t>
                  </w:r>
                </w:p>
              </w:tc>
              <w:tc>
                <w:tcPr>
                  <w:tcW w:w="570"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kern w:val="0"/>
                      <w:sz w:val="21"/>
                      <w:szCs w:val="20"/>
                      <w:highlight w:val="none"/>
                      <w:lang w:val="en-US" w:eastAsia="zh-CN" w:bidi="ar-SA"/>
                    </w:rPr>
                    <w:t>/</w:t>
                  </w:r>
                </w:p>
              </w:tc>
              <w:tc>
                <w:tcPr>
                  <w:tcW w:w="632"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kern w:val="0"/>
                      <w:sz w:val="21"/>
                      <w:szCs w:val="20"/>
                      <w:highlight w:val="none"/>
                      <w:lang w:val="en-US" w:eastAsia="zh-CN" w:bidi="ar-SA"/>
                    </w:rPr>
                    <w:t>/</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kern w:val="0"/>
                      <w:sz w:val="21"/>
                      <w:szCs w:val="20"/>
                      <w:highlight w:val="none"/>
                      <w:lang w:val="en-US" w:eastAsia="zh-CN" w:bidi="ar-SA"/>
                    </w:rPr>
                    <w:t>/</w:t>
                  </w:r>
                </w:p>
              </w:tc>
              <w:tc>
                <w:tcPr>
                  <w:tcW w:w="699"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highlight w:val="none"/>
                      <w:lang w:val="en-US" w:eastAsia="zh-CN"/>
                    </w:rPr>
                    <w:t>暂存于灰渣间，外售用作肥料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除尘器</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除尘器收尘</w:t>
                  </w:r>
                </w:p>
              </w:tc>
              <w:tc>
                <w:tcPr>
                  <w:tcW w:w="495"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6.994t/a</w:t>
                  </w:r>
                </w:p>
              </w:tc>
              <w:tc>
                <w:tcPr>
                  <w:tcW w:w="570"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kern w:val="0"/>
                      <w:sz w:val="21"/>
                      <w:szCs w:val="20"/>
                      <w:highlight w:val="none"/>
                      <w:lang w:val="en-US" w:eastAsia="zh-CN" w:bidi="ar-SA"/>
                    </w:rPr>
                    <w:t>/</w:t>
                  </w:r>
                </w:p>
              </w:tc>
              <w:tc>
                <w:tcPr>
                  <w:tcW w:w="632"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kern w:val="0"/>
                      <w:sz w:val="21"/>
                      <w:szCs w:val="20"/>
                      <w:highlight w:val="none"/>
                      <w:lang w:val="en-US" w:eastAsia="zh-CN" w:bidi="ar-SA"/>
                    </w:rPr>
                    <w:t>/</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kern w:val="0"/>
                      <w:sz w:val="21"/>
                      <w:szCs w:val="20"/>
                      <w:highlight w:val="none"/>
                      <w:lang w:val="en-US" w:eastAsia="zh-CN" w:bidi="ar-SA"/>
                    </w:rPr>
                    <w:t>/</w:t>
                  </w:r>
                </w:p>
              </w:tc>
              <w:tc>
                <w:tcPr>
                  <w:tcW w:w="699" w:type="pct"/>
                  <w:vMerge w:val="restar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暂存于灰渣间，外售用作肥料供应商定期更换处理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软水制备设备</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废离子交换树脂</w:t>
                  </w:r>
                </w:p>
              </w:tc>
              <w:tc>
                <w:tcPr>
                  <w:tcW w:w="495"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1.1t/a</w:t>
                  </w:r>
                </w:p>
              </w:tc>
              <w:tc>
                <w:tcPr>
                  <w:tcW w:w="570"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kern w:val="0"/>
                      <w:sz w:val="21"/>
                      <w:szCs w:val="20"/>
                      <w:highlight w:val="none"/>
                      <w:lang w:val="en-US" w:eastAsia="zh-CN" w:bidi="ar-SA"/>
                    </w:rPr>
                    <w:t>/</w:t>
                  </w:r>
                </w:p>
              </w:tc>
              <w:tc>
                <w:tcPr>
                  <w:tcW w:w="632"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kern w:val="0"/>
                      <w:sz w:val="21"/>
                      <w:szCs w:val="20"/>
                      <w:highlight w:val="none"/>
                      <w:lang w:val="en-US" w:eastAsia="zh-CN" w:bidi="ar-SA"/>
                    </w:rPr>
                    <w:t>/</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kern w:val="0"/>
                      <w:sz w:val="21"/>
                      <w:szCs w:val="20"/>
                      <w:highlight w:val="none"/>
                      <w:lang w:val="en-US" w:eastAsia="zh-CN" w:bidi="ar-SA"/>
                    </w:rPr>
                    <w:t>/</w:t>
                  </w:r>
                </w:p>
              </w:tc>
              <w:tc>
                <w:tcPr>
                  <w:tcW w:w="699" w:type="pct"/>
                  <w:vMerge w:val="continue"/>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危险废物</w:t>
                  </w:r>
                </w:p>
              </w:tc>
              <w:tc>
                <w:tcPr>
                  <w:tcW w:w="1230" w:type="pct"/>
                  <w:gridSpan w:val="2"/>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废机油</w:t>
                  </w:r>
                </w:p>
              </w:tc>
              <w:tc>
                <w:tcPr>
                  <w:tcW w:w="495"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0.13t/a</w:t>
                  </w:r>
                </w:p>
              </w:tc>
              <w:tc>
                <w:tcPr>
                  <w:tcW w:w="570"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32"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99"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暂存于危险废物贮存库，委托有资质单位清运处置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restar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特驱供热点</w:t>
                  </w:r>
                </w:p>
              </w:tc>
              <w:tc>
                <w:tcPr>
                  <w:tcW w:w="439" w:type="pct"/>
                  <w:vMerge w:val="restar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default" w:ascii="Times New Roman" w:cs="Times New Roman"/>
                      <w:color w:val="auto"/>
                      <w:highlight w:val="none"/>
                      <w:lang w:val="en-US" w:eastAsia="zh-CN"/>
                    </w:rPr>
                    <w:t>废气</w:t>
                  </w:r>
                </w:p>
              </w:tc>
              <w:tc>
                <w:tcPr>
                  <w:tcW w:w="546" w:type="pct"/>
                  <w:vMerge w:val="restar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default" w:ascii="Times New Roman" w:cs="Times New Roman"/>
                      <w:color w:val="auto"/>
                      <w:highlight w:val="none"/>
                      <w:lang w:val="en-US" w:eastAsia="zh-CN"/>
                    </w:rPr>
                    <w:t>DA00</w:t>
                  </w:r>
                  <w:r>
                    <w:rPr>
                      <w:rFonts w:hint="eastAsia" w:ascii="Times New Roman" w:cs="Times New Roman"/>
                      <w:color w:val="auto"/>
                      <w:highlight w:val="none"/>
                      <w:lang w:val="en-US" w:eastAsia="zh-CN"/>
                    </w:rPr>
                    <w:t>2排气筒</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颗粒物</w:t>
                  </w:r>
                </w:p>
              </w:tc>
              <w:tc>
                <w:tcPr>
                  <w:tcW w:w="495"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1.0t/a</w:t>
                  </w:r>
                </w:p>
              </w:tc>
              <w:tc>
                <w:tcPr>
                  <w:tcW w:w="57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0.0009</w:t>
                  </w:r>
                  <w:r>
                    <w:rPr>
                      <w:rFonts w:hint="eastAsia" w:ascii="Times New Roman" w:cs="Times New Roman"/>
                      <w:color w:val="auto"/>
                      <w:highlight w:val="none"/>
                      <w:lang w:val="en-US" w:eastAsia="zh-CN"/>
                    </w:rPr>
                    <w:t>t/a</w:t>
                  </w:r>
                </w:p>
              </w:tc>
              <w:tc>
                <w:tcPr>
                  <w:tcW w:w="632"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0.072mg/m</w:t>
                  </w:r>
                  <w:r>
                    <w:rPr>
                      <w:rFonts w:hint="default" w:ascii="Times New Roman" w:hAnsi="Times New Roman" w:eastAsia="宋体" w:cs="Times New Roman"/>
                      <w:color w:val="auto"/>
                      <w:highlight w:val="none"/>
                      <w:lang w:val="en-US" w:eastAsia="zh-CN"/>
                    </w:rPr>
                    <w:t>³</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50</w:t>
                  </w:r>
                  <w:r>
                    <w:rPr>
                      <w:rFonts w:hint="eastAsia"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lang w:val="en-US" w:eastAsia="zh-CN"/>
                    </w:rPr>
                    <w:t>³</w:t>
                  </w:r>
                </w:p>
              </w:tc>
              <w:tc>
                <w:tcPr>
                  <w:tcW w:w="699" w:type="pct"/>
                  <w:vMerge w:val="restar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低氮燃烧技术</w:t>
                  </w:r>
                  <w:r>
                    <w:rPr>
                      <w:rFonts w:hint="eastAsia" w:ascii="Times New Roman" w:cs="Times New Roman"/>
                      <w:color w:val="auto"/>
                      <w:highlight w:val="none"/>
                      <w:lang w:val="en-US" w:eastAsia="zh-CN"/>
                    </w:rPr>
                    <w:t>+</w:t>
                  </w:r>
                  <w:r>
                    <w:rPr>
                      <w:rFonts w:hint="eastAsia" w:ascii="Times New Roman" w:hAnsi="Times New Roman" w:eastAsia="宋体" w:cs="Times New Roman"/>
                      <w:color w:val="auto"/>
                      <w:highlight w:val="none"/>
                      <w:lang w:val="en-US" w:eastAsia="zh-CN"/>
                    </w:rPr>
                    <w:t>旋风除尘器+布袋除尘器</w:t>
                  </w:r>
                  <w:r>
                    <w:rPr>
                      <w:rFonts w:hint="eastAsia" w:ascii="Times New Roman" w:cs="Times New Roman"/>
                      <w:color w:val="auto"/>
                      <w:highlight w:val="none"/>
                      <w:lang w:val="en-US" w:eastAsia="zh-CN"/>
                    </w:rPr>
                    <w:t>+35</w:t>
                  </w:r>
                  <w:r>
                    <w:rPr>
                      <w:rFonts w:hint="eastAsia" w:ascii="Times New Roman" w:hAnsi="Times New Roman" w:eastAsia="宋体" w:cs="Times New Roman"/>
                      <w:color w:val="auto"/>
                      <w:highlight w:val="none"/>
                      <w:lang w:val="en-US" w:eastAsia="zh-CN"/>
                    </w:rPr>
                    <w:t>m烟囱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SO</w:t>
                  </w:r>
                  <w:r>
                    <w:rPr>
                      <w:rFonts w:hint="eastAsia" w:ascii="Times New Roman" w:cs="Times New Roman"/>
                      <w:color w:val="auto"/>
                      <w:highlight w:val="none"/>
                      <w:vertAlign w:val="subscript"/>
                      <w:lang w:val="en-US" w:eastAsia="zh-CN"/>
                    </w:rPr>
                    <w:t>2</w:t>
                  </w:r>
                </w:p>
              </w:tc>
              <w:tc>
                <w:tcPr>
                  <w:tcW w:w="495"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0.68t/a</w:t>
                  </w:r>
                </w:p>
              </w:tc>
              <w:tc>
                <w:tcPr>
                  <w:tcW w:w="57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0.68</w:t>
                  </w:r>
                  <w:r>
                    <w:rPr>
                      <w:rFonts w:hint="eastAsia" w:ascii="Times New Roman" w:cs="Times New Roman"/>
                      <w:color w:val="auto"/>
                      <w:highlight w:val="none"/>
                      <w:lang w:val="en-US" w:eastAsia="zh-CN"/>
                    </w:rPr>
                    <w:t>t/a</w:t>
                  </w:r>
                </w:p>
              </w:tc>
              <w:tc>
                <w:tcPr>
                  <w:tcW w:w="632"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54.487mg/m</w:t>
                  </w:r>
                  <w:r>
                    <w:rPr>
                      <w:rFonts w:hint="default" w:ascii="Times New Roman" w:hAnsi="Times New Roman" w:eastAsia="宋体" w:cs="Times New Roman"/>
                      <w:color w:val="auto"/>
                      <w:highlight w:val="none"/>
                      <w:lang w:val="en-US" w:eastAsia="zh-CN"/>
                    </w:rPr>
                    <w:t>³</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300</w:t>
                  </w:r>
                  <w:r>
                    <w:rPr>
                      <w:rFonts w:hint="eastAsia"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lang w:val="en-US" w:eastAsia="zh-CN"/>
                    </w:rPr>
                    <w:t>³</w:t>
                  </w:r>
                </w:p>
              </w:tc>
              <w:tc>
                <w:tcPr>
                  <w:tcW w:w="699" w:type="pct"/>
                  <w:vMerge w:val="continue"/>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684"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NOx</w:t>
                  </w:r>
                </w:p>
              </w:tc>
              <w:tc>
                <w:tcPr>
                  <w:tcW w:w="495"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default" w:ascii="Times New Roman" w:cs="Times New Roman"/>
                      <w:color w:val="auto"/>
                      <w:highlight w:val="none"/>
                      <w:lang w:val="en-US" w:eastAsia="zh-CN"/>
                    </w:rPr>
                    <w:t>2.04</w:t>
                  </w:r>
                  <w:r>
                    <w:rPr>
                      <w:rFonts w:hint="eastAsia" w:ascii="Times New Roman" w:cs="Times New Roman"/>
                      <w:color w:val="auto"/>
                      <w:highlight w:val="none"/>
                      <w:lang w:val="en-US" w:eastAsia="zh-CN"/>
                    </w:rPr>
                    <w:t>t/a</w:t>
                  </w:r>
                </w:p>
              </w:tc>
              <w:tc>
                <w:tcPr>
                  <w:tcW w:w="57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1.428</w:t>
                  </w:r>
                  <w:r>
                    <w:rPr>
                      <w:rFonts w:hint="eastAsia" w:ascii="Times New Roman" w:cs="Times New Roman"/>
                      <w:color w:val="auto"/>
                      <w:highlight w:val="none"/>
                      <w:lang w:val="en-US" w:eastAsia="zh-CN"/>
                    </w:rPr>
                    <w:t>t/a</w:t>
                  </w:r>
                </w:p>
              </w:tc>
              <w:tc>
                <w:tcPr>
                  <w:tcW w:w="632"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114.423mg/m</w:t>
                  </w:r>
                  <w:r>
                    <w:rPr>
                      <w:rFonts w:hint="default" w:ascii="Times New Roman" w:hAnsi="Times New Roman" w:eastAsia="宋体" w:cs="Times New Roman"/>
                      <w:color w:val="auto"/>
                      <w:highlight w:val="none"/>
                      <w:lang w:val="en-US" w:eastAsia="zh-CN"/>
                    </w:rPr>
                    <w:t>³</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300</w:t>
                  </w:r>
                  <w:r>
                    <w:rPr>
                      <w:rFonts w:hint="eastAsia"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lang w:val="en-US" w:eastAsia="zh-CN"/>
                    </w:rPr>
                    <w:t>³</w:t>
                  </w:r>
                </w:p>
              </w:tc>
              <w:tc>
                <w:tcPr>
                  <w:tcW w:w="699" w:type="pct"/>
                  <w:vMerge w:val="continue"/>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堆渣间、生物质储存间</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无组织粉尘</w:t>
                  </w:r>
                </w:p>
              </w:tc>
              <w:tc>
                <w:tcPr>
                  <w:tcW w:w="495"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0.6t/a</w:t>
                  </w:r>
                </w:p>
              </w:tc>
              <w:tc>
                <w:tcPr>
                  <w:tcW w:w="570"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0.06t/a</w:t>
                  </w:r>
                </w:p>
              </w:tc>
              <w:tc>
                <w:tcPr>
                  <w:tcW w:w="632"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1.0</w:t>
                  </w:r>
                  <w:r>
                    <w:rPr>
                      <w:rFonts w:hint="eastAsia"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lang w:val="en-US" w:eastAsia="zh-CN"/>
                    </w:rPr>
                    <w:t>³</w:t>
                  </w:r>
                </w:p>
              </w:tc>
              <w:tc>
                <w:tcPr>
                  <w:tcW w:w="699"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袋装存放于密闭料仓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运输汽车尾气</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CO、THC、NOx</w:t>
                  </w:r>
                </w:p>
              </w:tc>
              <w:tc>
                <w:tcPr>
                  <w:tcW w:w="495"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w:t>
                  </w:r>
                </w:p>
              </w:tc>
              <w:tc>
                <w:tcPr>
                  <w:tcW w:w="57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32"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99"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自然扩散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restar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废水</w:t>
                  </w:r>
                </w:p>
              </w:tc>
              <w:tc>
                <w:tcPr>
                  <w:tcW w:w="546"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锅炉排污</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锅炉废水</w:t>
                  </w:r>
                </w:p>
              </w:tc>
              <w:tc>
                <w:tcPr>
                  <w:tcW w:w="495"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hAnsi="Times New Roman" w:eastAsia="宋体" w:cs="Times New Roman"/>
                      <w:color w:val="auto"/>
                      <w:highlight w:val="none"/>
                      <w:lang w:val="en-US" w:eastAsia="zh-CN"/>
                    </w:rPr>
                    <w:t>100</w:t>
                  </w:r>
                  <w:r>
                    <w:rPr>
                      <w:rFonts w:hint="eastAsia" w:ascii="Times New Roman" w:cs="Times New Roman"/>
                      <w:color w:val="auto"/>
                      <w:highlight w:val="none"/>
                      <w:lang w:val="en-US" w:eastAsia="zh-CN"/>
                    </w:rPr>
                    <w:t>t/a</w:t>
                  </w:r>
                </w:p>
              </w:tc>
              <w:tc>
                <w:tcPr>
                  <w:tcW w:w="57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32"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99" w:type="pct"/>
                  <w:vMerge w:val="restar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软水制备废水和锅炉排污水接入烟气蒸器蒸发，不外排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软水制备设备</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软水制备废水</w:t>
                  </w:r>
                </w:p>
              </w:tc>
              <w:tc>
                <w:tcPr>
                  <w:tcW w:w="495"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1782.35t/a</w:t>
                  </w:r>
                </w:p>
              </w:tc>
              <w:tc>
                <w:tcPr>
                  <w:tcW w:w="57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32"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99" w:type="pct"/>
                  <w:vMerge w:val="continue"/>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员工生活</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生活污水</w:t>
                  </w:r>
                </w:p>
              </w:tc>
              <w:tc>
                <w:tcPr>
                  <w:tcW w:w="495"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15.84t/a</w:t>
                  </w:r>
                </w:p>
              </w:tc>
              <w:tc>
                <w:tcPr>
                  <w:tcW w:w="570"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32"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99"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依托服务企业现有生活设施及生活污水处理设施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噪声</w:t>
                  </w:r>
                </w:p>
              </w:tc>
              <w:tc>
                <w:tcPr>
                  <w:tcW w:w="546"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噪声设备</w:t>
                  </w:r>
                </w:p>
              </w:tc>
              <w:tc>
                <w:tcPr>
                  <w:tcW w:w="684"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噪声</w:t>
                  </w:r>
                </w:p>
              </w:tc>
              <w:tc>
                <w:tcPr>
                  <w:tcW w:w="495"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w:t>
                  </w:r>
                </w:p>
              </w:tc>
              <w:tc>
                <w:tcPr>
                  <w:tcW w:w="570"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32"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99"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基础减振、厂房墙壁隔声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restar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固体废物</w:t>
                  </w:r>
                </w:p>
              </w:tc>
              <w:tc>
                <w:tcPr>
                  <w:tcW w:w="546"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生物质燃烧</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锅炉灰渣</w:t>
                  </w:r>
                </w:p>
              </w:tc>
              <w:tc>
                <w:tcPr>
                  <w:tcW w:w="495"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34.62t/a</w:t>
                  </w:r>
                </w:p>
              </w:tc>
              <w:tc>
                <w:tcPr>
                  <w:tcW w:w="570"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32"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99"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收集后送至园区指定位置</w:t>
                  </w:r>
                  <w:r>
                    <w:rPr>
                      <w:rFonts w:hint="eastAsia" w:ascii="Times New Roman" w:cs="Times New Roman"/>
                      <w:color w:val="auto"/>
                      <w:highlight w:val="none"/>
                      <w:lang w:val="en-US" w:eastAsia="zh-CN"/>
                    </w:rPr>
                    <w:t>集中处理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除尘器</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除尘器收尘</w:t>
                  </w:r>
                </w:p>
              </w:tc>
              <w:tc>
                <w:tcPr>
                  <w:tcW w:w="495"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0.999t/a</w:t>
                  </w:r>
                </w:p>
              </w:tc>
              <w:tc>
                <w:tcPr>
                  <w:tcW w:w="570"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32"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99" w:type="pct"/>
                  <w:vMerge w:val="restar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暂存于灰渣间，外售用作肥料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软水制备设备</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废离子交换树脂</w:t>
                  </w:r>
                </w:p>
              </w:tc>
              <w:tc>
                <w:tcPr>
                  <w:tcW w:w="495"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0.16t/a</w:t>
                  </w:r>
                </w:p>
              </w:tc>
              <w:tc>
                <w:tcPr>
                  <w:tcW w:w="570"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32"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99" w:type="pct"/>
                  <w:vMerge w:val="continue"/>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危险废物</w:t>
                  </w:r>
                </w:p>
              </w:tc>
              <w:tc>
                <w:tcPr>
                  <w:tcW w:w="1230" w:type="pct"/>
                  <w:gridSpan w:val="2"/>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废机油</w:t>
                  </w:r>
                </w:p>
              </w:tc>
              <w:tc>
                <w:tcPr>
                  <w:tcW w:w="495"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0.03t/a</w:t>
                  </w:r>
                </w:p>
              </w:tc>
              <w:tc>
                <w:tcPr>
                  <w:tcW w:w="570"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32"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99"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暂存于危险废物贮存库，委托有资质单位清运处置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316" w:type="pct"/>
                  <w:vMerge w:val="restar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漓源供热点</w:t>
                  </w:r>
                </w:p>
              </w:tc>
              <w:tc>
                <w:tcPr>
                  <w:tcW w:w="439" w:type="pct"/>
                  <w:vMerge w:val="restar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default" w:ascii="Times New Roman" w:cs="Times New Roman"/>
                      <w:color w:val="auto"/>
                      <w:highlight w:val="none"/>
                      <w:lang w:val="en-US" w:eastAsia="zh-CN"/>
                    </w:rPr>
                    <w:t>废气</w:t>
                  </w:r>
                </w:p>
              </w:tc>
              <w:tc>
                <w:tcPr>
                  <w:tcW w:w="546" w:type="pct"/>
                  <w:vMerge w:val="restar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default" w:ascii="Times New Roman" w:cs="Times New Roman"/>
                      <w:color w:val="auto"/>
                      <w:highlight w:val="none"/>
                      <w:lang w:val="en-US" w:eastAsia="zh-CN"/>
                    </w:rPr>
                    <w:t>锅炉</w:t>
                  </w:r>
                  <w:r>
                    <w:rPr>
                      <w:rFonts w:hint="eastAsia" w:ascii="Times New Roman" w:cs="Times New Roman"/>
                      <w:color w:val="auto"/>
                      <w:highlight w:val="none"/>
                      <w:lang w:val="en-US" w:eastAsia="zh-CN"/>
                    </w:rPr>
                    <w:t>烟</w:t>
                  </w:r>
                  <w:r>
                    <w:rPr>
                      <w:rFonts w:hint="default" w:ascii="Times New Roman" w:cs="Times New Roman"/>
                      <w:color w:val="auto"/>
                      <w:highlight w:val="none"/>
                      <w:lang w:val="en-US" w:eastAsia="zh-CN"/>
                    </w:rPr>
                    <w:t>气DA00</w:t>
                  </w:r>
                  <w:r>
                    <w:rPr>
                      <w:rFonts w:hint="eastAsia" w:ascii="Times New Roman" w:cs="Times New Roman"/>
                      <w:color w:val="auto"/>
                      <w:highlight w:val="none"/>
                      <w:lang w:val="en-US" w:eastAsia="zh-CN"/>
                    </w:rPr>
                    <w:t>3排气筒</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颗粒物</w:t>
                  </w:r>
                </w:p>
              </w:tc>
              <w:tc>
                <w:tcPr>
                  <w:tcW w:w="495"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1.0t/a</w:t>
                  </w:r>
                </w:p>
              </w:tc>
              <w:tc>
                <w:tcPr>
                  <w:tcW w:w="57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0.0009</w:t>
                  </w:r>
                  <w:r>
                    <w:rPr>
                      <w:rFonts w:hint="eastAsia" w:ascii="Times New Roman" w:cs="Times New Roman"/>
                      <w:color w:val="auto"/>
                      <w:highlight w:val="none"/>
                      <w:lang w:val="en-US" w:eastAsia="zh-CN"/>
                    </w:rPr>
                    <w:t>t/a</w:t>
                  </w:r>
                </w:p>
              </w:tc>
              <w:tc>
                <w:tcPr>
                  <w:tcW w:w="632"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0.072mg/m</w:t>
                  </w:r>
                  <w:r>
                    <w:rPr>
                      <w:rFonts w:hint="default" w:ascii="Times New Roman" w:hAnsi="Times New Roman" w:eastAsia="宋体" w:cs="Times New Roman"/>
                      <w:color w:val="auto"/>
                      <w:highlight w:val="none"/>
                      <w:lang w:val="en-US" w:eastAsia="zh-CN"/>
                    </w:rPr>
                    <w:t>³</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50</w:t>
                  </w:r>
                  <w:r>
                    <w:rPr>
                      <w:rFonts w:hint="eastAsia"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lang w:val="en-US" w:eastAsia="zh-CN"/>
                    </w:rPr>
                    <w:t>³</w:t>
                  </w:r>
                </w:p>
              </w:tc>
              <w:tc>
                <w:tcPr>
                  <w:tcW w:w="699" w:type="pct"/>
                  <w:vMerge w:val="restar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低氮燃烧技术</w:t>
                  </w:r>
                  <w:r>
                    <w:rPr>
                      <w:rFonts w:hint="eastAsia" w:ascii="Times New Roman" w:cs="Times New Roman"/>
                      <w:color w:val="auto"/>
                      <w:highlight w:val="none"/>
                      <w:lang w:val="en-US" w:eastAsia="zh-CN"/>
                    </w:rPr>
                    <w:t>+</w:t>
                  </w:r>
                  <w:r>
                    <w:rPr>
                      <w:rFonts w:hint="eastAsia" w:ascii="Times New Roman" w:hAnsi="Times New Roman" w:eastAsia="宋体" w:cs="Times New Roman"/>
                      <w:color w:val="auto"/>
                      <w:highlight w:val="none"/>
                      <w:lang w:val="en-US" w:eastAsia="zh-CN"/>
                    </w:rPr>
                    <w:t>旋风除尘器+布袋除尘器</w:t>
                  </w:r>
                  <w:r>
                    <w:rPr>
                      <w:rFonts w:hint="eastAsia" w:ascii="Times New Roman" w:cs="Times New Roman"/>
                      <w:color w:val="auto"/>
                      <w:highlight w:val="none"/>
                      <w:lang w:val="en-US" w:eastAsia="zh-CN"/>
                    </w:rPr>
                    <w:t>+3</w:t>
                  </w:r>
                  <w:r>
                    <w:rPr>
                      <w:rFonts w:hint="eastAsia" w:ascii="Times New Roman" w:hAnsi="Times New Roman" w:eastAsia="宋体" w:cs="Times New Roman"/>
                      <w:color w:val="auto"/>
                      <w:highlight w:val="none"/>
                      <w:lang w:val="en-US" w:eastAsia="zh-CN"/>
                    </w:rPr>
                    <w:t>5m烟囱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SO</w:t>
                  </w:r>
                  <w:r>
                    <w:rPr>
                      <w:rFonts w:hint="eastAsia" w:ascii="Times New Roman" w:cs="Times New Roman"/>
                      <w:color w:val="auto"/>
                      <w:highlight w:val="none"/>
                      <w:vertAlign w:val="subscript"/>
                      <w:lang w:val="en-US" w:eastAsia="zh-CN"/>
                    </w:rPr>
                    <w:t>2</w:t>
                  </w:r>
                </w:p>
              </w:tc>
              <w:tc>
                <w:tcPr>
                  <w:tcW w:w="495"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0.68t/a</w:t>
                  </w:r>
                </w:p>
              </w:tc>
              <w:tc>
                <w:tcPr>
                  <w:tcW w:w="57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0.68</w:t>
                  </w:r>
                  <w:r>
                    <w:rPr>
                      <w:rFonts w:hint="eastAsia" w:ascii="Times New Roman" w:cs="Times New Roman"/>
                      <w:color w:val="auto"/>
                      <w:highlight w:val="none"/>
                      <w:lang w:val="en-US" w:eastAsia="zh-CN"/>
                    </w:rPr>
                    <w:t>t/a</w:t>
                  </w:r>
                </w:p>
              </w:tc>
              <w:tc>
                <w:tcPr>
                  <w:tcW w:w="632"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54.487mg/m</w:t>
                  </w:r>
                  <w:r>
                    <w:rPr>
                      <w:rFonts w:hint="default" w:ascii="Times New Roman" w:hAnsi="Times New Roman" w:eastAsia="宋体" w:cs="Times New Roman"/>
                      <w:color w:val="auto"/>
                      <w:highlight w:val="none"/>
                      <w:lang w:val="en-US" w:eastAsia="zh-CN"/>
                    </w:rPr>
                    <w:t>³</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300</w:t>
                  </w:r>
                  <w:r>
                    <w:rPr>
                      <w:rFonts w:hint="eastAsia"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lang w:val="en-US" w:eastAsia="zh-CN"/>
                    </w:rPr>
                    <w:t>³</w:t>
                  </w:r>
                </w:p>
              </w:tc>
              <w:tc>
                <w:tcPr>
                  <w:tcW w:w="699" w:type="pct"/>
                  <w:vMerge w:val="continue"/>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684"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NOx</w:t>
                  </w:r>
                </w:p>
              </w:tc>
              <w:tc>
                <w:tcPr>
                  <w:tcW w:w="495"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default" w:ascii="Times New Roman" w:cs="Times New Roman"/>
                      <w:color w:val="auto"/>
                      <w:highlight w:val="none"/>
                      <w:lang w:val="en-US" w:eastAsia="zh-CN"/>
                    </w:rPr>
                    <w:t>2.04</w:t>
                  </w:r>
                  <w:r>
                    <w:rPr>
                      <w:rFonts w:hint="eastAsia" w:ascii="Times New Roman" w:cs="Times New Roman"/>
                      <w:color w:val="auto"/>
                      <w:highlight w:val="none"/>
                      <w:lang w:val="en-US" w:eastAsia="zh-CN"/>
                    </w:rPr>
                    <w:t>t/a</w:t>
                  </w:r>
                </w:p>
              </w:tc>
              <w:tc>
                <w:tcPr>
                  <w:tcW w:w="57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1.428</w:t>
                  </w:r>
                  <w:r>
                    <w:rPr>
                      <w:rFonts w:hint="eastAsia" w:ascii="Times New Roman" w:cs="Times New Roman"/>
                      <w:color w:val="auto"/>
                      <w:highlight w:val="none"/>
                      <w:lang w:val="en-US" w:eastAsia="zh-CN"/>
                    </w:rPr>
                    <w:t>t/a</w:t>
                  </w:r>
                </w:p>
              </w:tc>
              <w:tc>
                <w:tcPr>
                  <w:tcW w:w="632"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114.423mg/m</w:t>
                  </w:r>
                  <w:r>
                    <w:rPr>
                      <w:rFonts w:hint="default" w:ascii="Times New Roman" w:hAnsi="Times New Roman" w:eastAsia="宋体" w:cs="Times New Roman"/>
                      <w:color w:val="auto"/>
                      <w:highlight w:val="none"/>
                      <w:lang w:val="en-US" w:eastAsia="zh-CN"/>
                    </w:rPr>
                    <w:t>³</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300</w:t>
                  </w:r>
                  <w:r>
                    <w:rPr>
                      <w:rFonts w:hint="eastAsia"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lang w:val="en-US" w:eastAsia="zh-CN"/>
                    </w:rPr>
                    <w:t>³</w:t>
                  </w:r>
                </w:p>
              </w:tc>
              <w:tc>
                <w:tcPr>
                  <w:tcW w:w="699" w:type="pct"/>
                  <w:vMerge w:val="continue"/>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堆渣间、生物质储存间</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无组织粉尘</w:t>
                  </w:r>
                </w:p>
              </w:tc>
              <w:tc>
                <w:tcPr>
                  <w:tcW w:w="495"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0.6t/a</w:t>
                  </w:r>
                </w:p>
              </w:tc>
              <w:tc>
                <w:tcPr>
                  <w:tcW w:w="570"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0.06t/a</w:t>
                  </w:r>
                </w:p>
              </w:tc>
              <w:tc>
                <w:tcPr>
                  <w:tcW w:w="632"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1.0</w:t>
                  </w:r>
                  <w:r>
                    <w:rPr>
                      <w:rFonts w:hint="eastAsia"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lang w:val="en-US" w:eastAsia="zh-CN"/>
                    </w:rPr>
                    <w:t>³</w:t>
                  </w:r>
                </w:p>
              </w:tc>
              <w:tc>
                <w:tcPr>
                  <w:tcW w:w="699"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袋装存放于密闭料仓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运输汽车尾气</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CO、THC、NOx</w:t>
                  </w:r>
                </w:p>
              </w:tc>
              <w:tc>
                <w:tcPr>
                  <w:tcW w:w="495"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w:t>
                  </w:r>
                </w:p>
              </w:tc>
              <w:tc>
                <w:tcPr>
                  <w:tcW w:w="57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32"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99"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自然扩散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restar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废水</w:t>
                  </w:r>
                </w:p>
              </w:tc>
              <w:tc>
                <w:tcPr>
                  <w:tcW w:w="546"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锅炉排污</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锅炉废水</w:t>
                  </w:r>
                </w:p>
              </w:tc>
              <w:tc>
                <w:tcPr>
                  <w:tcW w:w="495"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highlight w:val="none"/>
                      <w:lang w:val="en-US" w:eastAsia="zh-CN"/>
                    </w:rPr>
                    <w:t>100</w:t>
                  </w:r>
                  <w:r>
                    <w:rPr>
                      <w:rFonts w:hint="eastAsia" w:ascii="Times New Roman" w:cs="Times New Roman"/>
                      <w:color w:val="auto"/>
                      <w:highlight w:val="none"/>
                      <w:lang w:val="en-US" w:eastAsia="zh-CN"/>
                    </w:rPr>
                    <w:t>t/a</w:t>
                  </w:r>
                </w:p>
              </w:tc>
              <w:tc>
                <w:tcPr>
                  <w:tcW w:w="57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32"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99" w:type="pct"/>
                  <w:vMerge w:val="restar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软水制备废水和锅炉排污水接入烟气蒸器蒸发，不外排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软水制备设备</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软水制备废水</w:t>
                  </w:r>
                </w:p>
              </w:tc>
              <w:tc>
                <w:tcPr>
                  <w:tcW w:w="495"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1782.35t/a</w:t>
                  </w:r>
                </w:p>
              </w:tc>
              <w:tc>
                <w:tcPr>
                  <w:tcW w:w="57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32"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99" w:type="pct"/>
                  <w:vMerge w:val="continue"/>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员工生活</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生活污水</w:t>
                  </w:r>
                </w:p>
              </w:tc>
              <w:tc>
                <w:tcPr>
                  <w:tcW w:w="495"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23.76t/a</w:t>
                  </w:r>
                </w:p>
              </w:tc>
              <w:tc>
                <w:tcPr>
                  <w:tcW w:w="57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32"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99"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依托服务企业现有生活设施及生活污水处理设施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噪声</w:t>
                  </w:r>
                </w:p>
              </w:tc>
              <w:tc>
                <w:tcPr>
                  <w:tcW w:w="546"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噪声设备</w:t>
                  </w:r>
                </w:p>
              </w:tc>
              <w:tc>
                <w:tcPr>
                  <w:tcW w:w="684"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噪声</w:t>
                  </w:r>
                </w:p>
              </w:tc>
              <w:tc>
                <w:tcPr>
                  <w:tcW w:w="495"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w:t>
                  </w:r>
                </w:p>
              </w:tc>
              <w:tc>
                <w:tcPr>
                  <w:tcW w:w="57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32"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99"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基础减振、厂房墙壁隔声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restar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固体废物</w:t>
                  </w:r>
                </w:p>
              </w:tc>
              <w:tc>
                <w:tcPr>
                  <w:tcW w:w="546"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生物质燃烧</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锅炉灰渣</w:t>
                  </w:r>
                </w:p>
              </w:tc>
              <w:tc>
                <w:tcPr>
                  <w:tcW w:w="495"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34.62t/a</w:t>
                  </w:r>
                </w:p>
              </w:tc>
              <w:tc>
                <w:tcPr>
                  <w:tcW w:w="57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32"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w:t>
                  </w:r>
                </w:p>
              </w:tc>
              <w:tc>
                <w:tcPr>
                  <w:tcW w:w="699"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收集后送至园区指定位置</w:t>
                  </w:r>
                  <w:r>
                    <w:rPr>
                      <w:rFonts w:hint="eastAsia" w:ascii="Times New Roman" w:cs="Times New Roman"/>
                      <w:color w:val="auto"/>
                      <w:highlight w:val="none"/>
                      <w:lang w:val="en-US" w:eastAsia="zh-CN"/>
                    </w:rPr>
                    <w:t>集中处理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除尘器</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除尘器收尘</w:t>
                  </w:r>
                </w:p>
              </w:tc>
              <w:tc>
                <w:tcPr>
                  <w:tcW w:w="495"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0.999t/a</w:t>
                  </w:r>
                </w:p>
              </w:tc>
              <w:tc>
                <w:tcPr>
                  <w:tcW w:w="57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32"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99" w:type="pct"/>
                  <w:vMerge w:val="restar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暂存于灰渣间，外售用作肥料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vMerge w:val="continue"/>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p>
              </w:tc>
              <w:tc>
                <w:tcPr>
                  <w:tcW w:w="546"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软水制备设备</w:t>
                  </w:r>
                </w:p>
              </w:tc>
              <w:tc>
                <w:tcPr>
                  <w:tcW w:w="684"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废离子交换树脂</w:t>
                  </w:r>
                </w:p>
              </w:tc>
              <w:tc>
                <w:tcPr>
                  <w:tcW w:w="495"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cs="Times New Roman"/>
                      <w:color w:val="auto"/>
                      <w:highlight w:val="none"/>
                      <w:lang w:val="en-US" w:eastAsia="zh-CN"/>
                    </w:rPr>
                    <w:t>0.16t/a</w:t>
                  </w:r>
                </w:p>
              </w:tc>
              <w:tc>
                <w:tcPr>
                  <w:tcW w:w="57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32"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99" w:type="pct"/>
                  <w:vMerge w:val="continue"/>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316" w:type="pct"/>
                  <w:vMerge w:val="continue"/>
                  <w:tcBorders>
                    <w:tl2br w:val="nil"/>
                    <w:tr2bl w:val="nil"/>
                  </w:tcBorders>
                  <w:noWrap w:val="0"/>
                  <w:vAlign w:val="center"/>
                </w:tcPr>
                <w:p>
                  <w:pPr>
                    <w:bidi w:val="0"/>
                    <w:ind w:left="0" w:leftChars="0" w:firstLine="0" w:firstLineChars="0"/>
                    <w:jc w:val="center"/>
                    <w:rPr>
                      <w:rFonts w:hint="eastAsia" w:ascii="Times New Roman" w:cs="Times New Roman"/>
                      <w:color w:val="auto"/>
                      <w:highlight w:val="none"/>
                      <w:lang w:val="en-US" w:eastAsia="zh-CN"/>
                    </w:rPr>
                  </w:pPr>
                </w:p>
              </w:tc>
              <w:tc>
                <w:tcPr>
                  <w:tcW w:w="439"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危险废物</w:t>
                  </w:r>
                </w:p>
              </w:tc>
              <w:tc>
                <w:tcPr>
                  <w:tcW w:w="1230" w:type="pct"/>
                  <w:gridSpan w:val="2"/>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废机油</w:t>
                  </w:r>
                </w:p>
              </w:tc>
              <w:tc>
                <w:tcPr>
                  <w:tcW w:w="495"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0.03t/a</w:t>
                  </w:r>
                </w:p>
              </w:tc>
              <w:tc>
                <w:tcPr>
                  <w:tcW w:w="57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32"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16"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w:t>
                  </w:r>
                </w:p>
              </w:tc>
              <w:tc>
                <w:tcPr>
                  <w:tcW w:w="699"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暂存于危险废物贮存库，委托有资质单位清运处置</w:t>
                  </w:r>
                </w:p>
              </w:tc>
            </w:tr>
          </w:tbl>
          <w:p>
            <w:pPr>
              <w:keepNext w:val="0"/>
              <w:keepLines w:val="0"/>
              <w:pageBreakBefore w:val="0"/>
              <w:widowControl w:val="0"/>
              <w:kinsoku/>
              <w:wordWrap/>
              <w:overflowPunct/>
              <w:topLinePunct w:val="0"/>
              <w:bidi w:val="0"/>
              <w:adjustRightInd/>
              <w:snapToGrid/>
              <w:spacing w:line="360" w:lineRule="auto"/>
              <w:ind w:firstLine="456" w:firstLineChars="200"/>
              <w:textAlignment w:val="auto"/>
              <w:rPr>
                <w:rFonts w:hint="default" w:cs="Times New Roman"/>
                <w:bCs/>
                <w:color w:val="auto"/>
                <w:spacing w:val="-6"/>
                <w:sz w:val="24"/>
                <w:szCs w:val="24"/>
                <w:highlight w:val="none"/>
                <w:lang w:val="en-US" w:eastAsia="zh-CN"/>
              </w:rPr>
            </w:pPr>
            <w:r>
              <w:rPr>
                <w:rFonts w:hint="eastAsia" w:cs="Times New Roman"/>
                <w:bCs/>
                <w:color w:val="auto"/>
                <w:spacing w:val="-6"/>
                <w:sz w:val="24"/>
                <w:szCs w:val="24"/>
                <w:highlight w:val="none"/>
                <w:lang w:val="en-US" w:eastAsia="zh-CN"/>
              </w:rPr>
              <w:t>根据建设单位提供的项目在线监测数据、例行监测数据分析，已建投运工程锅炉烟气排放满足《锅炉大气污染物排放标准》（GB13271-2014）中表2燃煤锅炉排放标准限值要求；厂界无组织粉尘排放满足《大气污染物综合排放标准》（GB16297-1996）表2新污染源大气污染物排放标准限值要求；厂界噪声排放满足《工业企业厂界环境噪声排放标准》（GB12348-2008）3类标准限值要求。</w:t>
            </w:r>
          </w:p>
          <w:p>
            <w:pPr>
              <w:keepNext w:val="0"/>
              <w:keepLines w:val="0"/>
              <w:pageBreakBefore w:val="0"/>
              <w:kinsoku/>
              <w:wordWrap/>
              <w:overflowPunct/>
              <w:topLinePunct w:val="0"/>
              <w:autoSpaceDE w:val="0"/>
              <w:autoSpaceDN w:val="0"/>
              <w:bidi w:val="0"/>
              <w:snapToGrid/>
              <w:spacing w:line="360" w:lineRule="auto"/>
              <w:ind w:firstLine="420" w:firstLineChars="200"/>
              <w:textAlignment w:val="auto"/>
              <w:rPr>
                <w:rFonts w:hint="default" w:ascii="Times New Roman" w:hAnsi="Times New Roman" w:cs="Times New Roman"/>
                <w:bCs/>
                <w:color w:val="auto"/>
                <w:szCs w:val="21"/>
                <w:highlight w:val="none"/>
                <w:lang w:val="en-US"/>
              </w:rPr>
            </w:pPr>
          </w:p>
        </w:tc>
      </w:tr>
    </w:tbl>
    <w:p>
      <w:pPr>
        <w:pStyle w:val="27"/>
        <w:jc w:val="center"/>
        <w:rPr>
          <w:rFonts w:hint="default" w:ascii="Times New Roman" w:hAnsi="Times New Roman" w:eastAsia="黑体" w:cs="Times New Roman"/>
          <w:snapToGrid w:val="0"/>
          <w:color w:val="auto"/>
          <w:sz w:val="36"/>
          <w:szCs w:val="36"/>
          <w:highlight w:val="none"/>
        </w:rPr>
        <w:sectPr>
          <w:pgSz w:w="11906" w:h="16838"/>
          <w:pgMar w:top="1304" w:right="1134" w:bottom="1304"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5"/>
        <w:bidi w:val="0"/>
        <w:spacing w:line="260" w:lineRule="auto"/>
        <w:ind w:left="0" w:firstLine="0" w:firstLineChars="0"/>
        <w:jc w:val="center"/>
        <w:rPr>
          <w:rFonts w:hint="default" w:ascii="Times New Roman" w:hAnsi="Times New Roman" w:cs="Times New Roman"/>
          <w:color w:val="auto"/>
          <w:highlight w:val="none"/>
        </w:rPr>
      </w:pPr>
      <w:bookmarkStart w:id="7" w:name="_Toc24027"/>
      <w:r>
        <w:rPr>
          <w:rFonts w:hint="default" w:ascii="Times New Roman" w:hAnsi="Times New Roman" w:cs="Times New Roman"/>
          <w:color w:val="auto"/>
          <w:highlight w:val="none"/>
        </w:rPr>
        <w:t>三、区域环境质量现状、环境保护目标及评价标准</w:t>
      </w:r>
      <w:bookmarkEnd w:id="7"/>
    </w:p>
    <w:tbl>
      <w:tblPr>
        <w:tblStyle w:val="29"/>
        <w:tblW w:w="945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900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457" w:type="dxa"/>
            <w:noWrap w:val="0"/>
            <w:vAlign w:val="center"/>
          </w:tcPr>
          <w:p>
            <w:pPr>
              <w:adjustRightInd w:val="0"/>
              <w:snapToGrid w:val="0"/>
              <w:jc w:val="center"/>
              <w:rPr>
                <w:rFonts w:hint="default" w:ascii="Times New Roman" w:hAnsi="Times New Roman" w:cs="Times New Roman"/>
                <w:b/>
                <w:bCs/>
                <w:color w:val="auto"/>
                <w:kern w:val="0"/>
                <w:sz w:val="24"/>
                <w:szCs w:val="24"/>
                <w:highlight w:val="none"/>
              </w:rPr>
            </w:pPr>
            <w:r>
              <w:rPr>
                <w:rFonts w:hint="default" w:ascii="Times New Roman" w:hAnsi="Times New Roman" w:cs="Times New Roman"/>
                <w:b/>
                <w:bCs/>
                <w:color w:val="auto"/>
                <w:kern w:val="0"/>
                <w:sz w:val="24"/>
                <w:szCs w:val="24"/>
                <w:highlight w:val="none"/>
              </w:rPr>
              <w:t>区域环境质量现状</w:t>
            </w:r>
          </w:p>
        </w:tc>
        <w:tc>
          <w:tcPr>
            <w:tcW w:w="9001" w:type="dxa"/>
            <w:noWrap w:val="0"/>
            <w:vAlign w:val="center"/>
          </w:tcPr>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color w:val="auto"/>
                <w:sz w:val="24"/>
                <w:szCs w:val="24"/>
                <w:highlight w:val="none"/>
                <w:lang w:val="en-US" w:eastAsia="zh-CN"/>
              </w:rPr>
            </w:pPr>
            <w:r>
              <w:rPr>
                <w:rFonts w:hint="default"/>
                <w:color w:val="auto"/>
                <w:sz w:val="24"/>
                <w:szCs w:val="24"/>
                <w:highlight w:val="none"/>
                <w:lang w:val="en-US" w:eastAsia="zh-CN"/>
              </w:rPr>
              <w:t>本项目位于宜良工业园区北古城片区，环境质量执行标准根据《宜良工业园区总体规划（2016-2030）环境影响报告书》中相应的质量标准执行。</w:t>
            </w:r>
          </w:p>
          <w:p>
            <w:pPr>
              <w:pStyle w:val="74"/>
              <w:pageBreakBefore w:val="0"/>
              <w:widowControl w:val="0"/>
              <w:numPr>
                <w:ilvl w:val="0"/>
                <w:numId w:val="0"/>
              </w:numPr>
              <w:kinsoku/>
              <w:wordWrap/>
              <w:overflowPunct/>
              <w:topLinePunct w:val="0"/>
              <w:autoSpaceDE/>
              <w:autoSpaceDN/>
              <w:bidi w:val="0"/>
              <w:adjustRightInd/>
              <w:snapToGrid/>
              <w:spacing w:before="0" w:beforeLines="0" w:after="0" w:afterLines="0"/>
              <w:ind w:leftChars="200"/>
              <w:textAlignment w:val="auto"/>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1、</w:t>
            </w:r>
            <w:r>
              <w:rPr>
                <w:rFonts w:hint="eastAsia" w:ascii="Times New Roman" w:hAnsi="Times New Roman" w:eastAsia="宋体" w:cs="Times New Roman"/>
                <w:b/>
                <w:bCs/>
                <w:color w:val="auto"/>
                <w:highlight w:val="none"/>
                <w:lang w:val="en-US" w:eastAsia="zh-CN"/>
              </w:rPr>
              <w:t>环境</w:t>
            </w:r>
            <w:r>
              <w:rPr>
                <w:rFonts w:hint="default" w:ascii="Times New Roman" w:hAnsi="Times New Roman" w:eastAsia="宋体" w:cs="Times New Roman"/>
                <w:b/>
                <w:bCs/>
                <w:color w:val="auto"/>
                <w:highlight w:val="none"/>
                <w:lang w:eastAsia="zh-CN"/>
              </w:rPr>
              <w:t>空气质量现状</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本项目位于宜良工业园区北古城片区，根据《宜良工业园区总体规划（2016-2030）环境影响报告书》，项目区环境空气质量执行《环境空气质量标准》（GB3095-2012）二级标准。</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根据昆明市生态环境局发布的《2022年度昆明市生态环境状况公报》：</w:t>
            </w:r>
            <w:r>
              <w:rPr>
                <w:rFonts w:hint="eastAsia"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各县（市）区环境空气质量总体保持良好。与2021年相比，安宁市、禄劝县、石林县、嵩明县、富民县、宜良县、寻甸县环境空气综合污染指数有所下降，东川区环境空气综合污染指数有所上升</w:t>
            </w:r>
            <w:r>
              <w:rPr>
                <w:rFonts w:hint="eastAsia" w:cs="Times New Roman"/>
                <w:color w:val="auto"/>
                <w:kern w:val="0"/>
                <w:sz w:val="24"/>
                <w:szCs w:val="24"/>
                <w:highlight w:val="none"/>
                <w:lang w:val="en-US" w:eastAsia="zh-CN"/>
              </w:rPr>
              <w:t>”。宜良县可达到执行《环境空气质量标准》（GB3095-2012）二级标准。</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项目排放的特征污染物为颗粒物</w:t>
            </w:r>
            <w:r>
              <w:rPr>
                <w:rFonts w:hint="eastAsia" w:cs="Times New Roman"/>
                <w:color w:val="auto"/>
                <w:kern w:val="0"/>
                <w:sz w:val="24"/>
                <w:szCs w:val="24"/>
                <w:highlight w:val="none"/>
                <w:lang w:val="en-US" w:eastAsia="zh-CN"/>
              </w:rPr>
              <w:t>和氮氧化物，本次评价引用《年产10万吨耐火材料生产线改建项目》（报批稿）中云南有色金属及制品质量监督检验站对昆明红枫湖耐火材料有限公司该项目建设场地环境空气质量现状的监测数据结果对本项目所在区域特征污染物环境质量现状达标情况进行判定。</w:t>
            </w:r>
            <w:r>
              <w:rPr>
                <w:rFonts w:hint="eastAsia" w:ascii="Times New Roman" w:hAnsi="Times New Roman" w:eastAsia="宋体" w:cs="Times New Roman"/>
                <w:color w:val="auto"/>
                <w:kern w:val="0"/>
                <w:sz w:val="24"/>
                <w:szCs w:val="24"/>
                <w:highlight w:val="none"/>
                <w:lang w:val="en-US" w:eastAsia="zh-CN"/>
              </w:rPr>
              <w:t>引用监测点位与本项目的位置关系图见项目引用监测点位图</w:t>
            </w:r>
            <w:r>
              <w:rPr>
                <w:rFonts w:hint="eastAsia" w:cs="Times New Roman"/>
                <w:color w:val="auto"/>
                <w:kern w:val="0"/>
                <w:sz w:val="24"/>
                <w:szCs w:val="24"/>
                <w:highlight w:val="none"/>
                <w:lang w:val="en-US" w:eastAsia="zh-CN"/>
              </w:rPr>
              <w:t>，引用监测情况如下：</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监测因子：TSP、NOx；</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监测点位：一个监测点位G1，坐标：E</w:t>
            </w:r>
            <w:r>
              <w:rPr>
                <w:rFonts w:hint="default" w:ascii="Times New Roman" w:hAnsi="Times New Roman" w:cs="Times New Roman"/>
                <w:color w:val="auto"/>
                <w:kern w:val="0"/>
                <w:sz w:val="24"/>
                <w:szCs w:val="24"/>
                <w:highlight w:val="none"/>
                <w:lang w:val="en-US" w:eastAsia="zh-CN"/>
              </w:rPr>
              <w:t>103°12′49.03865″</w:t>
            </w:r>
            <w:r>
              <w:rPr>
                <w:rFonts w:hint="eastAsia" w:ascii="Times New Roman" w:hAnsi="Times New Roman" w:cs="Times New Roman"/>
                <w:color w:val="auto"/>
                <w:kern w:val="0"/>
                <w:sz w:val="24"/>
                <w:szCs w:val="24"/>
                <w:highlight w:val="none"/>
                <w:lang w:val="en-US" w:eastAsia="zh-CN"/>
              </w:rPr>
              <w:t>，</w:t>
            </w:r>
            <w:r>
              <w:rPr>
                <w:rFonts w:hint="eastAsia" w:cs="Times New Roman"/>
                <w:color w:val="auto"/>
                <w:kern w:val="0"/>
                <w:sz w:val="24"/>
                <w:szCs w:val="24"/>
                <w:highlight w:val="none"/>
                <w:lang w:val="en-US" w:eastAsia="zh-CN"/>
              </w:rPr>
              <w:t>N</w:t>
            </w:r>
            <w:r>
              <w:rPr>
                <w:rFonts w:hint="default" w:ascii="Times New Roman" w:hAnsi="Times New Roman" w:cs="Times New Roman"/>
                <w:color w:val="auto"/>
                <w:kern w:val="0"/>
                <w:sz w:val="24"/>
                <w:szCs w:val="24"/>
                <w:highlight w:val="none"/>
                <w:lang w:val="en-US" w:eastAsia="zh-CN"/>
              </w:rPr>
              <w:t>25°0′21.63327″（</w:t>
            </w:r>
            <w:r>
              <w:rPr>
                <w:rFonts w:hint="eastAsia" w:ascii="Times New Roman" w:hAnsi="Times New Roman" w:cs="Times New Roman"/>
                <w:color w:val="auto"/>
                <w:kern w:val="0"/>
                <w:sz w:val="24"/>
                <w:szCs w:val="24"/>
                <w:highlight w:val="none"/>
                <w:lang w:val="en-US" w:eastAsia="zh-CN"/>
              </w:rPr>
              <w:t>位于本项目特驱供热点</w:t>
            </w:r>
            <w:r>
              <w:rPr>
                <w:rFonts w:hint="default" w:ascii="Times New Roman" w:hAnsi="Times New Roman" w:cs="Times New Roman"/>
                <w:color w:val="auto"/>
                <w:kern w:val="0"/>
                <w:sz w:val="24"/>
                <w:szCs w:val="24"/>
                <w:highlight w:val="none"/>
                <w:lang w:val="en-US" w:eastAsia="zh-CN"/>
              </w:rPr>
              <w:t>东北侧</w:t>
            </w:r>
            <w:r>
              <w:rPr>
                <w:rFonts w:hint="eastAsia" w:ascii="Times New Roman" w:hAnsi="Times New Roman" w:cs="Times New Roman"/>
                <w:color w:val="auto"/>
                <w:kern w:val="0"/>
                <w:sz w:val="24"/>
                <w:szCs w:val="24"/>
                <w:highlight w:val="none"/>
                <w:lang w:val="en-US" w:eastAsia="zh-CN"/>
              </w:rPr>
              <w:t>约</w:t>
            </w:r>
            <w:r>
              <w:rPr>
                <w:rFonts w:hint="default" w:ascii="Times New Roman" w:hAnsi="Times New Roman" w:cs="Times New Roman"/>
                <w:color w:val="auto"/>
                <w:kern w:val="0"/>
                <w:sz w:val="24"/>
                <w:szCs w:val="24"/>
                <w:highlight w:val="none"/>
                <w:lang w:val="en-US" w:eastAsia="zh-CN"/>
              </w:rPr>
              <w:t>1702m）</w:t>
            </w:r>
            <w:r>
              <w:rPr>
                <w:rFonts w:hint="eastAsia" w:ascii="Times New Roman" w:hAnsi="Times New Roman" w:cs="Times New Roman"/>
                <w:color w:val="auto"/>
                <w:kern w:val="0"/>
                <w:sz w:val="24"/>
                <w:szCs w:val="24"/>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监测时间和频率：2022年8月13日-8月15日，连续3天采样；</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监测分析方法：按照国家环保局颁布的《环境空气质量标准》（GB3095-2012）、《空气和废气监测方法》、《环境监测技术规范》中的有关规定执行；</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bCs/>
                <w:color w:val="auto"/>
                <w:sz w:val="21"/>
                <w:szCs w:val="21"/>
                <w:highlight w:val="none"/>
                <w:lang w:val="en-US" w:eastAsia="zh-CN"/>
              </w:rPr>
            </w:pPr>
            <w:r>
              <w:rPr>
                <w:rFonts w:hint="eastAsia" w:cs="Times New Roman"/>
                <w:color w:val="auto"/>
                <w:kern w:val="0"/>
                <w:sz w:val="24"/>
                <w:szCs w:val="24"/>
                <w:highlight w:val="none"/>
                <w:lang w:val="en-US" w:eastAsia="zh-CN"/>
              </w:rPr>
              <w:t>监测结果见下表：</w:t>
            </w:r>
          </w:p>
          <w:p>
            <w:pPr>
              <w:pStyle w:val="4"/>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表3-1项目引用TSP</w:t>
            </w:r>
            <w:r>
              <w:rPr>
                <w:rFonts w:hint="eastAsia" w:cs="Times New Roman"/>
                <w:b/>
                <w:bCs/>
                <w:color w:val="auto"/>
                <w:sz w:val="21"/>
                <w:szCs w:val="21"/>
                <w:highlight w:val="none"/>
                <w:lang w:val="en-US" w:eastAsia="zh-CN"/>
              </w:rPr>
              <w:t>、NOx</w:t>
            </w:r>
            <w:r>
              <w:rPr>
                <w:rFonts w:hint="eastAsia" w:ascii="Times New Roman" w:hAnsi="Times New Roman" w:eastAsia="宋体" w:cs="Times New Roman"/>
                <w:b/>
                <w:bCs/>
                <w:color w:val="auto"/>
                <w:sz w:val="21"/>
                <w:szCs w:val="21"/>
                <w:highlight w:val="none"/>
                <w:lang w:val="en-US" w:eastAsia="zh-CN"/>
              </w:rPr>
              <w:t>环境质量现状检测数据</w:t>
            </w:r>
            <w:r>
              <w:rPr>
                <w:rFonts w:hint="eastAsia" w:cs="Times New Roman"/>
                <w:b/>
                <w:bCs/>
                <w:color w:val="auto"/>
                <w:sz w:val="21"/>
                <w:szCs w:val="21"/>
                <w:highlight w:val="none"/>
                <w:lang w:val="en-US" w:eastAsia="zh-CN"/>
              </w:rPr>
              <w:t>结果</w:t>
            </w:r>
          </w:p>
          <w:tbl>
            <w:tblPr>
              <w:tblStyle w:val="29"/>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15" w:type="dxa"/>
                <w:left w:w="15" w:type="dxa"/>
                <w:bottom w:w="15" w:type="dxa"/>
                <w:right w:w="15" w:type="dxa"/>
              </w:tblCellMar>
            </w:tblPr>
            <w:tblGrid>
              <w:gridCol w:w="2109"/>
              <w:gridCol w:w="965"/>
              <w:gridCol w:w="1937"/>
              <w:gridCol w:w="1239"/>
              <w:gridCol w:w="972"/>
              <w:gridCol w:w="972"/>
              <w:gridCol w:w="5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202" w:type="pct"/>
                  <w:noWrap w:val="0"/>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检测点位</w:t>
                  </w:r>
                </w:p>
              </w:tc>
              <w:tc>
                <w:tcPr>
                  <w:tcW w:w="550" w:type="pct"/>
                  <w:noWrap w:val="0"/>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检测项目</w:t>
                  </w:r>
                </w:p>
              </w:tc>
              <w:tc>
                <w:tcPr>
                  <w:tcW w:w="1104" w:type="pct"/>
                  <w:noWrap w:val="0"/>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采样日期</w:t>
                  </w:r>
                </w:p>
              </w:tc>
              <w:tc>
                <w:tcPr>
                  <w:tcW w:w="706" w:type="pct"/>
                  <w:noWrap w:val="0"/>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采样时段</w:t>
                  </w:r>
                </w:p>
              </w:tc>
              <w:tc>
                <w:tcPr>
                  <w:tcW w:w="554" w:type="pct"/>
                  <w:noWrap w:val="0"/>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检测结果</w:t>
                  </w:r>
                  <w:r>
                    <w:rPr>
                      <w:rFonts w:hint="eastAsia" w:ascii="Times New Roman" w:hAnsi="Times New Roman" w:eastAsia="宋体" w:cs="Times New Roman"/>
                      <w:b w:val="0"/>
                      <w:bCs/>
                      <w:color w:val="auto"/>
                      <w:kern w:val="1"/>
                      <w:szCs w:val="21"/>
                      <w:highlight w:val="none"/>
                    </w:rPr>
                    <w:t>（u</w:t>
                  </w:r>
                  <w:r>
                    <w:rPr>
                      <w:rFonts w:ascii="Times New Roman" w:hAnsi="Times New Roman" w:eastAsia="宋体" w:cs="Times New Roman"/>
                      <w:b w:val="0"/>
                      <w:bCs/>
                      <w:color w:val="auto"/>
                      <w:kern w:val="1"/>
                      <w:szCs w:val="21"/>
                      <w:highlight w:val="none"/>
                    </w:rPr>
                    <w:t>g/</w:t>
                  </w:r>
                  <w:r>
                    <w:rPr>
                      <w:rFonts w:hint="default" w:ascii="Times New Roman" w:hAnsi="Times New Roman" w:eastAsia="宋体" w:cs="Times New Roman"/>
                      <w:b w:val="0"/>
                      <w:bCs/>
                      <w:color w:val="auto"/>
                      <w:kern w:val="1"/>
                      <w:szCs w:val="21"/>
                      <w:highlight w:val="none"/>
                      <w:lang w:eastAsia="zh-CN"/>
                    </w:rPr>
                    <w:t>m³</w:t>
                  </w:r>
                  <w:r>
                    <w:rPr>
                      <w:rFonts w:hint="eastAsia" w:ascii="Times New Roman" w:hAnsi="Times New Roman" w:eastAsia="宋体" w:cs="Times New Roman"/>
                      <w:b w:val="0"/>
                      <w:bCs/>
                      <w:color w:val="auto"/>
                      <w:kern w:val="1"/>
                      <w:szCs w:val="21"/>
                      <w:highlight w:val="none"/>
                    </w:rPr>
                    <w:t>）</w:t>
                  </w:r>
                </w:p>
              </w:tc>
              <w:tc>
                <w:tcPr>
                  <w:tcW w:w="554" w:type="pct"/>
                  <w:noWrap w:val="0"/>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hint="eastAsia" w:ascii="Times New Roman" w:hAnsi="Times New Roman" w:eastAsia="宋体" w:cs="Times New Roman"/>
                      <w:b w:val="0"/>
                      <w:bCs/>
                      <w:color w:val="auto"/>
                      <w:kern w:val="1"/>
                      <w:szCs w:val="21"/>
                      <w:highlight w:val="none"/>
                    </w:rPr>
                    <w:t>标准限值（u</w:t>
                  </w:r>
                  <w:r>
                    <w:rPr>
                      <w:rFonts w:ascii="Times New Roman" w:hAnsi="Times New Roman" w:eastAsia="宋体" w:cs="Times New Roman"/>
                      <w:b w:val="0"/>
                      <w:bCs/>
                      <w:color w:val="auto"/>
                      <w:kern w:val="1"/>
                      <w:szCs w:val="21"/>
                      <w:highlight w:val="none"/>
                    </w:rPr>
                    <w:t>g/</w:t>
                  </w:r>
                  <w:r>
                    <w:rPr>
                      <w:rFonts w:hint="default" w:ascii="Times New Roman" w:hAnsi="Times New Roman" w:eastAsia="宋体" w:cs="Times New Roman"/>
                      <w:b w:val="0"/>
                      <w:bCs/>
                      <w:color w:val="auto"/>
                      <w:kern w:val="1"/>
                      <w:szCs w:val="21"/>
                      <w:highlight w:val="none"/>
                      <w:lang w:eastAsia="zh-CN"/>
                    </w:rPr>
                    <w:t>m³</w:t>
                  </w:r>
                  <w:r>
                    <w:rPr>
                      <w:rFonts w:hint="eastAsia" w:ascii="Times New Roman" w:hAnsi="Times New Roman" w:eastAsia="宋体" w:cs="Times New Roman"/>
                      <w:b w:val="0"/>
                      <w:bCs/>
                      <w:color w:val="auto"/>
                      <w:kern w:val="1"/>
                      <w:szCs w:val="21"/>
                      <w:highlight w:val="none"/>
                    </w:rPr>
                    <w:t>）</w:t>
                  </w:r>
                </w:p>
              </w:tc>
              <w:tc>
                <w:tcPr>
                  <w:tcW w:w="328" w:type="pct"/>
                  <w:noWrap w:val="0"/>
                  <w:vAlign w:val="center"/>
                </w:tcPr>
                <w:p>
                  <w:pPr>
                    <w:adjustRightInd w:val="0"/>
                    <w:snapToGrid w:val="0"/>
                    <w:jc w:val="center"/>
                    <w:rPr>
                      <w:rFonts w:ascii="Times New Roman" w:hAnsi="Times New Roman" w:eastAsia="宋体" w:cs="Times New Roman"/>
                      <w:b w:val="0"/>
                      <w:bCs/>
                      <w:color w:val="auto"/>
                      <w:kern w:val="1"/>
                      <w:szCs w:val="21"/>
                      <w:highlight w:val="none"/>
                    </w:rPr>
                  </w:pPr>
                  <w:r>
                    <w:rPr>
                      <w:rFonts w:ascii="Times New Roman" w:hAnsi="Times New Roman" w:eastAsia="宋体" w:cs="Times New Roman"/>
                      <w:b w:val="0"/>
                      <w:bCs/>
                      <w:color w:val="auto"/>
                      <w:kern w:val="1"/>
                      <w:szCs w:val="21"/>
                      <w:highlight w:val="none"/>
                    </w:rPr>
                    <w:t>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202" w:type="pct"/>
                  <w:vMerge w:val="restart"/>
                  <w:noWrap w:val="0"/>
                  <w:vAlign w:val="center"/>
                </w:tcPr>
                <w:p>
                  <w:pPr>
                    <w:adjustRightInd w:val="0"/>
                    <w:snapToGrid w:val="0"/>
                    <w:jc w:val="center"/>
                    <w:rPr>
                      <w:rFonts w:ascii="Times New Roman" w:hAnsi="Times New Roman" w:eastAsia="宋体" w:cs="Times New Roman"/>
                      <w:color w:val="auto"/>
                      <w:kern w:val="1"/>
                      <w:szCs w:val="21"/>
                      <w:highlight w:val="none"/>
                    </w:rPr>
                  </w:pPr>
                  <w:r>
                    <w:rPr>
                      <w:rFonts w:hint="eastAsia" w:ascii="Times New Roman" w:hAnsi="Times New Roman" w:eastAsia="宋体" w:cs="Times New Roman"/>
                      <w:color w:val="auto"/>
                      <w:kern w:val="1"/>
                      <w:szCs w:val="21"/>
                      <w:highlight w:val="none"/>
                      <w:lang w:val="en-US" w:eastAsia="zh-CN"/>
                    </w:rPr>
                    <w:t>G1</w:t>
                  </w:r>
                  <w:r>
                    <w:rPr>
                      <w:rFonts w:hint="eastAsia" w:cs="Times New Roman"/>
                      <w:color w:val="auto"/>
                      <w:kern w:val="1"/>
                      <w:szCs w:val="21"/>
                      <w:highlight w:val="none"/>
                      <w:lang w:val="en-US" w:eastAsia="zh-CN"/>
                    </w:rPr>
                    <w:t>（</w:t>
                  </w:r>
                  <w:r>
                    <w:rPr>
                      <w:rFonts w:hint="eastAsia" w:ascii="Times New Roman" w:hAnsi="Times New Roman" w:eastAsia="宋体" w:cs="Times New Roman"/>
                      <w:color w:val="auto"/>
                      <w:kern w:val="1"/>
                      <w:szCs w:val="21"/>
                      <w:highlight w:val="none"/>
                      <w:lang w:val="en-US" w:eastAsia="zh-CN"/>
                    </w:rPr>
                    <w:t>E</w:t>
                  </w:r>
                  <w:r>
                    <w:rPr>
                      <w:rFonts w:hint="default" w:ascii="Times New Roman" w:hAnsi="Times New Roman" w:eastAsia="宋体" w:cs="Times New Roman"/>
                      <w:color w:val="auto"/>
                      <w:kern w:val="1"/>
                      <w:szCs w:val="21"/>
                      <w:highlight w:val="none"/>
                      <w:lang w:val="en-US" w:eastAsia="zh-CN"/>
                    </w:rPr>
                    <w:t>103°12′49.03865″</w:t>
                  </w:r>
                  <w:r>
                    <w:rPr>
                      <w:rFonts w:hint="eastAsia" w:ascii="Times New Roman" w:hAnsi="Times New Roman" w:eastAsia="宋体" w:cs="Times New Roman"/>
                      <w:color w:val="auto"/>
                      <w:kern w:val="1"/>
                      <w:szCs w:val="21"/>
                      <w:highlight w:val="none"/>
                      <w:lang w:val="en-US" w:eastAsia="zh-CN"/>
                    </w:rPr>
                    <w:t>，N</w:t>
                  </w:r>
                  <w:r>
                    <w:rPr>
                      <w:rFonts w:hint="default" w:ascii="Times New Roman" w:hAnsi="Times New Roman" w:eastAsia="宋体" w:cs="Times New Roman"/>
                      <w:color w:val="auto"/>
                      <w:kern w:val="1"/>
                      <w:szCs w:val="21"/>
                      <w:highlight w:val="none"/>
                      <w:lang w:val="en-US" w:eastAsia="zh-CN"/>
                    </w:rPr>
                    <w:t>25°0′21.63327″</w:t>
                  </w:r>
                  <w:r>
                    <w:rPr>
                      <w:rFonts w:hint="eastAsia" w:cs="Times New Roman"/>
                      <w:color w:val="auto"/>
                      <w:kern w:val="1"/>
                      <w:szCs w:val="21"/>
                      <w:highlight w:val="none"/>
                      <w:lang w:val="en-US" w:eastAsia="zh-CN"/>
                    </w:rPr>
                    <w:t>）</w:t>
                  </w:r>
                </w:p>
              </w:tc>
              <w:tc>
                <w:tcPr>
                  <w:tcW w:w="550" w:type="pct"/>
                  <w:vMerge w:val="restart"/>
                  <w:noWrap w:val="0"/>
                  <w:vAlign w:val="center"/>
                </w:tcPr>
                <w:p>
                  <w:pPr>
                    <w:adjustRightInd w:val="0"/>
                    <w:snapToGrid w:val="0"/>
                    <w:jc w:val="center"/>
                    <w:rPr>
                      <w:rFonts w:hint="eastAsia" w:ascii="Times New Roman" w:hAnsi="Times New Roman" w:eastAsia="宋体" w:cs="Times New Roman"/>
                      <w:color w:val="auto"/>
                      <w:kern w:val="1"/>
                      <w:szCs w:val="21"/>
                      <w:highlight w:val="none"/>
                      <w:lang w:eastAsia="zh-CN"/>
                    </w:rPr>
                  </w:pPr>
                  <w:r>
                    <w:rPr>
                      <w:rFonts w:ascii="Times New Roman" w:hAnsi="Times New Roman" w:eastAsia="宋体" w:cs="Times New Roman"/>
                      <w:color w:val="auto"/>
                      <w:kern w:val="1"/>
                      <w:szCs w:val="21"/>
                      <w:highlight w:val="none"/>
                    </w:rPr>
                    <w:t>TSP</w:t>
                  </w:r>
                  <w:r>
                    <w:rPr>
                      <w:rFonts w:hint="eastAsia" w:cs="Times New Roman"/>
                      <w:color w:val="auto"/>
                      <w:kern w:val="1"/>
                      <w:szCs w:val="21"/>
                      <w:highlight w:val="none"/>
                      <w:lang w:eastAsia="zh-CN"/>
                    </w:rPr>
                    <w:t>（</w:t>
                  </w:r>
                  <w:r>
                    <w:rPr>
                      <w:rFonts w:hint="eastAsia" w:cs="Times New Roman"/>
                      <w:color w:val="auto"/>
                      <w:kern w:val="1"/>
                      <w:szCs w:val="21"/>
                      <w:highlight w:val="none"/>
                      <w:lang w:val="en-US" w:eastAsia="zh-CN"/>
                    </w:rPr>
                    <w:t>日均值</w:t>
                  </w:r>
                  <w:r>
                    <w:rPr>
                      <w:rFonts w:hint="eastAsia" w:cs="Times New Roman"/>
                      <w:color w:val="auto"/>
                      <w:kern w:val="1"/>
                      <w:szCs w:val="21"/>
                      <w:highlight w:val="none"/>
                      <w:lang w:eastAsia="zh-CN"/>
                    </w:rPr>
                    <w:t>）</w:t>
                  </w:r>
                </w:p>
              </w:tc>
              <w:tc>
                <w:tcPr>
                  <w:tcW w:w="1104" w:type="pct"/>
                  <w:noWrap w:val="0"/>
                  <w:vAlign w:val="center"/>
                </w:tcPr>
                <w:p>
                  <w:pPr>
                    <w:adjustRightInd w:val="0"/>
                    <w:snapToGrid w:val="0"/>
                    <w:jc w:val="center"/>
                    <w:rPr>
                      <w:rFonts w:hint="default" w:ascii="Times New Roman" w:hAnsi="Times New Roman" w:eastAsia="宋体" w:cs="Times New Roman"/>
                      <w:color w:val="auto"/>
                      <w:kern w:val="1"/>
                      <w:szCs w:val="21"/>
                      <w:highlight w:val="none"/>
                      <w:lang w:val="en-US"/>
                    </w:rPr>
                  </w:pPr>
                  <w:r>
                    <w:rPr>
                      <w:rFonts w:ascii="Times New Roman" w:hAnsi="Times New Roman" w:eastAsia="宋体" w:cs="Times New Roman"/>
                      <w:color w:val="auto"/>
                      <w:kern w:val="1"/>
                      <w:szCs w:val="21"/>
                      <w:highlight w:val="none"/>
                    </w:rPr>
                    <w:t>202</w:t>
                  </w:r>
                  <w:r>
                    <w:rPr>
                      <w:rFonts w:hint="eastAsia" w:cs="Times New Roman"/>
                      <w:color w:val="auto"/>
                      <w:kern w:val="1"/>
                      <w:szCs w:val="21"/>
                      <w:highlight w:val="none"/>
                      <w:lang w:val="en-US" w:eastAsia="zh-CN"/>
                    </w:rPr>
                    <w:t>2</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8</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12</w:t>
                  </w:r>
                  <w:r>
                    <w:rPr>
                      <w:rFonts w:ascii="Times New Roman" w:hAnsi="Times New Roman" w:eastAsia="宋体" w:cs="Times New Roman"/>
                      <w:color w:val="auto"/>
                      <w:kern w:val="1"/>
                      <w:szCs w:val="21"/>
                      <w:highlight w:val="none"/>
                    </w:rPr>
                    <w:t>-202</w:t>
                  </w:r>
                  <w:r>
                    <w:rPr>
                      <w:rFonts w:hint="eastAsia" w:cs="Times New Roman"/>
                      <w:color w:val="auto"/>
                      <w:kern w:val="1"/>
                      <w:szCs w:val="21"/>
                      <w:highlight w:val="none"/>
                      <w:lang w:val="en-US" w:eastAsia="zh-CN"/>
                    </w:rPr>
                    <w:t>2</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8</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13</w:t>
                  </w:r>
                </w:p>
              </w:tc>
              <w:tc>
                <w:tcPr>
                  <w:tcW w:w="706" w:type="pct"/>
                  <w:noWrap w:val="0"/>
                  <w:vAlign w:val="center"/>
                </w:tcPr>
                <w:p>
                  <w:pPr>
                    <w:adjustRightInd w:val="0"/>
                    <w:snapToGrid w:val="0"/>
                    <w:jc w:val="center"/>
                    <w:rPr>
                      <w:rFonts w:hint="eastAsia" w:ascii="Times New Roman" w:hAnsi="Times New Roman" w:eastAsia="宋体" w:cs="Times New Roman"/>
                      <w:color w:val="auto"/>
                      <w:kern w:val="1"/>
                      <w:szCs w:val="21"/>
                      <w:highlight w:val="none"/>
                      <w:lang w:val="en-US" w:eastAsia="zh-CN"/>
                    </w:rPr>
                  </w:pPr>
                  <w:r>
                    <w:rPr>
                      <w:rFonts w:hint="eastAsia" w:cs="Times New Roman"/>
                      <w:color w:val="auto"/>
                      <w:kern w:val="1"/>
                      <w:szCs w:val="21"/>
                      <w:highlight w:val="none"/>
                      <w:lang w:val="en-US" w:eastAsia="zh-CN"/>
                    </w:rPr>
                    <w:t>/</w:t>
                  </w:r>
                </w:p>
              </w:tc>
              <w:tc>
                <w:tcPr>
                  <w:tcW w:w="554" w:type="pct"/>
                  <w:noWrap w:val="0"/>
                  <w:vAlign w:val="center"/>
                </w:tcPr>
                <w:p>
                  <w:pPr>
                    <w:adjustRightInd w:val="0"/>
                    <w:snapToGrid w:val="0"/>
                    <w:jc w:val="center"/>
                    <w:rPr>
                      <w:rFonts w:hint="default" w:ascii="Times New Roman" w:hAnsi="Times New Roman" w:eastAsia="宋体" w:cs="Times New Roman"/>
                      <w:color w:val="auto"/>
                      <w:kern w:val="1"/>
                      <w:szCs w:val="21"/>
                      <w:highlight w:val="none"/>
                      <w:lang w:val="en-US" w:eastAsia="zh-CN"/>
                    </w:rPr>
                  </w:pPr>
                  <w:r>
                    <w:rPr>
                      <w:rFonts w:hint="eastAsia" w:cs="Times New Roman"/>
                      <w:color w:val="auto"/>
                      <w:kern w:val="1"/>
                      <w:szCs w:val="21"/>
                      <w:highlight w:val="none"/>
                      <w:lang w:val="en-US" w:eastAsia="zh-CN"/>
                    </w:rPr>
                    <w:t>158</w:t>
                  </w:r>
                </w:p>
              </w:tc>
              <w:tc>
                <w:tcPr>
                  <w:tcW w:w="554" w:type="pct"/>
                  <w:vMerge w:val="restart"/>
                  <w:noWrap w:val="0"/>
                  <w:vAlign w:val="center"/>
                </w:tcPr>
                <w:p>
                  <w:pPr>
                    <w:adjustRightInd w:val="0"/>
                    <w:snapToGrid w:val="0"/>
                    <w:jc w:val="center"/>
                    <w:rPr>
                      <w:rFonts w:ascii="Times New Roman" w:hAnsi="Times New Roman" w:eastAsia="宋体" w:cs="Times New Roman"/>
                      <w:color w:val="auto"/>
                      <w:kern w:val="1"/>
                      <w:szCs w:val="21"/>
                      <w:highlight w:val="none"/>
                    </w:rPr>
                  </w:pPr>
                  <w:r>
                    <w:rPr>
                      <w:rFonts w:hint="eastAsia" w:ascii="Times New Roman" w:hAnsi="Times New Roman" w:eastAsia="宋体" w:cs="Times New Roman"/>
                      <w:color w:val="auto"/>
                      <w:kern w:val="1"/>
                      <w:szCs w:val="21"/>
                      <w:highlight w:val="none"/>
                    </w:rPr>
                    <w:t>300</w:t>
                  </w:r>
                </w:p>
              </w:tc>
              <w:tc>
                <w:tcPr>
                  <w:tcW w:w="328" w:type="pct"/>
                  <w:vMerge w:val="restart"/>
                  <w:noWrap w:val="0"/>
                  <w:vAlign w:val="center"/>
                </w:tcPr>
                <w:p>
                  <w:pPr>
                    <w:adjustRightInd w:val="0"/>
                    <w:snapToGrid w:val="0"/>
                    <w:jc w:val="center"/>
                    <w:rPr>
                      <w:rFonts w:ascii="Times New Roman" w:hAnsi="Times New Roman" w:eastAsia="宋体" w:cs="Times New Roman"/>
                      <w:color w:val="auto"/>
                      <w:kern w:val="1"/>
                      <w:szCs w:val="21"/>
                      <w:highlight w:val="none"/>
                    </w:rPr>
                  </w:pPr>
                  <w:r>
                    <w:rPr>
                      <w:rFonts w:ascii="Times New Roman" w:hAnsi="Times New Roman" w:eastAsia="宋体" w:cs="Times New Roman"/>
                      <w:color w:val="auto"/>
                      <w:kern w:val="1"/>
                      <w:szCs w:val="21"/>
                      <w:highlight w:val="none"/>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202"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550"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1104" w:type="pct"/>
                  <w:noWrap w:val="0"/>
                  <w:vAlign w:val="center"/>
                </w:tcPr>
                <w:p>
                  <w:pPr>
                    <w:adjustRightInd w:val="0"/>
                    <w:snapToGrid w:val="0"/>
                    <w:jc w:val="center"/>
                    <w:rPr>
                      <w:rFonts w:ascii="Times New Roman" w:hAnsi="Times New Roman" w:eastAsia="宋体" w:cs="Times New Roman"/>
                      <w:color w:val="auto"/>
                      <w:kern w:val="1"/>
                      <w:szCs w:val="21"/>
                      <w:highlight w:val="none"/>
                    </w:rPr>
                  </w:pPr>
                  <w:r>
                    <w:rPr>
                      <w:rFonts w:ascii="Times New Roman" w:hAnsi="Times New Roman" w:eastAsia="宋体" w:cs="Times New Roman"/>
                      <w:color w:val="auto"/>
                      <w:kern w:val="1"/>
                      <w:szCs w:val="21"/>
                      <w:highlight w:val="none"/>
                    </w:rPr>
                    <w:t>202</w:t>
                  </w:r>
                  <w:r>
                    <w:rPr>
                      <w:rFonts w:hint="eastAsia" w:cs="Times New Roman"/>
                      <w:color w:val="auto"/>
                      <w:kern w:val="1"/>
                      <w:szCs w:val="21"/>
                      <w:highlight w:val="none"/>
                      <w:lang w:val="en-US" w:eastAsia="zh-CN"/>
                    </w:rPr>
                    <w:t>2</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8</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13</w:t>
                  </w:r>
                  <w:r>
                    <w:rPr>
                      <w:rFonts w:ascii="Times New Roman" w:hAnsi="Times New Roman" w:eastAsia="宋体" w:cs="Times New Roman"/>
                      <w:color w:val="auto"/>
                      <w:kern w:val="1"/>
                      <w:szCs w:val="21"/>
                      <w:highlight w:val="none"/>
                    </w:rPr>
                    <w:t>-202</w:t>
                  </w:r>
                  <w:r>
                    <w:rPr>
                      <w:rFonts w:hint="eastAsia" w:cs="Times New Roman"/>
                      <w:color w:val="auto"/>
                      <w:kern w:val="1"/>
                      <w:szCs w:val="21"/>
                      <w:highlight w:val="none"/>
                      <w:lang w:val="en-US" w:eastAsia="zh-CN"/>
                    </w:rPr>
                    <w:t>2</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8</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14</w:t>
                  </w:r>
                </w:p>
              </w:tc>
              <w:tc>
                <w:tcPr>
                  <w:tcW w:w="706" w:type="pct"/>
                  <w:noWrap w:val="0"/>
                  <w:vAlign w:val="center"/>
                </w:tcPr>
                <w:p>
                  <w:pPr>
                    <w:adjustRightInd w:val="0"/>
                    <w:snapToGrid w:val="0"/>
                    <w:jc w:val="center"/>
                    <w:rPr>
                      <w:rFonts w:hint="eastAsia" w:ascii="Times New Roman" w:hAnsi="Times New Roman" w:eastAsia="宋体" w:cs="Times New Roman"/>
                      <w:color w:val="auto"/>
                      <w:kern w:val="1"/>
                      <w:szCs w:val="21"/>
                      <w:highlight w:val="none"/>
                      <w:lang w:val="en-US" w:eastAsia="zh-CN"/>
                    </w:rPr>
                  </w:pPr>
                  <w:r>
                    <w:rPr>
                      <w:rFonts w:hint="eastAsia" w:cs="Times New Roman"/>
                      <w:color w:val="auto"/>
                      <w:kern w:val="1"/>
                      <w:szCs w:val="21"/>
                      <w:highlight w:val="none"/>
                      <w:lang w:val="en-US" w:eastAsia="zh-CN"/>
                    </w:rPr>
                    <w:t>/</w:t>
                  </w:r>
                </w:p>
              </w:tc>
              <w:tc>
                <w:tcPr>
                  <w:tcW w:w="554" w:type="pct"/>
                  <w:noWrap w:val="0"/>
                  <w:vAlign w:val="center"/>
                </w:tcPr>
                <w:p>
                  <w:pPr>
                    <w:adjustRightInd w:val="0"/>
                    <w:snapToGrid w:val="0"/>
                    <w:jc w:val="center"/>
                    <w:rPr>
                      <w:rFonts w:hint="default" w:ascii="Times New Roman" w:hAnsi="Times New Roman" w:eastAsia="宋体" w:cs="Times New Roman"/>
                      <w:color w:val="auto"/>
                      <w:kern w:val="1"/>
                      <w:szCs w:val="21"/>
                      <w:highlight w:val="none"/>
                      <w:lang w:val="en-US" w:eastAsia="zh-CN"/>
                    </w:rPr>
                  </w:pPr>
                  <w:r>
                    <w:rPr>
                      <w:rFonts w:hint="eastAsia" w:cs="Times New Roman"/>
                      <w:color w:val="auto"/>
                      <w:kern w:val="1"/>
                      <w:szCs w:val="21"/>
                      <w:highlight w:val="none"/>
                      <w:lang w:val="en-US" w:eastAsia="zh-CN"/>
                    </w:rPr>
                    <w:t>189</w:t>
                  </w:r>
                </w:p>
              </w:tc>
              <w:tc>
                <w:tcPr>
                  <w:tcW w:w="554"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328"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202"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550"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1104" w:type="pct"/>
                  <w:noWrap w:val="0"/>
                  <w:vAlign w:val="center"/>
                </w:tcPr>
                <w:p>
                  <w:pPr>
                    <w:adjustRightInd w:val="0"/>
                    <w:snapToGrid w:val="0"/>
                    <w:jc w:val="center"/>
                    <w:rPr>
                      <w:rFonts w:ascii="Times New Roman" w:hAnsi="Times New Roman" w:eastAsia="宋体" w:cs="Times New Roman"/>
                      <w:color w:val="auto"/>
                      <w:kern w:val="1"/>
                      <w:szCs w:val="21"/>
                      <w:highlight w:val="none"/>
                    </w:rPr>
                  </w:pPr>
                  <w:r>
                    <w:rPr>
                      <w:rFonts w:ascii="Times New Roman" w:hAnsi="Times New Roman" w:eastAsia="宋体" w:cs="Times New Roman"/>
                      <w:color w:val="auto"/>
                      <w:kern w:val="1"/>
                      <w:szCs w:val="21"/>
                      <w:highlight w:val="none"/>
                    </w:rPr>
                    <w:t>202</w:t>
                  </w:r>
                  <w:r>
                    <w:rPr>
                      <w:rFonts w:hint="eastAsia" w:cs="Times New Roman"/>
                      <w:color w:val="auto"/>
                      <w:kern w:val="1"/>
                      <w:szCs w:val="21"/>
                      <w:highlight w:val="none"/>
                      <w:lang w:val="en-US" w:eastAsia="zh-CN"/>
                    </w:rPr>
                    <w:t>2</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8</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14</w:t>
                  </w:r>
                  <w:r>
                    <w:rPr>
                      <w:rFonts w:ascii="Times New Roman" w:hAnsi="Times New Roman" w:eastAsia="宋体" w:cs="Times New Roman"/>
                      <w:color w:val="auto"/>
                      <w:kern w:val="1"/>
                      <w:szCs w:val="21"/>
                      <w:highlight w:val="none"/>
                    </w:rPr>
                    <w:t>-202</w:t>
                  </w:r>
                  <w:r>
                    <w:rPr>
                      <w:rFonts w:hint="eastAsia" w:cs="Times New Roman"/>
                      <w:color w:val="auto"/>
                      <w:kern w:val="1"/>
                      <w:szCs w:val="21"/>
                      <w:highlight w:val="none"/>
                      <w:lang w:val="en-US" w:eastAsia="zh-CN"/>
                    </w:rPr>
                    <w:t>2</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8</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15</w:t>
                  </w:r>
                </w:p>
              </w:tc>
              <w:tc>
                <w:tcPr>
                  <w:tcW w:w="706" w:type="pct"/>
                  <w:noWrap w:val="0"/>
                  <w:vAlign w:val="center"/>
                </w:tcPr>
                <w:p>
                  <w:pPr>
                    <w:adjustRightInd w:val="0"/>
                    <w:snapToGrid w:val="0"/>
                    <w:jc w:val="center"/>
                    <w:rPr>
                      <w:rFonts w:hint="eastAsia" w:ascii="Times New Roman" w:hAnsi="Times New Roman" w:eastAsia="宋体" w:cs="Times New Roman"/>
                      <w:color w:val="auto"/>
                      <w:kern w:val="1"/>
                      <w:szCs w:val="21"/>
                      <w:highlight w:val="none"/>
                      <w:lang w:val="en-US" w:eastAsia="zh-CN"/>
                    </w:rPr>
                  </w:pPr>
                  <w:r>
                    <w:rPr>
                      <w:rFonts w:hint="eastAsia" w:cs="Times New Roman"/>
                      <w:color w:val="auto"/>
                      <w:kern w:val="1"/>
                      <w:szCs w:val="21"/>
                      <w:highlight w:val="none"/>
                      <w:lang w:val="en-US" w:eastAsia="zh-CN"/>
                    </w:rPr>
                    <w:t>/</w:t>
                  </w:r>
                </w:p>
              </w:tc>
              <w:tc>
                <w:tcPr>
                  <w:tcW w:w="554" w:type="pct"/>
                  <w:noWrap w:val="0"/>
                  <w:vAlign w:val="center"/>
                </w:tcPr>
                <w:p>
                  <w:pPr>
                    <w:adjustRightInd w:val="0"/>
                    <w:snapToGrid w:val="0"/>
                    <w:jc w:val="center"/>
                    <w:rPr>
                      <w:rFonts w:hint="default" w:ascii="Times New Roman" w:hAnsi="Times New Roman" w:eastAsia="宋体" w:cs="Times New Roman"/>
                      <w:color w:val="auto"/>
                      <w:kern w:val="1"/>
                      <w:szCs w:val="21"/>
                      <w:highlight w:val="none"/>
                      <w:lang w:val="en-US" w:eastAsia="zh-CN"/>
                    </w:rPr>
                  </w:pPr>
                  <w:r>
                    <w:rPr>
                      <w:rFonts w:hint="eastAsia" w:cs="Times New Roman"/>
                      <w:color w:val="auto"/>
                      <w:kern w:val="1"/>
                      <w:szCs w:val="21"/>
                      <w:highlight w:val="none"/>
                      <w:lang w:val="en-US" w:eastAsia="zh-CN"/>
                    </w:rPr>
                    <w:t>192</w:t>
                  </w:r>
                </w:p>
              </w:tc>
              <w:tc>
                <w:tcPr>
                  <w:tcW w:w="554"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328"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202"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550" w:type="pct"/>
                  <w:vMerge w:val="restart"/>
                  <w:noWrap w:val="0"/>
                  <w:vAlign w:val="center"/>
                </w:tcPr>
                <w:p>
                  <w:pPr>
                    <w:adjustRightInd w:val="0"/>
                    <w:snapToGrid w:val="0"/>
                    <w:jc w:val="center"/>
                    <w:rPr>
                      <w:rFonts w:ascii="Times New Roman" w:hAnsi="Times New Roman" w:eastAsia="宋体" w:cs="Times New Roman"/>
                      <w:color w:val="auto"/>
                      <w:kern w:val="1"/>
                      <w:szCs w:val="21"/>
                      <w:highlight w:val="none"/>
                    </w:rPr>
                  </w:pPr>
                  <w:r>
                    <w:rPr>
                      <w:rFonts w:hint="eastAsia" w:ascii="Times New Roman" w:hAnsi="Times New Roman" w:eastAsia="宋体" w:cs="Times New Roman"/>
                      <w:color w:val="auto"/>
                      <w:kern w:val="1"/>
                      <w:szCs w:val="21"/>
                      <w:highlight w:val="none"/>
                      <w:lang w:val="en-US" w:eastAsia="zh-CN"/>
                    </w:rPr>
                    <w:t>NOx</w:t>
                  </w:r>
                  <w:r>
                    <w:rPr>
                      <w:rFonts w:hint="eastAsia" w:cs="Times New Roman"/>
                      <w:color w:val="auto"/>
                      <w:kern w:val="1"/>
                      <w:szCs w:val="21"/>
                      <w:highlight w:val="none"/>
                      <w:lang w:eastAsia="zh-CN"/>
                    </w:rPr>
                    <w:t>（</w:t>
                  </w:r>
                  <w:r>
                    <w:rPr>
                      <w:rFonts w:hint="eastAsia" w:cs="Times New Roman"/>
                      <w:color w:val="auto"/>
                      <w:kern w:val="1"/>
                      <w:szCs w:val="21"/>
                      <w:highlight w:val="none"/>
                      <w:lang w:val="en-US" w:eastAsia="zh-CN"/>
                    </w:rPr>
                    <w:t>日均值</w:t>
                  </w:r>
                  <w:r>
                    <w:rPr>
                      <w:rFonts w:hint="eastAsia" w:cs="Times New Roman"/>
                      <w:color w:val="auto"/>
                      <w:kern w:val="1"/>
                      <w:szCs w:val="21"/>
                      <w:highlight w:val="none"/>
                      <w:lang w:eastAsia="zh-CN"/>
                    </w:rPr>
                    <w:t>）</w:t>
                  </w:r>
                </w:p>
              </w:tc>
              <w:tc>
                <w:tcPr>
                  <w:tcW w:w="1104" w:type="pct"/>
                  <w:noWrap w:val="0"/>
                  <w:vAlign w:val="center"/>
                </w:tcPr>
                <w:p>
                  <w:pPr>
                    <w:adjustRightInd w:val="0"/>
                    <w:snapToGrid w:val="0"/>
                    <w:jc w:val="center"/>
                    <w:rPr>
                      <w:rFonts w:ascii="Times New Roman" w:hAnsi="Times New Roman" w:eastAsia="宋体" w:cs="Times New Roman"/>
                      <w:color w:val="auto"/>
                      <w:kern w:val="1"/>
                      <w:szCs w:val="21"/>
                      <w:highlight w:val="none"/>
                    </w:rPr>
                  </w:pPr>
                  <w:r>
                    <w:rPr>
                      <w:rFonts w:ascii="Times New Roman" w:hAnsi="Times New Roman" w:eastAsia="宋体" w:cs="Times New Roman"/>
                      <w:color w:val="auto"/>
                      <w:kern w:val="1"/>
                      <w:szCs w:val="21"/>
                      <w:highlight w:val="none"/>
                    </w:rPr>
                    <w:t>202</w:t>
                  </w:r>
                  <w:r>
                    <w:rPr>
                      <w:rFonts w:hint="eastAsia" w:cs="Times New Roman"/>
                      <w:color w:val="auto"/>
                      <w:kern w:val="1"/>
                      <w:szCs w:val="21"/>
                      <w:highlight w:val="none"/>
                      <w:lang w:val="en-US" w:eastAsia="zh-CN"/>
                    </w:rPr>
                    <w:t>2</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8</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12</w:t>
                  </w:r>
                  <w:r>
                    <w:rPr>
                      <w:rFonts w:ascii="Times New Roman" w:hAnsi="Times New Roman" w:eastAsia="宋体" w:cs="Times New Roman"/>
                      <w:color w:val="auto"/>
                      <w:kern w:val="1"/>
                      <w:szCs w:val="21"/>
                      <w:highlight w:val="none"/>
                    </w:rPr>
                    <w:t>-202</w:t>
                  </w:r>
                  <w:r>
                    <w:rPr>
                      <w:rFonts w:hint="eastAsia" w:cs="Times New Roman"/>
                      <w:color w:val="auto"/>
                      <w:kern w:val="1"/>
                      <w:szCs w:val="21"/>
                      <w:highlight w:val="none"/>
                      <w:lang w:val="en-US" w:eastAsia="zh-CN"/>
                    </w:rPr>
                    <w:t>2</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8</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13</w:t>
                  </w:r>
                </w:p>
              </w:tc>
              <w:tc>
                <w:tcPr>
                  <w:tcW w:w="706" w:type="pct"/>
                  <w:noWrap w:val="0"/>
                  <w:vAlign w:val="center"/>
                </w:tcPr>
                <w:p>
                  <w:pPr>
                    <w:adjustRightInd w:val="0"/>
                    <w:snapToGrid w:val="0"/>
                    <w:jc w:val="center"/>
                    <w:rPr>
                      <w:rFonts w:hint="eastAsia" w:ascii="Times New Roman" w:hAnsi="Times New Roman" w:eastAsia="宋体" w:cs="Times New Roman"/>
                      <w:color w:val="auto"/>
                      <w:kern w:val="1"/>
                      <w:szCs w:val="21"/>
                      <w:highlight w:val="none"/>
                      <w:lang w:val="en-US" w:eastAsia="zh-CN"/>
                    </w:rPr>
                  </w:pPr>
                  <w:r>
                    <w:rPr>
                      <w:rFonts w:hint="eastAsia" w:cs="Times New Roman"/>
                      <w:color w:val="auto"/>
                      <w:kern w:val="1"/>
                      <w:szCs w:val="21"/>
                      <w:highlight w:val="none"/>
                      <w:lang w:val="en-US" w:eastAsia="zh-CN"/>
                    </w:rPr>
                    <w:t>/</w:t>
                  </w:r>
                </w:p>
              </w:tc>
              <w:tc>
                <w:tcPr>
                  <w:tcW w:w="554" w:type="pct"/>
                  <w:noWrap w:val="0"/>
                  <w:vAlign w:val="center"/>
                </w:tcPr>
                <w:p>
                  <w:pPr>
                    <w:adjustRightInd w:val="0"/>
                    <w:snapToGrid w:val="0"/>
                    <w:jc w:val="center"/>
                    <w:rPr>
                      <w:rFonts w:hint="default" w:cs="Times New Roman"/>
                      <w:color w:val="auto"/>
                      <w:kern w:val="1"/>
                      <w:szCs w:val="21"/>
                      <w:highlight w:val="none"/>
                      <w:lang w:val="en-US" w:eastAsia="zh-CN"/>
                    </w:rPr>
                  </w:pPr>
                  <w:r>
                    <w:rPr>
                      <w:rFonts w:hint="eastAsia" w:cs="Times New Roman"/>
                      <w:color w:val="auto"/>
                      <w:kern w:val="1"/>
                      <w:szCs w:val="21"/>
                      <w:highlight w:val="none"/>
                      <w:lang w:val="en-US" w:eastAsia="zh-CN"/>
                    </w:rPr>
                    <w:t>﹤3</w:t>
                  </w:r>
                </w:p>
              </w:tc>
              <w:tc>
                <w:tcPr>
                  <w:tcW w:w="554" w:type="pct"/>
                  <w:vMerge w:val="restart"/>
                  <w:noWrap w:val="0"/>
                  <w:vAlign w:val="center"/>
                </w:tcPr>
                <w:p>
                  <w:pPr>
                    <w:adjustRightInd w:val="0"/>
                    <w:snapToGrid w:val="0"/>
                    <w:jc w:val="center"/>
                    <w:rPr>
                      <w:rFonts w:hint="default" w:ascii="Times New Roman" w:hAnsi="Times New Roman" w:eastAsia="宋体" w:cs="Times New Roman"/>
                      <w:color w:val="auto"/>
                      <w:kern w:val="1"/>
                      <w:szCs w:val="21"/>
                      <w:highlight w:val="none"/>
                      <w:lang w:val="en-US" w:eastAsia="zh-CN"/>
                    </w:rPr>
                  </w:pPr>
                  <w:r>
                    <w:rPr>
                      <w:rFonts w:hint="eastAsia" w:cs="Times New Roman"/>
                      <w:color w:val="auto"/>
                      <w:kern w:val="1"/>
                      <w:szCs w:val="21"/>
                      <w:highlight w:val="none"/>
                      <w:lang w:val="en-US" w:eastAsia="zh-CN"/>
                    </w:rPr>
                    <w:t>100</w:t>
                  </w:r>
                </w:p>
              </w:tc>
              <w:tc>
                <w:tcPr>
                  <w:tcW w:w="328" w:type="pct"/>
                  <w:vMerge w:val="restart"/>
                  <w:noWrap w:val="0"/>
                  <w:vAlign w:val="center"/>
                </w:tcPr>
                <w:p>
                  <w:pPr>
                    <w:adjustRightInd w:val="0"/>
                    <w:snapToGrid w:val="0"/>
                    <w:jc w:val="center"/>
                    <w:rPr>
                      <w:rFonts w:ascii="Times New Roman" w:hAnsi="Times New Roman" w:eastAsia="宋体" w:cs="Times New Roman"/>
                      <w:color w:val="auto"/>
                      <w:kern w:val="1"/>
                      <w:szCs w:val="21"/>
                      <w:highlight w:val="none"/>
                    </w:rPr>
                  </w:pPr>
                  <w:r>
                    <w:rPr>
                      <w:rFonts w:ascii="Times New Roman" w:hAnsi="Times New Roman" w:eastAsia="宋体" w:cs="Times New Roman"/>
                      <w:color w:val="auto"/>
                      <w:kern w:val="1"/>
                      <w:szCs w:val="21"/>
                      <w:highlight w:val="none"/>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202"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550"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lang w:val="en-US" w:eastAsia="zh-CN"/>
                    </w:rPr>
                  </w:pPr>
                </w:p>
              </w:tc>
              <w:tc>
                <w:tcPr>
                  <w:tcW w:w="1104" w:type="pct"/>
                  <w:noWrap w:val="0"/>
                  <w:vAlign w:val="center"/>
                </w:tcPr>
                <w:p>
                  <w:pPr>
                    <w:adjustRightInd w:val="0"/>
                    <w:snapToGrid w:val="0"/>
                    <w:jc w:val="center"/>
                    <w:rPr>
                      <w:rFonts w:ascii="Times New Roman" w:hAnsi="Times New Roman" w:eastAsia="宋体" w:cs="Times New Roman"/>
                      <w:color w:val="auto"/>
                      <w:kern w:val="1"/>
                      <w:szCs w:val="21"/>
                      <w:highlight w:val="none"/>
                    </w:rPr>
                  </w:pPr>
                  <w:r>
                    <w:rPr>
                      <w:rFonts w:ascii="Times New Roman" w:hAnsi="Times New Roman" w:eastAsia="宋体" w:cs="Times New Roman"/>
                      <w:color w:val="auto"/>
                      <w:kern w:val="1"/>
                      <w:szCs w:val="21"/>
                      <w:highlight w:val="none"/>
                    </w:rPr>
                    <w:t>202</w:t>
                  </w:r>
                  <w:r>
                    <w:rPr>
                      <w:rFonts w:hint="eastAsia" w:cs="Times New Roman"/>
                      <w:color w:val="auto"/>
                      <w:kern w:val="1"/>
                      <w:szCs w:val="21"/>
                      <w:highlight w:val="none"/>
                      <w:lang w:val="en-US" w:eastAsia="zh-CN"/>
                    </w:rPr>
                    <w:t>2</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8</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13</w:t>
                  </w:r>
                  <w:r>
                    <w:rPr>
                      <w:rFonts w:ascii="Times New Roman" w:hAnsi="Times New Roman" w:eastAsia="宋体" w:cs="Times New Roman"/>
                      <w:color w:val="auto"/>
                      <w:kern w:val="1"/>
                      <w:szCs w:val="21"/>
                      <w:highlight w:val="none"/>
                    </w:rPr>
                    <w:t>-202</w:t>
                  </w:r>
                  <w:r>
                    <w:rPr>
                      <w:rFonts w:hint="eastAsia" w:cs="Times New Roman"/>
                      <w:color w:val="auto"/>
                      <w:kern w:val="1"/>
                      <w:szCs w:val="21"/>
                      <w:highlight w:val="none"/>
                      <w:lang w:val="en-US" w:eastAsia="zh-CN"/>
                    </w:rPr>
                    <w:t>2</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8</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14</w:t>
                  </w:r>
                </w:p>
              </w:tc>
              <w:tc>
                <w:tcPr>
                  <w:tcW w:w="706" w:type="pct"/>
                  <w:noWrap w:val="0"/>
                  <w:vAlign w:val="center"/>
                </w:tcPr>
                <w:p>
                  <w:pPr>
                    <w:adjustRightInd w:val="0"/>
                    <w:snapToGrid w:val="0"/>
                    <w:jc w:val="center"/>
                    <w:rPr>
                      <w:rFonts w:hint="eastAsia" w:ascii="Times New Roman" w:hAnsi="Times New Roman" w:eastAsia="宋体" w:cs="Times New Roman"/>
                      <w:color w:val="auto"/>
                      <w:kern w:val="1"/>
                      <w:szCs w:val="21"/>
                      <w:highlight w:val="none"/>
                      <w:lang w:val="en-US" w:eastAsia="zh-CN"/>
                    </w:rPr>
                  </w:pPr>
                  <w:r>
                    <w:rPr>
                      <w:rFonts w:hint="eastAsia" w:cs="Times New Roman"/>
                      <w:color w:val="auto"/>
                      <w:kern w:val="1"/>
                      <w:szCs w:val="21"/>
                      <w:highlight w:val="none"/>
                      <w:lang w:val="en-US" w:eastAsia="zh-CN"/>
                    </w:rPr>
                    <w:t>/</w:t>
                  </w:r>
                </w:p>
              </w:tc>
              <w:tc>
                <w:tcPr>
                  <w:tcW w:w="554" w:type="pct"/>
                  <w:noWrap w:val="0"/>
                  <w:vAlign w:val="center"/>
                </w:tcPr>
                <w:p>
                  <w:pPr>
                    <w:adjustRightInd w:val="0"/>
                    <w:snapToGrid w:val="0"/>
                    <w:jc w:val="center"/>
                    <w:rPr>
                      <w:rFonts w:hint="eastAsia" w:cs="Times New Roman"/>
                      <w:color w:val="auto"/>
                      <w:kern w:val="1"/>
                      <w:szCs w:val="21"/>
                      <w:highlight w:val="none"/>
                      <w:lang w:val="en-US" w:eastAsia="zh-CN"/>
                    </w:rPr>
                  </w:pPr>
                  <w:r>
                    <w:rPr>
                      <w:rFonts w:hint="eastAsia" w:cs="Times New Roman"/>
                      <w:color w:val="auto"/>
                      <w:kern w:val="1"/>
                      <w:szCs w:val="21"/>
                      <w:highlight w:val="none"/>
                      <w:lang w:val="en-US" w:eastAsia="zh-CN"/>
                    </w:rPr>
                    <w:t>﹤3</w:t>
                  </w:r>
                </w:p>
              </w:tc>
              <w:tc>
                <w:tcPr>
                  <w:tcW w:w="554" w:type="pct"/>
                  <w:vMerge w:val="continue"/>
                  <w:noWrap w:val="0"/>
                  <w:vAlign w:val="center"/>
                </w:tcPr>
                <w:p>
                  <w:pPr>
                    <w:adjustRightInd w:val="0"/>
                    <w:snapToGrid w:val="0"/>
                    <w:jc w:val="center"/>
                    <w:rPr>
                      <w:rFonts w:hint="default" w:ascii="Times New Roman" w:hAnsi="Times New Roman" w:eastAsia="宋体" w:cs="Times New Roman"/>
                      <w:color w:val="auto"/>
                      <w:kern w:val="1"/>
                      <w:szCs w:val="21"/>
                      <w:highlight w:val="none"/>
                      <w:lang w:val="en-US" w:eastAsia="zh-CN"/>
                    </w:rPr>
                  </w:pPr>
                </w:p>
              </w:tc>
              <w:tc>
                <w:tcPr>
                  <w:tcW w:w="328"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202"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550"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lang w:val="en-US" w:eastAsia="zh-CN"/>
                    </w:rPr>
                  </w:pPr>
                </w:p>
              </w:tc>
              <w:tc>
                <w:tcPr>
                  <w:tcW w:w="1104" w:type="pct"/>
                  <w:noWrap w:val="0"/>
                  <w:vAlign w:val="center"/>
                </w:tcPr>
                <w:p>
                  <w:pPr>
                    <w:adjustRightInd w:val="0"/>
                    <w:snapToGrid w:val="0"/>
                    <w:jc w:val="center"/>
                    <w:rPr>
                      <w:rFonts w:ascii="Times New Roman" w:hAnsi="Times New Roman" w:eastAsia="宋体" w:cs="Times New Roman"/>
                      <w:color w:val="auto"/>
                      <w:kern w:val="1"/>
                      <w:szCs w:val="21"/>
                      <w:highlight w:val="none"/>
                    </w:rPr>
                  </w:pPr>
                  <w:r>
                    <w:rPr>
                      <w:rFonts w:ascii="Times New Roman" w:hAnsi="Times New Roman" w:eastAsia="宋体" w:cs="Times New Roman"/>
                      <w:color w:val="auto"/>
                      <w:kern w:val="1"/>
                      <w:szCs w:val="21"/>
                      <w:highlight w:val="none"/>
                    </w:rPr>
                    <w:t>202</w:t>
                  </w:r>
                  <w:r>
                    <w:rPr>
                      <w:rFonts w:hint="eastAsia" w:cs="Times New Roman"/>
                      <w:color w:val="auto"/>
                      <w:kern w:val="1"/>
                      <w:szCs w:val="21"/>
                      <w:highlight w:val="none"/>
                      <w:lang w:val="en-US" w:eastAsia="zh-CN"/>
                    </w:rPr>
                    <w:t>2</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8</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14</w:t>
                  </w:r>
                  <w:r>
                    <w:rPr>
                      <w:rFonts w:ascii="Times New Roman" w:hAnsi="Times New Roman" w:eastAsia="宋体" w:cs="Times New Roman"/>
                      <w:color w:val="auto"/>
                      <w:kern w:val="1"/>
                      <w:szCs w:val="21"/>
                      <w:highlight w:val="none"/>
                    </w:rPr>
                    <w:t>-202</w:t>
                  </w:r>
                  <w:r>
                    <w:rPr>
                      <w:rFonts w:hint="eastAsia" w:cs="Times New Roman"/>
                      <w:color w:val="auto"/>
                      <w:kern w:val="1"/>
                      <w:szCs w:val="21"/>
                      <w:highlight w:val="none"/>
                      <w:lang w:val="en-US" w:eastAsia="zh-CN"/>
                    </w:rPr>
                    <w:t>2</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8</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15</w:t>
                  </w:r>
                </w:p>
              </w:tc>
              <w:tc>
                <w:tcPr>
                  <w:tcW w:w="706" w:type="pct"/>
                  <w:noWrap w:val="0"/>
                  <w:vAlign w:val="center"/>
                </w:tcPr>
                <w:p>
                  <w:pPr>
                    <w:adjustRightInd w:val="0"/>
                    <w:snapToGrid w:val="0"/>
                    <w:jc w:val="center"/>
                    <w:rPr>
                      <w:rFonts w:hint="eastAsia" w:ascii="Times New Roman" w:hAnsi="Times New Roman" w:eastAsia="宋体" w:cs="Times New Roman"/>
                      <w:color w:val="auto"/>
                      <w:kern w:val="1"/>
                      <w:szCs w:val="21"/>
                      <w:highlight w:val="none"/>
                      <w:lang w:val="en-US" w:eastAsia="zh-CN"/>
                    </w:rPr>
                  </w:pPr>
                  <w:r>
                    <w:rPr>
                      <w:rFonts w:hint="eastAsia" w:cs="Times New Roman"/>
                      <w:color w:val="auto"/>
                      <w:kern w:val="1"/>
                      <w:szCs w:val="21"/>
                      <w:highlight w:val="none"/>
                      <w:lang w:val="en-US" w:eastAsia="zh-CN"/>
                    </w:rPr>
                    <w:t>/</w:t>
                  </w:r>
                </w:p>
              </w:tc>
              <w:tc>
                <w:tcPr>
                  <w:tcW w:w="554" w:type="pct"/>
                  <w:noWrap w:val="0"/>
                  <w:vAlign w:val="center"/>
                </w:tcPr>
                <w:p>
                  <w:pPr>
                    <w:adjustRightInd w:val="0"/>
                    <w:snapToGrid w:val="0"/>
                    <w:jc w:val="center"/>
                    <w:rPr>
                      <w:rFonts w:hint="eastAsia" w:cs="Times New Roman"/>
                      <w:color w:val="auto"/>
                      <w:kern w:val="1"/>
                      <w:szCs w:val="21"/>
                      <w:highlight w:val="none"/>
                      <w:lang w:val="en-US" w:eastAsia="zh-CN"/>
                    </w:rPr>
                  </w:pPr>
                  <w:r>
                    <w:rPr>
                      <w:rFonts w:hint="eastAsia" w:cs="Times New Roman"/>
                      <w:color w:val="auto"/>
                      <w:kern w:val="1"/>
                      <w:szCs w:val="21"/>
                      <w:highlight w:val="none"/>
                      <w:lang w:val="en-US" w:eastAsia="zh-CN"/>
                    </w:rPr>
                    <w:t>﹤3</w:t>
                  </w:r>
                </w:p>
              </w:tc>
              <w:tc>
                <w:tcPr>
                  <w:tcW w:w="554" w:type="pct"/>
                  <w:vMerge w:val="continue"/>
                  <w:noWrap w:val="0"/>
                  <w:vAlign w:val="center"/>
                </w:tcPr>
                <w:p>
                  <w:pPr>
                    <w:adjustRightInd w:val="0"/>
                    <w:snapToGrid w:val="0"/>
                    <w:jc w:val="center"/>
                    <w:rPr>
                      <w:rFonts w:hint="default" w:ascii="Times New Roman" w:hAnsi="Times New Roman" w:eastAsia="宋体" w:cs="Times New Roman"/>
                      <w:color w:val="auto"/>
                      <w:kern w:val="1"/>
                      <w:szCs w:val="21"/>
                      <w:highlight w:val="none"/>
                      <w:lang w:val="en-US" w:eastAsia="zh-CN"/>
                    </w:rPr>
                  </w:pPr>
                </w:p>
              </w:tc>
              <w:tc>
                <w:tcPr>
                  <w:tcW w:w="328"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202"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550" w:type="pct"/>
                  <w:vMerge w:val="restart"/>
                  <w:noWrap w:val="0"/>
                  <w:vAlign w:val="center"/>
                </w:tcPr>
                <w:p>
                  <w:pPr>
                    <w:adjustRightInd w:val="0"/>
                    <w:snapToGrid w:val="0"/>
                    <w:jc w:val="center"/>
                    <w:rPr>
                      <w:rFonts w:hint="eastAsia" w:ascii="Times New Roman" w:hAnsi="Times New Roman" w:eastAsia="宋体" w:cs="Times New Roman"/>
                      <w:color w:val="auto"/>
                      <w:kern w:val="1"/>
                      <w:szCs w:val="21"/>
                      <w:highlight w:val="none"/>
                      <w:lang w:val="en-US" w:eastAsia="zh-CN"/>
                    </w:rPr>
                  </w:pPr>
                  <w:r>
                    <w:rPr>
                      <w:rFonts w:hint="eastAsia" w:ascii="Times New Roman" w:hAnsi="Times New Roman" w:eastAsia="宋体" w:cs="Times New Roman"/>
                      <w:color w:val="auto"/>
                      <w:kern w:val="1"/>
                      <w:szCs w:val="21"/>
                      <w:highlight w:val="none"/>
                      <w:lang w:val="en-US" w:eastAsia="zh-CN"/>
                    </w:rPr>
                    <w:t>NOx</w:t>
                  </w:r>
                  <w:r>
                    <w:rPr>
                      <w:rFonts w:hint="eastAsia" w:cs="Times New Roman"/>
                      <w:color w:val="auto"/>
                      <w:kern w:val="1"/>
                      <w:szCs w:val="21"/>
                      <w:highlight w:val="none"/>
                      <w:lang w:eastAsia="zh-CN"/>
                    </w:rPr>
                    <w:t>（</w:t>
                  </w:r>
                  <w:r>
                    <w:rPr>
                      <w:rFonts w:hint="eastAsia" w:cs="Times New Roman"/>
                      <w:color w:val="auto"/>
                      <w:kern w:val="1"/>
                      <w:szCs w:val="21"/>
                      <w:highlight w:val="none"/>
                      <w:lang w:val="en-US" w:eastAsia="zh-CN"/>
                    </w:rPr>
                    <w:t>小时值</w:t>
                  </w:r>
                  <w:r>
                    <w:rPr>
                      <w:rFonts w:hint="eastAsia" w:cs="Times New Roman"/>
                      <w:color w:val="auto"/>
                      <w:kern w:val="1"/>
                      <w:szCs w:val="21"/>
                      <w:highlight w:val="none"/>
                      <w:lang w:eastAsia="zh-CN"/>
                    </w:rPr>
                    <w:t>）</w:t>
                  </w:r>
                </w:p>
              </w:tc>
              <w:tc>
                <w:tcPr>
                  <w:tcW w:w="1104" w:type="pct"/>
                  <w:vMerge w:val="restart"/>
                  <w:noWrap w:val="0"/>
                  <w:vAlign w:val="center"/>
                </w:tcPr>
                <w:p>
                  <w:pPr>
                    <w:adjustRightInd w:val="0"/>
                    <w:snapToGrid w:val="0"/>
                    <w:jc w:val="center"/>
                    <w:rPr>
                      <w:rFonts w:ascii="Times New Roman" w:hAnsi="Times New Roman" w:eastAsia="宋体" w:cs="Times New Roman"/>
                      <w:color w:val="auto"/>
                      <w:kern w:val="1"/>
                      <w:sz w:val="21"/>
                      <w:szCs w:val="21"/>
                      <w:highlight w:val="none"/>
                      <w:lang w:val="en-US" w:eastAsia="zh-CN" w:bidi="ar-SA"/>
                    </w:rPr>
                  </w:pPr>
                  <w:r>
                    <w:rPr>
                      <w:rFonts w:ascii="Times New Roman" w:hAnsi="Times New Roman" w:eastAsia="宋体" w:cs="Times New Roman"/>
                      <w:color w:val="auto"/>
                      <w:kern w:val="1"/>
                      <w:szCs w:val="21"/>
                      <w:highlight w:val="none"/>
                    </w:rPr>
                    <w:t>202</w:t>
                  </w:r>
                  <w:r>
                    <w:rPr>
                      <w:rFonts w:hint="eastAsia" w:cs="Times New Roman"/>
                      <w:color w:val="auto"/>
                      <w:kern w:val="1"/>
                      <w:szCs w:val="21"/>
                      <w:highlight w:val="none"/>
                      <w:lang w:val="en-US" w:eastAsia="zh-CN"/>
                    </w:rPr>
                    <w:t>2</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8</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12</w:t>
                  </w:r>
                </w:p>
              </w:tc>
              <w:tc>
                <w:tcPr>
                  <w:tcW w:w="706" w:type="pct"/>
                  <w:noWrap w:val="0"/>
                  <w:vAlign w:val="center"/>
                </w:tcPr>
                <w:p>
                  <w:pPr>
                    <w:adjustRightInd w:val="0"/>
                    <w:snapToGrid w:val="0"/>
                    <w:jc w:val="center"/>
                    <w:rPr>
                      <w:rFonts w:ascii="Times New Roman" w:hAnsi="Times New Roman" w:eastAsia="宋体" w:cs="Times New Roman"/>
                      <w:color w:val="auto"/>
                      <w:kern w:val="1"/>
                      <w:sz w:val="21"/>
                      <w:szCs w:val="21"/>
                      <w:highlight w:val="none"/>
                      <w:lang w:val="en-US" w:eastAsia="zh-CN" w:bidi="ar-SA"/>
                    </w:rPr>
                  </w:pPr>
                  <w:r>
                    <w:rPr>
                      <w:rFonts w:ascii="Times New Roman" w:hAnsi="Times New Roman" w:eastAsia="宋体" w:cs="Times New Roman"/>
                      <w:color w:val="auto"/>
                      <w:kern w:val="1"/>
                      <w:szCs w:val="21"/>
                      <w:highlight w:val="none"/>
                    </w:rPr>
                    <w:t>0</w:t>
                  </w:r>
                  <w:r>
                    <w:rPr>
                      <w:rFonts w:hint="eastAsia" w:cs="Times New Roman"/>
                      <w:color w:val="auto"/>
                      <w:kern w:val="1"/>
                      <w:szCs w:val="21"/>
                      <w:highlight w:val="none"/>
                      <w:lang w:val="en-US" w:eastAsia="zh-CN"/>
                    </w:rPr>
                    <w:t>2</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0-0</w:t>
                  </w:r>
                  <w:r>
                    <w:rPr>
                      <w:rFonts w:hint="eastAsia" w:cs="Times New Roman"/>
                      <w:color w:val="auto"/>
                      <w:kern w:val="1"/>
                      <w:szCs w:val="21"/>
                      <w:highlight w:val="none"/>
                      <w:lang w:val="en-US" w:eastAsia="zh-CN"/>
                    </w:rPr>
                    <w:t>3</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w:t>
                  </w:r>
                </w:p>
              </w:tc>
              <w:tc>
                <w:tcPr>
                  <w:tcW w:w="554" w:type="pct"/>
                  <w:noWrap w:val="0"/>
                  <w:vAlign w:val="center"/>
                </w:tcPr>
                <w:p>
                  <w:pPr>
                    <w:adjustRightInd w:val="0"/>
                    <w:snapToGrid w:val="0"/>
                    <w:jc w:val="center"/>
                    <w:rPr>
                      <w:rFonts w:hint="default" w:cs="Times New Roman"/>
                      <w:color w:val="auto"/>
                      <w:kern w:val="1"/>
                      <w:szCs w:val="21"/>
                      <w:highlight w:val="none"/>
                      <w:lang w:val="en-US" w:eastAsia="zh-CN"/>
                    </w:rPr>
                  </w:pPr>
                  <w:r>
                    <w:rPr>
                      <w:rFonts w:hint="eastAsia" w:cs="Times New Roman"/>
                      <w:color w:val="auto"/>
                      <w:kern w:val="1"/>
                      <w:szCs w:val="21"/>
                      <w:highlight w:val="none"/>
                      <w:lang w:val="en-US" w:eastAsia="zh-CN"/>
                    </w:rPr>
                    <w:t>10</w:t>
                  </w:r>
                </w:p>
              </w:tc>
              <w:tc>
                <w:tcPr>
                  <w:tcW w:w="554" w:type="pct"/>
                  <w:vMerge w:val="restart"/>
                  <w:noWrap w:val="0"/>
                  <w:vAlign w:val="center"/>
                </w:tcPr>
                <w:p>
                  <w:pPr>
                    <w:adjustRightInd w:val="0"/>
                    <w:snapToGrid w:val="0"/>
                    <w:jc w:val="center"/>
                    <w:rPr>
                      <w:rFonts w:hint="default" w:ascii="Times New Roman" w:hAnsi="Times New Roman" w:eastAsia="宋体" w:cs="Times New Roman"/>
                      <w:color w:val="auto"/>
                      <w:kern w:val="1"/>
                      <w:szCs w:val="21"/>
                      <w:highlight w:val="none"/>
                      <w:lang w:val="en-US" w:eastAsia="zh-CN"/>
                    </w:rPr>
                  </w:pPr>
                  <w:r>
                    <w:rPr>
                      <w:rFonts w:hint="eastAsia" w:cs="Times New Roman"/>
                      <w:color w:val="auto"/>
                      <w:kern w:val="1"/>
                      <w:szCs w:val="21"/>
                      <w:highlight w:val="none"/>
                      <w:lang w:val="en-US" w:eastAsia="zh-CN"/>
                    </w:rPr>
                    <w:t>250</w:t>
                  </w:r>
                </w:p>
              </w:tc>
              <w:tc>
                <w:tcPr>
                  <w:tcW w:w="328" w:type="pct"/>
                  <w:vMerge w:val="restart"/>
                  <w:noWrap w:val="0"/>
                  <w:vAlign w:val="center"/>
                </w:tcPr>
                <w:p>
                  <w:pPr>
                    <w:adjustRightInd w:val="0"/>
                    <w:snapToGrid w:val="0"/>
                    <w:jc w:val="center"/>
                    <w:rPr>
                      <w:rFonts w:ascii="Times New Roman" w:hAnsi="Times New Roman" w:eastAsia="宋体" w:cs="Times New Roman"/>
                      <w:color w:val="auto"/>
                      <w:kern w:val="1"/>
                      <w:szCs w:val="21"/>
                      <w:highlight w:val="none"/>
                    </w:rPr>
                  </w:pPr>
                  <w:r>
                    <w:rPr>
                      <w:rFonts w:ascii="Times New Roman" w:hAnsi="Times New Roman" w:eastAsia="宋体" w:cs="Times New Roman"/>
                      <w:color w:val="auto"/>
                      <w:kern w:val="1"/>
                      <w:szCs w:val="21"/>
                      <w:highlight w:val="none"/>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202"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550"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lang w:val="en-US" w:eastAsia="zh-CN"/>
                    </w:rPr>
                  </w:pPr>
                </w:p>
              </w:tc>
              <w:tc>
                <w:tcPr>
                  <w:tcW w:w="1104"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706" w:type="pct"/>
                  <w:noWrap w:val="0"/>
                  <w:vAlign w:val="center"/>
                </w:tcPr>
                <w:p>
                  <w:pPr>
                    <w:adjustRightInd w:val="0"/>
                    <w:snapToGrid w:val="0"/>
                    <w:jc w:val="center"/>
                    <w:rPr>
                      <w:rFonts w:ascii="Times New Roman" w:hAnsi="Times New Roman" w:eastAsia="宋体" w:cs="Times New Roman"/>
                      <w:color w:val="auto"/>
                      <w:kern w:val="1"/>
                      <w:szCs w:val="21"/>
                      <w:highlight w:val="none"/>
                    </w:rPr>
                  </w:pPr>
                  <w:r>
                    <w:rPr>
                      <w:rFonts w:ascii="Times New Roman" w:hAnsi="Times New Roman" w:eastAsia="宋体" w:cs="Times New Roman"/>
                      <w:color w:val="auto"/>
                      <w:kern w:val="1"/>
                      <w:szCs w:val="21"/>
                      <w:highlight w:val="none"/>
                    </w:rPr>
                    <w:t>0</w:t>
                  </w:r>
                  <w:r>
                    <w:rPr>
                      <w:rFonts w:hint="eastAsia" w:cs="Times New Roman"/>
                      <w:color w:val="auto"/>
                      <w:kern w:val="1"/>
                      <w:szCs w:val="21"/>
                      <w:highlight w:val="none"/>
                      <w:lang w:val="en-US" w:eastAsia="zh-CN"/>
                    </w:rPr>
                    <w:t>8</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0-0</w:t>
                  </w:r>
                  <w:r>
                    <w:rPr>
                      <w:rFonts w:hint="eastAsia" w:cs="Times New Roman"/>
                      <w:color w:val="auto"/>
                      <w:kern w:val="1"/>
                      <w:szCs w:val="21"/>
                      <w:highlight w:val="none"/>
                      <w:lang w:val="en-US" w:eastAsia="zh-CN"/>
                    </w:rPr>
                    <w:t>9</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w:t>
                  </w:r>
                </w:p>
              </w:tc>
              <w:tc>
                <w:tcPr>
                  <w:tcW w:w="554" w:type="pct"/>
                  <w:noWrap w:val="0"/>
                  <w:vAlign w:val="center"/>
                </w:tcPr>
                <w:p>
                  <w:pPr>
                    <w:adjustRightInd w:val="0"/>
                    <w:snapToGrid w:val="0"/>
                    <w:jc w:val="center"/>
                    <w:rPr>
                      <w:rFonts w:hint="default" w:cs="Times New Roman"/>
                      <w:color w:val="auto"/>
                      <w:kern w:val="1"/>
                      <w:szCs w:val="21"/>
                      <w:highlight w:val="none"/>
                      <w:lang w:val="en-US" w:eastAsia="zh-CN"/>
                    </w:rPr>
                  </w:pPr>
                  <w:r>
                    <w:rPr>
                      <w:rFonts w:hint="eastAsia" w:cs="Times New Roman"/>
                      <w:color w:val="auto"/>
                      <w:kern w:val="1"/>
                      <w:szCs w:val="21"/>
                      <w:highlight w:val="none"/>
                      <w:lang w:val="en-US" w:eastAsia="zh-CN"/>
                    </w:rPr>
                    <w:t>10</w:t>
                  </w:r>
                </w:p>
              </w:tc>
              <w:tc>
                <w:tcPr>
                  <w:tcW w:w="554"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rPr>
                  </w:pPr>
                </w:p>
              </w:tc>
              <w:tc>
                <w:tcPr>
                  <w:tcW w:w="328"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202"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550"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lang w:val="en-US" w:eastAsia="zh-CN"/>
                    </w:rPr>
                  </w:pPr>
                </w:p>
              </w:tc>
              <w:tc>
                <w:tcPr>
                  <w:tcW w:w="1104"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706" w:type="pct"/>
                  <w:noWrap w:val="0"/>
                  <w:vAlign w:val="center"/>
                </w:tcPr>
                <w:p>
                  <w:pPr>
                    <w:adjustRightInd w:val="0"/>
                    <w:snapToGrid w:val="0"/>
                    <w:jc w:val="center"/>
                    <w:rPr>
                      <w:rFonts w:ascii="Times New Roman" w:hAnsi="Times New Roman" w:eastAsia="宋体" w:cs="Times New Roman"/>
                      <w:color w:val="auto"/>
                      <w:kern w:val="1"/>
                      <w:szCs w:val="21"/>
                      <w:highlight w:val="none"/>
                    </w:rPr>
                  </w:pPr>
                  <w:r>
                    <w:rPr>
                      <w:rFonts w:hint="eastAsia" w:cs="Times New Roman"/>
                      <w:color w:val="auto"/>
                      <w:kern w:val="1"/>
                      <w:szCs w:val="21"/>
                      <w:highlight w:val="none"/>
                      <w:lang w:val="en-US" w:eastAsia="zh-CN"/>
                    </w:rPr>
                    <w:t>14</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w:t>
                  </w:r>
                  <w:r>
                    <w:rPr>
                      <w:rFonts w:hint="eastAsia" w:cs="Times New Roman"/>
                      <w:color w:val="auto"/>
                      <w:kern w:val="1"/>
                      <w:szCs w:val="21"/>
                      <w:highlight w:val="none"/>
                      <w:lang w:val="en-US" w:eastAsia="zh-CN"/>
                    </w:rPr>
                    <w:t>15</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w:t>
                  </w:r>
                </w:p>
              </w:tc>
              <w:tc>
                <w:tcPr>
                  <w:tcW w:w="554" w:type="pct"/>
                  <w:noWrap w:val="0"/>
                  <w:vAlign w:val="center"/>
                </w:tcPr>
                <w:p>
                  <w:pPr>
                    <w:adjustRightInd w:val="0"/>
                    <w:snapToGrid w:val="0"/>
                    <w:jc w:val="center"/>
                    <w:rPr>
                      <w:rFonts w:hint="default" w:cs="Times New Roman"/>
                      <w:color w:val="auto"/>
                      <w:kern w:val="1"/>
                      <w:szCs w:val="21"/>
                      <w:highlight w:val="none"/>
                      <w:lang w:val="en-US" w:eastAsia="zh-CN"/>
                    </w:rPr>
                  </w:pPr>
                  <w:r>
                    <w:rPr>
                      <w:rFonts w:hint="eastAsia" w:cs="Times New Roman"/>
                      <w:color w:val="auto"/>
                      <w:kern w:val="1"/>
                      <w:szCs w:val="21"/>
                      <w:highlight w:val="none"/>
                      <w:lang w:val="en-US" w:eastAsia="zh-CN"/>
                    </w:rPr>
                    <w:t>13</w:t>
                  </w:r>
                </w:p>
              </w:tc>
              <w:tc>
                <w:tcPr>
                  <w:tcW w:w="554"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rPr>
                  </w:pPr>
                </w:p>
              </w:tc>
              <w:tc>
                <w:tcPr>
                  <w:tcW w:w="328"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202"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550"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lang w:val="en-US" w:eastAsia="zh-CN"/>
                    </w:rPr>
                  </w:pPr>
                </w:p>
              </w:tc>
              <w:tc>
                <w:tcPr>
                  <w:tcW w:w="1104"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706" w:type="pct"/>
                  <w:noWrap w:val="0"/>
                  <w:vAlign w:val="center"/>
                </w:tcPr>
                <w:p>
                  <w:pPr>
                    <w:adjustRightInd w:val="0"/>
                    <w:snapToGrid w:val="0"/>
                    <w:jc w:val="center"/>
                    <w:rPr>
                      <w:rFonts w:ascii="Times New Roman" w:hAnsi="Times New Roman" w:eastAsia="宋体" w:cs="Times New Roman"/>
                      <w:color w:val="auto"/>
                      <w:kern w:val="1"/>
                      <w:szCs w:val="21"/>
                      <w:highlight w:val="none"/>
                    </w:rPr>
                  </w:pPr>
                  <w:r>
                    <w:rPr>
                      <w:rFonts w:hint="eastAsia" w:cs="Times New Roman"/>
                      <w:color w:val="auto"/>
                      <w:kern w:val="1"/>
                      <w:szCs w:val="21"/>
                      <w:highlight w:val="none"/>
                      <w:lang w:val="en-US" w:eastAsia="zh-CN"/>
                    </w:rPr>
                    <w:t>20</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w:t>
                  </w:r>
                  <w:r>
                    <w:rPr>
                      <w:rFonts w:hint="eastAsia" w:cs="Times New Roman"/>
                      <w:color w:val="auto"/>
                      <w:kern w:val="1"/>
                      <w:szCs w:val="21"/>
                      <w:highlight w:val="none"/>
                      <w:lang w:val="en-US" w:eastAsia="zh-CN"/>
                    </w:rPr>
                    <w:t>21</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w:t>
                  </w:r>
                </w:p>
              </w:tc>
              <w:tc>
                <w:tcPr>
                  <w:tcW w:w="554" w:type="pct"/>
                  <w:noWrap w:val="0"/>
                  <w:vAlign w:val="center"/>
                </w:tcPr>
                <w:p>
                  <w:pPr>
                    <w:adjustRightInd w:val="0"/>
                    <w:snapToGrid w:val="0"/>
                    <w:jc w:val="center"/>
                    <w:rPr>
                      <w:rFonts w:hint="default" w:cs="Times New Roman"/>
                      <w:color w:val="auto"/>
                      <w:kern w:val="1"/>
                      <w:szCs w:val="21"/>
                      <w:highlight w:val="none"/>
                      <w:lang w:val="en-US" w:eastAsia="zh-CN"/>
                    </w:rPr>
                  </w:pPr>
                  <w:r>
                    <w:rPr>
                      <w:rFonts w:hint="eastAsia" w:cs="Times New Roman"/>
                      <w:color w:val="auto"/>
                      <w:kern w:val="1"/>
                      <w:szCs w:val="21"/>
                      <w:highlight w:val="none"/>
                      <w:lang w:val="en-US" w:eastAsia="zh-CN"/>
                    </w:rPr>
                    <w:t>12</w:t>
                  </w:r>
                </w:p>
              </w:tc>
              <w:tc>
                <w:tcPr>
                  <w:tcW w:w="554"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rPr>
                  </w:pPr>
                </w:p>
              </w:tc>
              <w:tc>
                <w:tcPr>
                  <w:tcW w:w="328"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202"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550"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lang w:val="en-US" w:eastAsia="zh-CN"/>
                    </w:rPr>
                  </w:pPr>
                </w:p>
              </w:tc>
              <w:tc>
                <w:tcPr>
                  <w:tcW w:w="1104" w:type="pct"/>
                  <w:vMerge w:val="restart"/>
                  <w:noWrap w:val="0"/>
                  <w:vAlign w:val="center"/>
                </w:tcPr>
                <w:p>
                  <w:pPr>
                    <w:adjustRightInd w:val="0"/>
                    <w:snapToGrid w:val="0"/>
                    <w:jc w:val="center"/>
                    <w:rPr>
                      <w:rFonts w:ascii="Times New Roman" w:hAnsi="Times New Roman" w:eastAsia="宋体" w:cs="Times New Roman"/>
                      <w:color w:val="auto"/>
                      <w:kern w:val="1"/>
                      <w:sz w:val="21"/>
                      <w:szCs w:val="21"/>
                      <w:highlight w:val="none"/>
                      <w:lang w:val="en-US" w:eastAsia="zh-CN" w:bidi="ar-SA"/>
                    </w:rPr>
                  </w:pPr>
                  <w:r>
                    <w:rPr>
                      <w:rFonts w:ascii="Times New Roman" w:hAnsi="Times New Roman" w:eastAsia="宋体" w:cs="Times New Roman"/>
                      <w:color w:val="auto"/>
                      <w:kern w:val="1"/>
                      <w:szCs w:val="21"/>
                      <w:highlight w:val="none"/>
                    </w:rPr>
                    <w:t>202</w:t>
                  </w:r>
                  <w:r>
                    <w:rPr>
                      <w:rFonts w:hint="eastAsia" w:cs="Times New Roman"/>
                      <w:color w:val="auto"/>
                      <w:kern w:val="1"/>
                      <w:szCs w:val="21"/>
                      <w:highlight w:val="none"/>
                      <w:lang w:val="en-US" w:eastAsia="zh-CN"/>
                    </w:rPr>
                    <w:t>2</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8</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13</w:t>
                  </w:r>
                </w:p>
              </w:tc>
              <w:tc>
                <w:tcPr>
                  <w:tcW w:w="706" w:type="pct"/>
                  <w:noWrap w:val="0"/>
                  <w:vAlign w:val="center"/>
                </w:tcPr>
                <w:p>
                  <w:pPr>
                    <w:adjustRightInd w:val="0"/>
                    <w:snapToGrid w:val="0"/>
                    <w:jc w:val="center"/>
                    <w:rPr>
                      <w:rFonts w:ascii="Times New Roman" w:hAnsi="Times New Roman" w:eastAsia="宋体" w:cs="Times New Roman"/>
                      <w:color w:val="auto"/>
                      <w:kern w:val="1"/>
                      <w:sz w:val="21"/>
                      <w:szCs w:val="21"/>
                      <w:highlight w:val="none"/>
                      <w:lang w:val="en-US" w:eastAsia="zh-CN" w:bidi="ar-SA"/>
                    </w:rPr>
                  </w:pPr>
                  <w:r>
                    <w:rPr>
                      <w:rFonts w:ascii="Times New Roman" w:hAnsi="Times New Roman" w:eastAsia="宋体" w:cs="Times New Roman"/>
                      <w:color w:val="auto"/>
                      <w:kern w:val="1"/>
                      <w:szCs w:val="21"/>
                      <w:highlight w:val="none"/>
                    </w:rPr>
                    <w:t>0</w:t>
                  </w:r>
                  <w:r>
                    <w:rPr>
                      <w:rFonts w:hint="eastAsia" w:cs="Times New Roman"/>
                      <w:color w:val="auto"/>
                      <w:kern w:val="1"/>
                      <w:szCs w:val="21"/>
                      <w:highlight w:val="none"/>
                      <w:lang w:val="en-US" w:eastAsia="zh-CN"/>
                    </w:rPr>
                    <w:t>2</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0-0</w:t>
                  </w:r>
                  <w:r>
                    <w:rPr>
                      <w:rFonts w:hint="eastAsia" w:cs="Times New Roman"/>
                      <w:color w:val="auto"/>
                      <w:kern w:val="1"/>
                      <w:szCs w:val="21"/>
                      <w:highlight w:val="none"/>
                      <w:lang w:val="en-US" w:eastAsia="zh-CN"/>
                    </w:rPr>
                    <w:t>3</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w:t>
                  </w:r>
                </w:p>
              </w:tc>
              <w:tc>
                <w:tcPr>
                  <w:tcW w:w="554" w:type="pct"/>
                  <w:noWrap w:val="0"/>
                  <w:vAlign w:val="center"/>
                </w:tcPr>
                <w:p>
                  <w:pPr>
                    <w:adjustRightInd w:val="0"/>
                    <w:snapToGrid w:val="0"/>
                    <w:jc w:val="center"/>
                    <w:rPr>
                      <w:rFonts w:hint="default" w:cs="Times New Roman"/>
                      <w:color w:val="auto"/>
                      <w:kern w:val="1"/>
                      <w:szCs w:val="21"/>
                      <w:highlight w:val="none"/>
                      <w:lang w:val="en-US" w:eastAsia="zh-CN"/>
                    </w:rPr>
                  </w:pPr>
                  <w:r>
                    <w:rPr>
                      <w:rFonts w:hint="eastAsia" w:cs="Times New Roman"/>
                      <w:color w:val="auto"/>
                      <w:kern w:val="1"/>
                      <w:szCs w:val="21"/>
                      <w:highlight w:val="none"/>
                      <w:lang w:val="en-US" w:eastAsia="zh-CN"/>
                    </w:rPr>
                    <w:t>11</w:t>
                  </w:r>
                </w:p>
              </w:tc>
              <w:tc>
                <w:tcPr>
                  <w:tcW w:w="554"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rPr>
                  </w:pPr>
                </w:p>
              </w:tc>
              <w:tc>
                <w:tcPr>
                  <w:tcW w:w="328"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202"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550"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lang w:val="en-US" w:eastAsia="zh-CN"/>
                    </w:rPr>
                  </w:pPr>
                </w:p>
              </w:tc>
              <w:tc>
                <w:tcPr>
                  <w:tcW w:w="1104"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706" w:type="pct"/>
                  <w:noWrap w:val="0"/>
                  <w:vAlign w:val="center"/>
                </w:tcPr>
                <w:p>
                  <w:pPr>
                    <w:adjustRightInd w:val="0"/>
                    <w:snapToGrid w:val="0"/>
                    <w:jc w:val="center"/>
                    <w:rPr>
                      <w:rFonts w:ascii="Times New Roman" w:hAnsi="Times New Roman" w:eastAsia="宋体" w:cs="Times New Roman"/>
                      <w:color w:val="auto"/>
                      <w:kern w:val="1"/>
                      <w:szCs w:val="21"/>
                      <w:highlight w:val="none"/>
                    </w:rPr>
                  </w:pPr>
                  <w:r>
                    <w:rPr>
                      <w:rFonts w:ascii="Times New Roman" w:hAnsi="Times New Roman" w:eastAsia="宋体" w:cs="Times New Roman"/>
                      <w:color w:val="auto"/>
                      <w:kern w:val="1"/>
                      <w:szCs w:val="21"/>
                      <w:highlight w:val="none"/>
                    </w:rPr>
                    <w:t>0</w:t>
                  </w:r>
                  <w:r>
                    <w:rPr>
                      <w:rFonts w:hint="eastAsia" w:cs="Times New Roman"/>
                      <w:color w:val="auto"/>
                      <w:kern w:val="1"/>
                      <w:szCs w:val="21"/>
                      <w:highlight w:val="none"/>
                      <w:lang w:val="en-US" w:eastAsia="zh-CN"/>
                    </w:rPr>
                    <w:t>8</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0-0</w:t>
                  </w:r>
                  <w:r>
                    <w:rPr>
                      <w:rFonts w:hint="eastAsia" w:cs="Times New Roman"/>
                      <w:color w:val="auto"/>
                      <w:kern w:val="1"/>
                      <w:szCs w:val="21"/>
                      <w:highlight w:val="none"/>
                      <w:lang w:val="en-US" w:eastAsia="zh-CN"/>
                    </w:rPr>
                    <w:t>9</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w:t>
                  </w:r>
                </w:p>
              </w:tc>
              <w:tc>
                <w:tcPr>
                  <w:tcW w:w="554" w:type="pct"/>
                  <w:noWrap w:val="0"/>
                  <w:vAlign w:val="center"/>
                </w:tcPr>
                <w:p>
                  <w:pPr>
                    <w:adjustRightInd w:val="0"/>
                    <w:snapToGrid w:val="0"/>
                    <w:jc w:val="center"/>
                    <w:rPr>
                      <w:rFonts w:hint="default" w:cs="Times New Roman"/>
                      <w:color w:val="auto"/>
                      <w:kern w:val="1"/>
                      <w:szCs w:val="21"/>
                      <w:highlight w:val="none"/>
                      <w:lang w:val="en-US" w:eastAsia="zh-CN"/>
                    </w:rPr>
                  </w:pPr>
                  <w:r>
                    <w:rPr>
                      <w:rFonts w:hint="eastAsia" w:cs="Times New Roman"/>
                      <w:color w:val="auto"/>
                      <w:kern w:val="1"/>
                      <w:szCs w:val="21"/>
                      <w:highlight w:val="none"/>
                      <w:lang w:val="en-US" w:eastAsia="zh-CN"/>
                    </w:rPr>
                    <w:t>10</w:t>
                  </w:r>
                </w:p>
              </w:tc>
              <w:tc>
                <w:tcPr>
                  <w:tcW w:w="554"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rPr>
                  </w:pPr>
                </w:p>
              </w:tc>
              <w:tc>
                <w:tcPr>
                  <w:tcW w:w="328"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202"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550"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lang w:val="en-US" w:eastAsia="zh-CN"/>
                    </w:rPr>
                  </w:pPr>
                </w:p>
              </w:tc>
              <w:tc>
                <w:tcPr>
                  <w:tcW w:w="1104"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706" w:type="pct"/>
                  <w:noWrap w:val="0"/>
                  <w:vAlign w:val="center"/>
                </w:tcPr>
                <w:p>
                  <w:pPr>
                    <w:adjustRightInd w:val="0"/>
                    <w:snapToGrid w:val="0"/>
                    <w:jc w:val="center"/>
                    <w:rPr>
                      <w:rFonts w:ascii="Times New Roman" w:hAnsi="Times New Roman" w:eastAsia="宋体" w:cs="Times New Roman"/>
                      <w:color w:val="auto"/>
                      <w:kern w:val="1"/>
                      <w:szCs w:val="21"/>
                      <w:highlight w:val="none"/>
                    </w:rPr>
                  </w:pPr>
                  <w:r>
                    <w:rPr>
                      <w:rFonts w:hint="eastAsia" w:cs="Times New Roman"/>
                      <w:color w:val="auto"/>
                      <w:kern w:val="1"/>
                      <w:szCs w:val="21"/>
                      <w:highlight w:val="none"/>
                      <w:lang w:val="en-US" w:eastAsia="zh-CN"/>
                    </w:rPr>
                    <w:t>14</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w:t>
                  </w:r>
                  <w:r>
                    <w:rPr>
                      <w:rFonts w:hint="eastAsia" w:cs="Times New Roman"/>
                      <w:color w:val="auto"/>
                      <w:kern w:val="1"/>
                      <w:szCs w:val="21"/>
                      <w:highlight w:val="none"/>
                      <w:lang w:val="en-US" w:eastAsia="zh-CN"/>
                    </w:rPr>
                    <w:t>15</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w:t>
                  </w:r>
                </w:p>
              </w:tc>
              <w:tc>
                <w:tcPr>
                  <w:tcW w:w="554" w:type="pct"/>
                  <w:noWrap w:val="0"/>
                  <w:vAlign w:val="center"/>
                </w:tcPr>
                <w:p>
                  <w:pPr>
                    <w:adjustRightInd w:val="0"/>
                    <w:snapToGrid w:val="0"/>
                    <w:jc w:val="center"/>
                    <w:rPr>
                      <w:rFonts w:hint="default" w:cs="Times New Roman"/>
                      <w:color w:val="auto"/>
                      <w:kern w:val="1"/>
                      <w:szCs w:val="21"/>
                      <w:highlight w:val="none"/>
                      <w:lang w:val="en-US" w:eastAsia="zh-CN"/>
                    </w:rPr>
                  </w:pPr>
                  <w:r>
                    <w:rPr>
                      <w:rFonts w:hint="eastAsia" w:cs="Times New Roman"/>
                      <w:color w:val="auto"/>
                      <w:kern w:val="1"/>
                      <w:szCs w:val="21"/>
                      <w:highlight w:val="none"/>
                      <w:lang w:val="en-US" w:eastAsia="zh-CN"/>
                    </w:rPr>
                    <w:t>13</w:t>
                  </w:r>
                </w:p>
              </w:tc>
              <w:tc>
                <w:tcPr>
                  <w:tcW w:w="554"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rPr>
                  </w:pPr>
                </w:p>
              </w:tc>
              <w:tc>
                <w:tcPr>
                  <w:tcW w:w="328"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202"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550"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lang w:val="en-US" w:eastAsia="zh-CN"/>
                    </w:rPr>
                  </w:pPr>
                </w:p>
              </w:tc>
              <w:tc>
                <w:tcPr>
                  <w:tcW w:w="1104"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706" w:type="pct"/>
                  <w:noWrap w:val="0"/>
                  <w:vAlign w:val="center"/>
                </w:tcPr>
                <w:p>
                  <w:pPr>
                    <w:adjustRightInd w:val="0"/>
                    <w:snapToGrid w:val="0"/>
                    <w:jc w:val="center"/>
                    <w:rPr>
                      <w:rFonts w:ascii="Times New Roman" w:hAnsi="Times New Roman" w:eastAsia="宋体" w:cs="Times New Roman"/>
                      <w:color w:val="auto"/>
                      <w:kern w:val="1"/>
                      <w:szCs w:val="21"/>
                      <w:highlight w:val="none"/>
                    </w:rPr>
                  </w:pPr>
                  <w:r>
                    <w:rPr>
                      <w:rFonts w:hint="eastAsia" w:cs="Times New Roman"/>
                      <w:color w:val="auto"/>
                      <w:kern w:val="1"/>
                      <w:szCs w:val="21"/>
                      <w:highlight w:val="none"/>
                      <w:lang w:val="en-US" w:eastAsia="zh-CN"/>
                    </w:rPr>
                    <w:t>20</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w:t>
                  </w:r>
                  <w:r>
                    <w:rPr>
                      <w:rFonts w:hint="eastAsia" w:cs="Times New Roman"/>
                      <w:color w:val="auto"/>
                      <w:kern w:val="1"/>
                      <w:szCs w:val="21"/>
                      <w:highlight w:val="none"/>
                      <w:lang w:val="en-US" w:eastAsia="zh-CN"/>
                    </w:rPr>
                    <w:t>21</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w:t>
                  </w:r>
                </w:p>
              </w:tc>
              <w:tc>
                <w:tcPr>
                  <w:tcW w:w="554" w:type="pct"/>
                  <w:noWrap w:val="0"/>
                  <w:vAlign w:val="center"/>
                </w:tcPr>
                <w:p>
                  <w:pPr>
                    <w:adjustRightInd w:val="0"/>
                    <w:snapToGrid w:val="0"/>
                    <w:jc w:val="center"/>
                    <w:rPr>
                      <w:rFonts w:hint="default" w:cs="Times New Roman"/>
                      <w:color w:val="auto"/>
                      <w:kern w:val="1"/>
                      <w:szCs w:val="21"/>
                      <w:highlight w:val="none"/>
                      <w:lang w:val="en-US" w:eastAsia="zh-CN"/>
                    </w:rPr>
                  </w:pPr>
                  <w:r>
                    <w:rPr>
                      <w:rFonts w:hint="eastAsia" w:cs="Times New Roman"/>
                      <w:color w:val="auto"/>
                      <w:kern w:val="1"/>
                      <w:szCs w:val="21"/>
                      <w:highlight w:val="none"/>
                      <w:lang w:val="en-US" w:eastAsia="zh-CN"/>
                    </w:rPr>
                    <w:t>12</w:t>
                  </w:r>
                </w:p>
              </w:tc>
              <w:tc>
                <w:tcPr>
                  <w:tcW w:w="554"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rPr>
                  </w:pPr>
                </w:p>
              </w:tc>
              <w:tc>
                <w:tcPr>
                  <w:tcW w:w="328"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202"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550"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lang w:val="en-US" w:eastAsia="zh-CN"/>
                    </w:rPr>
                  </w:pPr>
                </w:p>
              </w:tc>
              <w:tc>
                <w:tcPr>
                  <w:tcW w:w="1104" w:type="pct"/>
                  <w:vMerge w:val="restart"/>
                  <w:noWrap w:val="0"/>
                  <w:vAlign w:val="center"/>
                </w:tcPr>
                <w:p>
                  <w:pPr>
                    <w:adjustRightInd w:val="0"/>
                    <w:snapToGrid w:val="0"/>
                    <w:jc w:val="center"/>
                    <w:rPr>
                      <w:rFonts w:ascii="Times New Roman" w:hAnsi="Times New Roman" w:eastAsia="宋体" w:cs="Times New Roman"/>
                      <w:color w:val="auto"/>
                      <w:kern w:val="1"/>
                      <w:sz w:val="21"/>
                      <w:szCs w:val="21"/>
                      <w:highlight w:val="none"/>
                      <w:lang w:val="en-US" w:eastAsia="zh-CN" w:bidi="ar-SA"/>
                    </w:rPr>
                  </w:pPr>
                  <w:r>
                    <w:rPr>
                      <w:rFonts w:ascii="Times New Roman" w:hAnsi="Times New Roman" w:eastAsia="宋体" w:cs="Times New Roman"/>
                      <w:color w:val="auto"/>
                      <w:kern w:val="1"/>
                      <w:szCs w:val="21"/>
                      <w:highlight w:val="none"/>
                    </w:rPr>
                    <w:t>202</w:t>
                  </w:r>
                  <w:r>
                    <w:rPr>
                      <w:rFonts w:hint="eastAsia" w:cs="Times New Roman"/>
                      <w:color w:val="auto"/>
                      <w:kern w:val="1"/>
                      <w:szCs w:val="21"/>
                      <w:highlight w:val="none"/>
                      <w:lang w:val="en-US" w:eastAsia="zh-CN"/>
                    </w:rPr>
                    <w:t>2</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8</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14</w:t>
                  </w:r>
                </w:p>
              </w:tc>
              <w:tc>
                <w:tcPr>
                  <w:tcW w:w="706" w:type="pct"/>
                  <w:noWrap w:val="0"/>
                  <w:vAlign w:val="center"/>
                </w:tcPr>
                <w:p>
                  <w:pPr>
                    <w:adjustRightInd w:val="0"/>
                    <w:snapToGrid w:val="0"/>
                    <w:jc w:val="center"/>
                    <w:rPr>
                      <w:rFonts w:ascii="Times New Roman" w:hAnsi="Times New Roman" w:eastAsia="宋体" w:cs="Times New Roman"/>
                      <w:color w:val="auto"/>
                      <w:kern w:val="1"/>
                      <w:sz w:val="21"/>
                      <w:szCs w:val="21"/>
                      <w:highlight w:val="none"/>
                      <w:lang w:val="en-US" w:eastAsia="zh-CN" w:bidi="ar-SA"/>
                    </w:rPr>
                  </w:pPr>
                  <w:r>
                    <w:rPr>
                      <w:rFonts w:ascii="Times New Roman" w:hAnsi="Times New Roman" w:eastAsia="宋体" w:cs="Times New Roman"/>
                      <w:color w:val="auto"/>
                      <w:kern w:val="1"/>
                      <w:szCs w:val="21"/>
                      <w:highlight w:val="none"/>
                    </w:rPr>
                    <w:t>0</w:t>
                  </w:r>
                  <w:r>
                    <w:rPr>
                      <w:rFonts w:hint="eastAsia" w:cs="Times New Roman"/>
                      <w:color w:val="auto"/>
                      <w:kern w:val="1"/>
                      <w:szCs w:val="21"/>
                      <w:highlight w:val="none"/>
                      <w:lang w:val="en-US" w:eastAsia="zh-CN"/>
                    </w:rPr>
                    <w:t>2</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0-0</w:t>
                  </w:r>
                  <w:r>
                    <w:rPr>
                      <w:rFonts w:hint="eastAsia" w:cs="Times New Roman"/>
                      <w:color w:val="auto"/>
                      <w:kern w:val="1"/>
                      <w:szCs w:val="21"/>
                      <w:highlight w:val="none"/>
                      <w:lang w:val="en-US" w:eastAsia="zh-CN"/>
                    </w:rPr>
                    <w:t>3</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w:t>
                  </w:r>
                </w:p>
              </w:tc>
              <w:tc>
                <w:tcPr>
                  <w:tcW w:w="554" w:type="pct"/>
                  <w:noWrap w:val="0"/>
                  <w:vAlign w:val="center"/>
                </w:tcPr>
                <w:p>
                  <w:pPr>
                    <w:adjustRightInd w:val="0"/>
                    <w:snapToGrid w:val="0"/>
                    <w:jc w:val="center"/>
                    <w:rPr>
                      <w:rFonts w:hint="default" w:cs="Times New Roman"/>
                      <w:color w:val="auto"/>
                      <w:kern w:val="1"/>
                      <w:szCs w:val="21"/>
                      <w:highlight w:val="none"/>
                      <w:lang w:val="en-US" w:eastAsia="zh-CN"/>
                    </w:rPr>
                  </w:pPr>
                  <w:r>
                    <w:rPr>
                      <w:rFonts w:hint="eastAsia" w:cs="Times New Roman"/>
                      <w:color w:val="auto"/>
                      <w:kern w:val="1"/>
                      <w:szCs w:val="21"/>
                      <w:highlight w:val="none"/>
                      <w:lang w:val="en-US" w:eastAsia="zh-CN"/>
                    </w:rPr>
                    <w:t>9</w:t>
                  </w:r>
                </w:p>
              </w:tc>
              <w:tc>
                <w:tcPr>
                  <w:tcW w:w="554"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rPr>
                  </w:pPr>
                </w:p>
              </w:tc>
              <w:tc>
                <w:tcPr>
                  <w:tcW w:w="328"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202"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550"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lang w:val="en-US" w:eastAsia="zh-CN"/>
                    </w:rPr>
                  </w:pPr>
                </w:p>
              </w:tc>
              <w:tc>
                <w:tcPr>
                  <w:tcW w:w="1104"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706" w:type="pct"/>
                  <w:noWrap w:val="0"/>
                  <w:vAlign w:val="center"/>
                </w:tcPr>
                <w:p>
                  <w:pPr>
                    <w:adjustRightInd w:val="0"/>
                    <w:snapToGrid w:val="0"/>
                    <w:jc w:val="center"/>
                    <w:rPr>
                      <w:rFonts w:ascii="Times New Roman" w:hAnsi="Times New Roman" w:eastAsia="宋体" w:cs="Times New Roman"/>
                      <w:color w:val="auto"/>
                      <w:kern w:val="1"/>
                      <w:szCs w:val="21"/>
                      <w:highlight w:val="none"/>
                    </w:rPr>
                  </w:pPr>
                  <w:r>
                    <w:rPr>
                      <w:rFonts w:ascii="Times New Roman" w:hAnsi="Times New Roman" w:eastAsia="宋体" w:cs="Times New Roman"/>
                      <w:color w:val="auto"/>
                      <w:kern w:val="1"/>
                      <w:szCs w:val="21"/>
                      <w:highlight w:val="none"/>
                    </w:rPr>
                    <w:t>0</w:t>
                  </w:r>
                  <w:r>
                    <w:rPr>
                      <w:rFonts w:hint="eastAsia" w:cs="Times New Roman"/>
                      <w:color w:val="auto"/>
                      <w:kern w:val="1"/>
                      <w:szCs w:val="21"/>
                      <w:highlight w:val="none"/>
                      <w:lang w:val="en-US" w:eastAsia="zh-CN"/>
                    </w:rPr>
                    <w:t>8</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0-0</w:t>
                  </w:r>
                  <w:r>
                    <w:rPr>
                      <w:rFonts w:hint="eastAsia" w:cs="Times New Roman"/>
                      <w:color w:val="auto"/>
                      <w:kern w:val="1"/>
                      <w:szCs w:val="21"/>
                      <w:highlight w:val="none"/>
                      <w:lang w:val="en-US" w:eastAsia="zh-CN"/>
                    </w:rPr>
                    <w:t>9</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w:t>
                  </w:r>
                </w:p>
              </w:tc>
              <w:tc>
                <w:tcPr>
                  <w:tcW w:w="554" w:type="pct"/>
                  <w:noWrap w:val="0"/>
                  <w:vAlign w:val="center"/>
                </w:tcPr>
                <w:p>
                  <w:pPr>
                    <w:adjustRightInd w:val="0"/>
                    <w:snapToGrid w:val="0"/>
                    <w:jc w:val="center"/>
                    <w:rPr>
                      <w:rFonts w:hint="default" w:cs="Times New Roman"/>
                      <w:color w:val="auto"/>
                      <w:kern w:val="1"/>
                      <w:szCs w:val="21"/>
                      <w:highlight w:val="none"/>
                      <w:lang w:val="en-US" w:eastAsia="zh-CN"/>
                    </w:rPr>
                  </w:pPr>
                  <w:r>
                    <w:rPr>
                      <w:rFonts w:hint="eastAsia" w:cs="Times New Roman"/>
                      <w:color w:val="auto"/>
                      <w:kern w:val="1"/>
                      <w:szCs w:val="21"/>
                      <w:highlight w:val="none"/>
                      <w:lang w:val="en-US" w:eastAsia="zh-CN"/>
                    </w:rPr>
                    <w:t>12</w:t>
                  </w:r>
                </w:p>
              </w:tc>
              <w:tc>
                <w:tcPr>
                  <w:tcW w:w="554"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rPr>
                  </w:pPr>
                </w:p>
              </w:tc>
              <w:tc>
                <w:tcPr>
                  <w:tcW w:w="328"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202"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550"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lang w:val="en-US" w:eastAsia="zh-CN"/>
                    </w:rPr>
                  </w:pPr>
                </w:p>
              </w:tc>
              <w:tc>
                <w:tcPr>
                  <w:tcW w:w="1104"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706" w:type="pct"/>
                  <w:noWrap w:val="0"/>
                  <w:vAlign w:val="center"/>
                </w:tcPr>
                <w:p>
                  <w:pPr>
                    <w:adjustRightInd w:val="0"/>
                    <w:snapToGrid w:val="0"/>
                    <w:jc w:val="center"/>
                    <w:rPr>
                      <w:rFonts w:ascii="Times New Roman" w:hAnsi="Times New Roman" w:eastAsia="宋体" w:cs="Times New Roman"/>
                      <w:color w:val="auto"/>
                      <w:kern w:val="1"/>
                      <w:szCs w:val="21"/>
                      <w:highlight w:val="none"/>
                    </w:rPr>
                  </w:pPr>
                  <w:r>
                    <w:rPr>
                      <w:rFonts w:hint="eastAsia" w:cs="Times New Roman"/>
                      <w:color w:val="auto"/>
                      <w:kern w:val="1"/>
                      <w:szCs w:val="21"/>
                      <w:highlight w:val="none"/>
                      <w:lang w:val="en-US" w:eastAsia="zh-CN"/>
                    </w:rPr>
                    <w:t>14</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w:t>
                  </w:r>
                  <w:r>
                    <w:rPr>
                      <w:rFonts w:hint="eastAsia" w:cs="Times New Roman"/>
                      <w:color w:val="auto"/>
                      <w:kern w:val="1"/>
                      <w:szCs w:val="21"/>
                      <w:highlight w:val="none"/>
                      <w:lang w:val="en-US" w:eastAsia="zh-CN"/>
                    </w:rPr>
                    <w:t>15</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w:t>
                  </w:r>
                </w:p>
              </w:tc>
              <w:tc>
                <w:tcPr>
                  <w:tcW w:w="554" w:type="pct"/>
                  <w:noWrap w:val="0"/>
                  <w:vAlign w:val="center"/>
                </w:tcPr>
                <w:p>
                  <w:pPr>
                    <w:adjustRightInd w:val="0"/>
                    <w:snapToGrid w:val="0"/>
                    <w:jc w:val="center"/>
                    <w:rPr>
                      <w:rFonts w:hint="default" w:cs="Times New Roman"/>
                      <w:color w:val="auto"/>
                      <w:kern w:val="1"/>
                      <w:szCs w:val="21"/>
                      <w:highlight w:val="none"/>
                      <w:lang w:val="en-US" w:eastAsia="zh-CN"/>
                    </w:rPr>
                  </w:pPr>
                  <w:r>
                    <w:rPr>
                      <w:rFonts w:hint="eastAsia" w:cs="Times New Roman"/>
                      <w:color w:val="auto"/>
                      <w:kern w:val="1"/>
                      <w:szCs w:val="21"/>
                      <w:highlight w:val="none"/>
                      <w:lang w:val="en-US" w:eastAsia="zh-CN"/>
                    </w:rPr>
                    <w:t>9</w:t>
                  </w:r>
                </w:p>
              </w:tc>
              <w:tc>
                <w:tcPr>
                  <w:tcW w:w="554"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rPr>
                  </w:pPr>
                </w:p>
              </w:tc>
              <w:tc>
                <w:tcPr>
                  <w:tcW w:w="328"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202"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550"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lang w:val="en-US" w:eastAsia="zh-CN"/>
                    </w:rPr>
                  </w:pPr>
                </w:p>
              </w:tc>
              <w:tc>
                <w:tcPr>
                  <w:tcW w:w="1104"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c>
                <w:tcPr>
                  <w:tcW w:w="706" w:type="pct"/>
                  <w:noWrap w:val="0"/>
                  <w:vAlign w:val="center"/>
                </w:tcPr>
                <w:p>
                  <w:pPr>
                    <w:adjustRightInd w:val="0"/>
                    <w:snapToGrid w:val="0"/>
                    <w:jc w:val="center"/>
                    <w:rPr>
                      <w:rFonts w:ascii="Times New Roman" w:hAnsi="Times New Roman" w:eastAsia="宋体" w:cs="Times New Roman"/>
                      <w:color w:val="auto"/>
                      <w:kern w:val="1"/>
                      <w:szCs w:val="21"/>
                      <w:highlight w:val="none"/>
                    </w:rPr>
                  </w:pPr>
                  <w:r>
                    <w:rPr>
                      <w:rFonts w:hint="eastAsia" w:cs="Times New Roman"/>
                      <w:color w:val="auto"/>
                      <w:kern w:val="1"/>
                      <w:szCs w:val="21"/>
                      <w:highlight w:val="none"/>
                      <w:lang w:val="en-US" w:eastAsia="zh-CN"/>
                    </w:rPr>
                    <w:t>20</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w:t>
                  </w:r>
                  <w:r>
                    <w:rPr>
                      <w:rFonts w:hint="eastAsia" w:cs="Times New Roman"/>
                      <w:color w:val="auto"/>
                      <w:kern w:val="1"/>
                      <w:szCs w:val="21"/>
                      <w:highlight w:val="none"/>
                      <w:lang w:val="en-US" w:eastAsia="zh-CN"/>
                    </w:rPr>
                    <w:t>21</w:t>
                  </w:r>
                  <w:r>
                    <w:rPr>
                      <w:rFonts w:ascii="Times New Roman" w:hAnsi="Times New Roman" w:eastAsia="宋体" w:cs="Times New Roman"/>
                      <w:color w:val="auto"/>
                      <w:kern w:val="1"/>
                      <w:szCs w:val="21"/>
                      <w:highlight w:val="none"/>
                    </w:rPr>
                    <w:t>:</w:t>
                  </w:r>
                  <w:r>
                    <w:rPr>
                      <w:rFonts w:hint="eastAsia" w:cs="Times New Roman"/>
                      <w:color w:val="auto"/>
                      <w:kern w:val="1"/>
                      <w:szCs w:val="21"/>
                      <w:highlight w:val="none"/>
                      <w:lang w:val="en-US" w:eastAsia="zh-CN"/>
                    </w:rPr>
                    <w:t>0</w:t>
                  </w:r>
                  <w:r>
                    <w:rPr>
                      <w:rFonts w:ascii="Times New Roman" w:hAnsi="Times New Roman" w:eastAsia="宋体" w:cs="Times New Roman"/>
                      <w:color w:val="auto"/>
                      <w:kern w:val="1"/>
                      <w:szCs w:val="21"/>
                      <w:highlight w:val="none"/>
                    </w:rPr>
                    <w:t>0</w:t>
                  </w:r>
                </w:p>
              </w:tc>
              <w:tc>
                <w:tcPr>
                  <w:tcW w:w="554" w:type="pct"/>
                  <w:noWrap w:val="0"/>
                  <w:vAlign w:val="center"/>
                </w:tcPr>
                <w:p>
                  <w:pPr>
                    <w:adjustRightInd w:val="0"/>
                    <w:snapToGrid w:val="0"/>
                    <w:jc w:val="center"/>
                    <w:rPr>
                      <w:rFonts w:hint="default" w:cs="Times New Roman"/>
                      <w:color w:val="auto"/>
                      <w:kern w:val="1"/>
                      <w:szCs w:val="21"/>
                      <w:highlight w:val="none"/>
                      <w:lang w:val="en-US" w:eastAsia="zh-CN"/>
                    </w:rPr>
                  </w:pPr>
                  <w:r>
                    <w:rPr>
                      <w:rFonts w:hint="eastAsia" w:cs="Times New Roman"/>
                      <w:color w:val="auto"/>
                      <w:kern w:val="1"/>
                      <w:szCs w:val="21"/>
                      <w:highlight w:val="none"/>
                      <w:lang w:val="en-US" w:eastAsia="zh-CN"/>
                    </w:rPr>
                    <w:t>10</w:t>
                  </w:r>
                </w:p>
              </w:tc>
              <w:tc>
                <w:tcPr>
                  <w:tcW w:w="554" w:type="pct"/>
                  <w:vMerge w:val="continue"/>
                  <w:noWrap w:val="0"/>
                  <w:vAlign w:val="center"/>
                </w:tcPr>
                <w:p>
                  <w:pPr>
                    <w:adjustRightInd w:val="0"/>
                    <w:snapToGrid w:val="0"/>
                    <w:jc w:val="center"/>
                    <w:rPr>
                      <w:rFonts w:hint="eastAsia" w:ascii="Times New Roman" w:hAnsi="Times New Roman" w:eastAsia="宋体" w:cs="Times New Roman"/>
                      <w:color w:val="auto"/>
                      <w:kern w:val="1"/>
                      <w:szCs w:val="21"/>
                      <w:highlight w:val="none"/>
                    </w:rPr>
                  </w:pPr>
                </w:p>
              </w:tc>
              <w:tc>
                <w:tcPr>
                  <w:tcW w:w="328" w:type="pct"/>
                  <w:vMerge w:val="continue"/>
                  <w:noWrap w:val="0"/>
                  <w:vAlign w:val="center"/>
                </w:tcPr>
                <w:p>
                  <w:pPr>
                    <w:adjustRightInd w:val="0"/>
                    <w:snapToGrid w:val="0"/>
                    <w:jc w:val="center"/>
                    <w:rPr>
                      <w:rFonts w:ascii="Times New Roman" w:hAnsi="Times New Roman" w:eastAsia="宋体" w:cs="Times New Roman"/>
                      <w:color w:val="auto"/>
                      <w:kern w:val="1"/>
                      <w:szCs w:val="21"/>
                      <w:highlight w:val="none"/>
                    </w:rPr>
                  </w:pPr>
                </w:p>
              </w:tc>
            </w:tr>
          </w:tbl>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根据</w:t>
            </w:r>
            <w:r>
              <w:rPr>
                <w:rFonts w:hint="eastAsia" w:cs="Times New Roman"/>
                <w:color w:val="auto"/>
                <w:kern w:val="0"/>
                <w:sz w:val="24"/>
                <w:szCs w:val="24"/>
                <w:highlight w:val="none"/>
                <w:lang w:val="en-US" w:eastAsia="zh-CN"/>
              </w:rPr>
              <w:t>上表，引用的特征污染物</w:t>
            </w:r>
            <w:r>
              <w:rPr>
                <w:rFonts w:hint="default" w:ascii="Times New Roman" w:hAnsi="Times New Roman" w:eastAsia="宋体" w:cs="Times New Roman"/>
                <w:color w:val="auto"/>
                <w:kern w:val="0"/>
                <w:sz w:val="24"/>
                <w:szCs w:val="24"/>
                <w:highlight w:val="none"/>
                <w:lang w:val="en-US" w:eastAsia="zh-CN"/>
              </w:rPr>
              <w:t>现状监测结果，</w:t>
            </w:r>
            <w:r>
              <w:rPr>
                <w:rFonts w:hint="eastAsia" w:cs="Times New Roman"/>
                <w:color w:val="auto"/>
                <w:kern w:val="0"/>
                <w:sz w:val="24"/>
                <w:szCs w:val="24"/>
                <w:highlight w:val="none"/>
                <w:lang w:val="en-US" w:eastAsia="zh-CN"/>
              </w:rPr>
              <w:t>特征污染物</w:t>
            </w:r>
            <w:r>
              <w:rPr>
                <w:rFonts w:hint="default" w:ascii="Times New Roman" w:hAnsi="Times New Roman" w:eastAsia="宋体" w:cs="Times New Roman"/>
                <w:color w:val="auto"/>
                <w:kern w:val="0"/>
                <w:sz w:val="24"/>
                <w:szCs w:val="24"/>
                <w:highlight w:val="none"/>
                <w:lang w:val="en-US" w:eastAsia="zh-CN"/>
              </w:rPr>
              <w:t>TSP</w:t>
            </w:r>
            <w:r>
              <w:rPr>
                <w:rFonts w:hint="eastAsia" w:cs="Times New Roman"/>
                <w:color w:val="auto"/>
                <w:kern w:val="0"/>
                <w:sz w:val="24"/>
                <w:szCs w:val="24"/>
                <w:highlight w:val="none"/>
                <w:lang w:val="en-US" w:eastAsia="zh-CN"/>
              </w:rPr>
              <w:t>、NOx环境质量现状</w:t>
            </w:r>
            <w:r>
              <w:rPr>
                <w:rFonts w:hint="default" w:ascii="Times New Roman" w:hAnsi="Times New Roman" w:eastAsia="宋体" w:cs="Times New Roman"/>
                <w:color w:val="auto"/>
                <w:kern w:val="0"/>
                <w:sz w:val="24"/>
                <w:szCs w:val="24"/>
                <w:highlight w:val="none"/>
                <w:lang w:val="en-US" w:eastAsia="zh-CN"/>
              </w:rPr>
              <w:t>可满足《环境空气质量标准》（GB3095-2012）及修改单中二级标准。</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综上，</w:t>
            </w:r>
            <w:r>
              <w:rPr>
                <w:rFonts w:hint="eastAsia" w:cs="Times New Roman"/>
                <w:color w:val="auto"/>
                <w:kern w:val="0"/>
                <w:sz w:val="24"/>
                <w:szCs w:val="24"/>
                <w:highlight w:val="none"/>
                <w:lang w:val="en-US" w:eastAsia="zh-CN"/>
              </w:rPr>
              <w:t>本</w:t>
            </w:r>
            <w:r>
              <w:rPr>
                <w:rFonts w:hint="eastAsia" w:ascii="Times New Roman" w:hAnsi="Times New Roman" w:eastAsia="宋体" w:cs="Times New Roman"/>
                <w:color w:val="auto"/>
                <w:kern w:val="0"/>
                <w:sz w:val="24"/>
                <w:szCs w:val="24"/>
                <w:highlight w:val="none"/>
                <w:lang w:val="en-US" w:eastAsia="zh-CN"/>
              </w:rPr>
              <w:t>项目所在区域</w:t>
            </w:r>
            <w:r>
              <w:rPr>
                <w:rFonts w:hint="eastAsia" w:cs="Times New Roman"/>
                <w:color w:val="auto"/>
                <w:kern w:val="0"/>
                <w:sz w:val="24"/>
                <w:szCs w:val="24"/>
                <w:highlight w:val="none"/>
                <w:lang w:val="en-US" w:eastAsia="zh-CN"/>
              </w:rPr>
              <w:t>属于</w:t>
            </w:r>
            <w:r>
              <w:rPr>
                <w:rFonts w:hint="eastAsia" w:ascii="Times New Roman" w:hAnsi="Times New Roman" w:eastAsia="宋体" w:cs="Times New Roman"/>
                <w:color w:val="auto"/>
                <w:kern w:val="0"/>
                <w:sz w:val="24"/>
                <w:szCs w:val="24"/>
                <w:highlight w:val="none"/>
                <w:lang w:val="en-US" w:eastAsia="zh-CN"/>
              </w:rPr>
              <w:t>环境空气质量达标区。</w:t>
            </w:r>
          </w:p>
          <w:p>
            <w:pPr>
              <w:pStyle w:val="74"/>
              <w:pageBreakBefore w:val="0"/>
              <w:widowControl w:val="0"/>
              <w:numPr>
                <w:ilvl w:val="0"/>
                <w:numId w:val="0"/>
              </w:numPr>
              <w:kinsoku/>
              <w:wordWrap/>
              <w:overflowPunct/>
              <w:topLinePunct w:val="0"/>
              <w:autoSpaceDE/>
              <w:autoSpaceDN/>
              <w:bidi w:val="0"/>
              <w:adjustRightInd/>
              <w:snapToGrid/>
              <w:spacing w:before="0" w:beforeLines="0" w:after="0" w:afterLines="0"/>
              <w:ind w:leftChars="200"/>
              <w:textAlignment w:val="auto"/>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2、地表水环境质量现状</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项目区域的地表水体为南盘江，位于本项目东南侧，距离约1604m。根据《云南省水功能区划（2014年修订）》，涉及的地表水体南盘江河段为：南盘江沾益-宜良开发利用区，2030年的水质目标为Ⅲ类，主要功能是工业用水、农业用水、渔业用水。</w:t>
            </w:r>
            <w:r>
              <w:rPr>
                <w:rFonts w:hint="default" w:ascii="Times New Roman" w:hAnsi="Times New Roman" w:cs="Times New Roman"/>
                <w:color w:val="auto"/>
                <w:sz w:val="24"/>
                <w:szCs w:val="24"/>
                <w:highlight w:val="none"/>
                <w:lang w:val="en-US" w:eastAsia="zh-CN"/>
              </w:rPr>
              <w:t>按照《地表水环境质量标准》（GB3838-2002）III类水质标准进行保护。</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项目位于南盘江狗街国控监测断面上游，狗街断面水质能代表项目区地表水质量现状。根据昆明市生态环境局发布的《2022年度昆明市生态环境状况公报》：</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南盘江与2021年相比，狗街断面水质类别由Ⅴ类提升为Ⅳ类，水质现状不能满足《地表水环境质量标准》（GB3838-2002）III类标准要求。</w:t>
            </w:r>
          </w:p>
          <w:p>
            <w:pPr>
              <w:pStyle w:val="74"/>
              <w:pageBreakBefore w:val="0"/>
              <w:widowControl w:val="0"/>
              <w:numPr>
                <w:ilvl w:val="0"/>
                <w:numId w:val="0"/>
              </w:numPr>
              <w:kinsoku/>
              <w:wordWrap/>
              <w:overflowPunct/>
              <w:topLinePunct w:val="0"/>
              <w:autoSpaceDE/>
              <w:autoSpaceDN/>
              <w:bidi w:val="0"/>
              <w:adjustRightInd/>
              <w:snapToGrid/>
              <w:spacing w:before="0" w:beforeLines="0" w:after="0" w:afterLines="0"/>
              <w:ind w:leftChars="200"/>
              <w:textAlignment w:val="auto"/>
              <w:rPr>
                <w:rFonts w:hint="default" w:ascii="Times New Roman" w:hAnsi="Times New Roman" w:eastAsia="宋体" w:cs="Times New Roman"/>
                <w:b/>
                <w:bCs/>
                <w:color w:val="auto"/>
                <w:highlight w:val="none"/>
                <w:lang w:eastAsia="zh-CN"/>
              </w:rPr>
            </w:pPr>
            <w:r>
              <w:rPr>
                <w:rFonts w:hint="eastAsia" w:ascii="Times New Roman" w:hAnsi="Times New Roman" w:eastAsia="宋体" w:cs="Times New Roman"/>
                <w:b/>
                <w:bCs/>
                <w:color w:val="auto"/>
                <w:highlight w:val="none"/>
                <w:lang w:val="en-US" w:eastAsia="zh-CN"/>
              </w:rPr>
              <w:t>3</w:t>
            </w:r>
            <w:r>
              <w:rPr>
                <w:rFonts w:hint="default" w:ascii="Times New Roman" w:hAnsi="Times New Roman" w:eastAsia="宋体" w:cs="Times New Roman"/>
                <w:b/>
                <w:bCs/>
                <w:color w:val="auto"/>
                <w:highlight w:val="none"/>
                <w:lang w:val="en-US" w:eastAsia="zh-CN"/>
              </w:rPr>
              <w:t>、</w:t>
            </w:r>
            <w:r>
              <w:rPr>
                <w:rFonts w:hint="default" w:ascii="Times New Roman" w:hAnsi="Times New Roman" w:eastAsia="宋体" w:cs="Times New Roman"/>
                <w:b/>
                <w:bCs/>
                <w:color w:val="auto"/>
                <w:highlight w:val="none"/>
                <w:lang w:eastAsia="zh-CN"/>
              </w:rPr>
              <w:t>声环境质量现状</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本项目位于宜良工业园区北古城片区，属集中式工业园区，声环境功能为3类区，执行《声环境质量标准》</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GB3096-2008</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3类区标准。根据现场勘查，项目区厂界外50m范围内无声环境保护目标，故未进行现状监测。</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olor w:val="auto"/>
                <w:sz w:val="24"/>
                <w:szCs w:val="24"/>
                <w:highlight w:val="none"/>
                <w:lang w:eastAsia="zh-CN"/>
              </w:rPr>
            </w:pPr>
            <w:r>
              <w:rPr>
                <w:rFonts w:hint="eastAsia"/>
                <w:color w:val="auto"/>
                <w:sz w:val="24"/>
                <w:szCs w:val="24"/>
                <w:highlight w:val="none"/>
                <w:lang w:val="en-US" w:eastAsia="zh-CN"/>
              </w:rPr>
              <w:t>根据昆明市生态环境局发布的《2022年度昆明市生态环境状况公报》：“2022年，各县（市）区昼间区域声环境噪声平均等效声级分别为：东川区53.6分贝，安宁市48.7分贝，宜良县53.3分贝，石林县48.8分贝，禄劝县54.2分贝，嵩明县52.5分贝，富民县52.7分贝，晋宁区50.9分贝，寻甸县48.6分贝。根据区域环境噪声质量划分等级进行评价，总体水平在一级（好）和二级（较好）之间。与2021年相比，安宁市、宜良县、禄劝县、嵩明县、富民县、晋宁区的昼间区域声环境噪声等效声级下降。东川区、石林县、寻甸县的昼间区域声环境质量平均等效声级上升。”</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olor w:val="auto"/>
                <w:sz w:val="24"/>
                <w:szCs w:val="24"/>
                <w:highlight w:val="none"/>
                <w:lang w:eastAsia="zh-CN"/>
              </w:rPr>
            </w:pPr>
            <w:r>
              <w:rPr>
                <w:rFonts w:hint="eastAsia"/>
                <w:color w:val="auto"/>
                <w:sz w:val="24"/>
                <w:szCs w:val="24"/>
                <w:highlight w:val="none"/>
                <w:lang w:eastAsia="zh-CN"/>
              </w:rPr>
              <w:t>项目位于宜良工业园区北古城片区，昼间声环境质量可达《声环境质量标准》（GB3096-2008）3类区标准。</w:t>
            </w:r>
          </w:p>
          <w:p>
            <w:pPr>
              <w:pStyle w:val="74"/>
              <w:pageBreakBefore w:val="0"/>
              <w:widowControl w:val="0"/>
              <w:numPr>
                <w:ilvl w:val="0"/>
                <w:numId w:val="0"/>
              </w:numPr>
              <w:kinsoku/>
              <w:wordWrap/>
              <w:overflowPunct/>
              <w:topLinePunct w:val="0"/>
              <w:autoSpaceDE/>
              <w:autoSpaceDN/>
              <w:bidi w:val="0"/>
              <w:adjustRightInd/>
              <w:snapToGrid/>
              <w:spacing w:before="0" w:beforeLines="0" w:after="0" w:afterLines="0"/>
              <w:ind w:leftChars="200"/>
              <w:textAlignment w:val="auto"/>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4</w:t>
            </w:r>
            <w:r>
              <w:rPr>
                <w:rFonts w:hint="default" w:ascii="Times New Roman" w:hAnsi="Times New Roman" w:eastAsia="宋体" w:cs="Times New Roman"/>
                <w:b/>
                <w:bCs/>
                <w:color w:val="auto"/>
                <w:highlight w:val="none"/>
                <w:lang w:val="en-US" w:eastAsia="zh-CN"/>
              </w:rPr>
              <w:t>、生态环境质量现状</w:t>
            </w:r>
          </w:p>
          <w:p>
            <w:pPr>
              <w:keepNext w:val="0"/>
              <w:keepLines w:val="0"/>
              <w:pageBreakBefore w:val="0"/>
              <w:widowControl w:val="0"/>
              <w:numPr>
                <w:ilvl w:val="0"/>
                <w:numId w:val="0"/>
              </w:numPr>
              <w:kinsoku/>
              <w:wordWrap/>
              <w:overflowPunct/>
              <w:topLinePunct w:val="0"/>
              <w:bidi w:val="0"/>
              <w:adjustRightInd/>
              <w:snapToGrid/>
              <w:spacing w:line="360" w:lineRule="auto"/>
              <w:ind w:firstLine="456" w:firstLineChars="200"/>
              <w:textAlignment w:val="auto"/>
              <w:rPr>
                <w:rFonts w:hint="eastAsia" w:cs="Times New Roman"/>
                <w:bCs/>
                <w:color w:val="auto"/>
                <w:spacing w:val="-6"/>
                <w:sz w:val="24"/>
                <w:szCs w:val="24"/>
                <w:highlight w:val="none"/>
                <w:lang w:val="en-US" w:eastAsia="zh-CN"/>
              </w:rPr>
            </w:pPr>
            <w:r>
              <w:rPr>
                <w:rFonts w:hint="eastAsia" w:cs="Times New Roman"/>
                <w:bCs/>
                <w:color w:val="auto"/>
                <w:spacing w:val="-6"/>
                <w:sz w:val="24"/>
                <w:szCs w:val="24"/>
                <w:highlight w:val="none"/>
                <w:lang w:val="en-US" w:eastAsia="zh-CN"/>
              </w:rPr>
              <w:t>本项目不涉及新增用地，且用地范围内不含生态环境保护目标，不需要进行生态现状调查与评价。</w:t>
            </w:r>
          </w:p>
          <w:p>
            <w:pPr>
              <w:pStyle w:val="74"/>
              <w:pageBreakBefore w:val="0"/>
              <w:widowControl w:val="0"/>
              <w:numPr>
                <w:ilvl w:val="0"/>
                <w:numId w:val="0"/>
              </w:numPr>
              <w:kinsoku/>
              <w:wordWrap/>
              <w:overflowPunct/>
              <w:topLinePunct w:val="0"/>
              <w:autoSpaceDE/>
              <w:autoSpaceDN/>
              <w:bidi w:val="0"/>
              <w:adjustRightInd/>
              <w:snapToGrid/>
              <w:spacing w:before="0" w:beforeLines="0" w:after="0" w:afterLines="0"/>
              <w:ind w:leftChars="200"/>
              <w:textAlignment w:val="auto"/>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5、地下水、土壤环境质量现状</w:t>
            </w:r>
          </w:p>
          <w:p>
            <w:pPr>
              <w:keepNext w:val="0"/>
              <w:keepLines w:val="0"/>
              <w:pageBreakBefore w:val="0"/>
              <w:widowControl w:val="0"/>
              <w:numPr>
                <w:ilvl w:val="0"/>
                <w:numId w:val="0"/>
              </w:numPr>
              <w:kinsoku/>
              <w:wordWrap/>
              <w:overflowPunct/>
              <w:topLinePunct w:val="0"/>
              <w:bidi w:val="0"/>
              <w:adjustRightInd/>
              <w:snapToGrid/>
              <w:spacing w:line="360" w:lineRule="auto"/>
              <w:ind w:firstLine="456" w:firstLineChars="200"/>
              <w:textAlignment w:val="auto"/>
              <w:rPr>
                <w:rFonts w:hint="eastAsia" w:ascii="Times New Roman" w:hAnsi="Times New Roman" w:eastAsia="宋体" w:cs="Times New Roman"/>
                <w:bCs/>
                <w:color w:val="auto"/>
                <w:spacing w:val="-6"/>
                <w:sz w:val="24"/>
                <w:szCs w:val="24"/>
                <w:highlight w:val="none"/>
                <w:lang w:val="en-US" w:eastAsia="zh-CN"/>
              </w:rPr>
            </w:pPr>
            <w:r>
              <w:rPr>
                <w:rFonts w:hint="eastAsia" w:ascii="Times New Roman" w:hAnsi="Times New Roman" w:eastAsia="宋体" w:cs="Times New Roman"/>
                <w:bCs/>
                <w:color w:val="auto"/>
                <w:spacing w:val="-6"/>
                <w:sz w:val="24"/>
                <w:szCs w:val="24"/>
                <w:highlight w:val="none"/>
                <w:lang w:val="en-US" w:eastAsia="zh-CN"/>
              </w:rPr>
              <w:t>根据《建设项目环境影响报告表编制技术指南》（污染影响类）（试行）中区域环境质量现状中相关要求：地下水、土壤环境原则上不开展环境质量现状调查。建设项目存在土壤、地下水污染途径的，应结合污染源、保护目标分布情况开展现状调查以留作背景值。本项目不存在地下水、土壤环境污染途径，不开展土壤、地下水环境质量现状调查。</w:t>
            </w:r>
          </w:p>
          <w:p>
            <w:pPr>
              <w:pStyle w:val="74"/>
              <w:pageBreakBefore w:val="0"/>
              <w:widowControl w:val="0"/>
              <w:numPr>
                <w:ilvl w:val="0"/>
                <w:numId w:val="0"/>
              </w:numPr>
              <w:kinsoku/>
              <w:wordWrap/>
              <w:overflowPunct/>
              <w:topLinePunct w:val="0"/>
              <w:autoSpaceDE/>
              <w:autoSpaceDN/>
              <w:bidi w:val="0"/>
              <w:adjustRightInd/>
              <w:snapToGrid/>
              <w:spacing w:before="0" w:beforeLines="0" w:after="0" w:afterLines="0"/>
              <w:ind w:leftChars="200"/>
              <w:textAlignment w:val="auto"/>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6、</w:t>
            </w:r>
            <w:r>
              <w:rPr>
                <w:rFonts w:hint="default" w:ascii="Times New Roman" w:hAnsi="Times New Roman" w:eastAsia="宋体" w:cs="Times New Roman"/>
                <w:b/>
                <w:bCs/>
                <w:color w:val="auto"/>
                <w:highlight w:val="none"/>
                <w:lang w:val="en-US" w:eastAsia="zh-CN"/>
              </w:rPr>
              <w:t>电磁辐射</w:t>
            </w:r>
          </w:p>
          <w:p>
            <w:pPr>
              <w:keepNext w:val="0"/>
              <w:keepLines w:val="0"/>
              <w:pageBreakBefore w:val="0"/>
              <w:widowControl w:val="0"/>
              <w:numPr>
                <w:ilvl w:val="0"/>
                <w:numId w:val="0"/>
              </w:numPr>
              <w:kinsoku/>
              <w:wordWrap/>
              <w:overflowPunct/>
              <w:topLinePunct w:val="0"/>
              <w:bidi w:val="0"/>
              <w:adjustRightInd/>
              <w:snapToGrid/>
              <w:spacing w:line="360" w:lineRule="auto"/>
              <w:ind w:firstLine="456"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bCs/>
                <w:color w:val="auto"/>
                <w:spacing w:val="-6"/>
                <w:sz w:val="24"/>
                <w:szCs w:val="24"/>
                <w:highlight w:val="none"/>
                <w:lang w:val="en-US" w:eastAsia="zh-CN"/>
              </w:rPr>
              <w:t>本项目不涉及电磁辐射。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457" w:type="dxa"/>
            <w:noWrap w:val="0"/>
            <w:vAlign w:val="center"/>
          </w:tcPr>
          <w:p>
            <w:pPr>
              <w:adjustRightInd w:val="0"/>
              <w:snapToGrid w:val="0"/>
              <w:jc w:val="center"/>
              <w:rPr>
                <w:rFonts w:hint="default" w:ascii="Times New Roman" w:hAnsi="Times New Roman" w:cs="Times New Roman"/>
                <w:b/>
                <w:bCs/>
                <w:color w:val="auto"/>
                <w:kern w:val="0"/>
                <w:sz w:val="24"/>
                <w:szCs w:val="24"/>
                <w:highlight w:val="none"/>
              </w:rPr>
            </w:pPr>
            <w:r>
              <w:rPr>
                <w:rFonts w:hint="default" w:ascii="Times New Roman" w:hAnsi="Times New Roman" w:cs="Times New Roman"/>
                <w:b/>
                <w:bCs/>
                <w:color w:val="auto"/>
                <w:kern w:val="0"/>
                <w:sz w:val="24"/>
                <w:szCs w:val="24"/>
                <w:highlight w:val="none"/>
              </w:rPr>
              <w:t>环境保护目标</w:t>
            </w:r>
          </w:p>
        </w:tc>
        <w:tc>
          <w:tcPr>
            <w:tcW w:w="900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1、大气环境保护目标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根据现场踏勘，项目各供热点厂界外500m范围无大气环境保护目标。</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2、声环境保护目标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根据现场调查，项目厂界外周边50m范围内无声环境保护目标。</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3、地表水环境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项目区域的地表水体为南盘江，位于本项目东南侧，距离约为1604m，执行《地表水环境质量标准》（GB3838-2002）</w:t>
            </w:r>
            <w:r>
              <w:rPr>
                <w:rFonts w:hint="default" w:ascii="Times New Roman" w:hAnsi="Times New Roman" w:cs="Times New Roman"/>
                <w:color w:val="auto"/>
                <w:sz w:val="24"/>
                <w:szCs w:val="24"/>
                <w:highlight w:val="none"/>
                <w:lang w:val="en-US" w:eastAsia="zh-CN"/>
              </w:rPr>
              <w:t>Ⅲ类标准。</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4、地下水环境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项目各供热点厂界外500m范围内无集中式饮用水源和热水、矿泉水、温泉等特殊地下水资源。</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5、生态环境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项目建设不新增用地，项目周边200m范围内无生态环境保护目标。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457" w:type="dxa"/>
            <w:noWrap w:val="0"/>
            <w:tcMar>
              <w:left w:w="28" w:type="dxa"/>
              <w:right w:w="28" w:type="dxa"/>
            </w:tcMar>
            <w:vAlign w:val="center"/>
          </w:tcPr>
          <w:p>
            <w:pPr>
              <w:adjustRightInd w:val="0"/>
              <w:snapToGrid w:val="0"/>
              <w:jc w:val="center"/>
              <w:rPr>
                <w:rFonts w:hint="default" w:ascii="Times New Roman" w:hAnsi="Times New Roman" w:cs="Times New Roman"/>
                <w:b/>
                <w:bCs/>
                <w:color w:val="auto"/>
                <w:kern w:val="0"/>
                <w:sz w:val="24"/>
                <w:szCs w:val="24"/>
                <w:highlight w:val="none"/>
              </w:rPr>
            </w:pPr>
            <w:r>
              <w:rPr>
                <w:rFonts w:hint="default" w:ascii="Times New Roman" w:hAnsi="Times New Roman" w:cs="Times New Roman"/>
                <w:b/>
                <w:bCs/>
                <w:color w:val="auto"/>
                <w:kern w:val="0"/>
                <w:sz w:val="24"/>
                <w:szCs w:val="24"/>
                <w:highlight w:val="none"/>
              </w:rPr>
              <w:t>污染物排放控制标准</w:t>
            </w:r>
          </w:p>
        </w:tc>
        <w:tc>
          <w:tcPr>
            <w:tcW w:w="9001" w:type="dxa"/>
            <w:noWrap w:val="0"/>
            <w:vAlign w:val="center"/>
          </w:tcPr>
          <w:p>
            <w:pPr>
              <w:pStyle w:val="74"/>
              <w:pageBreakBefore w:val="0"/>
              <w:widowControl w:val="0"/>
              <w:numPr>
                <w:ilvl w:val="0"/>
                <w:numId w:val="0"/>
              </w:numPr>
              <w:kinsoku/>
              <w:wordWrap/>
              <w:overflowPunct/>
              <w:topLinePunct w:val="0"/>
              <w:autoSpaceDE/>
              <w:autoSpaceDN/>
              <w:bidi w:val="0"/>
              <w:adjustRightInd/>
              <w:snapToGrid/>
              <w:spacing w:before="0" w:beforeLines="0" w:after="0" w:afterLines="0"/>
              <w:ind w:leftChars="200"/>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1、</w:t>
            </w:r>
            <w:r>
              <w:rPr>
                <w:rFonts w:hint="eastAsia" w:ascii="Times New Roman" w:hAnsi="Times New Roman" w:eastAsia="宋体" w:cs="Times New Roman"/>
                <w:b/>
                <w:bCs/>
                <w:color w:val="auto"/>
                <w:highlight w:val="none"/>
                <w:lang w:val="en-US" w:eastAsia="zh-CN"/>
              </w:rPr>
              <w:t>废气排放标准</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本项目施工期主要以锅炉设备及配套除尘设施安装为主，不涉及土建工程。施工期产生的污染物主要是运输车辆尾气、施工器械燃油废气。项目产生的废气污染主要在运营期。</w:t>
            </w:r>
          </w:p>
          <w:p>
            <w:pPr>
              <w:keepNext w:val="0"/>
              <w:keepLines w:val="0"/>
              <w:pageBreakBefore w:val="0"/>
              <w:widowControl w:val="0"/>
              <w:kinsoku/>
              <w:wordWrap/>
              <w:overflowPunct/>
              <w:topLinePunct w:val="0"/>
              <w:autoSpaceDE/>
              <w:autoSpaceDN/>
              <w:bidi w:val="0"/>
              <w:adjustRightInd w:val="0"/>
              <w:snapToGrid/>
              <w:spacing w:line="360" w:lineRule="auto"/>
              <w:ind w:firstLine="481"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1</w:t>
            </w:r>
            <w:r>
              <w:rPr>
                <w:rFonts w:hint="eastAsia" w:ascii="Times New Roman" w:hAnsi="Times New Roman" w:eastAsia="宋体"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锅炉烟气排放标准</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根据《锅炉大气污染物排放标准》（GB13271-2014）要求，生物质成型燃料等的锅炉，参照标准中燃煤锅炉排放控制要求执行，锅炉废气</w:t>
            </w:r>
            <w:r>
              <w:rPr>
                <w:rFonts w:hint="eastAsia" w:cs="Times New Roman"/>
                <w:color w:val="auto"/>
                <w:sz w:val="24"/>
                <w:szCs w:val="24"/>
                <w:highlight w:val="none"/>
                <w:lang w:val="en-US" w:eastAsia="zh-CN"/>
              </w:rPr>
              <w:t>污染物</w:t>
            </w:r>
            <w:r>
              <w:rPr>
                <w:rFonts w:hint="eastAsia" w:ascii="Times New Roman" w:hAnsi="Times New Roman" w:eastAsia="宋体" w:cs="Times New Roman"/>
                <w:color w:val="auto"/>
                <w:sz w:val="24"/>
                <w:szCs w:val="24"/>
                <w:highlight w:val="none"/>
                <w:lang w:val="en-US" w:eastAsia="zh-CN"/>
              </w:rPr>
              <w:t>排放执行《锅炉大气污染物排放标准》（GB13271-2014）表2新建锅炉大气污染物排放浓度限值，标准值见下表。</w:t>
            </w:r>
          </w:p>
          <w:p>
            <w:pPr>
              <w:pStyle w:val="4"/>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表3-</w:t>
            </w:r>
            <w:r>
              <w:rPr>
                <w:rFonts w:hint="eastAsia" w:cs="Times New Roman"/>
                <w:b/>
                <w:bCs/>
                <w:color w:val="auto"/>
                <w:sz w:val="21"/>
                <w:szCs w:val="21"/>
                <w:highlight w:val="none"/>
                <w:lang w:val="en-US" w:eastAsia="zh-CN"/>
              </w:rPr>
              <w:t>2</w:t>
            </w:r>
            <w:r>
              <w:rPr>
                <w:rFonts w:hint="eastAsia" w:ascii="Times New Roman" w:hAnsi="Times New Roman" w:eastAsia="宋体" w:cs="Times New Roman"/>
                <w:b/>
                <w:bCs/>
                <w:color w:val="auto"/>
                <w:sz w:val="21"/>
                <w:szCs w:val="21"/>
                <w:highlight w:val="none"/>
                <w:lang w:val="en-US" w:eastAsia="zh-CN"/>
              </w:rPr>
              <w:t>新建锅炉大气污染物排放浓度限值单位</w:t>
            </w:r>
          </w:p>
          <w:tbl>
            <w:tblPr>
              <w:tblStyle w:val="30"/>
              <w:tblW w:w="875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129"/>
              <w:gridCol w:w="2052"/>
              <w:gridCol w:w="962"/>
              <w:gridCol w:w="824"/>
              <w:gridCol w:w="17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29" w:type="dxa"/>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污染物项目</w:t>
                  </w:r>
                </w:p>
              </w:tc>
              <w:tc>
                <w:tcPr>
                  <w:tcW w:w="3014" w:type="dxa"/>
                  <w:gridSpan w:val="2"/>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燃煤锅炉限值（mg/</w:t>
                  </w:r>
                  <w:r>
                    <w:rPr>
                      <w:rFonts w:hint="eastAsia" w:cs="Times New Roman"/>
                      <w:bCs/>
                      <w:color w:val="auto"/>
                      <w:sz w:val="21"/>
                      <w:szCs w:val="21"/>
                      <w:highlight w:val="none"/>
                      <w:lang w:val="en-US" w:eastAsia="zh-CN"/>
                    </w:rPr>
                    <w:t>m</w:t>
                  </w:r>
                  <w:r>
                    <w:rPr>
                      <w:rFonts w:hint="default" w:ascii="Times New Roman" w:hAnsi="Times New Roman" w:cs="Times New Roman"/>
                      <w:bCs/>
                      <w:color w:val="auto"/>
                      <w:sz w:val="21"/>
                      <w:szCs w:val="21"/>
                      <w:highlight w:val="none"/>
                      <w:lang w:val="en-US" w:eastAsia="zh-CN"/>
                    </w:rPr>
                    <w:t>³</w:t>
                  </w:r>
                  <w:r>
                    <w:rPr>
                      <w:rFonts w:hint="eastAsia" w:ascii="Times New Roman" w:hAnsi="Times New Roman" w:cs="Times New Roman"/>
                      <w:bCs/>
                      <w:color w:val="auto"/>
                      <w:sz w:val="21"/>
                      <w:szCs w:val="21"/>
                      <w:highlight w:val="none"/>
                      <w:lang w:val="en-US" w:eastAsia="zh-CN"/>
                    </w:rPr>
                    <w:t>）</w:t>
                  </w:r>
                </w:p>
              </w:tc>
              <w:tc>
                <w:tcPr>
                  <w:tcW w:w="2611" w:type="dxa"/>
                  <w:gridSpan w:val="2"/>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污染物排放监控位置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29" w:type="dxa"/>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颗粒物</w:t>
                  </w:r>
                </w:p>
              </w:tc>
              <w:tc>
                <w:tcPr>
                  <w:tcW w:w="3014" w:type="dxa"/>
                  <w:gridSpan w:val="2"/>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50</w:t>
                  </w:r>
                </w:p>
              </w:tc>
              <w:tc>
                <w:tcPr>
                  <w:tcW w:w="2611" w:type="dxa"/>
                  <w:gridSpan w:val="2"/>
                  <w:vMerge w:val="restart"/>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烟囱或烟道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29" w:type="dxa"/>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二氧化硫</w:t>
                  </w:r>
                </w:p>
              </w:tc>
              <w:tc>
                <w:tcPr>
                  <w:tcW w:w="3014" w:type="dxa"/>
                  <w:gridSpan w:val="2"/>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300</w:t>
                  </w:r>
                </w:p>
              </w:tc>
              <w:tc>
                <w:tcPr>
                  <w:tcW w:w="2611" w:type="dxa"/>
                  <w:gridSpan w:val="2"/>
                  <w:vMerge w:val="continue"/>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3129" w:type="dxa"/>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氮氧化物</w:t>
                  </w:r>
                </w:p>
              </w:tc>
              <w:tc>
                <w:tcPr>
                  <w:tcW w:w="3014" w:type="dxa"/>
                  <w:gridSpan w:val="2"/>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300</w:t>
                  </w:r>
                </w:p>
              </w:tc>
              <w:tc>
                <w:tcPr>
                  <w:tcW w:w="2611" w:type="dxa"/>
                  <w:gridSpan w:val="2"/>
                  <w:vMerge w:val="continue"/>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29" w:type="dxa"/>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烟气黑度（林格曼黑度，级）</w:t>
                  </w:r>
                </w:p>
              </w:tc>
              <w:tc>
                <w:tcPr>
                  <w:tcW w:w="3014" w:type="dxa"/>
                  <w:gridSpan w:val="2"/>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w:t>
                  </w:r>
                </w:p>
              </w:tc>
              <w:tc>
                <w:tcPr>
                  <w:tcW w:w="2611" w:type="dxa"/>
                  <w:gridSpan w:val="2"/>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烟囱排放口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29" w:type="dxa"/>
                  <w:vMerge w:val="restart"/>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烟囱高度</w:t>
                  </w:r>
                </w:p>
              </w:tc>
              <w:tc>
                <w:tcPr>
                  <w:tcW w:w="2052" w:type="dxa"/>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海大供热点排气筒DA001</w:t>
                  </w:r>
                </w:p>
              </w:tc>
              <w:tc>
                <w:tcPr>
                  <w:tcW w:w="1786" w:type="dxa"/>
                  <w:gridSpan w:val="2"/>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特驱供热点排气筒DA002</w:t>
                  </w:r>
                </w:p>
              </w:tc>
              <w:tc>
                <w:tcPr>
                  <w:tcW w:w="1787" w:type="dxa"/>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漓源供热点排气筒DA003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29" w:type="dxa"/>
                  <w:vMerge w:val="continue"/>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cs="Times New Roman"/>
                      <w:bCs/>
                      <w:color w:val="auto"/>
                      <w:sz w:val="21"/>
                      <w:szCs w:val="21"/>
                      <w:highlight w:val="none"/>
                      <w:lang w:val="en-US" w:eastAsia="zh-CN"/>
                    </w:rPr>
                  </w:pPr>
                </w:p>
              </w:tc>
              <w:tc>
                <w:tcPr>
                  <w:tcW w:w="2052" w:type="dxa"/>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45m</w:t>
                  </w:r>
                </w:p>
              </w:tc>
              <w:tc>
                <w:tcPr>
                  <w:tcW w:w="1786" w:type="dxa"/>
                  <w:gridSpan w:val="2"/>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45m</w:t>
                  </w:r>
                </w:p>
              </w:tc>
              <w:tc>
                <w:tcPr>
                  <w:tcW w:w="1787" w:type="dxa"/>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35m</w:t>
                  </w:r>
                </w:p>
              </w:tc>
            </w:tr>
          </w:tbl>
          <w:p>
            <w:pPr>
              <w:keepNext w:val="0"/>
              <w:keepLines w:val="0"/>
              <w:pageBreakBefore w:val="0"/>
              <w:widowControl w:val="0"/>
              <w:kinsoku/>
              <w:wordWrap/>
              <w:overflowPunct/>
              <w:topLinePunct w:val="0"/>
              <w:autoSpaceDE/>
              <w:autoSpaceDN/>
              <w:bidi w:val="0"/>
              <w:adjustRightInd w:val="0"/>
              <w:snapToGrid/>
              <w:spacing w:line="360" w:lineRule="auto"/>
              <w:ind w:firstLine="481"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2</w:t>
            </w:r>
            <w:r>
              <w:rPr>
                <w:rFonts w:hint="eastAsia" w:ascii="Times New Roman" w:hAnsi="Times New Roman" w:eastAsia="宋体" w:cs="Times New Roman"/>
                <w:b/>
                <w:bCs/>
                <w:color w:val="auto"/>
                <w:sz w:val="24"/>
                <w:szCs w:val="24"/>
                <w:highlight w:val="none"/>
                <w:lang w:val="en-US" w:eastAsia="zh-CN"/>
              </w:rPr>
              <w:t>）厂界无组织粉尘</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本项目运营期无组织粉尘主要是生物质</w:t>
            </w:r>
            <w:r>
              <w:rPr>
                <w:rFonts w:hint="eastAsia" w:cs="Times New Roman"/>
                <w:color w:val="auto"/>
                <w:sz w:val="24"/>
                <w:szCs w:val="24"/>
                <w:highlight w:val="none"/>
                <w:lang w:val="en-US" w:eastAsia="zh-CN"/>
              </w:rPr>
              <w:t>燃料</w:t>
            </w:r>
            <w:r>
              <w:rPr>
                <w:rFonts w:hint="default" w:ascii="Times New Roman" w:hAnsi="Times New Roman" w:cs="Times New Roman"/>
                <w:color w:val="auto"/>
                <w:sz w:val="24"/>
                <w:szCs w:val="24"/>
                <w:highlight w:val="none"/>
                <w:lang w:val="en-US" w:eastAsia="zh-CN"/>
              </w:rPr>
              <w:t>装卸</w:t>
            </w:r>
            <w:r>
              <w:rPr>
                <w:rFonts w:hint="eastAsia" w:cs="Times New Roman"/>
                <w:color w:val="auto"/>
                <w:sz w:val="24"/>
                <w:szCs w:val="24"/>
                <w:highlight w:val="none"/>
                <w:lang w:val="en-US" w:eastAsia="zh-CN"/>
              </w:rPr>
              <w:t>储存</w:t>
            </w:r>
            <w:r>
              <w:rPr>
                <w:rFonts w:hint="default" w:ascii="Times New Roman" w:hAnsi="Times New Roman" w:cs="Times New Roman"/>
                <w:color w:val="auto"/>
                <w:sz w:val="24"/>
                <w:szCs w:val="24"/>
                <w:highlight w:val="none"/>
                <w:lang w:val="en-US" w:eastAsia="zh-CN"/>
              </w:rPr>
              <w:t>、灰渣装卸</w:t>
            </w:r>
            <w:r>
              <w:rPr>
                <w:rFonts w:hint="eastAsia" w:cs="Times New Roman"/>
                <w:color w:val="auto"/>
                <w:sz w:val="24"/>
                <w:szCs w:val="24"/>
                <w:highlight w:val="none"/>
                <w:lang w:val="en-US" w:eastAsia="zh-CN"/>
              </w:rPr>
              <w:t>储存</w:t>
            </w:r>
            <w:r>
              <w:rPr>
                <w:rFonts w:hint="default" w:ascii="Times New Roman" w:hAnsi="Times New Roman" w:cs="Times New Roman"/>
                <w:color w:val="auto"/>
                <w:sz w:val="24"/>
                <w:szCs w:val="24"/>
                <w:highlight w:val="none"/>
                <w:lang w:val="en-US" w:eastAsia="zh-CN"/>
              </w:rPr>
              <w:t>过程中产生的少量颗粒物。运营期项目无组织颗粒物排放执行《大气污染物综合排放标准》（GB16297-1996）表2无组织排放监控浓度限值，周界外浓度最高点1.0mg/m³。</w:t>
            </w:r>
          </w:p>
          <w:p>
            <w:pPr>
              <w:pStyle w:val="74"/>
              <w:pageBreakBefore w:val="0"/>
              <w:widowControl w:val="0"/>
              <w:numPr>
                <w:ilvl w:val="0"/>
                <w:numId w:val="0"/>
              </w:numPr>
              <w:kinsoku/>
              <w:wordWrap/>
              <w:overflowPunct/>
              <w:topLinePunct w:val="0"/>
              <w:autoSpaceDE/>
              <w:autoSpaceDN/>
              <w:bidi w:val="0"/>
              <w:adjustRightInd/>
              <w:snapToGrid/>
              <w:spacing w:before="0" w:beforeLines="0" w:after="0" w:afterLines="0"/>
              <w:ind w:leftChars="200"/>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2、</w:t>
            </w:r>
            <w:r>
              <w:rPr>
                <w:rFonts w:hint="eastAsia" w:ascii="Times New Roman" w:hAnsi="Times New Roman" w:eastAsia="宋体" w:cs="Times New Roman"/>
                <w:b/>
                <w:bCs/>
                <w:color w:val="auto"/>
                <w:highlight w:val="none"/>
                <w:lang w:val="en-US" w:eastAsia="zh-CN"/>
              </w:rPr>
              <w:t>废水排放标准</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本项目施工期主要以锅炉设备及配套除尘设施安装为主，不涉及土建工程。施工期产生的</w:t>
            </w:r>
            <w:r>
              <w:rPr>
                <w:rFonts w:hint="eastAsia" w:cs="Times New Roman"/>
                <w:color w:val="auto"/>
                <w:sz w:val="24"/>
                <w:szCs w:val="24"/>
                <w:highlight w:val="none"/>
                <w:lang w:val="en-US" w:eastAsia="zh-CN"/>
              </w:rPr>
              <w:t>废水</w:t>
            </w:r>
            <w:r>
              <w:rPr>
                <w:rFonts w:hint="eastAsia" w:ascii="Times New Roman" w:hAnsi="Times New Roman" w:eastAsia="宋体" w:cs="Times New Roman"/>
                <w:color w:val="auto"/>
                <w:sz w:val="24"/>
                <w:szCs w:val="24"/>
                <w:highlight w:val="none"/>
                <w:lang w:val="en-US" w:eastAsia="zh-CN"/>
              </w:rPr>
              <w:t>主要是</w:t>
            </w:r>
            <w:r>
              <w:rPr>
                <w:rFonts w:hint="default" w:ascii="Times New Roman" w:hAnsi="Times New Roman" w:eastAsia="宋体" w:cs="Times New Roman"/>
                <w:color w:val="auto"/>
                <w:sz w:val="24"/>
                <w:szCs w:val="24"/>
                <w:highlight w:val="none"/>
                <w:lang w:val="en-US" w:eastAsia="zh-CN"/>
              </w:rPr>
              <w:t>施工人员</w:t>
            </w:r>
            <w:r>
              <w:rPr>
                <w:rFonts w:hint="eastAsia" w:cs="Times New Roman"/>
                <w:color w:val="auto"/>
                <w:sz w:val="24"/>
                <w:szCs w:val="24"/>
                <w:highlight w:val="none"/>
                <w:lang w:val="en-US" w:eastAsia="zh-CN"/>
              </w:rPr>
              <w:t>洗手、冲厕废水，施工人员如厕利用服务企业现有卫生间，本项目不设施工期废水排放标准。</w:t>
            </w:r>
            <w:r>
              <w:rPr>
                <w:rFonts w:hint="eastAsia" w:ascii="Times New Roman" w:hAnsi="Times New Roman" w:eastAsia="宋体" w:cs="Times New Roman"/>
                <w:color w:val="auto"/>
                <w:sz w:val="24"/>
                <w:szCs w:val="24"/>
                <w:highlight w:val="none"/>
                <w:lang w:val="en-US" w:eastAsia="zh-CN"/>
              </w:rPr>
              <w:t>项目主要在运营期产生</w:t>
            </w:r>
            <w:r>
              <w:rPr>
                <w:rFonts w:hint="eastAsia" w:cs="Times New Roman"/>
                <w:color w:val="auto"/>
                <w:sz w:val="24"/>
                <w:szCs w:val="24"/>
                <w:highlight w:val="none"/>
                <w:lang w:val="en-US" w:eastAsia="zh-CN"/>
              </w:rPr>
              <w:t>废水</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57" w:firstLineChars="200"/>
              <w:textAlignment w:val="auto"/>
              <w:rPr>
                <w:rFonts w:hint="eastAsia" w:cs="Times New Roman"/>
                <w:b/>
                <w:bCs w:val="0"/>
                <w:color w:val="auto"/>
                <w:spacing w:val="-6"/>
                <w:sz w:val="24"/>
                <w:szCs w:val="24"/>
                <w:highlight w:val="none"/>
                <w:lang w:val="en-US" w:eastAsia="zh-CN"/>
              </w:rPr>
            </w:pPr>
            <w:r>
              <w:rPr>
                <w:rFonts w:hint="eastAsia" w:cs="Times New Roman"/>
                <w:b/>
                <w:bCs w:val="0"/>
                <w:color w:val="auto"/>
                <w:spacing w:val="-6"/>
                <w:sz w:val="24"/>
                <w:szCs w:val="24"/>
                <w:highlight w:val="none"/>
                <w:lang w:val="en-US" w:eastAsia="zh-CN"/>
              </w:rPr>
              <w:t>（1）生产废水</w:t>
            </w:r>
          </w:p>
          <w:p>
            <w:pPr>
              <w:keepNext w:val="0"/>
              <w:keepLines w:val="0"/>
              <w:pageBreakBefore w:val="0"/>
              <w:widowControl w:val="0"/>
              <w:kinsoku/>
              <w:wordWrap/>
              <w:overflowPunct/>
              <w:topLinePunct w:val="0"/>
              <w:autoSpaceDE/>
              <w:autoSpaceDN/>
              <w:bidi w:val="0"/>
              <w:adjustRightInd w:val="0"/>
              <w:snapToGrid w:val="0"/>
              <w:spacing w:line="360" w:lineRule="auto"/>
              <w:ind w:firstLine="456" w:firstLineChars="200"/>
              <w:textAlignment w:val="auto"/>
              <w:rPr>
                <w:rFonts w:hint="eastAsia" w:ascii="Times New Roman" w:hAnsi="Times New Roman" w:eastAsia="宋体" w:cs="Times New Roman"/>
                <w:bCs/>
                <w:color w:val="auto"/>
                <w:spacing w:val="-6"/>
                <w:sz w:val="24"/>
                <w:szCs w:val="24"/>
                <w:highlight w:val="none"/>
                <w:lang w:val="en-US" w:eastAsia="zh-CN"/>
              </w:rPr>
            </w:pPr>
            <w:r>
              <w:rPr>
                <w:rFonts w:hint="eastAsia" w:ascii="Times New Roman" w:hAnsi="Times New Roman" w:eastAsia="宋体" w:cs="Times New Roman"/>
                <w:bCs/>
                <w:color w:val="auto"/>
                <w:spacing w:val="-6"/>
                <w:sz w:val="24"/>
                <w:szCs w:val="24"/>
                <w:highlight w:val="none"/>
                <w:lang w:val="en-US" w:eastAsia="zh-CN"/>
              </w:rPr>
              <w:t>项目运营期产生的软水制备废水及锅炉排污水接入烟气蒸发器用于降低烟气温度，蒸发处理，不外排</w:t>
            </w:r>
            <w:r>
              <w:rPr>
                <w:rFonts w:hint="eastAsia" w:cs="Times New Roman"/>
                <w:bCs/>
                <w:color w:val="auto"/>
                <w:spacing w:val="-6"/>
                <w:sz w:val="24"/>
                <w:szCs w:val="24"/>
                <w:highlight w:val="none"/>
                <w:lang w:val="en-US" w:eastAsia="zh-CN"/>
              </w:rPr>
              <w:t>。</w:t>
            </w:r>
            <w:r>
              <w:rPr>
                <w:rFonts w:hint="eastAsia" w:cs="Times New Roman"/>
                <w:color w:val="auto"/>
                <w:sz w:val="24"/>
                <w:szCs w:val="24"/>
                <w:highlight w:val="none"/>
                <w:lang w:val="en-US" w:eastAsia="zh-CN"/>
              </w:rPr>
              <w:t>因此，本项目不设生产废水排放标准</w:t>
            </w:r>
            <w:r>
              <w:rPr>
                <w:rFonts w:hint="eastAsia" w:ascii="Times New Roman" w:hAnsi="Times New Roman" w:eastAsia="宋体" w:cs="Times New Roman"/>
                <w:bCs/>
                <w:color w:val="auto"/>
                <w:spacing w:val="-6"/>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57" w:firstLineChars="200"/>
              <w:textAlignment w:val="auto"/>
              <w:rPr>
                <w:rFonts w:hint="default" w:ascii="Times New Roman" w:hAnsi="Times New Roman" w:eastAsia="宋体" w:cs="Times New Roman"/>
                <w:b/>
                <w:bCs w:val="0"/>
                <w:color w:val="auto"/>
                <w:spacing w:val="-6"/>
                <w:sz w:val="24"/>
                <w:szCs w:val="24"/>
                <w:highlight w:val="none"/>
                <w:lang w:val="en-US" w:eastAsia="zh-CN"/>
              </w:rPr>
            </w:pPr>
            <w:r>
              <w:rPr>
                <w:rFonts w:hint="eastAsia" w:cs="Times New Roman"/>
                <w:b/>
                <w:bCs w:val="0"/>
                <w:color w:val="auto"/>
                <w:spacing w:val="-6"/>
                <w:sz w:val="24"/>
                <w:szCs w:val="24"/>
                <w:highlight w:val="none"/>
                <w:lang w:val="en-US" w:eastAsia="zh-CN"/>
              </w:rPr>
              <w:t>（2）生活污水</w:t>
            </w:r>
          </w:p>
          <w:p>
            <w:pPr>
              <w:keepNext w:val="0"/>
              <w:keepLines w:val="0"/>
              <w:pageBreakBefore w:val="0"/>
              <w:widowControl w:val="0"/>
              <w:kinsoku/>
              <w:wordWrap/>
              <w:overflowPunct/>
              <w:topLinePunct w:val="0"/>
              <w:autoSpaceDE/>
              <w:autoSpaceDN/>
              <w:bidi w:val="0"/>
              <w:adjustRightInd w:val="0"/>
              <w:snapToGrid w:val="0"/>
              <w:spacing w:line="360" w:lineRule="auto"/>
              <w:ind w:firstLine="456"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Cs/>
                <w:color w:val="auto"/>
                <w:spacing w:val="-6"/>
                <w:sz w:val="24"/>
                <w:szCs w:val="24"/>
                <w:highlight w:val="none"/>
                <w:lang w:val="en-US" w:eastAsia="zh-CN"/>
              </w:rPr>
              <w:t>海大供热点及特驱供热点生活设施</w:t>
            </w:r>
            <w:r>
              <w:rPr>
                <w:rFonts w:hint="eastAsia" w:cs="Times New Roman"/>
                <w:bCs/>
                <w:color w:val="auto"/>
                <w:spacing w:val="-6"/>
                <w:sz w:val="24"/>
                <w:szCs w:val="24"/>
                <w:highlight w:val="none"/>
                <w:lang w:val="en-US" w:eastAsia="zh-CN"/>
              </w:rPr>
              <w:t>依托</w:t>
            </w:r>
            <w:r>
              <w:rPr>
                <w:rFonts w:hint="eastAsia" w:ascii="Times New Roman" w:hAnsi="Times New Roman" w:eastAsia="宋体" w:cs="Times New Roman"/>
                <w:bCs/>
                <w:color w:val="auto"/>
                <w:spacing w:val="-6"/>
                <w:sz w:val="24"/>
                <w:szCs w:val="24"/>
                <w:highlight w:val="none"/>
                <w:lang w:val="en-US" w:eastAsia="zh-CN"/>
              </w:rPr>
              <w:t>昆明特驱饲料有限公司建成的生活设施，产生的生活污水由昆明特驱饲料有限公司已建成并验收的生活污水处理设施处理</w:t>
            </w:r>
            <w:r>
              <w:rPr>
                <w:rFonts w:hint="eastAsia" w:cs="Times New Roman"/>
                <w:bCs/>
                <w:color w:val="auto"/>
                <w:spacing w:val="-6"/>
                <w:sz w:val="24"/>
                <w:szCs w:val="24"/>
                <w:highlight w:val="none"/>
                <w:lang w:val="en-US" w:eastAsia="zh-CN"/>
              </w:rPr>
              <w:t>；</w:t>
            </w:r>
            <w:r>
              <w:rPr>
                <w:rFonts w:hint="eastAsia" w:ascii="Times New Roman" w:hAnsi="Times New Roman" w:eastAsia="宋体" w:cs="Times New Roman"/>
                <w:bCs/>
                <w:color w:val="auto"/>
                <w:spacing w:val="-6"/>
                <w:sz w:val="24"/>
                <w:szCs w:val="24"/>
                <w:highlight w:val="none"/>
                <w:lang w:val="en-US" w:eastAsia="zh-CN"/>
              </w:rPr>
              <w:t>漓源供热点生活设施依托</w:t>
            </w:r>
            <w:r>
              <w:rPr>
                <w:rFonts w:hint="eastAsia" w:ascii="Times New Roman" w:hAnsi="Times New Roman" w:eastAsia="宋体" w:cs="Times New Roman"/>
                <w:bCs/>
                <w:color w:val="auto"/>
                <w:spacing w:val="-6"/>
                <w:sz w:val="24"/>
                <w:szCs w:val="24"/>
                <w:highlight w:val="none"/>
                <w:lang w:val="en-US" w:eastAsia="zh-CN"/>
              </w:rPr>
              <w:fldChar w:fldCharType="begin"/>
            </w:r>
            <w:r>
              <w:rPr>
                <w:rFonts w:hint="eastAsia" w:ascii="Times New Roman" w:hAnsi="Times New Roman" w:eastAsia="宋体" w:cs="Times New Roman"/>
                <w:bCs/>
                <w:color w:val="auto"/>
                <w:spacing w:val="-6"/>
                <w:sz w:val="24"/>
                <w:szCs w:val="24"/>
                <w:highlight w:val="none"/>
                <w:lang w:val="en-US" w:eastAsia="zh-CN"/>
              </w:rPr>
              <w:instrText xml:space="preserve"> HYPERLINK "http://www.baidu.com/link?url=k38QrQiOpPhdnIoPfF-NRVdrrP4Rhg1-USYOQr1U9jApQjA8Vs5PJx58NJfeIweWVLfmUDdOT8BfCt1bzwbTe5t9EnIlnBBtpJciK0lHMvG" \t "_blank" </w:instrText>
            </w:r>
            <w:r>
              <w:rPr>
                <w:rFonts w:hint="eastAsia" w:ascii="Times New Roman" w:hAnsi="Times New Roman" w:eastAsia="宋体" w:cs="Times New Roman"/>
                <w:bCs/>
                <w:color w:val="auto"/>
                <w:spacing w:val="-6"/>
                <w:sz w:val="24"/>
                <w:szCs w:val="24"/>
                <w:highlight w:val="none"/>
                <w:lang w:val="en-US" w:eastAsia="zh-CN"/>
              </w:rPr>
              <w:fldChar w:fldCharType="separate"/>
            </w:r>
            <w:r>
              <w:rPr>
                <w:rFonts w:hint="eastAsia" w:ascii="Times New Roman" w:hAnsi="Times New Roman" w:eastAsia="宋体" w:cs="Times New Roman"/>
                <w:bCs/>
                <w:color w:val="auto"/>
                <w:spacing w:val="-6"/>
                <w:sz w:val="24"/>
                <w:szCs w:val="24"/>
                <w:highlight w:val="none"/>
                <w:lang w:val="en-US" w:eastAsia="zh-CN"/>
              </w:rPr>
              <w:t>昆明漓源饲料有限公司</w:t>
            </w:r>
            <w:r>
              <w:rPr>
                <w:rFonts w:hint="eastAsia" w:ascii="Times New Roman" w:hAnsi="Times New Roman" w:eastAsia="宋体" w:cs="Times New Roman"/>
                <w:bCs/>
                <w:color w:val="auto"/>
                <w:spacing w:val="-6"/>
                <w:sz w:val="24"/>
                <w:szCs w:val="24"/>
                <w:highlight w:val="none"/>
                <w:lang w:val="en-US" w:eastAsia="zh-CN"/>
              </w:rPr>
              <w:fldChar w:fldCharType="end"/>
            </w:r>
            <w:r>
              <w:rPr>
                <w:rFonts w:hint="eastAsia" w:ascii="Times New Roman" w:hAnsi="Times New Roman" w:eastAsia="宋体" w:cs="Times New Roman"/>
                <w:bCs/>
                <w:color w:val="auto"/>
                <w:spacing w:val="-6"/>
                <w:sz w:val="24"/>
                <w:szCs w:val="24"/>
                <w:highlight w:val="none"/>
                <w:lang w:val="en-US" w:eastAsia="zh-CN"/>
              </w:rPr>
              <w:t>建成的生活设施，产生的生活污水由</w:t>
            </w:r>
            <w:r>
              <w:rPr>
                <w:rFonts w:hint="eastAsia" w:ascii="Times New Roman" w:hAnsi="Times New Roman" w:eastAsia="宋体" w:cs="Times New Roman"/>
                <w:bCs/>
                <w:color w:val="auto"/>
                <w:spacing w:val="-6"/>
                <w:sz w:val="24"/>
                <w:szCs w:val="24"/>
                <w:highlight w:val="none"/>
                <w:lang w:val="en-US" w:eastAsia="zh-CN"/>
              </w:rPr>
              <w:fldChar w:fldCharType="begin"/>
            </w:r>
            <w:r>
              <w:rPr>
                <w:rFonts w:hint="eastAsia" w:ascii="Times New Roman" w:hAnsi="Times New Roman" w:eastAsia="宋体" w:cs="Times New Roman"/>
                <w:bCs/>
                <w:color w:val="auto"/>
                <w:spacing w:val="-6"/>
                <w:sz w:val="24"/>
                <w:szCs w:val="24"/>
                <w:highlight w:val="none"/>
                <w:lang w:val="en-US" w:eastAsia="zh-CN"/>
              </w:rPr>
              <w:instrText xml:space="preserve"> HYPERLINK "http://www.baidu.com/link?url=k38QrQiOpPhdnIoPfF-NRVdrrP4Rhg1-USYOQr1U9jApQjA8Vs5PJx58NJfeIweWVLfmUDdOT8BfCt1bzwbTe5t9EnIlnBBtpJciK0lHMvG" \t "_blank" </w:instrText>
            </w:r>
            <w:r>
              <w:rPr>
                <w:rFonts w:hint="eastAsia" w:ascii="Times New Roman" w:hAnsi="Times New Roman" w:eastAsia="宋体" w:cs="Times New Roman"/>
                <w:bCs/>
                <w:color w:val="auto"/>
                <w:spacing w:val="-6"/>
                <w:sz w:val="24"/>
                <w:szCs w:val="24"/>
                <w:highlight w:val="none"/>
                <w:lang w:val="en-US" w:eastAsia="zh-CN"/>
              </w:rPr>
              <w:fldChar w:fldCharType="separate"/>
            </w:r>
            <w:r>
              <w:rPr>
                <w:rFonts w:hint="eastAsia" w:ascii="Times New Roman" w:hAnsi="Times New Roman" w:eastAsia="宋体" w:cs="Times New Roman"/>
                <w:bCs/>
                <w:color w:val="auto"/>
                <w:spacing w:val="-6"/>
                <w:sz w:val="24"/>
                <w:szCs w:val="24"/>
                <w:highlight w:val="none"/>
                <w:lang w:val="en-US" w:eastAsia="zh-CN"/>
              </w:rPr>
              <w:t>昆明漓源饲料有限公司</w:t>
            </w:r>
            <w:r>
              <w:rPr>
                <w:rFonts w:hint="eastAsia" w:ascii="Times New Roman" w:hAnsi="Times New Roman" w:eastAsia="宋体" w:cs="Times New Roman"/>
                <w:bCs/>
                <w:color w:val="auto"/>
                <w:spacing w:val="-6"/>
                <w:sz w:val="24"/>
                <w:szCs w:val="24"/>
                <w:highlight w:val="none"/>
                <w:lang w:val="en-US" w:eastAsia="zh-CN"/>
              </w:rPr>
              <w:fldChar w:fldCharType="end"/>
            </w:r>
            <w:r>
              <w:rPr>
                <w:rFonts w:hint="eastAsia" w:ascii="Times New Roman" w:hAnsi="Times New Roman" w:eastAsia="宋体" w:cs="Times New Roman"/>
                <w:bCs/>
                <w:color w:val="auto"/>
                <w:spacing w:val="-6"/>
                <w:sz w:val="24"/>
                <w:szCs w:val="24"/>
                <w:highlight w:val="none"/>
                <w:lang w:val="en-US" w:eastAsia="zh-CN"/>
              </w:rPr>
              <w:t>已建成并验收的生活污水处理设施处理</w:t>
            </w:r>
            <w:r>
              <w:rPr>
                <w:rFonts w:hint="eastAsia" w:cs="Times New Roman"/>
                <w:bCs/>
                <w:color w:val="auto"/>
                <w:spacing w:val="-6"/>
                <w:sz w:val="24"/>
                <w:szCs w:val="24"/>
                <w:highlight w:val="none"/>
                <w:lang w:val="en-US" w:eastAsia="zh-CN"/>
              </w:rPr>
              <w:t>。</w:t>
            </w:r>
            <w:r>
              <w:rPr>
                <w:rFonts w:hint="eastAsia" w:cs="Times New Roman"/>
                <w:color w:val="auto"/>
                <w:sz w:val="24"/>
                <w:szCs w:val="24"/>
                <w:highlight w:val="none"/>
                <w:lang w:val="en-US" w:eastAsia="zh-CN"/>
              </w:rPr>
              <w:t>因此，本项目不设生活污水排放标准。</w:t>
            </w:r>
          </w:p>
          <w:p>
            <w:pPr>
              <w:pStyle w:val="74"/>
              <w:pageBreakBefore w:val="0"/>
              <w:widowControl w:val="0"/>
              <w:numPr>
                <w:ilvl w:val="2"/>
                <w:numId w:val="0"/>
              </w:numPr>
              <w:kinsoku/>
              <w:wordWrap/>
              <w:overflowPunct/>
              <w:topLinePunct w:val="0"/>
              <w:autoSpaceDE/>
              <w:autoSpaceDN/>
              <w:bidi w:val="0"/>
              <w:adjustRightInd/>
              <w:snapToGrid/>
              <w:spacing w:before="0" w:beforeLines="0" w:after="0" w:afterLines="0"/>
              <w:ind w:leftChars="200"/>
              <w:textAlignment w:val="auto"/>
              <w:rPr>
                <w:rFonts w:hint="default" w:ascii="Times New Roman" w:hAnsi="Times New Roman" w:eastAsia="宋体" w:cs="Times New Roman"/>
                <w:b/>
                <w:bCs/>
                <w:color w:val="auto"/>
                <w:highlight w:val="none"/>
                <w:lang w:val="en-US" w:eastAsia="zh-CN"/>
              </w:rPr>
            </w:pPr>
            <w:r>
              <w:rPr>
                <w:rFonts w:hint="eastAsia" w:eastAsia="宋体" w:cs="Times New Roman"/>
                <w:b/>
                <w:bCs/>
                <w:color w:val="auto"/>
                <w:highlight w:val="none"/>
                <w:lang w:val="en-US" w:eastAsia="zh-CN"/>
              </w:rPr>
              <w:t>3、</w:t>
            </w:r>
            <w:r>
              <w:rPr>
                <w:rFonts w:hint="default" w:ascii="Times New Roman" w:hAnsi="Times New Roman" w:eastAsia="宋体" w:cs="Times New Roman"/>
                <w:b/>
                <w:bCs/>
                <w:color w:val="auto"/>
                <w:highlight w:val="none"/>
                <w:lang w:val="en-US" w:eastAsia="zh-CN"/>
              </w:rPr>
              <w:t>噪声</w:t>
            </w:r>
          </w:p>
          <w:p>
            <w:pPr>
              <w:keepNext w:val="0"/>
              <w:keepLines w:val="0"/>
              <w:pageBreakBefore w:val="0"/>
              <w:widowControl w:val="0"/>
              <w:kinsoku/>
              <w:wordWrap/>
              <w:overflowPunct/>
              <w:topLinePunct w:val="0"/>
              <w:autoSpaceDE/>
              <w:autoSpaceDN/>
              <w:bidi w:val="0"/>
              <w:adjustRightInd w:val="0"/>
              <w:snapToGrid w:val="0"/>
              <w:spacing w:line="360" w:lineRule="auto"/>
              <w:ind w:firstLine="481"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w:t>
            </w:r>
            <w:r>
              <w:rPr>
                <w:rFonts w:hint="eastAsia" w:ascii="Times New Roman" w:hAnsi="Times New Roman" w:eastAsia="宋体" w:cs="Times New Roman"/>
                <w:b/>
                <w:bCs/>
                <w:color w:val="auto"/>
                <w:sz w:val="24"/>
                <w:szCs w:val="24"/>
                <w:highlight w:val="none"/>
                <w:lang w:val="en-US" w:eastAsia="zh-CN"/>
              </w:rPr>
              <w:t>施工期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施工期噪声排放执行《建筑施工场界环境噪声排放标准》（GB12523-2011），排放限值见表3-</w:t>
            </w:r>
            <w:r>
              <w:rPr>
                <w:rFonts w:hint="eastAsia"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w:t>
            </w:r>
          </w:p>
          <w:p>
            <w:pPr>
              <w:pStyle w:val="4"/>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表3-</w:t>
            </w:r>
            <w:r>
              <w:rPr>
                <w:rFonts w:hint="eastAsia" w:cs="Times New Roman"/>
                <w:b/>
                <w:bCs/>
                <w:color w:val="auto"/>
                <w:sz w:val="21"/>
                <w:szCs w:val="21"/>
                <w:highlight w:val="none"/>
                <w:lang w:val="en-US" w:eastAsia="zh-CN"/>
              </w:rPr>
              <w:t>3</w:t>
            </w:r>
            <w:r>
              <w:rPr>
                <w:rFonts w:hint="eastAsia" w:ascii="Times New Roman" w:hAnsi="Times New Roman" w:eastAsia="宋体" w:cs="Times New Roman"/>
                <w:b/>
                <w:bCs/>
                <w:color w:val="auto"/>
                <w:sz w:val="21"/>
                <w:szCs w:val="21"/>
                <w:highlight w:val="none"/>
                <w:lang w:val="en-US" w:eastAsia="zh-CN"/>
              </w:rPr>
              <w:t>建筑施工场界环境噪声排放标准 单位：dB（A）</w:t>
            </w:r>
          </w:p>
          <w:tbl>
            <w:tblPr>
              <w:tblStyle w:val="2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386"/>
              <w:gridCol w:w="43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 w:hRule="atLeast"/>
                <w:jc w:val="center"/>
              </w:trPr>
              <w:tc>
                <w:tcPr>
                  <w:tcW w:w="249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cs="Times New Roman"/>
                      <w:b w:val="0"/>
                      <w:bCs w:val="0"/>
                      <w:color w:val="auto"/>
                      <w:kern w:val="0"/>
                      <w:sz w:val="21"/>
                      <w:szCs w:val="21"/>
                      <w:highlight w:val="none"/>
                      <w:lang w:eastAsia="zh-CN"/>
                    </w:rPr>
                  </w:pPr>
                  <w:r>
                    <w:rPr>
                      <w:rFonts w:hint="eastAsia" w:ascii="Times New Roman" w:hAnsi="Times New Roman" w:cs="Times New Roman"/>
                      <w:b w:val="0"/>
                      <w:bCs w:val="0"/>
                      <w:color w:val="auto"/>
                      <w:kern w:val="0"/>
                      <w:sz w:val="21"/>
                      <w:szCs w:val="21"/>
                      <w:highlight w:val="none"/>
                      <w:lang w:eastAsia="zh-CN"/>
                    </w:rPr>
                    <w:t>昼间</w:t>
                  </w:r>
                </w:p>
              </w:tc>
              <w:tc>
                <w:tcPr>
                  <w:tcW w:w="250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cs="Times New Roman"/>
                      <w:b w:val="0"/>
                      <w:bCs w:val="0"/>
                      <w:color w:val="auto"/>
                      <w:kern w:val="0"/>
                      <w:sz w:val="21"/>
                      <w:szCs w:val="21"/>
                      <w:highlight w:val="none"/>
                      <w:lang w:eastAsia="zh-CN"/>
                    </w:rPr>
                  </w:pPr>
                  <w:r>
                    <w:rPr>
                      <w:rFonts w:hint="eastAsia" w:ascii="Times New Roman" w:hAnsi="Times New Roman" w:cs="Times New Roman"/>
                      <w:b w:val="0"/>
                      <w:bCs w:val="0"/>
                      <w:color w:val="auto"/>
                      <w:kern w:val="0"/>
                      <w:sz w:val="21"/>
                      <w:szCs w:val="21"/>
                      <w:highlight w:val="none"/>
                      <w:lang w:eastAsia="zh-CN"/>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2" w:hRule="atLeast"/>
                <w:jc w:val="center"/>
              </w:trPr>
              <w:tc>
                <w:tcPr>
                  <w:tcW w:w="249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cs="Times New Roman"/>
                      <w:b w:val="0"/>
                      <w:bCs w:val="0"/>
                      <w:color w:val="auto"/>
                      <w:kern w:val="0"/>
                      <w:sz w:val="21"/>
                      <w:szCs w:val="21"/>
                      <w:highlight w:val="none"/>
                      <w:lang w:eastAsia="zh-CN"/>
                    </w:rPr>
                  </w:pPr>
                  <w:r>
                    <w:rPr>
                      <w:rFonts w:hint="eastAsia" w:ascii="Times New Roman" w:hAnsi="Times New Roman" w:cs="Times New Roman"/>
                      <w:b w:val="0"/>
                      <w:bCs w:val="0"/>
                      <w:color w:val="auto"/>
                      <w:kern w:val="0"/>
                      <w:sz w:val="21"/>
                      <w:szCs w:val="21"/>
                      <w:highlight w:val="none"/>
                      <w:lang w:eastAsia="zh-CN"/>
                    </w:rPr>
                    <w:t>70</w:t>
                  </w:r>
                </w:p>
              </w:tc>
              <w:tc>
                <w:tcPr>
                  <w:tcW w:w="250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cs="Times New Roman"/>
                      <w:b w:val="0"/>
                      <w:bCs w:val="0"/>
                      <w:color w:val="auto"/>
                      <w:kern w:val="0"/>
                      <w:sz w:val="21"/>
                      <w:szCs w:val="21"/>
                      <w:highlight w:val="none"/>
                      <w:lang w:eastAsia="zh-CN"/>
                    </w:rPr>
                  </w:pPr>
                  <w:r>
                    <w:rPr>
                      <w:rFonts w:hint="eastAsia" w:ascii="Times New Roman" w:hAnsi="Times New Roman" w:cs="Times New Roman"/>
                      <w:b w:val="0"/>
                      <w:bCs w:val="0"/>
                      <w:color w:val="auto"/>
                      <w:kern w:val="0"/>
                      <w:sz w:val="21"/>
                      <w:szCs w:val="21"/>
                      <w:highlight w:val="none"/>
                      <w:lang w:eastAsia="zh-CN"/>
                    </w:rPr>
                    <w:t>55</w:t>
                  </w:r>
                </w:p>
              </w:tc>
            </w:tr>
          </w:tbl>
          <w:p>
            <w:pPr>
              <w:overflowPunct w:val="0"/>
              <w:topLinePunct/>
              <w:autoSpaceDE w:val="0"/>
              <w:autoSpaceDN w:val="0"/>
              <w:spacing w:line="360" w:lineRule="auto"/>
              <w:ind w:firstLine="481" w:firstLineChars="200"/>
              <w:rPr>
                <w:rFonts w:hint="default" w:cs="Times New Roman"/>
                <w:b/>
                <w:bCs w:val="0"/>
                <w:color w:val="auto"/>
                <w:sz w:val="24"/>
                <w:highlight w:val="none"/>
                <w:lang w:val="en-US" w:eastAsia="zh-CN"/>
              </w:rPr>
            </w:pPr>
            <w:r>
              <w:rPr>
                <w:rFonts w:hint="eastAsia" w:cs="Times New Roman"/>
                <w:b/>
                <w:bCs w:val="0"/>
                <w:color w:val="auto"/>
                <w:sz w:val="24"/>
                <w:highlight w:val="none"/>
                <w:lang w:val="en-US" w:eastAsia="zh-CN"/>
              </w:rPr>
              <w:t>（2）运营期</w:t>
            </w:r>
          </w:p>
          <w:p>
            <w:pPr>
              <w:overflowPunct w:val="0"/>
              <w:topLinePunct/>
              <w:autoSpaceDE w:val="0"/>
              <w:autoSpaceDN w:val="0"/>
              <w:spacing w:line="360" w:lineRule="auto"/>
              <w:ind w:firstLine="480" w:firstLineChars="200"/>
              <w:rPr>
                <w:rFonts w:hint="default" w:ascii="Times New Roman" w:hAnsi="Times New Roman" w:eastAsia="宋体" w:cs="Times New Roman"/>
                <w:b w:val="0"/>
                <w:bCs/>
                <w:color w:val="auto"/>
                <w:sz w:val="24"/>
                <w:highlight w:val="none"/>
                <w:lang w:val="en-US" w:eastAsia="zh-CN"/>
              </w:rPr>
            </w:pPr>
            <w:r>
              <w:rPr>
                <w:rFonts w:hint="eastAsia" w:cs="Times New Roman"/>
                <w:b w:val="0"/>
                <w:bCs/>
                <w:color w:val="auto"/>
                <w:sz w:val="24"/>
                <w:highlight w:val="none"/>
                <w:lang w:eastAsia="zh-CN"/>
              </w:rPr>
              <w:t>项目</w:t>
            </w:r>
            <w:r>
              <w:rPr>
                <w:rFonts w:hint="eastAsia" w:ascii="Times New Roman" w:hAnsi="Times New Roman" w:eastAsia="宋体" w:cs="Times New Roman"/>
                <w:b w:val="0"/>
                <w:bCs/>
                <w:color w:val="auto"/>
                <w:sz w:val="24"/>
                <w:highlight w:val="none"/>
                <w:lang w:eastAsia="zh-CN"/>
              </w:rPr>
              <w:t>运营期噪声排放执行</w:t>
            </w:r>
            <w:r>
              <w:rPr>
                <w:rFonts w:hint="default" w:ascii="Times New Roman" w:hAnsi="Times New Roman" w:cs="Times New Roman"/>
                <w:b w:val="0"/>
                <w:bCs w:val="0"/>
                <w:color w:val="auto"/>
                <w:kern w:val="2"/>
                <w:sz w:val="24"/>
                <w:szCs w:val="24"/>
                <w:highlight w:val="none"/>
                <w:lang w:val="en-US" w:eastAsia="zh-CN" w:bidi="ar-SA"/>
              </w:rPr>
              <w:t>《工业企业厂界环境噪声排放标准》（GB12348-2008）</w:t>
            </w:r>
            <w:r>
              <w:rPr>
                <w:rFonts w:hint="eastAsia" w:ascii="Times New Roman" w:hAnsi="Times New Roman" w:cs="Times New Roman"/>
                <w:b w:val="0"/>
                <w:bCs w:val="0"/>
                <w:color w:val="auto"/>
                <w:kern w:val="2"/>
                <w:sz w:val="24"/>
                <w:szCs w:val="24"/>
                <w:highlight w:val="none"/>
                <w:lang w:val="en-US" w:eastAsia="zh-CN" w:bidi="ar-SA"/>
              </w:rPr>
              <w:t>中</w:t>
            </w:r>
            <w:r>
              <w:rPr>
                <w:rFonts w:hint="eastAsia" w:cs="Times New Roman"/>
                <w:b w:val="0"/>
                <w:bCs w:val="0"/>
                <w:color w:val="auto"/>
                <w:kern w:val="2"/>
                <w:sz w:val="24"/>
                <w:szCs w:val="24"/>
                <w:highlight w:val="none"/>
                <w:lang w:val="en-US" w:eastAsia="zh-CN" w:bidi="ar-SA"/>
              </w:rPr>
              <w:t>3</w:t>
            </w:r>
            <w:r>
              <w:rPr>
                <w:rFonts w:hint="default" w:ascii="Times New Roman" w:hAnsi="Times New Roman" w:cs="Times New Roman"/>
                <w:b w:val="0"/>
                <w:bCs w:val="0"/>
                <w:color w:val="auto"/>
                <w:kern w:val="2"/>
                <w:sz w:val="24"/>
                <w:szCs w:val="24"/>
                <w:highlight w:val="none"/>
                <w:lang w:val="en-US" w:eastAsia="zh-CN" w:bidi="ar-SA"/>
              </w:rPr>
              <w:t>类标准</w:t>
            </w:r>
            <w:r>
              <w:rPr>
                <w:rFonts w:hint="eastAsia" w:cs="Times New Roman"/>
                <w:b w:val="0"/>
                <w:bCs w:val="0"/>
                <w:color w:val="auto"/>
                <w:kern w:val="2"/>
                <w:sz w:val="24"/>
                <w:szCs w:val="24"/>
                <w:highlight w:val="none"/>
                <w:lang w:val="en-US" w:eastAsia="zh-CN" w:bidi="ar-SA"/>
              </w:rPr>
              <w:t>，</w:t>
            </w:r>
            <w:r>
              <w:rPr>
                <w:rFonts w:hint="eastAsia" w:ascii="Times New Roman" w:hAnsi="Times New Roman" w:cs="Times New Roman"/>
                <w:b w:val="0"/>
                <w:bCs w:val="0"/>
                <w:color w:val="auto"/>
                <w:kern w:val="2"/>
                <w:sz w:val="24"/>
                <w:szCs w:val="24"/>
                <w:highlight w:val="none"/>
                <w:lang w:val="en-US" w:eastAsia="zh-CN" w:bidi="ar-SA"/>
              </w:rPr>
              <w:t>标准限值见表</w:t>
            </w:r>
            <w:r>
              <w:rPr>
                <w:rFonts w:hint="eastAsia" w:cs="Times New Roman"/>
                <w:b w:val="0"/>
                <w:bCs w:val="0"/>
                <w:color w:val="auto"/>
                <w:kern w:val="2"/>
                <w:sz w:val="24"/>
                <w:szCs w:val="24"/>
                <w:highlight w:val="none"/>
                <w:lang w:val="en-US" w:eastAsia="zh-CN" w:bidi="ar-SA"/>
              </w:rPr>
              <w:t>3-4</w:t>
            </w:r>
            <w:r>
              <w:rPr>
                <w:rFonts w:hint="eastAsia" w:ascii="Times New Roman" w:hAnsi="Times New Roman" w:cs="Times New Roman"/>
                <w:b w:val="0"/>
                <w:bCs w:val="0"/>
                <w:color w:val="auto"/>
                <w:kern w:val="2"/>
                <w:sz w:val="24"/>
                <w:szCs w:val="24"/>
                <w:highlight w:val="none"/>
                <w:lang w:val="en-US" w:eastAsia="zh-CN" w:bidi="ar-SA"/>
              </w:rPr>
              <w:t>。</w:t>
            </w:r>
          </w:p>
          <w:p>
            <w:pPr>
              <w:pStyle w:val="4"/>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3-</w:t>
            </w:r>
            <w:r>
              <w:rPr>
                <w:rFonts w:hint="eastAsia"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lang w:val="en-US" w:eastAsia="zh-CN"/>
              </w:rPr>
              <w:t>工业企业厂界环境噪声排放标准单位：dB（A）</w:t>
            </w:r>
          </w:p>
          <w:tbl>
            <w:tblPr>
              <w:tblStyle w:val="2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986"/>
              <w:gridCol w:w="2603"/>
              <w:gridCol w:w="31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3" w:hRule="atLeast"/>
                <w:jc w:val="center"/>
              </w:trPr>
              <w:tc>
                <w:tcPr>
                  <w:tcW w:w="1701"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eastAsia="zh-CN"/>
                    </w:rPr>
                  </w:pPr>
                  <w:r>
                    <w:rPr>
                      <w:rFonts w:hint="default" w:ascii="Times New Roman" w:hAnsi="Times New Roman" w:cs="Times New Roman"/>
                      <w:b w:val="0"/>
                      <w:bCs w:val="0"/>
                      <w:color w:val="auto"/>
                      <w:kern w:val="0"/>
                      <w:sz w:val="21"/>
                      <w:szCs w:val="21"/>
                      <w:highlight w:val="none"/>
                      <w:lang w:eastAsia="zh-CN"/>
                    </w:rPr>
                    <w:t>厂界</w:t>
                  </w:r>
                </w:p>
              </w:tc>
              <w:tc>
                <w:tcPr>
                  <w:tcW w:w="3298"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eastAsia="zh-CN"/>
                    </w:rPr>
                  </w:pPr>
                  <w:r>
                    <w:rPr>
                      <w:rFonts w:hint="default" w:ascii="Times New Roman" w:hAnsi="Times New Roman" w:cs="Times New Roman"/>
                      <w:b w:val="0"/>
                      <w:bCs w:val="0"/>
                      <w:color w:val="auto"/>
                      <w:kern w:val="0"/>
                      <w:sz w:val="21"/>
                      <w:szCs w:val="21"/>
                      <w:highlight w:val="none"/>
                      <w:lang w:eastAsia="zh-CN"/>
                    </w:rPr>
                    <w:t>时段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70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rPr>
                  </w:pPr>
                </w:p>
              </w:tc>
              <w:tc>
                <w:tcPr>
                  <w:tcW w:w="148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eastAsia="zh-CN"/>
                    </w:rPr>
                  </w:pPr>
                  <w:r>
                    <w:rPr>
                      <w:rFonts w:hint="default" w:ascii="Times New Roman" w:hAnsi="Times New Roman" w:eastAsia="宋体" w:cs="Times New Roman"/>
                      <w:b w:val="0"/>
                      <w:bCs w:val="0"/>
                      <w:color w:val="auto"/>
                      <w:kern w:val="0"/>
                      <w:sz w:val="21"/>
                      <w:szCs w:val="21"/>
                      <w:highlight w:val="none"/>
                      <w:lang w:eastAsia="zh-CN"/>
                    </w:rPr>
                    <w:t>昼间</w:t>
                  </w:r>
                </w:p>
              </w:tc>
              <w:tc>
                <w:tcPr>
                  <w:tcW w:w="181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eastAsia="zh-CN"/>
                    </w:rPr>
                  </w:pPr>
                  <w:r>
                    <w:rPr>
                      <w:rFonts w:hint="default" w:ascii="Times New Roman" w:hAnsi="Times New Roman" w:eastAsia="宋体" w:cs="Times New Roman"/>
                      <w:b w:val="0"/>
                      <w:bCs w:val="0"/>
                      <w:color w:val="auto"/>
                      <w:kern w:val="0"/>
                      <w:sz w:val="21"/>
                      <w:szCs w:val="21"/>
                      <w:highlight w:val="none"/>
                      <w:lang w:eastAsia="zh-CN"/>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70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3类</w:t>
                  </w:r>
                </w:p>
              </w:tc>
              <w:tc>
                <w:tcPr>
                  <w:tcW w:w="148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65</w:t>
                  </w:r>
                </w:p>
              </w:tc>
              <w:tc>
                <w:tcPr>
                  <w:tcW w:w="181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55</w:t>
                  </w:r>
                </w:p>
              </w:tc>
            </w:tr>
          </w:tbl>
          <w:p>
            <w:pPr>
              <w:pStyle w:val="74"/>
              <w:pageBreakBefore w:val="0"/>
              <w:widowControl w:val="0"/>
              <w:numPr>
                <w:ilvl w:val="0"/>
                <w:numId w:val="0"/>
              </w:numPr>
              <w:kinsoku/>
              <w:wordWrap/>
              <w:overflowPunct/>
              <w:topLinePunct w:val="0"/>
              <w:autoSpaceDE/>
              <w:autoSpaceDN/>
              <w:bidi w:val="0"/>
              <w:adjustRightInd/>
              <w:snapToGrid/>
              <w:spacing w:before="0" w:beforeLines="0" w:after="0" w:afterLines="0"/>
              <w:ind w:leftChars="200"/>
              <w:textAlignment w:val="auto"/>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4、固体废物</w:t>
            </w:r>
          </w:p>
          <w:p>
            <w:pPr>
              <w:spacing w:line="360" w:lineRule="auto"/>
              <w:ind w:firstLine="480" w:firstLineChars="200"/>
              <w:rPr>
                <w:rFonts w:hint="default" w:ascii="Times New Roman" w:hAnsi="Times New Roman" w:cs="Times New Roman"/>
                <w:color w:val="auto"/>
                <w:kern w:val="0"/>
                <w:szCs w:val="21"/>
                <w:highlight w:val="none"/>
              </w:rPr>
            </w:pPr>
            <w:r>
              <w:rPr>
                <w:rFonts w:hint="eastAsia" w:ascii="Times New Roman" w:hAnsi="Times New Roman" w:eastAsia="宋体" w:cs="Times New Roman"/>
                <w:bCs/>
                <w:color w:val="auto"/>
                <w:sz w:val="24"/>
                <w:szCs w:val="24"/>
                <w:highlight w:val="none"/>
                <w:lang w:val="en-US" w:eastAsia="zh-CN"/>
              </w:rPr>
              <w:t>一般工业固体废物暂存、处置执行《一般工业固体废物贮存和填埋污染控制标准》（GB18599-2020）；危险废物贮存、处置执行《危险废物贮存污染控制标准》（GB18597-2023）。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57" w:type="dxa"/>
            <w:noWrap w:val="0"/>
            <w:vAlign w:val="center"/>
          </w:tcPr>
          <w:p>
            <w:pPr>
              <w:adjustRightInd w:val="0"/>
              <w:snapToGrid w:val="0"/>
              <w:jc w:val="center"/>
              <w:rPr>
                <w:rFonts w:hint="default" w:ascii="Times New Roman" w:hAnsi="Times New Roman" w:cs="Times New Roman"/>
                <w:b/>
                <w:bCs/>
                <w:color w:val="auto"/>
                <w:kern w:val="0"/>
                <w:sz w:val="24"/>
                <w:szCs w:val="24"/>
                <w:highlight w:val="none"/>
              </w:rPr>
            </w:pPr>
            <w:r>
              <w:rPr>
                <w:rFonts w:hint="default" w:ascii="Times New Roman" w:hAnsi="Times New Roman" w:cs="Times New Roman"/>
                <w:b/>
                <w:bCs/>
                <w:color w:val="auto"/>
                <w:kern w:val="0"/>
                <w:sz w:val="24"/>
                <w:szCs w:val="24"/>
                <w:highlight w:val="none"/>
              </w:rPr>
              <w:t>总量</w:t>
            </w:r>
          </w:p>
          <w:p>
            <w:pPr>
              <w:adjustRightInd w:val="0"/>
              <w:snapToGrid w:val="0"/>
              <w:jc w:val="center"/>
              <w:rPr>
                <w:rFonts w:hint="default" w:ascii="Times New Roman" w:hAnsi="Times New Roman" w:cs="Times New Roman"/>
                <w:b/>
                <w:bCs/>
                <w:color w:val="auto"/>
                <w:kern w:val="0"/>
                <w:sz w:val="24"/>
                <w:szCs w:val="24"/>
                <w:highlight w:val="none"/>
              </w:rPr>
            </w:pPr>
            <w:r>
              <w:rPr>
                <w:rFonts w:hint="default" w:ascii="Times New Roman" w:hAnsi="Times New Roman" w:cs="Times New Roman"/>
                <w:b/>
                <w:bCs/>
                <w:color w:val="auto"/>
                <w:kern w:val="0"/>
                <w:sz w:val="24"/>
                <w:szCs w:val="24"/>
                <w:highlight w:val="none"/>
              </w:rPr>
              <w:t>控制</w:t>
            </w:r>
          </w:p>
          <w:p>
            <w:pPr>
              <w:adjustRightInd w:val="0"/>
              <w:snapToGrid w:val="0"/>
              <w:jc w:val="center"/>
              <w:rPr>
                <w:rFonts w:hint="default" w:ascii="Times New Roman" w:hAnsi="Times New Roman" w:cs="Times New Roman"/>
                <w:b/>
                <w:bCs/>
                <w:color w:val="auto"/>
                <w:kern w:val="0"/>
                <w:sz w:val="24"/>
                <w:szCs w:val="24"/>
                <w:highlight w:val="none"/>
              </w:rPr>
            </w:pPr>
            <w:r>
              <w:rPr>
                <w:rFonts w:hint="default" w:ascii="Times New Roman" w:hAnsi="Times New Roman" w:cs="Times New Roman"/>
                <w:b/>
                <w:bCs/>
                <w:color w:val="auto"/>
                <w:kern w:val="0"/>
                <w:sz w:val="24"/>
                <w:szCs w:val="24"/>
                <w:highlight w:val="none"/>
              </w:rPr>
              <w:t>指标</w:t>
            </w:r>
          </w:p>
        </w:tc>
        <w:tc>
          <w:tcPr>
            <w:tcW w:w="9001" w:type="dxa"/>
            <w:noWrap w:val="0"/>
            <w:vAlign w:val="center"/>
          </w:tcPr>
          <w:p>
            <w:pPr>
              <w:overflowPunct w:val="0"/>
              <w:topLinePunct/>
              <w:autoSpaceDE w:val="0"/>
              <w:autoSpaceDN w:val="0"/>
              <w:spacing w:line="360" w:lineRule="auto"/>
              <w:ind w:firstLine="480" w:firstLineChars="200"/>
              <w:rPr>
                <w:rFonts w:hint="eastAsia" w:ascii="Times New Roman" w:hAnsi="Times New Roman" w:eastAsia="宋体" w:cs="Times New Roman"/>
                <w:b w:val="0"/>
                <w:bCs/>
                <w:color w:val="auto"/>
                <w:sz w:val="24"/>
                <w:highlight w:val="none"/>
                <w:lang w:eastAsia="zh-CN"/>
              </w:rPr>
            </w:pPr>
            <w:r>
              <w:rPr>
                <w:rFonts w:hint="eastAsia" w:ascii="Times New Roman" w:hAnsi="Times New Roman" w:eastAsia="宋体" w:cs="Times New Roman"/>
                <w:b w:val="0"/>
                <w:bCs/>
                <w:color w:val="auto"/>
                <w:sz w:val="24"/>
                <w:highlight w:val="none"/>
                <w:lang w:val="en-US" w:eastAsia="zh-CN"/>
              </w:rPr>
              <w:t>根据《云南省</w:t>
            </w:r>
            <w:r>
              <w:rPr>
                <w:rFonts w:hint="eastAsia" w:cs="Times New Roman"/>
                <w:b w:val="0"/>
                <w:bCs/>
                <w:color w:val="auto"/>
                <w:sz w:val="24"/>
                <w:highlight w:val="none"/>
                <w:lang w:val="en-US" w:eastAsia="zh-CN"/>
              </w:rPr>
              <w:t>“</w:t>
            </w:r>
            <w:r>
              <w:rPr>
                <w:rFonts w:hint="eastAsia" w:ascii="Times New Roman" w:hAnsi="Times New Roman" w:eastAsia="宋体" w:cs="Times New Roman"/>
                <w:b w:val="0"/>
                <w:bCs/>
                <w:color w:val="auto"/>
                <w:sz w:val="24"/>
                <w:highlight w:val="none"/>
                <w:lang w:val="en-US" w:eastAsia="zh-CN"/>
              </w:rPr>
              <w:t>十四五</w:t>
            </w:r>
            <w:r>
              <w:rPr>
                <w:rFonts w:hint="eastAsia" w:cs="Times New Roman"/>
                <w:b w:val="0"/>
                <w:bCs/>
                <w:color w:val="auto"/>
                <w:sz w:val="24"/>
                <w:highlight w:val="none"/>
                <w:lang w:val="en-US" w:eastAsia="zh-CN"/>
              </w:rPr>
              <w:t>”</w:t>
            </w:r>
            <w:r>
              <w:rPr>
                <w:rFonts w:hint="eastAsia" w:ascii="Times New Roman" w:hAnsi="Times New Roman" w:eastAsia="宋体" w:cs="Times New Roman"/>
                <w:b w:val="0"/>
                <w:bCs/>
                <w:color w:val="auto"/>
                <w:sz w:val="24"/>
                <w:highlight w:val="none"/>
                <w:lang w:val="en-US" w:eastAsia="zh-CN"/>
              </w:rPr>
              <w:t>节能减排综合工作实施方案》，</w:t>
            </w:r>
            <w:r>
              <w:rPr>
                <w:rFonts w:hint="eastAsia" w:cs="Times New Roman"/>
                <w:b w:val="0"/>
                <w:bCs/>
                <w:color w:val="auto"/>
                <w:sz w:val="24"/>
                <w:highlight w:val="none"/>
                <w:lang w:val="en-US" w:eastAsia="zh-CN"/>
              </w:rPr>
              <w:t>“</w:t>
            </w:r>
            <w:r>
              <w:rPr>
                <w:rFonts w:hint="eastAsia" w:ascii="Times New Roman" w:hAnsi="Times New Roman" w:eastAsia="宋体" w:cs="Times New Roman"/>
                <w:b w:val="0"/>
                <w:bCs/>
                <w:color w:val="auto"/>
                <w:sz w:val="24"/>
                <w:highlight w:val="none"/>
                <w:lang w:val="en-US" w:eastAsia="zh-CN"/>
              </w:rPr>
              <w:t>十四五</w:t>
            </w:r>
            <w:r>
              <w:rPr>
                <w:rFonts w:hint="eastAsia" w:cs="Times New Roman"/>
                <w:b w:val="0"/>
                <w:bCs/>
                <w:color w:val="auto"/>
                <w:sz w:val="24"/>
                <w:highlight w:val="none"/>
                <w:lang w:val="en-US" w:eastAsia="zh-CN"/>
              </w:rPr>
              <w:t>”</w:t>
            </w:r>
            <w:r>
              <w:rPr>
                <w:rFonts w:hint="eastAsia" w:ascii="Times New Roman" w:hAnsi="Times New Roman" w:eastAsia="宋体" w:cs="Times New Roman"/>
                <w:b w:val="0"/>
                <w:bCs/>
                <w:color w:val="auto"/>
                <w:sz w:val="24"/>
                <w:highlight w:val="none"/>
                <w:lang w:val="en-US" w:eastAsia="zh-CN"/>
              </w:rPr>
              <w:t>期间将主要水污染物化学需氧量、氨氮和主要气污染物氮氧化物、挥发性有机物等4项污染物纳入减排范围，作为约束性指标逐级下达并考核。通过计算，本项目总量控制指标如下：</w:t>
            </w:r>
          </w:p>
          <w:p>
            <w:pPr>
              <w:spacing w:line="360" w:lineRule="auto"/>
              <w:ind w:firstLine="481" w:firstLineChars="200"/>
              <w:rPr>
                <w:rFonts w:hint="default" w:ascii="Times New Roman" w:hAnsi="Times New Roman"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1、废水</w:t>
            </w:r>
          </w:p>
          <w:p>
            <w:pPr>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本项目废水不外排，不设总量控制指标。</w:t>
            </w:r>
          </w:p>
          <w:p>
            <w:pPr>
              <w:spacing w:line="360" w:lineRule="auto"/>
              <w:ind w:firstLine="481" w:firstLineChars="200"/>
              <w:rPr>
                <w:rFonts w:hint="eastAsia" w:eastAsia="宋体"/>
                <w:b/>
                <w:bCs/>
                <w:color w:val="auto"/>
                <w:sz w:val="24"/>
                <w:szCs w:val="22"/>
                <w:highlight w:val="none"/>
                <w:lang w:val="en-US" w:eastAsia="zh-CN"/>
              </w:rPr>
            </w:pPr>
            <w:r>
              <w:rPr>
                <w:rFonts w:hint="eastAsia"/>
                <w:b/>
                <w:bCs/>
                <w:color w:val="auto"/>
                <w:sz w:val="24"/>
                <w:szCs w:val="22"/>
                <w:highlight w:val="none"/>
                <w:lang w:val="en-US" w:eastAsia="zh-CN"/>
              </w:rPr>
              <w:t>2、废气</w:t>
            </w:r>
          </w:p>
          <w:p>
            <w:pPr>
              <w:pStyle w:val="60"/>
              <w:keepNext w:val="0"/>
              <w:keepLines w:val="0"/>
              <w:pageBreakBefore w:val="0"/>
              <w:widowControl/>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b w:val="0"/>
                <w:bCs/>
                <w:color w:val="auto"/>
                <w:kern w:val="2"/>
                <w:sz w:val="24"/>
                <w:szCs w:val="21"/>
                <w:highlight w:val="none"/>
                <w:lang w:val="en-US" w:eastAsia="zh-CN" w:bidi="ar-SA"/>
              </w:rPr>
            </w:pPr>
            <w:r>
              <w:rPr>
                <w:rFonts w:hint="eastAsia" w:cs="Times New Roman"/>
                <w:b w:val="0"/>
                <w:bCs/>
                <w:color w:val="auto"/>
                <w:kern w:val="2"/>
                <w:sz w:val="24"/>
                <w:szCs w:val="21"/>
                <w:highlight w:val="none"/>
                <w:lang w:val="en-US" w:eastAsia="zh-CN" w:bidi="ar-SA"/>
              </w:rPr>
              <w:t>海大供热点DA001：</w:t>
            </w:r>
            <w:r>
              <w:rPr>
                <w:rFonts w:hint="eastAsia" w:ascii="Times New Roman" w:hAnsi="Times New Roman" w:eastAsia="宋体" w:cs="Times New Roman"/>
                <w:b w:val="0"/>
                <w:bCs/>
                <w:color w:val="auto"/>
                <w:kern w:val="2"/>
                <w:sz w:val="24"/>
                <w:szCs w:val="21"/>
                <w:highlight w:val="none"/>
                <w:lang w:val="en-US" w:eastAsia="zh-CN" w:bidi="ar-SA"/>
              </w:rPr>
              <w:t>废气排放量为26736万N</w:t>
            </w:r>
            <w:r>
              <w:rPr>
                <w:rFonts w:hint="default" w:ascii="Times New Roman" w:hAnsi="Times New Roman" w:eastAsia="宋体" w:cs="Times New Roman"/>
                <w:b w:val="0"/>
                <w:bCs/>
                <w:color w:val="auto"/>
                <w:kern w:val="2"/>
                <w:sz w:val="24"/>
                <w:szCs w:val="21"/>
                <w:highlight w:val="none"/>
                <w:lang w:val="en-US" w:eastAsia="zh-CN" w:bidi="ar-SA"/>
              </w:rPr>
              <w:t>m</w:t>
            </w:r>
            <w:r>
              <w:rPr>
                <w:rFonts w:hint="default" w:ascii="Times New Roman" w:hAnsi="Times New Roman" w:cs="Times New Roman"/>
                <w:b w:val="0"/>
                <w:bCs/>
                <w:color w:val="auto"/>
                <w:kern w:val="2"/>
                <w:sz w:val="24"/>
                <w:szCs w:val="21"/>
                <w:highlight w:val="none"/>
                <w:lang w:val="en-US" w:eastAsia="zh-CN" w:bidi="ar-SA"/>
              </w:rPr>
              <w:t>³</w:t>
            </w:r>
            <w:r>
              <w:rPr>
                <w:rFonts w:hint="eastAsia" w:ascii="Times New Roman" w:hAnsi="Times New Roman" w:eastAsia="宋体" w:cs="Times New Roman"/>
                <w:b w:val="0"/>
                <w:bCs/>
                <w:color w:val="auto"/>
                <w:kern w:val="2"/>
                <w:sz w:val="24"/>
                <w:szCs w:val="21"/>
                <w:highlight w:val="none"/>
                <w:lang w:val="en-US" w:eastAsia="zh-CN" w:bidi="ar-SA"/>
              </w:rPr>
              <w:t>/a，颗粒物排放量为12.37t/a、SO</w:t>
            </w:r>
            <w:r>
              <w:rPr>
                <w:rFonts w:hint="eastAsia" w:ascii="Times New Roman" w:hAnsi="Times New Roman" w:eastAsia="宋体" w:cs="Times New Roman"/>
                <w:b w:val="0"/>
                <w:bCs/>
                <w:color w:val="auto"/>
                <w:kern w:val="2"/>
                <w:sz w:val="24"/>
                <w:szCs w:val="21"/>
                <w:highlight w:val="none"/>
                <w:vertAlign w:val="subscript"/>
                <w:lang w:val="en-US" w:eastAsia="zh-CN" w:bidi="ar-SA"/>
              </w:rPr>
              <w:t>2</w:t>
            </w:r>
            <w:r>
              <w:rPr>
                <w:rFonts w:hint="eastAsia" w:ascii="Times New Roman" w:hAnsi="Times New Roman" w:eastAsia="宋体" w:cs="Times New Roman"/>
                <w:b w:val="0"/>
                <w:bCs/>
                <w:color w:val="auto"/>
                <w:kern w:val="2"/>
                <w:sz w:val="24"/>
                <w:szCs w:val="21"/>
                <w:highlight w:val="none"/>
                <w:lang w:val="en-US" w:eastAsia="zh-CN" w:bidi="ar-SA"/>
              </w:rPr>
              <w:t>排放量为</w:t>
            </w:r>
            <w:r>
              <w:rPr>
                <w:rFonts w:hint="eastAsia" w:cs="Times New Roman"/>
                <w:b w:val="0"/>
                <w:bCs/>
                <w:color w:val="auto"/>
                <w:kern w:val="2"/>
                <w:sz w:val="24"/>
                <w:szCs w:val="21"/>
                <w:highlight w:val="none"/>
                <w:lang w:val="en-US" w:eastAsia="zh-CN" w:bidi="ar-SA"/>
              </w:rPr>
              <w:t>14.57</w:t>
            </w:r>
            <w:r>
              <w:rPr>
                <w:rFonts w:hint="eastAsia" w:ascii="Times New Roman" w:hAnsi="Times New Roman" w:eastAsia="宋体" w:cs="Times New Roman"/>
                <w:b w:val="0"/>
                <w:bCs/>
                <w:color w:val="auto"/>
                <w:kern w:val="2"/>
                <w:sz w:val="24"/>
                <w:szCs w:val="21"/>
                <w:highlight w:val="none"/>
                <w:lang w:val="en-US" w:eastAsia="zh-CN" w:bidi="ar-SA"/>
              </w:rPr>
              <w:t>t/a、NO</w:t>
            </w:r>
            <w:r>
              <w:rPr>
                <w:rFonts w:hint="eastAsia" w:cs="Times New Roman"/>
                <w:b w:val="0"/>
                <w:bCs/>
                <w:color w:val="auto"/>
                <w:kern w:val="2"/>
                <w:sz w:val="24"/>
                <w:szCs w:val="21"/>
                <w:highlight w:val="none"/>
                <w:lang w:val="en-US" w:eastAsia="zh-CN" w:bidi="ar-SA"/>
              </w:rPr>
              <w:t>x</w:t>
            </w:r>
            <w:r>
              <w:rPr>
                <w:rFonts w:hint="eastAsia" w:ascii="Times New Roman" w:hAnsi="Times New Roman" w:eastAsia="宋体" w:cs="Times New Roman"/>
                <w:b w:val="0"/>
                <w:bCs/>
                <w:color w:val="auto"/>
                <w:kern w:val="2"/>
                <w:sz w:val="24"/>
                <w:szCs w:val="21"/>
                <w:highlight w:val="none"/>
                <w:lang w:val="en-US" w:eastAsia="zh-CN" w:bidi="ar-SA"/>
              </w:rPr>
              <w:t>排放量为</w:t>
            </w:r>
            <w:r>
              <w:rPr>
                <w:rFonts w:hint="eastAsia" w:cs="Times New Roman"/>
                <w:b w:val="0"/>
                <w:bCs/>
                <w:color w:val="auto"/>
                <w:kern w:val="2"/>
                <w:sz w:val="24"/>
                <w:szCs w:val="21"/>
                <w:highlight w:val="none"/>
                <w:lang w:val="en-US" w:eastAsia="zh-CN" w:bidi="ar-SA"/>
              </w:rPr>
              <w:t>43.7</w:t>
            </w:r>
            <w:r>
              <w:rPr>
                <w:rFonts w:hint="eastAsia" w:ascii="Times New Roman" w:hAnsi="Times New Roman" w:eastAsia="宋体" w:cs="Times New Roman"/>
                <w:b w:val="0"/>
                <w:bCs/>
                <w:color w:val="auto"/>
                <w:kern w:val="2"/>
                <w:sz w:val="24"/>
                <w:szCs w:val="21"/>
                <w:highlight w:val="none"/>
                <w:lang w:val="en-US" w:eastAsia="zh-CN" w:bidi="ar-SA"/>
              </w:rPr>
              <w:t>t/a。</w:t>
            </w:r>
          </w:p>
          <w:p>
            <w:pPr>
              <w:pStyle w:val="60"/>
              <w:keepNext w:val="0"/>
              <w:keepLines w:val="0"/>
              <w:pageBreakBefore w:val="0"/>
              <w:widowControl/>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b w:val="0"/>
                <w:bCs/>
                <w:color w:val="auto"/>
                <w:kern w:val="2"/>
                <w:sz w:val="24"/>
                <w:szCs w:val="21"/>
                <w:highlight w:val="none"/>
                <w:lang w:val="en-US" w:eastAsia="zh-CN" w:bidi="ar-SA"/>
              </w:rPr>
            </w:pPr>
            <w:r>
              <w:rPr>
                <w:rFonts w:hint="eastAsia" w:cs="Times New Roman"/>
                <w:b w:val="0"/>
                <w:bCs/>
                <w:color w:val="auto"/>
                <w:kern w:val="2"/>
                <w:sz w:val="24"/>
                <w:szCs w:val="21"/>
                <w:highlight w:val="none"/>
                <w:lang w:val="en-US" w:eastAsia="zh-CN" w:bidi="ar-SA"/>
              </w:rPr>
              <w:t>特驱供热点DA002：</w:t>
            </w:r>
            <w:r>
              <w:rPr>
                <w:rFonts w:hint="eastAsia" w:ascii="Times New Roman" w:hAnsi="Times New Roman" w:eastAsia="宋体" w:cs="Times New Roman"/>
                <w:b w:val="0"/>
                <w:bCs/>
                <w:color w:val="auto"/>
                <w:kern w:val="2"/>
                <w:sz w:val="24"/>
                <w:szCs w:val="21"/>
                <w:highlight w:val="none"/>
                <w:lang w:val="en-US" w:eastAsia="zh-CN" w:bidi="ar-SA"/>
              </w:rPr>
              <w:t>废气排放量为27635万N</w:t>
            </w:r>
            <w:r>
              <w:rPr>
                <w:rFonts w:hint="default" w:ascii="Times New Roman" w:hAnsi="Times New Roman" w:eastAsia="宋体" w:cs="Times New Roman"/>
                <w:b w:val="0"/>
                <w:bCs/>
                <w:color w:val="auto"/>
                <w:kern w:val="2"/>
                <w:sz w:val="24"/>
                <w:szCs w:val="21"/>
                <w:highlight w:val="none"/>
                <w:lang w:val="en-US" w:eastAsia="zh-CN" w:bidi="ar-SA"/>
              </w:rPr>
              <w:t>m</w:t>
            </w:r>
            <w:r>
              <w:rPr>
                <w:rFonts w:hint="default" w:ascii="Times New Roman" w:hAnsi="Times New Roman" w:cs="Times New Roman"/>
                <w:b w:val="0"/>
                <w:bCs/>
                <w:color w:val="auto"/>
                <w:kern w:val="2"/>
                <w:sz w:val="24"/>
                <w:szCs w:val="21"/>
                <w:highlight w:val="none"/>
                <w:lang w:val="en-US" w:eastAsia="zh-CN" w:bidi="ar-SA"/>
              </w:rPr>
              <w:t>³</w:t>
            </w:r>
            <w:r>
              <w:rPr>
                <w:rFonts w:hint="eastAsia" w:ascii="Times New Roman" w:hAnsi="Times New Roman" w:eastAsia="宋体" w:cs="Times New Roman"/>
                <w:b w:val="0"/>
                <w:bCs/>
                <w:color w:val="auto"/>
                <w:kern w:val="2"/>
                <w:sz w:val="24"/>
                <w:szCs w:val="21"/>
                <w:highlight w:val="none"/>
                <w:lang w:val="en-US" w:eastAsia="zh-CN" w:bidi="ar-SA"/>
              </w:rPr>
              <w:t>/a，颗粒物排放量为12.79t/a、SO</w:t>
            </w:r>
            <w:r>
              <w:rPr>
                <w:rFonts w:hint="eastAsia" w:ascii="Times New Roman" w:hAnsi="Times New Roman" w:eastAsia="宋体" w:cs="Times New Roman"/>
                <w:b w:val="0"/>
                <w:bCs/>
                <w:color w:val="auto"/>
                <w:kern w:val="2"/>
                <w:sz w:val="24"/>
                <w:szCs w:val="21"/>
                <w:highlight w:val="none"/>
                <w:vertAlign w:val="subscript"/>
                <w:lang w:val="en-US" w:eastAsia="zh-CN" w:bidi="ar-SA"/>
              </w:rPr>
              <w:t>2</w:t>
            </w:r>
            <w:r>
              <w:rPr>
                <w:rFonts w:hint="eastAsia" w:ascii="Times New Roman" w:hAnsi="Times New Roman" w:eastAsia="宋体" w:cs="Times New Roman"/>
                <w:b w:val="0"/>
                <w:bCs/>
                <w:color w:val="auto"/>
                <w:kern w:val="2"/>
                <w:sz w:val="24"/>
                <w:szCs w:val="21"/>
                <w:highlight w:val="none"/>
                <w:lang w:val="en-US" w:eastAsia="zh-CN" w:bidi="ar-SA"/>
              </w:rPr>
              <w:t>排放量为</w:t>
            </w:r>
            <w:r>
              <w:rPr>
                <w:rFonts w:hint="eastAsia" w:cs="Times New Roman"/>
                <w:b w:val="0"/>
                <w:bCs/>
                <w:color w:val="auto"/>
                <w:kern w:val="2"/>
                <w:sz w:val="24"/>
                <w:szCs w:val="21"/>
                <w:highlight w:val="none"/>
                <w:lang w:val="en-US" w:eastAsia="zh-CN" w:bidi="ar-SA"/>
              </w:rPr>
              <w:t>15.06</w:t>
            </w:r>
            <w:r>
              <w:rPr>
                <w:rFonts w:hint="eastAsia" w:ascii="Times New Roman" w:hAnsi="Times New Roman" w:eastAsia="宋体" w:cs="Times New Roman"/>
                <w:b w:val="0"/>
                <w:bCs/>
                <w:color w:val="auto"/>
                <w:kern w:val="2"/>
                <w:sz w:val="24"/>
                <w:szCs w:val="21"/>
                <w:highlight w:val="none"/>
                <w:lang w:val="en-US" w:eastAsia="zh-CN" w:bidi="ar-SA"/>
              </w:rPr>
              <w:t>t/a、NO</w:t>
            </w:r>
            <w:r>
              <w:rPr>
                <w:rFonts w:hint="eastAsia" w:cs="Times New Roman"/>
                <w:b w:val="0"/>
                <w:bCs/>
                <w:color w:val="auto"/>
                <w:kern w:val="2"/>
                <w:sz w:val="24"/>
                <w:szCs w:val="21"/>
                <w:highlight w:val="none"/>
                <w:lang w:val="en-US" w:eastAsia="zh-CN" w:bidi="ar-SA"/>
              </w:rPr>
              <w:t>x</w:t>
            </w:r>
            <w:r>
              <w:rPr>
                <w:rFonts w:hint="eastAsia" w:ascii="Times New Roman" w:hAnsi="Times New Roman" w:eastAsia="宋体" w:cs="Times New Roman"/>
                <w:b w:val="0"/>
                <w:bCs/>
                <w:color w:val="auto"/>
                <w:kern w:val="2"/>
                <w:sz w:val="24"/>
                <w:szCs w:val="21"/>
                <w:highlight w:val="none"/>
                <w:lang w:val="en-US" w:eastAsia="zh-CN" w:bidi="ar-SA"/>
              </w:rPr>
              <w:t>排放量为</w:t>
            </w:r>
            <w:r>
              <w:rPr>
                <w:rFonts w:hint="eastAsia" w:cs="Times New Roman"/>
                <w:b w:val="0"/>
                <w:bCs/>
                <w:color w:val="auto"/>
                <w:kern w:val="2"/>
                <w:sz w:val="24"/>
                <w:szCs w:val="21"/>
                <w:highlight w:val="none"/>
                <w:lang w:val="en-US" w:eastAsia="zh-CN" w:bidi="ar-SA"/>
              </w:rPr>
              <w:t>45.17</w:t>
            </w:r>
            <w:r>
              <w:rPr>
                <w:rFonts w:hint="eastAsia" w:ascii="Times New Roman" w:hAnsi="Times New Roman" w:eastAsia="宋体" w:cs="Times New Roman"/>
                <w:b w:val="0"/>
                <w:bCs/>
                <w:color w:val="auto"/>
                <w:kern w:val="2"/>
                <w:sz w:val="24"/>
                <w:szCs w:val="21"/>
                <w:highlight w:val="none"/>
                <w:lang w:val="en-US" w:eastAsia="zh-CN" w:bidi="ar-SA"/>
              </w:rPr>
              <w:t>t/a。</w:t>
            </w:r>
          </w:p>
          <w:p>
            <w:pPr>
              <w:pStyle w:val="60"/>
              <w:keepNext w:val="0"/>
              <w:keepLines w:val="0"/>
              <w:pageBreakBefore w:val="0"/>
              <w:widowControl/>
              <w:numPr>
                <w:ilvl w:val="0"/>
                <w:numId w:val="0"/>
              </w:numPr>
              <w:kinsoku/>
              <w:wordWrap/>
              <w:overflowPunct/>
              <w:topLinePunct w:val="0"/>
              <w:autoSpaceDE/>
              <w:autoSpaceDN/>
              <w:bidi w:val="0"/>
              <w:adjustRightInd w:val="0"/>
              <w:snapToGrid/>
              <w:spacing w:line="360" w:lineRule="auto"/>
              <w:ind w:firstLine="480" w:firstLineChars="200"/>
              <w:textAlignment w:val="auto"/>
              <w:rPr>
                <w:rFonts w:hint="default"/>
                <w:b/>
                <w:bCs/>
                <w:color w:val="auto"/>
                <w:sz w:val="24"/>
                <w:szCs w:val="22"/>
                <w:highlight w:val="none"/>
                <w:lang w:val="en-US" w:eastAsia="zh-CN"/>
              </w:rPr>
            </w:pPr>
            <w:r>
              <w:rPr>
                <w:rFonts w:hint="eastAsia" w:cs="Times New Roman"/>
                <w:b w:val="0"/>
                <w:bCs/>
                <w:color w:val="auto"/>
                <w:kern w:val="2"/>
                <w:sz w:val="24"/>
                <w:szCs w:val="21"/>
                <w:highlight w:val="none"/>
                <w:lang w:val="en-US" w:eastAsia="zh-CN" w:bidi="ar-SA"/>
              </w:rPr>
              <w:t>漓源供热点DA003：</w:t>
            </w:r>
            <w:r>
              <w:rPr>
                <w:rFonts w:hint="eastAsia" w:ascii="Times New Roman" w:hAnsi="Times New Roman" w:eastAsia="宋体" w:cs="Times New Roman"/>
                <w:b w:val="0"/>
                <w:bCs/>
                <w:color w:val="auto"/>
                <w:kern w:val="2"/>
                <w:sz w:val="24"/>
                <w:szCs w:val="21"/>
                <w:highlight w:val="none"/>
                <w:lang w:val="en-US" w:eastAsia="zh-CN" w:bidi="ar-SA"/>
              </w:rPr>
              <w:t>废气排放量为4222万N</w:t>
            </w:r>
            <w:r>
              <w:rPr>
                <w:rFonts w:hint="default" w:ascii="Times New Roman" w:hAnsi="Times New Roman" w:eastAsia="宋体" w:cs="Times New Roman"/>
                <w:b w:val="0"/>
                <w:bCs/>
                <w:color w:val="auto"/>
                <w:kern w:val="2"/>
                <w:sz w:val="24"/>
                <w:szCs w:val="21"/>
                <w:highlight w:val="none"/>
                <w:lang w:val="en-US" w:eastAsia="zh-CN" w:bidi="ar-SA"/>
              </w:rPr>
              <w:t>m</w:t>
            </w:r>
            <w:r>
              <w:rPr>
                <w:rFonts w:hint="default" w:ascii="Times New Roman" w:hAnsi="Times New Roman" w:cs="Times New Roman"/>
                <w:b w:val="0"/>
                <w:bCs/>
                <w:color w:val="auto"/>
                <w:kern w:val="2"/>
                <w:sz w:val="24"/>
                <w:szCs w:val="21"/>
                <w:highlight w:val="none"/>
                <w:lang w:val="en-US" w:eastAsia="zh-CN" w:bidi="ar-SA"/>
              </w:rPr>
              <w:t>³</w:t>
            </w:r>
            <w:r>
              <w:rPr>
                <w:rFonts w:hint="eastAsia" w:ascii="Times New Roman" w:hAnsi="Times New Roman" w:eastAsia="宋体" w:cs="Times New Roman"/>
                <w:b w:val="0"/>
                <w:bCs/>
                <w:color w:val="auto"/>
                <w:kern w:val="2"/>
                <w:sz w:val="24"/>
                <w:szCs w:val="21"/>
                <w:highlight w:val="none"/>
                <w:lang w:val="en-US" w:eastAsia="zh-CN" w:bidi="ar-SA"/>
              </w:rPr>
              <w:t>/a，颗粒物排放量为1.95t/a、SO</w:t>
            </w:r>
            <w:r>
              <w:rPr>
                <w:rFonts w:hint="eastAsia" w:ascii="Times New Roman" w:hAnsi="Times New Roman" w:eastAsia="宋体" w:cs="Times New Roman"/>
                <w:b w:val="0"/>
                <w:bCs/>
                <w:color w:val="auto"/>
                <w:kern w:val="2"/>
                <w:sz w:val="24"/>
                <w:szCs w:val="21"/>
                <w:highlight w:val="none"/>
                <w:vertAlign w:val="subscript"/>
                <w:lang w:val="en-US" w:eastAsia="zh-CN" w:bidi="ar-SA"/>
              </w:rPr>
              <w:t>2</w:t>
            </w:r>
            <w:r>
              <w:rPr>
                <w:rFonts w:hint="eastAsia" w:ascii="Times New Roman" w:hAnsi="Times New Roman" w:eastAsia="宋体" w:cs="Times New Roman"/>
                <w:b w:val="0"/>
                <w:bCs/>
                <w:color w:val="auto"/>
                <w:kern w:val="2"/>
                <w:sz w:val="24"/>
                <w:szCs w:val="21"/>
                <w:highlight w:val="none"/>
                <w:lang w:val="en-US" w:eastAsia="zh-CN" w:bidi="ar-SA"/>
              </w:rPr>
              <w:t>排放量为</w:t>
            </w:r>
            <w:r>
              <w:rPr>
                <w:rFonts w:hint="eastAsia" w:cs="Times New Roman"/>
                <w:b w:val="0"/>
                <w:bCs/>
                <w:color w:val="auto"/>
                <w:kern w:val="2"/>
                <w:sz w:val="24"/>
                <w:szCs w:val="21"/>
                <w:highlight w:val="none"/>
                <w:lang w:val="en-US" w:eastAsia="zh-CN" w:bidi="ar-SA"/>
              </w:rPr>
              <w:t>2.3</w:t>
            </w:r>
            <w:r>
              <w:rPr>
                <w:rFonts w:hint="eastAsia" w:ascii="Times New Roman" w:hAnsi="Times New Roman" w:eastAsia="宋体" w:cs="Times New Roman"/>
                <w:b w:val="0"/>
                <w:bCs/>
                <w:color w:val="auto"/>
                <w:kern w:val="2"/>
                <w:sz w:val="24"/>
                <w:szCs w:val="21"/>
                <w:highlight w:val="none"/>
                <w:lang w:val="en-US" w:eastAsia="zh-CN" w:bidi="ar-SA"/>
              </w:rPr>
              <w:t>t/a、NO</w:t>
            </w:r>
            <w:r>
              <w:rPr>
                <w:rFonts w:hint="eastAsia" w:cs="Times New Roman"/>
                <w:b w:val="0"/>
                <w:bCs/>
                <w:color w:val="auto"/>
                <w:kern w:val="2"/>
                <w:sz w:val="24"/>
                <w:szCs w:val="21"/>
                <w:highlight w:val="none"/>
                <w:lang w:val="en-US" w:eastAsia="zh-CN" w:bidi="ar-SA"/>
              </w:rPr>
              <w:t>x</w:t>
            </w:r>
            <w:r>
              <w:rPr>
                <w:rFonts w:hint="eastAsia" w:ascii="Times New Roman" w:hAnsi="Times New Roman" w:eastAsia="宋体" w:cs="Times New Roman"/>
                <w:b w:val="0"/>
                <w:bCs/>
                <w:color w:val="auto"/>
                <w:kern w:val="2"/>
                <w:sz w:val="24"/>
                <w:szCs w:val="21"/>
                <w:highlight w:val="none"/>
                <w:lang w:val="en-US" w:eastAsia="zh-CN" w:bidi="ar-SA"/>
              </w:rPr>
              <w:t>排放量为</w:t>
            </w:r>
            <w:r>
              <w:rPr>
                <w:rFonts w:hint="eastAsia" w:cs="Times New Roman"/>
                <w:b w:val="0"/>
                <w:bCs/>
                <w:color w:val="auto"/>
                <w:kern w:val="2"/>
                <w:sz w:val="24"/>
                <w:szCs w:val="21"/>
                <w:highlight w:val="none"/>
                <w:lang w:val="en-US" w:eastAsia="zh-CN" w:bidi="ar-SA"/>
              </w:rPr>
              <w:t>6.9</w:t>
            </w:r>
            <w:r>
              <w:rPr>
                <w:rFonts w:hint="eastAsia" w:ascii="Times New Roman" w:hAnsi="Times New Roman" w:eastAsia="宋体" w:cs="Times New Roman"/>
                <w:b w:val="0"/>
                <w:bCs/>
                <w:color w:val="auto"/>
                <w:kern w:val="2"/>
                <w:sz w:val="24"/>
                <w:szCs w:val="21"/>
                <w:highlight w:val="none"/>
                <w:lang w:val="en-US" w:eastAsia="zh-CN" w:bidi="ar-SA"/>
              </w:rPr>
              <w:t>t/a。</w:t>
            </w:r>
          </w:p>
        </w:tc>
      </w:tr>
    </w:tbl>
    <w:p>
      <w:pPr>
        <w:pStyle w:val="27"/>
        <w:jc w:val="center"/>
        <w:outlineLvl w:val="0"/>
        <w:rPr>
          <w:rFonts w:hint="default" w:ascii="Times New Roman" w:hAnsi="Times New Roman" w:eastAsia="黑体" w:cs="Times New Roman"/>
          <w:b/>
          <w:bCs/>
          <w:color w:val="auto"/>
          <w:kern w:val="44"/>
          <w:sz w:val="30"/>
          <w:szCs w:val="30"/>
          <w:highlight w:val="none"/>
          <w:lang w:val="en-US" w:eastAsia="zh-CN" w:bidi="ar-SA"/>
        </w:rPr>
      </w:pPr>
      <w:r>
        <w:rPr>
          <w:rFonts w:hint="default" w:ascii="Times New Roman" w:hAnsi="Times New Roman" w:eastAsia="黑体" w:cs="Times New Roman"/>
          <w:snapToGrid w:val="0"/>
          <w:color w:val="auto"/>
          <w:sz w:val="36"/>
          <w:szCs w:val="36"/>
          <w:highlight w:val="none"/>
        </w:rPr>
        <w:br w:type="page"/>
      </w:r>
      <w:bookmarkStart w:id="8" w:name="_Toc10754"/>
      <w:r>
        <w:rPr>
          <w:rFonts w:hint="default" w:ascii="Times New Roman" w:hAnsi="Times New Roman" w:eastAsia="黑体" w:cs="Times New Roman"/>
          <w:b/>
          <w:bCs/>
          <w:color w:val="auto"/>
          <w:kern w:val="44"/>
          <w:sz w:val="30"/>
          <w:szCs w:val="30"/>
          <w:highlight w:val="none"/>
          <w:lang w:val="en-US" w:eastAsia="zh-CN" w:bidi="ar-SA"/>
        </w:rPr>
        <w:t>四、主要环境影响和保护措施</w:t>
      </w:r>
      <w:bookmarkEnd w:id="8"/>
    </w:p>
    <w:tbl>
      <w:tblPr>
        <w:tblStyle w:val="29"/>
        <w:tblW w:w="961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14"/>
        <w:gridCol w:w="910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4" w:type="dxa"/>
            <w:noWrap w:val="0"/>
            <w:tcMar>
              <w:left w:w="28" w:type="dxa"/>
              <w:right w:w="28" w:type="dxa"/>
            </w:tcMar>
            <w:vAlign w:val="center"/>
          </w:tcPr>
          <w:p>
            <w:pPr>
              <w:pStyle w:val="27"/>
              <w:adjustRightInd w:val="0"/>
              <w:snapToGrid w:val="0"/>
              <w:spacing w:before="0" w:beforeAutospacing="0" w:after="0" w:afterAutospacing="0"/>
              <w:jc w:val="center"/>
              <w:rPr>
                <w:rFonts w:hint="default" w:ascii="Times New Roman" w:hAnsi="Times New Roman" w:cs="Times New Roman"/>
                <w:b/>
                <w:bCs/>
                <w:color w:val="auto"/>
                <w:kern w:val="2"/>
                <w:sz w:val="24"/>
                <w:szCs w:val="24"/>
                <w:highlight w:val="none"/>
              </w:rPr>
            </w:pPr>
            <w:r>
              <w:rPr>
                <w:rFonts w:hint="default" w:ascii="Times New Roman" w:hAnsi="Times New Roman" w:cs="Times New Roman"/>
                <w:b/>
                <w:bCs/>
                <w:color w:val="auto"/>
                <w:kern w:val="2"/>
                <w:sz w:val="24"/>
                <w:szCs w:val="24"/>
                <w:highlight w:val="none"/>
              </w:rPr>
              <w:t>施工</w:t>
            </w:r>
          </w:p>
          <w:p>
            <w:pPr>
              <w:pStyle w:val="27"/>
              <w:adjustRightInd w:val="0"/>
              <w:snapToGrid w:val="0"/>
              <w:spacing w:before="0" w:beforeAutospacing="0" w:after="0" w:afterAutospacing="0"/>
              <w:jc w:val="center"/>
              <w:rPr>
                <w:rFonts w:hint="default" w:ascii="Times New Roman" w:hAnsi="Times New Roman" w:cs="Times New Roman"/>
                <w:b/>
                <w:bCs/>
                <w:color w:val="auto"/>
                <w:kern w:val="2"/>
                <w:sz w:val="24"/>
                <w:szCs w:val="24"/>
                <w:highlight w:val="none"/>
              </w:rPr>
            </w:pPr>
            <w:r>
              <w:rPr>
                <w:rFonts w:hint="default" w:ascii="Times New Roman" w:hAnsi="Times New Roman" w:cs="Times New Roman"/>
                <w:b/>
                <w:bCs/>
                <w:color w:val="auto"/>
                <w:kern w:val="2"/>
                <w:sz w:val="24"/>
                <w:szCs w:val="24"/>
                <w:highlight w:val="none"/>
              </w:rPr>
              <w:t>期环</w:t>
            </w:r>
          </w:p>
          <w:p>
            <w:pPr>
              <w:pStyle w:val="27"/>
              <w:adjustRightInd w:val="0"/>
              <w:snapToGrid w:val="0"/>
              <w:spacing w:before="0" w:beforeAutospacing="0" w:after="0" w:afterAutospacing="0"/>
              <w:jc w:val="center"/>
              <w:rPr>
                <w:rFonts w:hint="default" w:ascii="Times New Roman" w:hAnsi="Times New Roman" w:cs="Times New Roman"/>
                <w:b/>
                <w:bCs/>
                <w:color w:val="auto"/>
                <w:kern w:val="2"/>
                <w:sz w:val="24"/>
                <w:szCs w:val="24"/>
                <w:highlight w:val="none"/>
              </w:rPr>
            </w:pPr>
            <w:r>
              <w:rPr>
                <w:rFonts w:hint="default" w:ascii="Times New Roman" w:hAnsi="Times New Roman" w:cs="Times New Roman"/>
                <w:b/>
                <w:bCs/>
                <w:color w:val="auto"/>
                <w:kern w:val="2"/>
                <w:sz w:val="24"/>
                <w:szCs w:val="24"/>
                <w:highlight w:val="none"/>
              </w:rPr>
              <w:t>境保</w:t>
            </w:r>
          </w:p>
          <w:p>
            <w:pPr>
              <w:pStyle w:val="27"/>
              <w:adjustRightInd w:val="0"/>
              <w:snapToGrid w:val="0"/>
              <w:spacing w:before="0" w:beforeAutospacing="0" w:after="0" w:afterAutospacing="0"/>
              <w:jc w:val="center"/>
              <w:rPr>
                <w:rFonts w:hint="default" w:ascii="Times New Roman" w:hAnsi="Times New Roman" w:cs="Times New Roman"/>
                <w:b/>
                <w:bCs/>
                <w:color w:val="auto"/>
                <w:kern w:val="2"/>
                <w:sz w:val="24"/>
                <w:szCs w:val="24"/>
                <w:highlight w:val="none"/>
              </w:rPr>
            </w:pPr>
            <w:r>
              <w:rPr>
                <w:rFonts w:hint="default" w:ascii="Times New Roman" w:hAnsi="Times New Roman" w:cs="Times New Roman"/>
                <w:b/>
                <w:bCs/>
                <w:color w:val="auto"/>
                <w:kern w:val="2"/>
                <w:sz w:val="24"/>
                <w:szCs w:val="24"/>
                <w:highlight w:val="none"/>
              </w:rPr>
              <w:t>护措</w:t>
            </w:r>
          </w:p>
          <w:p>
            <w:pPr>
              <w:pStyle w:val="27"/>
              <w:adjustRightInd w:val="0"/>
              <w:snapToGrid w:val="0"/>
              <w:spacing w:before="0" w:beforeAutospacing="0" w:after="0" w:afterAutospacing="0"/>
              <w:jc w:val="center"/>
              <w:rPr>
                <w:rFonts w:hint="default" w:ascii="Times New Roman" w:hAnsi="Times New Roman" w:cs="Times New Roman"/>
                <w:b/>
                <w:bCs/>
                <w:color w:val="auto"/>
                <w:kern w:val="2"/>
                <w:sz w:val="24"/>
                <w:szCs w:val="24"/>
                <w:highlight w:val="none"/>
              </w:rPr>
            </w:pPr>
            <w:r>
              <w:rPr>
                <w:rFonts w:hint="default" w:ascii="Times New Roman" w:hAnsi="Times New Roman" w:cs="Times New Roman"/>
                <w:b/>
                <w:bCs/>
                <w:color w:val="auto"/>
                <w:kern w:val="2"/>
                <w:sz w:val="24"/>
                <w:szCs w:val="24"/>
                <w:highlight w:val="none"/>
              </w:rPr>
              <w:t>施</w:t>
            </w:r>
          </w:p>
        </w:tc>
        <w:tc>
          <w:tcPr>
            <w:tcW w:w="9102" w:type="dxa"/>
            <w:noWrap w:val="0"/>
            <w:vAlign w:val="center"/>
          </w:tcPr>
          <w:p>
            <w:pPr>
              <w:keepNext w:val="0"/>
              <w:keepLines w:val="0"/>
              <w:pageBreakBefore w:val="0"/>
              <w:kinsoku/>
              <w:wordWrap/>
              <w:overflowPunct/>
              <w:topLinePunct w:val="0"/>
              <w:autoSpaceDE w:val="0"/>
              <w:autoSpaceDN w:val="0"/>
              <w:bidi w:val="0"/>
              <w:snapToGrid/>
              <w:spacing w:line="360" w:lineRule="auto"/>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本项目施工期主要以2台锅炉设备及配套除尘器安装为主，不涉及土建工程。施工期产生的污染物主要是运输车辆尾气、施工器械燃油废气、施工人员生活污水、施工器械及运输车辆噪声、设备包装废料等垃圾。本项目施工期短，只要在施工过程采取合理的污染防治措施，随着施工期的结束环境影响也将消除。</w:t>
            </w:r>
          </w:p>
          <w:p>
            <w:pPr>
              <w:keepNext w:val="0"/>
              <w:keepLines w:val="0"/>
              <w:pageBreakBefore w:val="0"/>
              <w:kinsoku/>
              <w:wordWrap/>
              <w:overflowPunct/>
              <w:topLinePunct w:val="0"/>
              <w:autoSpaceDE w:val="0"/>
              <w:autoSpaceDN w:val="0"/>
              <w:bidi w:val="0"/>
              <w:snapToGrid/>
              <w:spacing w:line="360" w:lineRule="auto"/>
              <w:ind w:firstLine="481" w:firstLineChars="200"/>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1、施工期大气环境保护措施</w:t>
            </w:r>
          </w:p>
          <w:p>
            <w:pPr>
              <w:keepNext w:val="0"/>
              <w:keepLines w:val="0"/>
              <w:pageBreakBefore w:val="0"/>
              <w:kinsoku/>
              <w:wordWrap/>
              <w:overflowPunct/>
              <w:topLinePunct w:val="0"/>
              <w:autoSpaceDE w:val="0"/>
              <w:autoSpaceDN w:val="0"/>
              <w:bidi w:val="0"/>
              <w:snapToGrid/>
              <w:spacing w:line="360" w:lineRule="auto"/>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施工机械、运输车辆消耗油料排放燃油烟气、车辆尾气。这些燃油产生的废气中主要的污染物为NOx、CO和THC等，主要集中在施工现场及运输途中，属于无组织排放。施工机械废气属低架点源无组织排放性质，具有间断性产生、产生量较小、产生点相对分散、易被稀释扩散等特点，一般情况下，施工机械和运输车辆所产生污染在空气中经自然扩散和稀释后，对项目周边的环境保护目标影响小。且施工期结束后，不利影响将随之消失。</w:t>
            </w:r>
          </w:p>
          <w:p>
            <w:pPr>
              <w:keepNext w:val="0"/>
              <w:keepLines w:val="0"/>
              <w:pageBreakBefore w:val="0"/>
              <w:kinsoku/>
              <w:wordWrap/>
              <w:overflowPunct/>
              <w:topLinePunct w:val="0"/>
              <w:autoSpaceDE w:val="0"/>
              <w:autoSpaceDN w:val="0"/>
              <w:bidi w:val="0"/>
              <w:snapToGrid/>
              <w:spacing w:line="360" w:lineRule="auto"/>
              <w:ind w:firstLine="481" w:firstLineChars="200"/>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2、施工期水环境保护措施</w:t>
            </w:r>
          </w:p>
          <w:p>
            <w:pPr>
              <w:keepNext w:val="0"/>
              <w:keepLines w:val="0"/>
              <w:pageBreakBefore w:val="0"/>
              <w:kinsoku/>
              <w:wordWrap/>
              <w:overflowPunct/>
              <w:topLinePunct w:val="0"/>
              <w:autoSpaceDE w:val="0"/>
              <w:autoSpaceDN w:val="0"/>
              <w:bidi w:val="0"/>
              <w:snapToGrid/>
              <w:spacing w:line="360" w:lineRule="auto"/>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施工期产生的废水主要为施工人员的生活污水。施工人员不在项目区食宿，施工人员如厕利用服务企业现有卫生间，产生的生活污水依托服务企业内现有化粪池处理，项目施工期生活污水得到合理、有效的处置。</w:t>
            </w:r>
          </w:p>
          <w:p>
            <w:pPr>
              <w:keepNext w:val="0"/>
              <w:keepLines w:val="0"/>
              <w:pageBreakBefore w:val="0"/>
              <w:kinsoku/>
              <w:wordWrap/>
              <w:overflowPunct/>
              <w:topLinePunct w:val="0"/>
              <w:autoSpaceDE w:val="0"/>
              <w:autoSpaceDN w:val="0"/>
              <w:bidi w:val="0"/>
              <w:snapToGrid/>
              <w:spacing w:line="360" w:lineRule="auto"/>
              <w:ind w:firstLine="481" w:firstLineChars="200"/>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3、施工期声环境保护措施</w:t>
            </w:r>
          </w:p>
          <w:p>
            <w:pPr>
              <w:keepNext w:val="0"/>
              <w:keepLines w:val="0"/>
              <w:pageBreakBefore w:val="0"/>
              <w:kinsoku/>
              <w:wordWrap/>
              <w:overflowPunct/>
              <w:topLinePunct w:val="0"/>
              <w:autoSpaceDE w:val="0"/>
              <w:autoSpaceDN w:val="0"/>
              <w:bidi w:val="0"/>
              <w:snapToGrid/>
              <w:spacing w:line="360" w:lineRule="auto"/>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本项目设备安装过程中，将会产生一定的噪声污染。电锯、电钻、电锤、切割机等施工机械的噪声源强达到95dB（A）以上；施工运输车辆的噪声源强度也超过90dB（A）。施工噪声的特点是突发性和间歇性，随着施工期结束而结束。为降低施工噪声对所在区域环境的影响，环评建议采取适当的措施来减轻噪声的影响。</w:t>
            </w:r>
          </w:p>
          <w:p>
            <w:pPr>
              <w:keepNext w:val="0"/>
              <w:keepLines w:val="0"/>
              <w:pageBreakBefore w:val="0"/>
              <w:numPr>
                <w:ilvl w:val="0"/>
                <w:numId w:val="0"/>
              </w:numPr>
              <w:kinsoku/>
              <w:wordWrap/>
              <w:overflowPunct/>
              <w:topLinePunct w:val="0"/>
              <w:autoSpaceDE w:val="0"/>
              <w:autoSpaceDN w:val="0"/>
              <w:bidi w:val="0"/>
              <w:snapToGrid/>
              <w:spacing w:line="360" w:lineRule="auto"/>
              <w:ind w:firstLine="480" w:firstLineChars="200"/>
              <w:textAlignment w:val="auto"/>
              <w:rPr>
                <w:rFonts w:hint="eastAsia" w:cs="Times New Roman"/>
                <w:color w:val="auto"/>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（1）</w:t>
            </w:r>
            <w:r>
              <w:rPr>
                <w:rFonts w:hint="eastAsia" w:cs="Times New Roman"/>
                <w:color w:val="auto"/>
                <w:sz w:val="24"/>
                <w:szCs w:val="24"/>
                <w:highlight w:val="none"/>
                <w:lang w:val="en-US" w:eastAsia="zh-CN"/>
              </w:rPr>
              <w:t>从声源上控制：使用低噪声机械设备，场地墙体隔声；</w:t>
            </w:r>
          </w:p>
          <w:p>
            <w:pPr>
              <w:keepNext w:val="0"/>
              <w:keepLines w:val="0"/>
              <w:pageBreakBefore w:val="0"/>
              <w:numPr>
                <w:ilvl w:val="0"/>
                <w:numId w:val="0"/>
              </w:numPr>
              <w:kinsoku/>
              <w:wordWrap/>
              <w:overflowPunct/>
              <w:topLinePunct w:val="0"/>
              <w:autoSpaceDE w:val="0"/>
              <w:autoSpaceDN w:val="0"/>
              <w:bidi w:val="0"/>
              <w:snapToGrid/>
              <w:spacing w:line="360" w:lineRule="auto"/>
              <w:ind w:firstLine="480" w:firstLineChars="200"/>
              <w:textAlignment w:val="auto"/>
              <w:rPr>
                <w:rFonts w:hint="eastAsia" w:cs="Times New Roman"/>
                <w:color w:val="auto"/>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（2）</w:t>
            </w:r>
            <w:r>
              <w:rPr>
                <w:rFonts w:hint="eastAsia" w:cs="Times New Roman"/>
                <w:color w:val="auto"/>
                <w:sz w:val="24"/>
                <w:szCs w:val="24"/>
                <w:highlight w:val="none"/>
                <w:lang w:val="en-US" w:eastAsia="zh-CN"/>
              </w:rPr>
              <w:t>在施工机械的设备与基础或连接部位之间采用减振降噪，降低噪声；</w:t>
            </w:r>
          </w:p>
          <w:p>
            <w:pPr>
              <w:keepNext w:val="0"/>
              <w:keepLines w:val="0"/>
              <w:pageBreakBefore w:val="0"/>
              <w:numPr>
                <w:ilvl w:val="0"/>
                <w:numId w:val="0"/>
              </w:numPr>
              <w:kinsoku/>
              <w:wordWrap/>
              <w:overflowPunct/>
              <w:topLinePunct w:val="0"/>
              <w:autoSpaceDE w:val="0"/>
              <w:autoSpaceDN w:val="0"/>
              <w:bidi w:val="0"/>
              <w:snapToGrid/>
              <w:spacing w:line="360" w:lineRule="auto"/>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（3）施工材料运输车辆经过村庄时低速、禁鸣。</w:t>
            </w:r>
          </w:p>
          <w:p>
            <w:pPr>
              <w:keepNext w:val="0"/>
              <w:keepLines w:val="0"/>
              <w:pageBreakBefore w:val="0"/>
              <w:kinsoku/>
              <w:wordWrap/>
              <w:overflowPunct/>
              <w:topLinePunct w:val="0"/>
              <w:autoSpaceDE w:val="0"/>
              <w:autoSpaceDN w:val="0"/>
              <w:bidi w:val="0"/>
              <w:snapToGrid/>
              <w:spacing w:line="360" w:lineRule="auto"/>
              <w:ind w:firstLine="481" w:firstLineChars="200"/>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4、施工期固体废物环境保护措施</w:t>
            </w:r>
          </w:p>
          <w:p>
            <w:pPr>
              <w:keepNext w:val="0"/>
              <w:keepLines w:val="0"/>
              <w:pageBreakBefore w:val="0"/>
              <w:kinsoku/>
              <w:wordWrap/>
              <w:overflowPunct/>
              <w:topLinePunct w:val="0"/>
              <w:autoSpaceDE w:val="0"/>
              <w:autoSpaceDN w:val="0"/>
              <w:bidi w:val="0"/>
              <w:snapToGrid/>
              <w:spacing w:line="360" w:lineRule="auto"/>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本项目施工阶段会产生少量建筑垃圾和施工人员生活垃圾。</w:t>
            </w:r>
          </w:p>
          <w:p>
            <w:pPr>
              <w:keepNext w:val="0"/>
              <w:keepLines w:val="0"/>
              <w:pageBreakBefore w:val="0"/>
              <w:kinsoku/>
              <w:wordWrap/>
              <w:overflowPunct/>
              <w:topLinePunct w:val="0"/>
              <w:autoSpaceDE w:val="0"/>
              <w:autoSpaceDN w:val="0"/>
              <w:bidi w:val="0"/>
              <w:snapToGrid/>
              <w:spacing w:line="360" w:lineRule="auto"/>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建筑垃圾主要是废金属、废弃包装袋，建筑垃圾可进行回收利用。施工人员产生的生活垃圾经分类收集后统一由环卫部门清运处置。</w:t>
            </w:r>
          </w:p>
          <w:p>
            <w:pPr>
              <w:keepNext w:val="0"/>
              <w:keepLines w:val="0"/>
              <w:pageBreakBefore w:val="0"/>
              <w:kinsoku/>
              <w:wordWrap/>
              <w:overflowPunct/>
              <w:topLinePunct w:val="0"/>
              <w:autoSpaceDE w:val="0"/>
              <w:autoSpaceDN w:val="0"/>
              <w:bidi w:val="0"/>
              <w:snapToGrid/>
              <w:spacing w:line="360" w:lineRule="auto"/>
              <w:ind w:firstLine="480" w:firstLineChars="200"/>
              <w:textAlignment w:val="auto"/>
              <w:rPr>
                <w:rFonts w:hint="default" w:cs="Times New Roman"/>
                <w:color w:val="auto"/>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4" w:type="dxa"/>
            <w:tcBorders>
              <w:left w:val="single" w:color="auto" w:sz="4" w:space="0"/>
              <w:bottom w:val="single" w:color="auto" w:sz="4" w:space="0"/>
            </w:tcBorders>
            <w:noWrap w:val="0"/>
            <w:tcMar>
              <w:left w:w="28" w:type="dxa"/>
              <w:right w:w="28" w:type="dxa"/>
            </w:tcMar>
            <w:vAlign w:val="center"/>
          </w:tcPr>
          <w:p>
            <w:pPr>
              <w:adjustRightInd w:val="0"/>
              <w:snapToGrid w:val="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运营</w:t>
            </w:r>
          </w:p>
          <w:p>
            <w:pPr>
              <w:adjustRightInd w:val="0"/>
              <w:snapToGrid w:val="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期环</w:t>
            </w:r>
          </w:p>
          <w:p>
            <w:pPr>
              <w:adjustRightInd w:val="0"/>
              <w:snapToGrid w:val="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境影</w:t>
            </w:r>
          </w:p>
          <w:p>
            <w:pPr>
              <w:adjustRightInd w:val="0"/>
              <w:snapToGrid w:val="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响和</w:t>
            </w:r>
          </w:p>
          <w:p>
            <w:pPr>
              <w:adjustRightInd w:val="0"/>
              <w:snapToGrid w:val="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保护</w:t>
            </w:r>
          </w:p>
          <w:p>
            <w:pPr>
              <w:adjustRightInd w:val="0"/>
              <w:snapToGrid w:val="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措施</w:t>
            </w:r>
          </w:p>
        </w:tc>
        <w:tc>
          <w:tcPr>
            <w:tcW w:w="9102" w:type="dxa"/>
            <w:tcBorders>
              <w:bottom w:val="single" w:color="auto" w:sz="4" w:space="0"/>
              <w:right w:val="single" w:color="auto" w:sz="4" w:space="0"/>
            </w:tcBorders>
            <w:noWrap w:val="0"/>
            <w:vAlign w:val="center"/>
          </w:tcPr>
          <w:p>
            <w:pPr>
              <w:pStyle w:val="74"/>
              <w:pageBreakBefore w:val="0"/>
              <w:widowControl w:val="0"/>
              <w:numPr>
                <w:ilvl w:val="0"/>
                <w:numId w:val="0"/>
              </w:numPr>
              <w:kinsoku/>
              <w:wordWrap/>
              <w:overflowPunct/>
              <w:topLinePunct w:val="0"/>
              <w:autoSpaceDE/>
              <w:autoSpaceDN/>
              <w:bidi w:val="0"/>
              <w:adjustRightInd/>
              <w:snapToGrid/>
              <w:spacing w:before="0" w:beforeLines="0" w:after="0" w:afterLines="0"/>
              <w:ind w:leftChars="200"/>
              <w:textAlignment w:val="auto"/>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一、运营期大气环境影响</w:t>
            </w:r>
            <w:r>
              <w:rPr>
                <w:rFonts w:hint="eastAsia" w:eastAsia="宋体" w:cs="Times New Roman"/>
                <w:b/>
                <w:bCs/>
                <w:color w:val="auto"/>
                <w:highlight w:val="none"/>
                <w:lang w:val="en-US" w:eastAsia="zh-CN"/>
              </w:rPr>
              <w:t>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3"/>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项目运营期产生的废气主要为锅炉烟气，堆渣间产生的少量粉尘。</w:t>
            </w:r>
          </w:p>
          <w:p>
            <w:pPr>
              <w:pStyle w:val="74"/>
              <w:pageBreakBefore w:val="0"/>
              <w:widowControl w:val="0"/>
              <w:numPr>
                <w:ilvl w:val="0"/>
                <w:numId w:val="0"/>
              </w:numPr>
              <w:kinsoku/>
              <w:wordWrap/>
              <w:overflowPunct/>
              <w:topLinePunct w:val="0"/>
              <w:autoSpaceDE/>
              <w:autoSpaceDN/>
              <w:bidi w:val="0"/>
              <w:adjustRightInd/>
              <w:snapToGrid/>
              <w:spacing w:before="0" w:beforeLines="0" w:after="0" w:afterLines="0"/>
              <w:ind w:leftChars="200"/>
              <w:textAlignment w:val="auto"/>
              <w:rPr>
                <w:rFonts w:hint="default" w:ascii="Times New Roman" w:hAnsi="Times New Roman" w:eastAsia="宋体" w:cs="Times New Roman"/>
                <w:b/>
                <w:bCs/>
                <w:color w:val="auto"/>
                <w:highlight w:val="none"/>
                <w:lang w:val="en-US" w:eastAsia="zh-CN"/>
              </w:rPr>
            </w:pPr>
            <w:r>
              <w:rPr>
                <w:rFonts w:hint="eastAsia" w:eastAsia="宋体" w:cs="Times New Roman"/>
                <w:b/>
                <w:bCs/>
                <w:color w:val="auto"/>
                <w:highlight w:val="none"/>
                <w:lang w:val="en-US" w:eastAsia="zh-CN"/>
              </w:rPr>
              <w:t>1、锅炉烟气</w:t>
            </w:r>
          </w:p>
          <w:p>
            <w:pPr>
              <w:autoSpaceDE w:val="0"/>
              <w:autoSpaceDN w:val="0"/>
              <w:adjustRightInd w:val="0"/>
              <w:spacing w:line="360" w:lineRule="auto"/>
              <w:ind w:firstLine="474" w:firstLineChars="197"/>
              <w:rPr>
                <w:rFonts w:hint="default" w:hAnsi="宋体" w:cs="Times New Roman"/>
                <w:b/>
                <w:bCs/>
                <w:color w:val="auto"/>
                <w:sz w:val="24"/>
                <w:highlight w:val="none"/>
                <w:lang w:val="en-US" w:eastAsia="zh-CN"/>
              </w:rPr>
            </w:pPr>
            <w:r>
              <w:rPr>
                <w:rFonts w:hint="eastAsia" w:hAnsi="宋体" w:cs="Times New Roman"/>
                <w:b/>
                <w:bCs/>
                <w:color w:val="auto"/>
                <w:sz w:val="24"/>
                <w:highlight w:val="none"/>
                <w:lang w:val="en-US" w:eastAsia="zh-CN"/>
              </w:rPr>
              <w:t>（1）生物质燃料消耗量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firstLineChars="200"/>
              <w:textAlignment w:val="auto"/>
              <w:outlineLvl w:val="3"/>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kern w:val="2"/>
                <w:sz w:val="24"/>
                <w:szCs w:val="24"/>
                <w:highlight w:val="none"/>
                <w:lang w:val="en-US" w:eastAsia="zh-CN" w:bidi="ar-SA"/>
              </w:rPr>
              <w:t>1）</w:t>
            </w:r>
            <w:r>
              <w:rPr>
                <w:rFonts w:hint="eastAsia" w:ascii="Times New Roman" w:hAnsi="Times New Roman" w:eastAsia="宋体" w:cs="Times New Roman"/>
                <w:b/>
                <w:bCs/>
                <w:color w:val="auto"/>
                <w:sz w:val="24"/>
                <w:szCs w:val="24"/>
                <w:highlight w:val="none"/>
                <w:lang w:val="en-US" w:eastAsia="zh-CN"/>
              </w:rPr>
              <w:t>海大供热点生物质燃料消耗量</w:t>
            </w:r>
          </w:p>
          <w:p>
            <w:pPr>
              <w:autoSpaceDE w:val="0"/>
              <w:autoSpaceDN w:val="0"/>
              <w:adjustRightInd w:val="0"/>
              <w:spacing w:line="360" w:lineRule="auto"/>
              <w:ind w:firstLine="480" w:firstLineChars="200"/>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海大供热点建设3台锅炉，分别为4t/h一台、6t/h一台、15t/h一台，3台锅炉共用一根排气筒DA001，装机总容量为25t/h，即海大供热点锅炉总蒸发量为25t/h。锅炉额定出蒸汽温度为194℃，生产运行时间每天24h，330d/a，7920h/a。</w:t>
            </w:r>
          </w:p>
          <w:p>
            <w:pPr>
              <w:autoSpaceDE w:val="0"/>
              <w:autoSpaceDN w:val="0"/>
              <w:adjustRightInd w:val="0"/>
              <w:spacing w:line="360" w:lineRule="auto"/>
              <w:ind w:firstLine="480" w:firstLineChars="200"/>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根据建设单位使用的生物质颗粒成分检验结果，本项目生物质燃料热值为17.108MJ/kg。根据Q</w:t>
            </w:r>
            <w:r>
              <w:rPr>
                <w:rFonts w:hint="eastAsia" w:ascii="Times New Roman" w:hAnsi="Times New Roman" w:eastAsia="宋体" w:cs="Times New Roman"/>
                <w:b w:val="0"/>
                <w:bCs w:val="0"/>
                <w:color w:val="auto"/>
                <w:sz w:val="24"/>
                <w:szCs w:val="24"/>
                <w:highlight w:val="none"/>
                <w:vertAlign w:val="subscript"/>
                <w:lang w:val="en-US" w:eastAsia="zh-CN"/>
              </w:rPr>
              <w:t>放</w:t>
            </w:r>
            <w:r>
              <w:rPr>
                <w:rFonts w:hint="eastAsia" w:ascii="Times New Roman" w:hAnsi="Times New Roman" w:eastAsia="宋体" w:cs="Times New Roman"/>
                <w:b w:val="0"/>
                <w:bCs w:val="0"/>
                <w:color w:val="auto"/>
                <w:sz w:val="24"/>
                <w:szCs w:val="24"/>
                <w:highlight w:val="none"/>
                <w:lang w:val="en-US" w:eastAsia="zh-CN"/>
              </w:rPr>
              <w:t>=Q</w:t>
            </w:r>
            <w:r>
              <w:rPr>
                <w:rFonts w:hint="eastAsia" w:ascii="Times New Roman" w:hAnsi="Times New Roman" w:eastAsia="宋体" w:cs="Times New Roman"/>
                <w:b w:val="0"/>
                <w:bCs w:val="0"/>
                <w:color w:val="auto"/>
                <w:sz w:val="24"/>
                <w:szCs w:val="24"/>
                <w:highlight w:val="none"/>
                <w:vertAlign w:val="subscript"/>
                <w:lang w:val="en-US" w:eastAsia="zh-CN"/>
              </w:rPr>
              <w:t>吸</w:t>
            </w:r>
            <w:r>
              <w:rPr>
                <w:rFonts w:hint="eastAsia" w:ascii="Times New Roman" w:hAnsi="Times New Roman" w:eastAsia="宋体" w:cs="Times New Roman"/>
                <w:b w:val="0"/>
                <w:bCs w:val="0"/>
                <w:color w:val="auto"/>
                <w:sz w:val="24"/>
                <w:szCs w:val="24"/>
                <w:highlight w:val="none"/>
                <w:lang w:val="en-US" w:eastAsia="zh-CN"/>
              </w:rPr>
              <w:t>公式，以水蒸汽吸热量反推出生物质颗粒释放热量，本项目所需水蒸气的热量值公式如下：</w:t>
            </w:r>
          </w:p>
          <w:p>
            <w:pPr>
              <w:autoSpaceDE w:val="0"/>
              <w:autoSpaceDN w:val="0"/>
              <w:adjustRightInd w:val="0"/>
              <w:spacing w:line="360" w:lineRule="auto"/>
              <w:ind w:firstLine="472" w:firstLineChars="197"/>
              <w:jc w:val="center"/>
              <w:rPr>
                <w:rFonts w:hint="default" w:hAnsi="宋体" w:cs="Times New Roman"/>
                <w:b w:val="0"/>
                <w:bCs w:val="0"/>
                <w:color w:val="auto"/>
                <w:sz w:val="24"/>
                <w:highlight w:val="none"/>
                <w:lang w:val="en-US" w:eastAsia="zh-CN"/>
              </w:rPr>
            </w:pPr>
            <w:r>
              <w:rPr>
                <w:rFonts w:hint="eastAsia" w:hAnsi="宋体" w:cs="Times New Roman"/>
                <w:b w:val="0"/>
                <w:bCs w:val="0"/>
                <w:color w:val="auto"/>
                <w:sz w:val="24"/>
                <w:highlight w:val="none"/>
                <w:lang w:val="en-US" w:eastAsia="zh-CN"/>
              </w:rPr>
              <w:t>Q=C×m×Δt</w:t>
            </w:r>
          </w:p>
          <w:p>
            <w:pPr>
              <w:autoSpaceDE w:val="0"/>
              <w:autoSpaceDN w:val="0"/>
              <w:adjustRightInd w:val="0"/>
              <w:spacing w:line="360" w:lineRule="auto"/>
              <w:ind w:firstLine="472" w:firstLineChars="197"/>
              <w:rPr>
                <w:rFonts w:hint="eastAsia" w:hAnsi="宋体" w:cs="Times New Roman"/>
                <w:b w:val="0"/>
                <w:bCs w:val="0"/>
                <w:color w:val="auto"/>
                <w:sz w:val="24"/>
                <w:highlight w:val="none"/>
                <w:lang w:val="en-US" w:eastAsia="zh-CN"/>
              </w:rPr>
            </w:pPr>
            <w:r>
              <w:rPr>
                <w:rFonts w:hint="eastAsia" w:hAnsi="宋体" w:cs="Times New Roman"/>
                <w:b w:val="0"/>
                <w:bCs w:val="0"/>
                <w:color w:val="auto"/>
                <w:sz w:val="24"/>
                <w:highlight w:val="none"/>
                <w:lang w:val="en-US" w:eastAsia="zh-CN"/>
              </w:rPr>
              <w:t>式中：Q—热量，J；</w:t>
            </w:r>
          </w:p>
          <w:p>
            <w:pPr>
              <w:autoSpaceDE w:val="0"/>
              <w:autoSpaceDN w:val="0"/>
              <w:adjustRightInd w:val="0"/>
              <w:spacing w:line="360" w:lineRule="auto"/>
              <w:ind w:firstLine="1192" w:firstLineChars="497"/>
              <w:rPr>
                <w:rFonts w:hint="eastAsia" w:hAnsi="宋体" w:cs="Times New Roman"/>
                <w:b w:val="0"/>
                <w:bCs w:val="0"/>
                <w:color w:val="auto"/>
                <w:sz w:val="24"/>
                <w:highlight w:val="none"/>
                <w:lang w:val="en-US" w:eastAsia="zh-CN"/>
              </w:rPr>
            </w:pPr>
            <w:r>
              <w:rPr>
                <w:rFonts w:hint="eastAsia" w:hAnsi="宋体" w:cs="Times New Roman"/>
                <w:b w:val="0"/>
                <w:bCs w:val="0"/>
                <w:color w:val="auto"/>
                <w:sz w:val="24"/>
                <w:highlight w:val="none"/>
                <w:lang w:val="en-US" w:eastAsia="zh-CN"/>
              </w:rPr>
              <w:t>C一比热容，J/(kg•℃)；</w:t>
            </w:r>
          </w:p>
          <w:p>
            <w:pPr>
              <w:autoSpaceDE w:val="0"/>
              <w:autoSpaceDN w:val="0"/>
              <w:adjustRightInd w:val="0"/>
              <w:spacing w:line="360" w:lineRule="auto"/>
              <w:ind w:firstLine="1192" w:firstLineChars="497"/>
              <w:rPr>
                <w:rFonts w:hint="eastAsia" w:hAnsi="宋体" w:cs="Times New Roman"/>
                <w:b w:val="0"/>
                <w:bCs w:val="0"/>
                <w:color w:val="auto"/>
                <w:sz w:val="24"/>
                <w:highlight w:val="none"/>
                <w:lang w:val="en-US" w:eastAsia="zh-CN"/>
              </w:rPr>
            </w:pPr>
            <w:r>
              <w:rPr>
                <w:rFonts w:hint="eastAsia" w:hAnsi="宋体" w:cs="Times New Roman"/>
                <w:b w:val="0"/>
                <w:bCs w:val="0"/>
                <w:color w:val="auto"/>
                <w:sz w:val="24"/>
                <w:highlight w:val="none"/>
                <w:lang w:val="en-US" w:eastAsia="zh-CN"/>
              </w:rPr>
              <w:t>m—物体的质量，kg；</w:t>
            </w:r>
          </w:p>
          <w:p>
            <w:pPr>
              <w:autoSpaceDE w:val="0"/>
              <w:autoSpaceDN w:val="0"/>
              <w:adjustRightInd w:val="0"/>
              <w:spacing w:line="360" w:lineRule="auto"/>
              <w:ind w:firstLine="1192" w:firstLineChars="497"/>
              <w:rPr>
                <w:rFonts w:hint="eastAsia" w:hAnsi="宋体" w:cs="Times New Roman"/>
                <w:b w:val="0"/>
                <w:bCs w:val="0"/>
                <w:color w:val="auto"/>
                <w:sz w:val="24"/>
                <w:highlight w:val="none"/>
                <w:lang w:val="en-US" w:eastAsia="zh-CN"/>
              </w:rPr>
            </w:pPr>
            <w:r>
              <w:rPr>
                <w:rFonts w:hint="eastAsia" w:hAnsi="宋体" w:cs="Times New Roman"/>
                <w:b w:val="0"/>
                <w:bCs w:val="0"/>
                <w:color w:val="auto"/>
                <w:sz w:val="24"/>
                <w:highlight w:val="none"/>
                <w:lang w:val="en-US" w:eastAsia="zh-CN"/>
              </w:rPr>
              <w:t>Δt—吸热前后的温度差，℃。</w:t>
            </w:r>
          </w:p>
          <w:p>
            <w:pPr>
              <w:autoSpaceDE w:val="0"/>
              <w:autoSpaceDN w:val="0"/>
              <w:adjustRightInd w:val="0"/>
              <w:spacing w:line="360" w:lineRule="auto"/>
              <w:ind w:firstLine="472" w:firstLineChars="197"/>
              <w:rPr>
                <w:rFonts w:hint="eastAsia" w:hAnsi="宋体" w:cs="Times New Roman"/>
                <w:b w:val="0"/>
                <w:bCs w:val="0"/>
                <w:color w:val="auto"/>
                <w:sz w:val="24"/>
                <w:highlight w:val="none"/>
                <w:lang w:val="en-US" w:eastAsia="zh-CN"/>
              </w:rPr>
            </w:pPr>
            <w:r>
              <w:rPr>
                <w:rFonts w:hint="eastAsia" w:hAnsi="宋体" w:cs="Times New Roman"/>
                <w:b w:val="0"/>
                <w:bCs w:val="0"/>
                <w:color w:val="auto"/>
                <w:sz w:val="24"/>
                <w:highlight w:val="none"/>
                <w:lang w:val="en-US" w:eastAsia="zh-CN"/>
              </w:rPr>
              <w:t>①25℃常温水加热至100℃水：Δt=75℃；100℃水的比热容C=4.2×10</w:t>
            </w:r>
            <w:r>
              <w:rPr>
                <w:rFonts w:hint="eastAsia" w:hAnsi="宋体" w:cs="Times New Roman"/>
                <w:b w:val="0"/>
                <w:bCs w:val="0"/>
                <w:color w:val="auto"/>
                <w:sz w:val="24"/>
                <w:highlight w:val="none"/>
                <w:vertAlign w:val="superscript"/>
                <w:lang w:val="en-US" w:eastAsia="zh-CN"/>
              </w:rPr>
              <w:t>3</w:t>
            </w:r>
            <w:r>
              <w:rPr>
                <w:rFonts w:hint="eastAsia" w:hAnsi="宋体" w:cs="Times New Roman"/>
                <w:b w:val="0"/>
                <w:bCs w:val="0"/>
                <w:color w:val="auto"/>
                <w:sz w:val="24"/>
                <w:highlight w:val="none"/>
                <w:lang w:val="en-US" w:eastAsia="zh-CN"/>
              </w:rPr>
              <w:t>J/(kg•℃)；锅炉的总蒸发量为25t/h，生产过程，3台锅炉运行1h所需的热量Q</w:t>
            </w:r>
            <w:r>
              <w:rPr>
                <w:rFonts w:hint="eastAsia" w:hAnsi="宋体" w:cs="Times New Roman"/>
                <w:b w:val="0"/>
                <w:bCs w:val="0"/>
                <w:color w:val="auto"/>
                <w:sz w:val="24"/>
                <w:highlight w:val="none"/>
                <w:vertAlign w:val="subscript"/>
                <w:lang w:val="en-US" w:eastAsia="zh-CN"/>
              </w:rPr>
              <w:t>水吸</w:t>
            </w:r>
            <w:r>
              <w:rPr>
                <w:rFonts w:hint="eastAsia" w:hAnsi="宋体" w:cs="Times New Roman"/>
                <w:b w:val="0"/>
                <w:bCs w:val="0"/>
                <w:color w:val="auto"/>
                <w:sz w:val="24"/>
                <w:highlight w:val="none"/>
                <w:lang w:val="en-US" w:eastAsia="zh-CN"/>
              </w:rPr>
              <w:t>=Q</w:t>
            </w:r>
            <w:r>
              <w:rPr>
                <w:rFonts w:hint="eastAsia" w:hAnsi="宋体" w:cs="Times New Roman"/>
                <w:b w:val="0"/>
                <w:bCs w:val="0"/>
                <w:color w:val="auto"/>
                <w:sz w:val="24"/>
                <w:highlight w:val="none"/>
                <w:vertAlign w:val="subscript"/>
                <w:lang w:val="en-US" w:eastAsia="zh-CN"/>
              </w:rPr>
              <w:t>生物质放</w:t>
            </w:r>
            <w:r>
              <w:rPr>
                <w:rFonts w:hint="eastAsia" w:hAnsi="宋体" w:cs="Times New Roman"/>
                <w:b w:val="0"/>
                <w:bCs w:val="0"/>
                <w:color w:val="auto"/>
                <w:sz w:val="24"/>
                <w:highlight w:val="none"/>
                <w:lang w:val="en-US" w:eastAsia="zh-CN"/>
              </w:rPr>
              <w:t>=7.875×10</w:t>
            </w:r>
            <w:r>
              <w:rPr>
                <w:rFonts w:hint="eastAsia" w:hAnsi="宋体" w:cs="Times New Roman"/>
                <w:b w:val="0"/>
                <w:bCs w:val="0"/>
                <w:color w:val="auto"/>
                <w:sz w:val="24"/>
                <w:highlight w:val="none"/>
                <w:vertAlign w:val="superscript"/>
                <w:lang w:val="en-US" w:eastAsia="zh-CN"/>
              </w:rPr>
              <w:t>9</w:t>
            </w:r>
            <w:r>
              <w:rPr>
                <w:rFonts w:hint="eastAsia" w:hAnsi="宋体" w:cs="Times New Roman"/>
                <w:b w:val="0"/>
                <w:bCs w:val="0"/>
                <w:color w:val="auto"/>
                <w:sz w:val="24"/>
                <w:highlight w:val="none"/>
                <w:lang w:val="en-US" w:eastAsia="zh-CN"/>
              </w:rPr>
              <w:t>J；则锅炉运行1h的生物质消耗量=(7.875×10</w:t>
            </w:r>
            <w:r>
              <w:rPr>
                <w:rFonts w:hint="eastAsia" w:hAnsi="宋体" w:cs="Times New Roman"/>
                <w:b w:val="0"/>
                <w:bCs w:val="0"/>
                <w:color w:val="auto"/>
                <w:sz w:val="24"/>
                <w:highlight w:val="none"/>
                <w:vertAlign w:val="superscript"/>
                <w:lang w:val="en-US" w:eastAsia="zh-CN"/>
              </w:rPr>
              <w:t>9</w:t>
            </w:r>
            <w:r>
              <w:rPr>
                <w:rFonts w:hint="eastAsia" w:hAnsi="宋体" w:cs="Times New Roman"/>
                <w:b w:val="0"/>
                <w:bCs w:val="0"/>
                <w:color w:val="auto"/>
                <w:sz w:val="24"/>
                <w:highlight w:val="none"/>
                <w:lang w:val="en-US" w:eastAsia="zh-CN"/>
              </w:rPr>
              <w:t>J)/(17.108MJ/kg)=460kg。</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3"/>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②经查询，100℃水加热变成194℃水蒸汽：吸收汽化热大约是2788.4kJ/kg。锅炉的总蒸发量为25t/h，则生产过程锅炉运行1h所需的热量Q</w:t>
            </w:r>
            <w:r>
              <w:rPr>
                <w:rFonts w:hint="eastAsia" w:ascii="Times New Roman" w:hAnsi="Times New Roman" w:eastAsia="宋体" w:cs="Times New Roman"/>
                <w:b w:val="0"/>
                <w:bCs w:val="0"/>
                <w:color w:val="auto"/>
                <w:sz w:val="24"/>
                <w:szCs w:val="24"/>
                <w:highlight w:val="none"/>
                <w:vertAlign w:val="subscript"/>
                <w:lang w:val="en-US" w:eastAsia="zh-CN"/>
              </w:rPr>
              <w:t>水吸</w:t>
            </w:r>
            <w:r>
              <w:rPr>
                <w:rFonts w:hint="eastAsia" w:ascii="Times New Roman" w:hAnsi="Times New Roman" w:eastAsia="宋体" w:cs="Times New Roman"/>
                <w:b w:val="0"/>
                <w:bCs w:val="0"/>
                <w:color w:val="auto"/>
                <w:sz w:val="24"/>
                <w:szCs w:val="24"/>
                <w:highlight w:val="none"/>
                <w:lang w:val="en-US" w:eastAsia="zh-CN"/>
              </w:rPr>
              <w:t>=Q</w:t>
            </w:r>
            <w:r>
              <w:rPr>
                <w:rFonts w:hint="eastAsia" w:ascii="Times New Roman" w:hAnsi="Times New Roman" w:eastAsia="宋体" w:cs="Times New Roman"/>
                <w:b w:val="0"/>
                <w:bCs w:val="0"/>
                <w:color w:val="auto"/>
                <w:sz w:val="24"/>
                <w:szCs w:val="24"/>
                <w:highlight w:val="none"/>
                <w:vertAlign w:val="subscript"/>
                <w:lang w:val="en-US" w:eastAsia="zh-CN"/>
              </w:rPr>
              <w:t>生物质放</w:t>
            </w:r>
            <w:r>
              <w:rPr>
                <w:rFonts w:hint="eastAsia" w:ascii="Times New Roman" w:hAnsi="Times New Roman" w:eastAsia="宋体" w:cs="Times New Roman"/>
                <w:b w:val="0"/>
                <w:bCs w:val="0"/>
                <w:color w:val="auto"/>
                <w:sz w:val="24"/>
                <w:szCs w:val="24"/>
                <w:highlight w:val="none"/>
                <w:lang w:val="en-US" w:eastAsia="zh-CN"/>
              </w:rPr>
              <w:t>=25000kg×2788.4kJ/kg=6.97×10</w:t>
            </w:r>
            <w:r>
              <w:rPr>
                <w:rFonts w:hint="eastAsia" w:ascii="Times New Roman" w:hAnsi="Times New Roman" w:eastAsia="宋体" w:cs="Times New Roman"/>
                <w:b w:val="0"/>
                <w:bCs w:val="0"/>
                <w:color w:val="auto"/>
                <w:sz w:val="24"/>
                <w:szCs w:val="24"/>
                <w:highlight w:val="none"/>
                <w:vertAlign w:val="superscript"/>
                <w:lang w:val="en-US" w:eastAsia="zh-CN"/>
              </w:rPr>
              <w:t>7</w:t>
            </w:r>
            <w:r>
              <w:rPr>
                <w:rFonts w:hint="eastAsia" w:ascii="Times New Roman" w:hAnsi="Times New Roman" w:eastAsia="宋体" w:cs="Times New Roman"/>
                <w:b w:val="0"/>
                <w:bCs w:val="0"/>
                <w:color w:val="auto"/>
                <w:sz w:val="24"/>
                <w:szCs w:val="24"/>
                <w:highlight w:val="none"/>
                <w:lang w:val="en-US" w:eastAsia="zh-CN"/>
              </w:rPr>
              <w:t>kJ；1h生物质消耗量=(6.97×10</w:t>
            </w:r>
            <w:r>
              <w:rPr>
                <w:rFonts w:hint="eastAsia" w:ascii="Times New Roman" w:hAnsi="Times New Roman" w:eastAsia="宋体" w:cs="Times New Roman"/>
                <w:b w:val="0"/>
                <w:bCs w:val="0"/>
                <w:color w:val="auto"/>
                <w:sz w:val="24"/>
                <w:szCs w:val="24"/>
                <w:highlight w:val="none"/>
                <w:vertAlign w:val="superscript"/>
                <w:lang w:val="en-US" w:eastAsia="zh-CN"/>
              </w:rPr>
              <w:t>7</w:t>
            </w:r>
            <w:r>
              <w:rPr>
                <w:rFonts w:hint="eastAsia" w:ascii="Times New Roman" w:hAnsi="Times New Roman" w:eastAsia="宋体" w:cs="Times New Roman"/>
                <w:b w:val="0"/>
                <w:bCs w:val="0"/>
                <w:color w:val="auto"/>
                <w:sz w:val="24"/>
                <w:szCs w:val="24"/>
                <w:highlight w:val="none"/>
                <w:lang w:val="en-US" w:eastAsia="zh-CN"/>
              </w:rPr>
              <w:t>kJ)/(17.108MJ/kg）=4074kg。</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3"/>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③</w:t>
            </w:r>
            <w:r>
              <w:rPr>
                <w:rFonts w:hint="default" w:ascii="Times New Roman" w:hAnsi="Times New Roman" w:eastAsia="宋体" w:cs="Times New Roman"/>
                <w:b w:val="0"/>
                <w:bCs w:val="0"/>
                <w:color w:val="auto"/>
                <w:sz w:val="24"/>
                <w:szCs w:val="24"/>
                <w:highlight w:val="none"/>
                <w:lang w:val="en-US" w:eastAsia="zh-CN"/>
              </w:rPr>
              <w:t>综上，25℃常温水变成</w:t>
            </w:r>
            <w:r>
              <w:rPr>
                <w:rFonts w:hint="eastAsia" w:ascii="Times New Roman" w:hAnsi="Times New Roman" w:eastAsia="宋体" w:cs="Times New Roman"/>
                <w:b w:val="0"/>
                <w:bCs w:val="0"/>
                <w:color w:val="auto"/>
                <w:sz w:val="24"/>
                <w:szCs w:val="24"/>
                <w:highlight w:val="none"/>
                <w:lang w:val="en-US" w:eastAsia="zh-CN"/>
              </w:rPr>
              <w:t>194℃的</w:t>
            </w:r>
            <w:r>
              <w:rPr>
                <w:rFonts w:hint="default" w:ascii="Times New Roman" w:hAnsi="Times New Roman" w:eastAsia="宋体" w:cs="Times New Roman"/>
                <w:b w:val="0"/>
                <w:bCs w:val="0"/>
                <w:color w:val="auto"/>
                <w:sz w:val="24"/>
                <w:szCs w:val="24"/>
                <w:highlight w:val="none"/>
                <w:lang w:val="en-US" w:eastAsia="zh-CN"/>
              </w:rPr>
              <w:t>蒸汽</w:t>
            </w:r>
            <w:r>
              <w:rPr>
                <w:rFonts w:hint="eastAsia" w:ascii="Times New Roman" w:hAnsi="Times New Roman" w:eastAsia="宋体" w:cs="Times New Roman"/>
                <w:b w:val="0"/>
                <w:bCs w:val="0"/>
                <w:color w:val="auto"/>
                <w:sz w:val="24"/>
                <w:szCs w:val="24"/>
                <w:highlight w:val="none"/>
                <w:lang w:val="en-US" w:eastAsia="zh-CN"/>
              </w:rPr>
              <w:t>：锅炉</w:t>
            </w:r>
            <w:r>
              <w:rPr>
                <w:rFonts w:hint="default" w:ascii="Times New Roman" w:hAnsi="Times New Roman" w:eastAsia="宋体" w:cs="Times New Roman"/>
                <w:b w:val="0"/>
                <w:bCs w:val="0"/>
                <w:color w:val="auto"/>
                <w:sz w:val="24"/>
                <w:szCs w:val="24"/>
                <w:highlight w:val="none"/>
                <w:lang w:val="en-US" w:eastAsia="zh-CN"/>
              </w:rPr>
              <w:t>1h需要消耗生物质量为</w:t>
            </w:r>
            <w:r>
              <w:rPr>
                <w:rFonts w:hint="eastAsia" w:ascii="Times New Roman" w:hAnsi="Times New Roman" w:eastAsia="宋体" w:cs="Times New Roman"/>
                <w:b w:val="0"/>
                <w:bCs w:val="0"/>
                <w:color w:val="auto"/>
                <w:sz w:val="24"/>
                <w:szCs w:val="24"/>
                <w:highlight w:val="none"/>
                <w:lang w:val="en-US" w:eastAsia="zh-CN"/>
              </w:rPr>
              <w:t>460kg+4074kg=4534kg</w:t>
            </w:r>
            <w:r>
              <w:rPr>
                <w:rFonts w:hint="default" w:ascii="Times New Roman" w:hAnsi="Times New Roman" w:eastAsia="宋体" w:cs="Times New Roman"/>
                <w:b w:val="0"/>
                <w:bCs w:val="0"/>
                <w:color w:val="auto"/>
                <w:sz w:val="24"/>
                <w:szCs w:val="24"/>
                <w:highlight w:val="none"/>
                <w:lang w:val="en-US" w:eastAsia="zh-CN"/>
              </w:rPr>
              <w:t>，考虑热量的损耗，</w:t>
            </w:r>
            <w:r>
              <w:rPr>
                <w:rFonts w:hint="eastAsia" w:ascii="Times New Roman" w:hAnsi="Times New Roman" w:eastAsia="宋体" w:cs="Times New Roman"/>
                <w:b w:val="0"/>
                <w:bCs w:val="0"/>
                <w:color w:val="auto"/>
                <w:sz w:val="24"/>
                <w:szCs w:val="24"/>
                <w:highlight w:val="none"/>
                <w:lang w:val="en-US" w:eastAsia="zh-CN"/>
              </w:rPr>
              <w:t>锅炉</w:t>
            </w:r>
            <w:r>
              <w:rPr>
                <w:rFonts w:hint="default" w:ascii="Times New Roman" w:hAnsi="Times New Roman" w:eastAsia="宋体" w:cs="Times New Roman"/>
                <w:b w:val="0"/>
                <w:bCs w:val="0"/>
                <w:color w:val="auto"/>
                <w:sz w:val="24"/>
                <w:szCs w:val="24"/>
                <w:highlight w:val="none"/>
                <w:lang w:val="en-US" w:eastAsia="zh-CN"/>
              </w:rPr>
              <w:t>热效率</w:t>
            </w:r>
            <w:r>
              <w:rPr>
                <w:rFonts w:hint="eastAsia" w:ascii="Times New Roman" w:hAnsi="Times New Roman" w:eastAsia="宋体" w:cs="Times New Roman"/>
                <w:b w:val="0"/>
                <w:bCs w:val="0"/>
                <w:color w:val="auto"/>
                <w:sz w:val="24"/>
                <w:szCs w:val="24"/>
                <w:highlight w:val="none"/>
                <w:lang w:val="en-US" w:eastAsia="zh-CN"/>
              </w:rPr>
              <w:t>以83.8</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计</w:t>
            </w:r>
            <w:r>
              <w:rPr>
                <w:rFonts w:hint="default" w:ascii="Times New Roman" w:hAnsi="Times New Roman" w:eastAsia="宋体" w:cs="Times New Roman"/>
                <w:b w:val="0"/>
                <w:bCs w:val="0"/>
                <w:color w:val="auto"/>
                <w:sz w:val="24"/>
                <w:szCs w:val="24"/>
                <w:highlight w:val="none"/>
                <w:lang w:val="en-US" w:eastAsia="zh-CN"/>
              </w:rPr>
              <w:t>，则</w:t>
            </w:r>
            <w:r>
              <w:rPr>
                <w:rFonts w:hint="eastAsia" w:ascii="Times New Roman" w:hAnsi="Times New Roman" w:eastAsia="宋体" w:cs="Times New Roman"/>
                <w:b w:val="0"/>
                <w:bCs w:val="0"/>
                <w:color w:val="auto"/>
                <w:sz w:val="24"/>
                <w:szCs w:val="24"/>
                <w:highlight w:val="none"/>
                <w:lang w:val="en-US" w:eastAsia="zh-CN"/>
              </w:rPr>
              <w:t>锅炉的</w:t>
            </w:r>
            <w:r>
              <w:rPr>
                <w:rFonts w:hint="default" w:ascii="Times New Roman" w:hAnsi="Times New Roman" w:eastAsia="宋体" w:cs="Times New Roman"/>
                <w:b w:val="0"/>
                <w:bCs w:val="0"/>
                <w:color w:val="auto"/>
                <w:sz w:val="24"/>
                <w:szCs w:val="24"/>
                <w:highlight w:val="none"/>
                <w:lang w:val="en-US" w:eastAsia="zh-CN"/>
              </w:rPr>
              <w:t>生物质消耗量为</w:t>
            </w:r>
            <w:r>
              <w:rPr>
                <w:rFonts w:hint="eastAsia" w:ascii="Times New Roman" w:hAnsi="Times New Roman" w:eastAsia="宋体" w:cs="Times New Roman"/>
                <w:b w:val="0"/>
                <w:bCs w:val="0"/>
                <w:color w:val="auto"/>
                <w:sz w:val="24"/>
                <w:szCs w:val="24"/>
                <w:highlight w:val="none"/>
                <w:lang w:val="en-US" w:eastAsia="zh-CN"/>
              </w:rPr>
              <w:t>5410</w:t>
            </w:r>
            <w:r>
              <w:rPr>
                <w:rFonts w:hint="default" w:ascii="Times New Roman" w:hAnsi="Times New Roman" w:eastAsia="宋体" w:cs="Times New Roman"/>
                <w:b w:val="0"/>
                <w:bCs w:val="0"/>
                <w:color w:val="auto"/>
                <w:sz w:val="24"/>
                <w:szCs w:val="24"/>
                <w:highlight w:val="none"/>
                <w:lang w:val="en-US" w:eastAsia="zh-CN"/>
              </w:rPr>
              <w:t>kg</w:t>
            </w:r>
            <w:r>
              <w:rPr>
                <w:rFonts w:hint="eastAsia" w:ascii="Times New Roman" w:hAnsi="Times New Roman" w:eastAsia="宋体" w:cs="Times New Roman"/>
                <w:b w:val="0"/>
                <w:bCs w:val="0"/>
                <w:color w:val="auto"/>
                <w:sz w:val="24"/>
                <w:szCs w:val="24"/>
                <w:highlight w:val="none"/>
                <w:lang w:val="en-US" w:eastAsia="zh-CN"/>
              </w:rPr>
              <w:t>/h，42847.2</w:t>
            </w:r>
            <w:r>
              <w:rPr>
                <w:rFonts w:hint="default" w:ascii="Times New Roman" w:hAnsi="Times New Roman" w:eastAsia="宋体" w:cs="Times New Roman"/>
                <w:b w:val="0"/>
                <w:bCs w:val="0"/>
                <w:color w:val="auto"/>
                <w:sz w:val="24"/>
                <w:szCs w:val="24"/>
                <w:highlight w:val="none"/>
                <w:lang w:val="en-US" w:eastAsia="zh-CN"/>
              </w:rPr>
              <w:t>t</w:t>
            </w:r>
            <w:r>
              <w:rPr>
                <w:rFonts w:hint="eastAsia" w:ascii="Times New Roman" w:hAnsi="Times New Roman" w:eastAsia="宋体" w:cs="Times New Roman"/>
                <w:b w:val="0"/>
                <w:bCs w:val="0"/>
                <w:color w:val="auto"/>
                <w:sz w:val="24"/>
                <w:szCs w:val="24"/>
                <w:highlight w:val="none"/>
                <w:lang w:val="en-US" w:eastAsia="zh-CN"/>
              </w:rPr>
              <w:t>/a</w:t>
            </w:r>
            <w:r>
              <w:rPr>
                <w:rFonts w:hint="default" w:ascii="Times New Roman" w:hAnsi="Times New Roman" w:eastAsia="宋体" w:cs="Times New Roman"/>
                <w:b w:val="0"/>
                <w:bCs w:val="0"/>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firstLineChars="200"/>
              <w:textAlignment w:val="auto"/>
              <w:outlineLvl w:val="3"/>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kern w:val="2"/>
                <w:sz w:val="24"/>
                <w:szCs w:val="24"/>
                <w:highlight w:val="none"/>
                <w:lang w:val="en-US" w:eastAsia="zh-CN" w:bidi="ar-SA"/>
              </w:rPr>
              <w:t>2）特驱供热点</w:t>
            </w:r>
            <w:r>
              <w:rPr>
                <w:rFonts w:hint="eastAsia" w:ascii="Times New Roman" w:hAnsi="Times New Roman" w:eastAsia="宋体" w:cs="Times New Roman"/>
                <w:b/>
                <w:bCs/>
                <w:color w:val="auto"/>
                <w:sz w:val="24"/>
                <w:szCs w:val="24"/>
                <w:highlight w:val="none"/>
                <w:lang w:val="en-US" w:eastAsia="zh-CN"/>
              </w:rPr>
              <w:t>生物质燃料消耗量</w:t>
            </w:r>
          </w:p>
          <w:p>
            <w:pPr>
              <w:autoSpaceDE w:val="0"/>
              <w:autoSpaceDN w:val="0"/>
              <w:adjustRightInd w:val="0"/>
              <w:spacing w:line="360" w:lineRule="auto"/>
              <w:ind w:firstLine="480" w:firstLineChars="200"/>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特驱供热点建设2台锅炉（6t/h、20t/h），2台锅炉共用一根排气筒DA002，装机总容量为26t/h</w:t>
            </w:r>
            <w:r>
              <w:rPr>
                <w:rFonts w:hint="eastAsia" w:cs="Times New Roman"/>
                <w:b w:val="0"/>
                <w:bCs w:val="0"/>
                <w:color w:val="auto"/>
                <w:sz w:val="24"/>
                <w:szCs w:val="24"/>
                <w:highlight w:val="none"/>
                <w:lang w:val="en-US" w:eastAsia="zh-CN"/>
              </w:rPr>
              <w:t>，即特驱供热点锅炉总蒸发量为26t/h。锅炉额定出蒸汽温度为194℃，生产运行时间每天24h，330d/a，7920h/a</w:t>
            </w:r>
            <w:r>
              <w:rPr>
                <w:rFonts w:hint="eastAsia" w:ascii="Times New Roman" w:hAnsi="Times New Roman" w:eastAsia="宋体" w:cs="Times New Roman"/>
                <w:b w:val="0"/>
                <w:bCs w:val="0"/>
                <w:color w:val="auto"/>
                <w:sz w:val="24"/>
                <w:szCs w:val="24"/>
                <w:highlight w:val="none"/>
                <w:lang w:val="en-US" w:eastAsia="zh-CN"/>
              </w:rPr>
              <w:t>。</w:t>
            </w:r>
            <w:r>
              <w:rPr>
                <w:rFonts w:hint="eastAsia" w:hAnsi="宋体" w:cs="Times New Roman"/>
                <w:color w:val="auto"/>
                <w:sz w:val="24"/>
                <w:highlight w:val="none"/>
                <w:lang w:val="en-US" w:eastAsia="zh-CN"/>
              </w:rPr>
              <w:t>根据上述核算方法，核算出：特驱供热点</w:t>
            </w:r>
            <w:r>
              <w:rPr>
                <w:rFonts w:hint="eastAsia" w:ascii="Times New Roman" w:hAnsi="Times New Roman" w:eastAsia="宋体" w:cs="Times New Roman"/>
                <w:b w:val="0"/>
                <w:bCs w:val="0"/>
                <w:color w:val="auto"/>
                <w:sz w:val="24"/>
                <w:szCs w:val="24"/>
                <w:highlight w:val="none"/>
                <w:lang w:val="en-US" w:eastAsia="zh-CN"/>
              </w:rPr>
              <w:t>锅炉的</w:t>
            </w:r>
            <w:r>
              <w:rPr>
                <w:rFonts w:hint="default" w:ascii="Times New Roman" w:hAnsi="Times New Roman" w:eastAsia="宋体" w:cs="Times New Roman"/>
                <w:b w:val="0"/>
                <w:bCs w:val="0"/>
                <w:color w:val="auto"/>
                <w:sz w:val="24"/>
                <w:szCs w:val="24"/>
                <w:highlight w:val="none"/>
                <w:lang w:val="en-US" w:eastAsia="zh-CN"/>
              </w:rPr>
              <w:t>生物质消耗量为</w:t>
            </w:r>
            <w:r>
              <w:rPr>
                <w:rFonts w:hint="eastAsia" w:ascii="Times New Roman" w:hAnsi="Times New Roman" w:eastAsia="宋体" w:cs="Times New Roman"/>
                <w:b w:val="0"/>
                <w:bCs w:val="0"/>
                <w:color w:val="auto"/>
                <w:sz w:val="24"/>
                <w:szCs w:val="24"/>
                <w:highlight w:val="none"/>
                <w:lang w:val="en-US" w:eastAsia="zh-CN"/>
              </w:rPr>
              <w:t>5591.9</w:t>
            </w:r>
            <w:r>
              <w:rPr>
                <w:rFonts w:hint="default" w:ascii="Times New Roman" w:hAnsi="Times New Roman" w:eastAsia="宋体" w:cs="Times New Roman"/>
                <w:b w:val="0"/>
                <w:bCs w:val="0"/>
                <w:color w:val="auto"/>
                <w:sz w:val="24"/>
                <w:szCs w:val="24"/>
                <w:highlight w:val="none"/>
                <w:lang w:val="en-US" w:eastAsia="zh-CN"/>
              </w:rPr>
              <w:t>kg</w:t>
            </w:r>
            <w:r>
              <w:rPr>
                <w:rFonts w:hint="eastAsia" w:ascii="Times New Roman" w:hAnsi="Times New Roman" w:eastAsia="宋体" w:cs="Times New Roman"/>
                <w:b w:val="0"/>
                <w:bCs w:val="0"/>
                <w:color w:val="auto"/>
                <w:sz w:val="24"/>
                <w:szCs w:val="24"/>
                <w:highlight w:val="none"/>
                <w:lang w:val="en-US" w:eastAsia="zh-CN"/>
              </w:rPr>
              <w:t>/h，44287.7</w:t>
            </w:r>
            <w:r>
              <w:rPr>
                <w:rFonts w:hint="default" w:ascii="Times New Roman" w:hAnsi="Times New Roman" w:eastAsia="宋体" w:cs="Times New Roman"/>
                <w:b w:val="0"/>
                <w:bCs w:val="0"/>
                <w:color w:val="auto"/>
                <w:sz w:val="24"/>
                <w:szCs w:val="24"/>
                <w:highlight w:val="none"/>
                <w:lang w:val="en-US" w:eastAsia="zh-CN"/>
              </w:rPr>
              <w:t>t</w:t>
            </w:r>
            <w:r>
              <w:rPr>
                <w:rFonts w:hint="eastAsia" w:ascii="Times New Roman" w:hAnsi="Times New Roman" w:eastAsia="宋体" w:cs="Times New Roman"/>
                <w:b w:val="0"/>
                <w:bCs w:val="0"/>
                <w:color w:val="auto"/>
                <w:sz w:val="24"/>
                <w:szCs w:val="24"/>
                <w:highlight w:val="none"/>
                <w:lang w:val="en-US" w:eastAsia="zh-CN"/>
              </w:rPr>
              <w:t>/a。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firstLineChars="200"/>
              <w:textAlignment w:val="auto"/>
              <w:outlineLvl w:val="3"/>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kern w:val="2"/>
                <w:sz w:val="24"/>
                <w:szCs w:val="24"/>
                <w:highlight w:val="none"/>
                <w:lang w:val="en-US" w:eastAsia="zh-CN" w:bidi="ar-SA"/>
              </w:rPr>
              <w:t>3）漓源供热点</w:t>
            </w:r>
            <w:r>
              <w:rPr>
                <w:rFonts w:hint="eastAsia" w:ascii="Times New Roman" w:hAnsi="Times New Roman" w:eastAsia="宋体" w:cs="Times New Roman"/>
                <w:b/>
                <w:bCs/>
                <w:color w:val="auto"/>
                <w:sz w:val="24"/>
                <w:szCs w:val="24"/>
                <w:highlight w:val="none"/>
                <w:lang w:val="en-US" w:eastAsia="zh-CN"/>
              </w:rPr>
              <w:t>生物质燃料消耗量</w:t>
            </w:r>
          </w:p>
          <w:p>
            <w:pPr>
              <w:autoSpaceDE w:val="0"/>
              <w:autoSpaceDN w:val="0"/>
              <w:adjustRightInd w:val="0"/>
              <w:spacing w:line="360" w:lineRule="auto"/>
              <w:ind w:firstLine="480" w:firstLineChars="200"/>
              <w:rPr>
                <w:rFonts w:hint="default" w:hAnsi="宋体" w:cs="Times New Roman"/>
                <w:color w:val="auto"/>
                <w:sz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漓源供热点建设1台4t/h锅炉，排气筒编号DA003</w:t>
            </w:r>
            <w:r>
              <w:rPr>
                <w:rFonts w:hint="eastAsia" w:cs="Times New Roman"/>
                <w:b w:val="0"/>
                <w:bCs w:val="0"/>
                <w:color w:val="auto"/>
                <w:sz w:val="24"/>
                <w:szCs w:val="24"/>
                <w:highlight w:val="none"/>
                <w:lang w:val="en-US" w:eastAsia="zh-CN"/>
              </w:rPr>
              <w:t>。锅炉额定出蒸汽温度为194℃，生产运行时间每天12h，330d/a，3960h/a</w:t>
            </w:r>
            <w:r>
              <w:rPr>
                <w:rFonts w:hint="eastAsia" w:ascii="Times New Roman" w:hAnsi="Times New Roman" w:eastAsia="宋体" w:cs="Times New Roman"/>
                <w:b w:val="0"/>
                <w:bCs w:val="0"/>
                <w:color w:val="auto"/>
                <w:sz w:val="24"/>
                <w:szCs w:val="24"/>
                <w:highlight w:val="none"/>
                <w:lang w:val="en-US" w:eastAsia="zh-CN"/>
              </w:rPr>
              <w:t>。</w:t>
            </w:r>
            <w:r>
              <w:rPr>
                <w:rFonts w:hint="eastAsia" w:hAnsi="宋体" w:cs="Times New Roman"/>
                <w:color w:val="auto"/>
                <w:sz w:val="24"/>
                <w:highlight w:val="none"/>
                <w:lang w:val="en-US" w:eastAsia="zh-CN"/>
              </w:rPr>
              <w:t>根据上述核算方法，核算出：漓源供热点</w:t>
            </w:r>
            <w:r>
              <w:rPr>
                <w:rFonts w:hint="default" w:ascii="Times New Roman" w:hAnsi="Times New Roman" w:eastAsia="宋体" w:cs="Times New Roman"/>
                <w:b w:val="0"/>
                <w:bCs w:val="0"/>
                <w:color w:val="auto"/>
                <w:sz w:val="24"/>
                <w:szCs w:val="24"/>
                <w:highlight w:val="none"/>
                <w:lang w:val="en-US" w:eastAsia="zh-CN"/>
              </w:rPr>
              <w:t>生物质消耗量为</w:t>
            </w:r>
            <w:r>
              <w:rPr>
                <w:rFonts w:hint="eastAsia" w:ascii="Times New Roman" w:hAnsi="Times New Roman" w:eastAsia="宋体" w:cs="Times New Roman"/>
                <w:b w:val="0"/>
                <w:bCs w:val="0"/>
                <w:color w:val="auto"/>
                <w:sz w:val="24"/>
                <w:szCs w:val="24"/>
                <w:highlight w:val="none"/>
                <w:lang w:val="en-US" w:eastAsia="zh-CN"/>
              </w:rPr>
              <w:t>854.4</w:t>
            </w:r>
            <w:r>
              <w:rPr>
                <w:rFonts w:hint="default" w:ascii="Times New Roman" w:hAnsi="Times New Roman" w:eastAsia="宋体" w:cs="Times New Roman"/>
                <w:b w:val="0"/>
                <w:bCs w:val="0"/>
                <w:color w:val="auto"/>
                <w:sz w:val="24"/>
                <w:szCs w:val="24"/>
                <w:highlight w:val="none"/>
                <w:lang w:val="en-US" w:eastAsia="zh-CN"/>
              </w:rPr>
              <w:t>kg</w:t>
            </w:r>
            <w:r>
              <w:rPr>
                <w:rFonts w:hint="eastAsia" w:ascii="Times New Roman" w:hAnsi="Times New Roman" w:eastAsia="宋体" w:cs="Times New Roman"/>
                <w:b w:val="0"/>
                <w:bCs w:val="0"/>
                <w:color w:val="auto"/>
                <w:sz w:val="24"/>
                <w:szCs w:val="24"/>
                <w:highlight w:val="none"/>
                <w:lang w:val="en-US" w:eastAsia="zh-CN"/>
              </w:rPr>
              <w:t>/h，6766.9</w:t>
            </w:r>
            <w:r>
              <w:rPr>
                <w:rFonts w:hint="default" w:ascii="Times New Roman" w:hAnsi="Times New Roman" w:eastAsia="宋体" w:cs="Times New Roman"/>
                <w:b w:val="0"/>
                <w:bCs w:val="0"/>
                <w:color w:val="auto"/>
                <w:sz w:val="24"/>
                <w:szCs w:val="24"/>
                <w:highlight w:val="none"/>
                <w:lang w:val="en-US" w:eastAsia="zh-CN"/>
              </w:rPr>
              <w:t>t</w:t>
            </w:r>
            <w:r>
              <w:rPr>
                <w:rFonts w:hint="eastAsia" w:ascii="Times New Roman" w:hAnsi="Times New Roman" w:eastAsia="宋体" w:cs="Times New Roman"/>
                <w:b w:val="0"/>
                <w:bCs w:val="0"/>
                <w:color w:val="auto"/>
                <w:sz w:val="24"/>
                <w:szCs w:val="24"/>
                <w:highlight w:val="none"/>
                <w:lang w:val="en-US" w:eastAsia="zh-CN"/>
              </w:rPr>
              <w:t>/a。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firstLineChars="200"/>
              <w:textAlignment w:val="auto"/>
              <w:outlineLvl w:val="3"/>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（2）</w:t>
            </w:r>
            <w:r>
              <w:rPr>
                <w:rFonts w:hint="eastAsia" w:ascii="Times New Roman" w:hAnsi="Times New Roman" w:eastAsia="宋体" w:cs="Times New Roman"/>
                <w:b/>
                <w:bCs/>
                <w:color w:val="auto"/>
                <w:sz w:val="24"/>
                <w:szCs w:val="24"/>
                <w:highlight w:val="none"/>
                <w:lang w:val="en-US" w:eastAsia="zh-CN"/>
              </w:rPr>
              <w:t>锅炉废气源强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3"/>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根据《排放源统计调查产排污核算方法和系数手册》（生态环境部公告2021第24号）中</w:t>
            </w:r>
            <w:r>
              <w:rPr>
                <w:rFonts w:hint="eastAsia"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锅炉产排污量核算系数手册，4430工业锅炉（热力生产和供应行业）产污系数表-生物质工业锅炉</w:t>
            </w:r>
            <w:r>
              <w:rPr>
                <w:rFonts w:hint="eastAsia"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及《排污许可证申请与核发技术规范 锅炉》（HJ953-2018）中</w:t>
            </w:r>
            <w:r>
              <w:rPr>
                <w:rFonts w:hint="eastAsia"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表F.4燃生物质工业锅炉的废气产排污系数</w:t>
            </w:r>
            <w:r>
              <w:rPr>
                <w:rFonts w:hint="eastAsia"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，生物质锅炉产污系数下表所示。</w:t>
            </w:r>
          </w:p>
          <w:p>
            <w:pPr>
              <w:pStyle w:val="4"/>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cs="Times New Roman"/>
                <w:b/>
                <w:bCs/>
                <w:color w:val="auto"/>
                <w:sz w:val="21"/>
                <w:szCs w:val="21"/>
                <w:highlight w:val="none"/>
                <w:lang w:val="en-US" w:eastAsia="zh-CN"/>
              </w:rPr>
              <w:t>4-1生物质工业锅炉层燃炉-生物质散烧的废气产排污系数</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3"/>
              <w:gridCol w:w="1975"/>
              <w:gridCol w:w="1781"/>
              <w:gridCol w:w="1797"/>
              <w:gridCol w:w="2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污染因子</w:t>
                  </w:r>
                </w:p>
              </w:tc>
              <w:tc>
                <w:tcPr>
                  <w:tcW w:w="111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工业废气量（Nm</w:t>
                  </w:r>
                  <w:r>
                    <w:rPr>
                      <w:rFonts w:hint="default" w:ascii="Times New Roman" w:hAnsi="Times New Roman" w:cs="Times New Roman"/>
                      <w:b w:val="0"/>
                      <w:bCs w:val="0"/>
                      <w:color w:val="auto"/>
                      <w:kern w:val="0"/>
                      <w:sz w:val="21"/>
                      <w:szCs w:val="21"/>
                      <w:highlight w:val="none"/>
                      <w:lang w:val="en-US" w:eastAsia="zh-CN"/>
                    </w:rPr>
                    <w:t>³</w:t>
                  </w:r>
                  <w:r>
                    <w:rPr>
                      <w:rFonts w:hint="eastAsia" w:cs="Times New Roman"/>
                      <w:b w:val="0"/>
                      <w:bCs w:val="0"/>
                      <w:color w:val="auto"/>
                      <w:kern w:val="0"/>
                      <w:sz w:val="21"/>
                      <w:szCs w:val="21"/>
                      <w:highlight w:val="none"/>
                      <w:lang w:val="en-US" w:eastAsia="zh-CN"/>
                    </w:rPr>
                    <w:t>/t-燃料）</w:t>
                  </w:r>
                </w:p>
              </w:tc>
              <w:tc>
                <w:tcPr>
                  <w:tcW w:w="100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颗粒物（kg/t-燃料）</w:t>
                  </w:r>
                </w:p>
              </w:tc>
              <w:tc>
                <w:tcPr>
                  <w:tcW w:w="101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SO</w:t>
                  </w:r>
                  <w:r>
                    <w:rPr>
                      <w:rFonts w:hint="eastAsia" w:cs="Times New Roman"/>
                      <w:b w:val="0"/>
                      <w:bCs w:val="0"/>
                      <w:color w:val="auto"/>
                      <w:kern w:val="0"/>
                      <w:sz w:val="21"/>
                      <w:szCs w:val="21"/>
                      <w:highlight w:val="none"/>
                      <w:vertAlign w:val="subscript"/>
                      <w:lang w:val="en-US" w:eastAsia="zh-CN"/>
                    </w:rPr>
                    <w:t>2</w:t>
                  </w:r>
                  <w:r>
                    <w:rPr>
                      <w:rFonts w:hint="eastAsia" w:cs="Times New Roman"/>
                      <w:b w:val="0"/>
                      <w:bCs w:val="0"/>
                      <w:color w:val="auto"/>
                      <w:kern w:val="0"/>
                      <w:sz w:val="21"/>
                      <w:szCs w:val="21"/>
                      <w:highlight w:val="none"/>
                      <w:lang w:val="en-US" w:eastAsia="zh-CN"/>
                    </w:rPr>
                    <w:t>（kg/t-燃料）</w:t>
                  </w:r>
                </w:p>
              </w:tc>
              <w:tc>
                <w:tcPr>
                  <w:tcW w:w="113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NOx（kg/t-燃料）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产污系数</w:t>
                  </w:r>
                </w:p>
              </w:tc>
              <w:tc>
                <w:tcPr>
                  <w:tcW w:w="111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6240</w:t>
                  </w:r>
                </w:p>
              </w:tc>
              <w:tc>
                <w:tcPr>
                  <w:tcW w:w="100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37.6</w:t>
                  </w:r>
                </w:p>
              </w:tc>
              <w:tc>
                <w:tcPr>
                  <w:tcW w:w="101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17S</w:t>
                  </w:r>
                  <w:r>
                    <w:rPr>
                      <w:rFonts w:hint="eastAsia" w:cs="Times New Roman"/>
                      <w:b w:val="0"/>
                      <w:bCs w:val="0"/>
                      <w:color w:val="auto"/>
                      <w:kern w:val="0"/>
                      <w:sz w:val="21"/>
                      <w:szCs w:val="21"/>
                      <w:highlight w:val="none"/>
                      <w:vertAlign w:val="superscript"/>
                      <w:lang w:val="en-US" w:eastAsia="zh-CN"/>
                    </w:rPr>
                    <w:t>①</w:t>
                  </w:r>
                </w:p>
              </w:tc>
              <w:tc>
                <w:tcPr>
                  <w:tcW w:w="113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注：①二氧化硫的产污系数是以含硫量（S％）的形式表示的，其中含硫量（S％）是指生物质收到基硫分含量，以质量百分数的形式表示。根据建设单位提供的生物质燃料检测报告，本次生物质中含硫量（S％）为0.02％，则</w:t>
                  </w:r>
                  <w:r>
                    <w:rPr>
                      <w:rFonts w:hint="eastAsia" w:cs="Times New Roman"/>
                      <w:b/>
                      <w:bCs/>
                      <w:color w:val="auto"/>
                      <w:kern w:val="0"/>
                      <w:sz w:val="21"/>
                      <w:szCs w:val="21"/>
                      <w:highlight w:val="none"/>
                      <w:lang w:val="en-US" w:eastAsia="zh-CN"/>
                    </w:rPr>
                    <w:t>S=0.02</w:t>
                  </w:r>
                  <w:r>
                    <w:rPr>
                      <w:rFonts w:hint="eastAsia" w:cs="Times New Roman"/>
                      <w:b w:val="0"/>
                      <w:bCs w:val="0"/>
                      <w:color w:val="auto"/>
                      <w:kern w:val="0"/>
                      <w:sz w:val="21"/>
                      <w:szCs w:val="21"/>
                      <w:highlight w:val="none"/>
                      <w:lang w:val="en-US" w:eastAsia="zh-CN"/>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3"/>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项目采取“旋风除尘器+布袋除尘器”的串联除尘系统，用于处理锅炉含尘气体，锅炉烟气经除尘系统处理后排放。根据《排放源统计调查产排污核算方法和系数手册》（生态环境部公告2021第24号）生物质锅炉烟尘末端治理技术中：多管旋风除尘的除尘效率为52.0%，布袋除尘器的除尘效率为98.4%，则项目采取的“多管旋风除尘器+布袋除尘器”两级除尘设施的综合除尘效率为99.232%。采取以上措施后，本项目锅炉污染物的产排情况见如下表所示。</w:t>
            </w:r>
          </w:p>
          <w:p>
            <w:pPr>
              <w:pStyle w:val="4"/>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cs="Times New Roman"/>
                <w:b/>
                <w:bCs/>
                <w:color w:val="auto"/>
                <w:sz w:val="21"/>
                <w:szCs w:val="21"/>
                <w:highlight w:val="none"/>
                <w:lang w:val="en-US" w:eastAsia="zh-CN"/>
              </w:rPr>
              <w:t>4-2系数法核算锅炉废气污染物产排污量一览表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6"/>
              <w:gridCol w:w="1558"/>
              <w:gridCol w:w="1452"/>
              <w:gridCol w:w="969"/>
              <w:gridCol w:w="1446"/>
              <w:gridCol w:w="1347"/>
              <w:gridCol w:w="1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7"/>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 w:val="21"/>
                      <w:szCs w:val="21"/>
                      <w:highlight w:val="none"/>
                      <w:lang w:val="en-US" w:eastAsia="zh-CN"/>
                    </w:rPr>
                  </w:pPr>
                  <w:r>
                    <w:rPr>
                      <w:rFonts w:hint="eastAsia" w:cs="Times New Roman"/>
                      <w:b/>
                      <w:bCs/>
                      <w:color w:val="auto"/>
                      <w:kern w:val="0"/>
                      <w:sz w:val="21"/>
                      <w:szCs w:val="21"/>
                      <w:highlight w:val="none"/>
                      <w:lang w:val="en-US" w:eastAsia="zh-CN"/>
                    </w:rPr>
                    <w:t>海大供热点生物质锅炉废气产生及排放情况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燃料消耗量</w:t>
                  </w:r>
                </w:p>
              </w:tc>
              <w:tc>
                <w:tcPr>
                  <w:tcW w:w="4460" w:type="pct"/>
                  <w:gridSpan w:val="6"/>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42847.2t/a（4t/h、6t/h、15t/h，3台锅炉总消耗量）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污染物</w:t>
                  </w:r>
                </w:p>
              </w:tc>
              <w:tc>
                <w:tcPr>
                  <w:tcW w:w="87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产生量</w:t>
                  </w:r>
                </w:p>
              </w:tc>
              <w:tc>
                <w:tcPr>
                  <w:tcW w:w="81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产生浓度</w:t>
                  </w:r>
                </w:p>
              </w:tc>
              <w:tc>
                <w:tcPr>
                  <w:tcW w:w="54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去除率</w:t>
                  </w:r>
                </w:p>
              </w:tc>
              <w:tc>
                <w:tcPr>
                  <w:tcW w:w="81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排放量</w:t>
                  </w:r>
                </w:p>
              </w:tc>
              <w:tc>
                <w:tcPr>
                  <w:tcW w:w="75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排放浓度</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排放速率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烟气量</w:t>
                  </w:r>
                </w:p>
              </w:tc>
              <w:tc>
                <w:tcPr>
                  <w:tcW w:w="87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26736</w:t>
                  </w:r>
                  <w:r>
                    <w:rPr>
                      <w:rFonts w:hint="default" w:ascii="Times New Roman" w:hAnsi="Times New Roman" w:eastAsia="宋体" w:cs="Times New Roman"/>
                      <w:b w:val="0"/>
                      <w:bCs w:val="0"/>
                      <w:color w:val="auto"/>
                      <w:kern w:val="0"/>
                      <w:sz w:val="21"/>
                      <w:szCs w:val="21"/>
                      <w:highlight w:val="none"/>
                      <w:lang w:val="en-US" w:eastAsia="zh-CN" w:bidi="ar-SA"/>
                    </w:rPr>
                    <w:t>万m³/a，</w:t>
                  </w:r>
                  <w:r>
                    <w:rPr>
                      <w:rFonts w:hint="eastAsia" w:cs="Times New Roman"/>
                      <w:b w:val="0"/>
                      <w:bCs w:val="0"/>
                      <w:color w:val="auto"/>
                      <w:kern w:val="0"/>
                      <w:sz w:val="21"/>
                      <w:szCs w:val="21"/>
                      <w:highlight w:val="none"/>
                      <w:lang w:val="en-US" w:eastAsia="zh-CN" w:bidi="ar-SA"/>
                    </w:rPr>
                    <w:t>33758</w:t>
                  </w:r>
                  <w:r>
                    <w:rPr>
                      <w:rFonts w:hint="default" w:ascii="Times New Roman" w:hAnsi="Times New Roman" w:eastAsia="宋体" w:cs="Times New Roman"/>
                      <w:b w:val="0"/>
                      <w:bCs w:val="0"/>
                      <w:color w:val="auto"/>
                      <w:kern w:val="0"/>
                      <w:sz w:val="21"/>
                      <w:szCs w:val="21"/>
                      <w:highlight w:val="none"/>
                      <w:lang w:val="en-US" w:eastAsia="zh-CN" w:bidi="ar-SA"/>
                    </w:rPr>
                    <w:t>m³/h</w:t>
                  </w:r>
                </w:p>
              </w:tc>
              <w:tc>
                <w:tcPr>
                  <w:tcW w:w="81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w:t>
                  </w:r>
                </w:p>
              </w:tc>
              <w:tc>
                <w:tcPr>
                  <w:tcW w:w="54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w:t>
                  </w:r>
                </w:p>
              </w:tc>
              <w:tc>
                <w:tcPr>
                  <w:tcW w:w="81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26736</w:t>
                  </w:r>
                  <w:r>
                    <w:rPr>
                      <w:rFonts w:hint="default" w:ascii="Times New Roman" w:hAnsi="Times New Roman" w:eastAsia="宋体" w:cs="Times New Roman"/>
                      <w:b w:val="0"/>
                      <w:bCs w:val="0"/>
                      <w:color w:val="auto"/>
                      <w:kern w:val="0"/>
                      <w:sz w:val="21"/>
                      <w:szCs w:val="21"/>
                      <w:highlight w:val="none"/>
                      <w:lang w:val="en-US" w:eastAsia="zh-CN" w:bidi="ar-SA"/>
                    </w:rPr>
                    <w:t>万m³/a，</w:t>
                  </w:r>
                  <w:r>
                    <w:rPr>
                      <w:rFonts w:hint="eastAsia" w:cs="Times New Roman"/>
                      <w:b w:val="0"/>
                      <w:bCs w:val="0"/>
                      <w:color w:val="auto"/>
                      <w:kern w:val="0"/>
                      <w:sz w:val="21"/>
                      <w:szCs w:val="21"/>
                      <w:highlight w:val="none"/>
                      <w:lang w:val="en-US" w:eastAsia="zh-CN" w:bidi="ar-SA"/>
                    </w:rPr>
                    <w:t>33758</w:t>
                  </w:r>
                  <w:r>
                    <w:rPr>
                      <w:rFonts w:hint="default" w:ascii="Times New Roman" w:hAnsi="Times New Roman" w:eastAsia="宋体" w:cs="Times New Roman"/>
                      <w:b w:val="0"/>
                      <w:bCs w:val="0"/>
                      <w:color w:val="auto"/>
                      <w:kern w:val="0"/>
                      <w:sz w:val="21"/>
                      <w:szCs w:val="21"/>
                      <w:highlight w:val="none"/>
                      <w:lang w:val="en-US" w:eastAsia="zh-CN" w:bidi="ar-SA"/>
                    </w:rPr>
                    <w:t>m³/h</w:t>
                  </w:r>
                </w:p>
              </w:tc>
              <w:tc>
                <w:tcPr>
                  <w:tcW w:w="75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颗粒物</w:t>
                  </w:r>
                </w:p>
              </w:tc>
              <w:tc>
                <w:tcPr>
                  <w:tcW w:w="878" w:type="pct"/>
                  <w:tcBorders>
                    <w:tl2br w:val="nil"/>
                    <w:tr2bl w:val="nil"/>
                  </w:tcBorders>
                  <w:noWrap w:val="0"/>
                  <w:vAlign w:val="center"/>
                </w:tcPr>
                <w:p>
                  <w:pPr>
                    <w:keepNext w:val="0"/>
                    <w:keepLines w:val="0"/>
                    <w:widowControl/>
                    <w:suppressLineNumbers w:val="0"/>
                    <w:jc w:val="center"/>
                    <w:textAlignment w:val="center"/>
                    <w:rPr>
                      <w:rFonts w:hint="default" w:cs="Times New Roman"/>
                      <w:b w:val="0"/>
                      <w:bCs w:val="0"/>
                      <w:color w:val="auto"/>
                      <w:kern w:val="0"/>
                      <w:sz w:val="21"/>
                      <w:szCs w:val="21"/>
                      <w:highlight w:val="none"/>
                      <w:lang w:val="en-US" w:eastAsia="zh-CN"/>
                    </w:rPr>
                  </w:pPr>
                  <w:r>
                    <w:rPr>
                      <w:rStyle w:val="109"/>
                      <w:rFonts w:hint="eastAsia"/>
                      <w:color w:val="auto"/>
                      <w:kern w:val="0"/>
                      <w:highlight w:val="none"/>
                      <w:lang w:val="en-US" w:bidi="ar"/>
                    </w:rPr>
                    <w:t>1611.05</w:t>
                  </w:r>
                  <w:r>
                    <w:rPr>
                      <w:rStyle w:val="109"/>
                      <w:rFonts w:eastAsia="宋体"/>
                      <w:color w:val="auto"/>
                      <w:kern w:val="0"/>
                      <w:highlight w:val="none"/>
                      <w:lang w:bidi="ar"/>
                    </w:rPr>
                    <w:t>t/a</w:t>
                  </w:r>
                </w:p>
              </w:tc>
              <w:tc>
                <w:tcPr>
                  <w:tcW w:w="817" w:type="pct"/>
                  <w:tcBorders>
                    <w:tl2br w:val="nil"/>
                    <w:tr2bl w:val="nil"/>
                  </w:tcBorders>
                  <w:noWrap w:val="0"/>
                  <w:vAlign w:val="center"/>
                </w:tcPr>
                <w:p>
                  <w:pPr>
                    <w:keepNext w:val="0"/>
                    <w:keepLines w:val="0"/>
                    <w:widowControl/>
                    <w:suppressLineNumbers w:val="0"/>
                    <w:jc w:val="center"/>
                    <w:textAlignment w:val="center"/>
                    <w:rPr>
                      <w:rFonts w:hint="default" w:cs="Times New Roman"/>
                      <w:b w:val="0"/>
                      <w:bCs w:val="0"/>
                      <w:color w:val="auto"/>
                      <w:kern w:val="0"/>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6025.64</w:t>
                  </w:r>
                  <w:r>
                    <w:rPr>
                      <w:rFonts w:hint="default" w:ascii="Times New Roman" w:hAnsi="Times New Roman" w:eastAsia="宋体" w:cs="Times New Roman"/>
                      <w:i w:val="0"/>
                      <w:iCs w:val="0"/>
                      <w:color w:val="auto"/>
                      <w:kern w:val="0"/>
                      <w:sz w:val="21"/>
                      <w:szCs w:val="21"/>
                      <w:highlight w:val="none"/>
                      <w:u w:val="none"/>
                      <w:lang w:val="en-US" w:eastAsia="zh-CN" w:bidi="ar"/>
                    </w:rPr>
                    <w:t>mg/m³</w:t>
                  </w:r>
                </w:p>
              </w:tc>
              <w:tc>
                <w:tcPr>
                  <w:tcW w:w="54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99.232</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12.37</w:t>
                  </w:r>
                  <w:r>
                    <w:rPr>
                      <w:rStyle w:val="109"/>
                      <w:rFonts w:eastAsia="宋体"/>
                      <w:color w:val="auto"/>
                      <w:kern w:val="0"/>
                      <w:highlight w:val="none"/>
                      <w:lang w:bidi="ar"/>
                    </w:rPr>
                    <w:t>t/a</w:t>
                  </w:r>
                </w:p>
              </w:tc>
              <w:tc>
                <w:tcPr>
                  <w:tcW w:w="75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46.28</w:t>
                  </w:r>
                  <w:r>
                    <w:rPr>
                      <w:rFonts w:hint="default" w:ascii="Times New Roman" w:hAnsi="Times New Roman" w:eastAsia="宋体" w:cs="Times New Roman"/>
                      <w:i w:val="0"/>
                      <w:iCs w:val="0"/>
                      <w:color w:val="auto"/>
                      <w:kern w:val="0"/>
                      <w:sz w:val="21"/>
                      <w:szCs w:val="21"/>
                      <w:highlight w:val="none"/>
                      <w:u w:val="none"/>
                      <w:lang w:val="en-US" w:eastAsia="zh-CN" w:bidi="ar"/>
                    </w:rPr>
                    <w:t>mg/m³</w:t>
                  </w:r>
                </w:p>
              </w:tc>
              <w:tc>
                <w:tcPr>
                  <w:tcW w:w="6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1.56</w:t>
                  </w:r>
                  <w:r>
                    <w:rPr>
                      <w:rFonts w:hint="default" w:ascii="Times New Roman" w:hAnsi="Times New Roman" w:eastAsia="宋体" w:cs="Times New Roman"/>
                      <w:i w:val="0"/>
                      <w:iCs w:val="0"/>
                      <w:color w:val="auto"/>
                      <w:kern w:val="0"/>
                      <w:sz w:val="21"/>
                      <w:szCs w:val="21"/>
                      <w:highlight w:val="none"/>
                      <w:u w:val="none"/>
                      <w:lang w:val="en-US" w:eastAsia="zh-CN" w:bidi="ar"/>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SO</w:t>
                  </w:r>
                  <w:r>
                    <w:rPr>
                      <w:rFonts w:hint="eastAsia" w:cs="Times New Roman"/>
                      <w:b w:val="0"/>
                      <w:bCs w:val="0"/>
                      <w:color w:val="auto"/>
                      <w:kern w:val="0"/>
                      <w:sz w:val="21"/>
                      <w:szCs w:val="21"/>
                      <w:highlight w:val="none"/>
                      <w:vertAlign w:val="subscript"/>
                      <w:lang w:val="en-US" w:eastAsia="zh-CN"/>
                    </w:rPr>
                    <w:t>2</w:t>
                  </w:r>
                </w:p>
              </w:tc>
              <w:tc>
                <w:tcPr>
                  <w:tcW w:w="878" w:type="pct"/>
                  <w:tcBorders>
                    <w:tl2br w:val="nil"/>
                    <w:tr2bl w:val="nil"/>
                  </w:tcBorders>
                  <w:noWrap w:val="0"/>
                  <w:vAlign w:val="center"/>
                </w:tcPr>
                <w:p>
                  <w:pPr>
                    <w:keepNext w:val="0"/>
                    <w:keepLines w:val="0"/>
                    <w:widowControl/>
                    <w:suppressLineNumbers w:val="0"/>
                    <w:jc w:val="center"/>
                    <w:textAlignment w:val="center"/>
                    <w:rPr>
                      <w:rFonts w:hint="default" w:cs="Times New Roman"/>
                      <w:b w:val="0"/>
                      <w:bCs w:val="0"/>
                      <w:color w:val="auto"/>
                      <w:kern w:val="0"/>
                      <w:sz w:val="21"/>
                      <w:szCs w:val="21"/>
                      <w:highlight w:val="none"/>
                      <w:lang w:val="en-US" w:eastAsia="zh-CN"/>
                    </w:rPr>
                  </w:pPr>
                  <w:r>
                    <w:rPr>
                      <w:rStyle w:val="109"/>
                      <w:rFonts w:hint="eastAsia"/>
                      <w:color w:val="auto"/>
                      <w:kern w:val="0"/>
                      <w:highlight w:val="none"/>
                      <w:lang w:val="en-US" w:bidi="ar"/>
                    </w:rPr>
                    <w:t>14.57</w:t>
                  </w:r>
                  <w:r>
                    <w:rPr>
                      <w:rStyle w:val="109"/>
                      <w:rFonts w:eastAsia="宋体"/>
                      <w:color w:val="auto"/>
                      <w:kern w:val="0"/>
                      <w:highlight w:val="none"/>
                      <w:lang w:bidi="ar"/>
                    </w:rPr>
                    <w:t>t/a</w:t>
                  </w:r>
                </w:p>
              </w:tc>
              <w:tc>
                <w:tcPr>
                  <w:tcW w:w="817" w:type="pct"/>
                  <w:tcBorders>
                    <w:tl2br w:val="nil"/>
                    <w:tr2bl w:val="nil"/>
                  </w:tcBorders>
                  <w:noWrap w:val="0"/>
                  <w:vAlign w:val="center"/>
                </w:tcPr>
                <w:p>
                  <w:pPr>
                    <w:keepNext w:val="0"/>
                    <w:keepLines w:val="0"/>
                    <w:widowControl/>
                    <w:suppressLineNumbers w:val="0"/>
                    <w:jc w:val="center"/>
                    <w:textAlignment w:val="center"/>
                    <w:rPr>
                      <w:rFonts w:hint="default" w:cs="Times New Roman"/>
                      <w:b w:val="0"/>
                      <w:bCs w:val="0"/>
                      <w:color w:val="auto"/>
                      <w:kern w:val="0"/>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54.49</w:t>
                  </w:r>
                  <w:r>
                    <w:rPr>
                      <w:rFonts w:hint="default" w:ascii="Times New Roman" w:hAnsi="Times New Roman" w:eastAsia="宋体" w:cs="Times New Roman"/>
                      <w:i w:val="0"/>
                      <w:iCs w:val="0"/>
                      <w:color w:val="auto"/>
                      <w:kern w:val="0"/>
                      <w:sz w:val="21"/>
                      <w:szCs w:val="21"/>
                      <w:highlight w:val="none"/>
                      <w:u w:val="none"/>
                      <w:lang w:val="en-US" w:eastAsia="zh-CN" w:bidi="ar"/>
                    </w:rPr>
                    <w:t>mg/m³</w:t>
                  </w:r>
                </w:p>
              </w:tc>
              <w:tc>
                <w:tcPr>
                  <w:tcW w:w="54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Style w:val="109"/>
                      <w:rFonts w:eastAsia="宋体"/>
                      <w:color w:val="auto"/>
                      <w:kern w:val="0"/>
                      <w:highlight w:val="none"/>
                      <w:lang w:bidi="ar"/>
                    </w:rPr>
                    <w:t>/</w:t>
                  </w:r>
                </w:p>
              </w:tc>
              <w:tc>
                <w:tcPr>
                  <w:tcW w:w="8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Style w:val="109"/>
                      <w:rFonts w:hint="eastAsia"/>
                      <w:color w:val="auto"/>
                      <w:kern w:val="0"/>
                      <w:highlight w:val="none"/>
                      <w:lang w:val="en-US" w:bidi="ar"/>
                    </w:rPr>
                    <w:t>14.57</w:t>
                  </w:r>
                  <w:r>
                    <w:rPr>
                      <w:rStyle w:val="109"/>
                      <w:rFonts w:eastAsia="宋体"/>
                      <w:color w:val="auto"/>
                      <w:kern w:val="0"/>
                      <w:highlight w:val="none"/>
                      <w:lang w:bidi="ar"/>
                    </w:rPr>
                    <w:t>t/a</w:t>
                  </w:r>
                </w:p>
              </w:tc>
              <w:tc>
                <w:tcPr>
                  <w:tcW w:w="759"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54.49</w:t>
                  </w:r>
                  <w:r>
                    <w:rPr>
                      <w:rFonts w:hint="default" w:ascii="Times New Roman" w:hAnsi="Times New Roman" w:eastAsia="宋体" w:cs="Times New Roman"/>
                      <w:i w:val="0"/>
                      <w:iCs w:val="0"/>
                      <w:color w:val="auto"/>
                      <w:kern w:val="0"/>
                      <w:sz w:val="21"/>
                      <w:szCs w:val="21"/>
                      <w:highlight w:val="none"/>
                      <w:u w:val="none"/>
                      <w:lang w:val="en-US" w:eastAsia="zh-CN" w:bidi="ar"/>
                    </w:rPr>
                    <w:t>mg/m³</w:t>
                  </w:r>
                </w:p>
              </w:tc>
              <w:tc>
                <w:tcPr>
                  <w:tcW w:w="6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1.84</w:t>
                  </w:r>
                  <w:r>
                    <w:rPr>
                      <w:rFonts w:hint="default" w:ascii="Times New Roman" w:hAnsi="Times New Roman" w:eastAsia="宋体" w:cs="Times New Roman"/>
                      <w:i w:val="0"/>
                      <w:iCs w:val="0"/>
                      <w:color w:val="auto"/>
                      <w:kern w:val="0"/>
                      <w:sz w:val="21"/>
                      <w:szCs w:val="21"/>
                      <w:highlight w:val="none"/>
                      <w:u w:val="none"/>
                      <w:lang w:val="en-US" w:eastAsia="zh-CN" w:bidi="ar"/>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NOx</w:t>
                  </w:r>
                </w:p>
              </w:tc>
              <w:tc>
                <w:tcPr>
                  <w:tcW w:w="878" w:type="pct"/>
                  <w:tcBorders>
                    <w:tl2br w:val="nil"/>
                    <w:tr2bl w:val="nil"/>
                  </w:tcBorders>
                  <w:noWrap w:val="0"/>
                  <w:vAlign w:val="center"/>
                </w:tcPr>
                <w:p>
                  <w:pPr>
                    <w:keepNext w:val="0"/>
                    <w:keepLines w:val="0"/>
                    <w:widowControl/>
                    <w:suppressLineNumbers w:val="0"/>
                    <w:jc w:val="center"/>
                    <w:textAlignment w:val="center"/>
                    <w:rPr>
                      <w:rFonts w:hint="default" w:cs="Times New Roman"/>
                      <w:b w:val="0"/>
                      <w:bCs w:val="0"/>
                      <w:color w:val="auto"/>
                      <w:kern w:val="0"/>
                      <w:sz w:val="21"/>
                      <w:szCs w:val="21"/>
                      <w:highlight w:val="none"/>
                      <w:lang w:val="en-US" w:eastAsia="zh-CN"/>
                    </w:rPr>
                  </w:pPr>
                  <w:r>
                    <w:rPr>
                      <w:rStyle w:val="109"/>
                      <w:rFonts w:hint="eastAsia"/>
                      <w:color w:val="auto"/>
                      <w:kern w:val="0"/>
                      <w:highlight w:val="none"/>
                      <w:lang w:val="en-US" w:bidi="ar"/>
                    </w:rPr>
                    <w:t>43.7</w:t>
                  </w:r>
                  <w:r>
                    <w:rPr>
                      <w:rStyle w:val="109"/>
                      <w:rFonts w:eastAsia="宋体"/>
                      <w:color w:val="auto"/>
                      <w:kern w:val="0"/>
                      <w:highlight w:val="none"/>
                      <w:lang w:bidi="ar"/>
                    </w:rPr>
                    <w:t>t/a</w:t>
                  </w:r>
                </w:p>
              </w:tc>
              <w:tc>
                <w:tcPr>
                  <w:tcW w:w="817" w:type="pct"/>
                  <w:tcBorders>
                    <w:tl2br w:val="nil"/>
                    <w:tr2bl w:val="nil"/>
                  </w:tcBorders>
                  <w:noWrap w:val="0"/>
                  <w:vAlign w:val="center"/>
                </w:tcPr>
                <w:p>
                  <w:pPr>
                    <w:keepNext w:val="0"/>
                    <w:keepLines w:val="0"/>
                    <w:widowControl/>
                    <w:suppressLineNumbers w:val="0"/>
                    <w:jc w:val="center"/>
                    <w:textAlignment w:val="center"/>
                    <w:rPr>
                      <w:rFonts w:hint="default" w:cs="Times New Roman"/>
                      <w:b w:val="0"/>
                      <w:bCs w:val="0"/>
                      <w:color w:val="auto"/>
                      <w:kern w:val="0"/>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163.46</w:t>
                  </w:r>
                  <w:r>
                    <w:rPr>
                      <w:rFonts w:hint="default" w:ascii="Times New Roman" w:hAnsi="Times New Roman" w:eastAsia="宋体" w:cs="Times New Roman"/>
                      <w:i w:val="0"/>
                      <w:iCs w:val="0"/>
                      <w:color w:val="auto"/>
                      <w:kern w:val="0"/>
                      <w:sz w:val="21"/>
                      <w:szCs w:val="21"/>
                      <w:highlight w:val="none"/>
                      <w:u w:val="none"/>
                      <w:lang w:val="en-US" w:eastAsia="zh-CN" w:bidi="ar"/>
                    </w:rPr>
                    <w:t>mg/m³</w:t>
                  </w:r>
                </w:p>
              </w:tc>
              <w:tc>
                <w:tcPr>
                  <w:tcW w:w="54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Style w:val="109"/>
                      <w:rFonts w:eastAsia="宋体"/>
                      <w:color w:val="auto"/>
                      <w:kern w:val="0"/>
                      <w:highlight w:val="none"/>
                      <w:lang w:bidi="ar"/>
                    </w:rPr>
                    <w:t>/</w:t>
                  </w:r>
                </w:p>
              </w:tc>
              <w:tc>
                <w:tcPr>
                  <w:tcW w:w="8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Style w:val="109"/>
                      <w:rFonts w:hint="eastAsia"/>
                      <w:color w:val="auto"/>
                      <w:kern w:val="0"/>
                      <w:highlight w:val="none"/>
                      <w:lang w:val="en-US" w:bidi="ar"/>
                    </w:rPr>
                    <w:t>43.7</w:t>
                  </w:r>
                  <w:r>
                    <w:rPr>
                      <w:rStyle w:val="109"/>
                      <w:rFonts w:eastAsia="宋体"/>
                      <w:color w:val="auto"/>
                      <w:kern w:val="0"/>
                      <w:highlight w:val="none"/>
                      <w:lang w:bidi="ar"/>
                    </w:rPr>
                    <w:t>t/a</w:t>
                  </w:r>
                </w:p>
              </w:tc>
              <w:tc>
                <w:tcPr>
                  <w:tcW w:w="759"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163.46</w:t>
                  </w:r>
                  <w:r>
                    <w:rPr>
                      <w:rFonts w:hint="default" w:ascii="Times New Roman" w:hAnsi="Times New Roman" w:eastAsia="宋体" w:cs="Times New Roman"/>
                      <w:i w:val="0"/>
                      <w:iCs w:val="0"/>
                      <w:color w:val="auto"/>
                      <w:kern w:val="0"/>
                      <w:sz w:val="21"/>
                      <w:szCs w:val="21"/>
                      <w:highlight w:val="none"/>
                      <w:u w:val="none"/>
                      <w:lang w:val="en-US" w:eastAsia="zh-CN" w:bidi="ar"/>
                    </w:rPr>
                    <w:t>mg/m³</w:t>
                  </w:r>
                </w:p>
              </w:tc>
              <w:tc>
                <w:tcPr>
                  <w:tcW w:w="6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5.52</w:t>
                  </w:r>
                  <w:r>
                    <w:rPr>
                      <w:rFonts w:hint="default" w:ascii="Times New Roman" w:hAnsi="Times New Roman" w:eastAsia="宋体" w:cs="Times New Roman"/>
                      <w:i w:val="0"/>
                      <w:iCs w:val="0"/>
                      <w:color w:val="auto"/>
                      <w:kern w:val="0"/>
                      <w:sz w:val="21"/>
                      <w:szCs w:val="21"/>
                      <w:highlight w:val="none"/>
                      <w:u w:val="none"/>
                      <w:lang w:val="en-US" w:eastAsia="zh-CN" w:bidi="ar"/>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7"/>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 w:val="21"/>
                      <w:szCs w:val="21"/>
                      <w:highlight w:val="none"/>
                      <w:lang w:val="en-US" w:eastAsia="zh-CN"/>
                    </w:rPr>
                  </w:pPr>
                  <w:r>
                    <w:rPr>
                      <w:rFonts w:hint="eastAsia" w:cs="Times New Roman"/>
                      <w:b/>
                      <w:bCs/>
                      <w:color w:val="auto"/>
                      <w:kern w:val="0"/>
                      <w:sz w:val="21"/>
                      <w:szCs w:val="21"/>
                      <w:highlight w:val="none"/>
                      <w:lang w:val="en-US" w:eastAsia="zh-CN"/>
                    </w:rPr>
                    <w:t>特驱供热点生物质锅炉废气产生及排放情况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燃料消耗量</w:t>
                  </w:r>
                </w:p>
              </w:tc>
              <w:tc>
                <w:tcPr>
                  <w:tcW w:w="4460" w:type="pct"/>
                  <w:gridSpan w:val="6"/>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44287.7t/a（6t/h、20t/h，2台锅炉总消耗量）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污染物</w:t>
                  </w:r>
                </w:p>
              </w:tc>
              <w:tc>
                <w:tcPr>
                  <w:tcW w:w="87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产生量</w:t>
                  </w:r>
                </w:p>
              </w:tc>
              <w:tc>
                <w:tcPr>
                  <w:tcW w:w="81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产生浓度</w:t>
                  </w:r>
                </w:p>
              </w:tc>
              <w:tc>
                <w:tcPr>
                  <w:tcW w:w="54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去除率</w:t>
                  </w:r>
                </w:p>
              </w:tc>
              <w:tc>
                <w:tcPr>
                  <w:tcW w:w="81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排放量</w:t>
                  </w:r>
                </w:p>
              </w:tc>
              <w:tc>
                <w:tcPr>
                  <w:tcW w:w="75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排放浓度</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排放速率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烟气量</w:t>
                  </w:r>
                </w:p>
              </w:tc>
              <w:tc>
                <w:tcPr>
                  <w:tcW w:w="87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27635</w:t>
                  </w:r>
                  <w:r>
                    <w:rPr>
                      <w:rFonts w:hint="default" w:ascii="Times New Roman" w:hAnsi="Times New Roman" w:eastAsia="宋体" w:cs="Times New Roman"/>
                      <w:b w:val="0"/>
                      <w:bCs w:val="0"/>
                      <w:color w:val="auto"/>
                      <w:kern w:val="0"/>
                      <w:sz w:val="21"/>
                      <w:szCs w:val="21"/>
                      <w:highlight w:val="none"/>
                      <w:lang w:val="en-US" w:eastAsia="zh-CN" w:bidi="ar-SA"/>
                    </w:rPr>
                    <w:t>万m³/a，</w:t>
                  </w:r>
                  <w:r>
                    <w:rPr>
                      <w:rFonts w:hint="eastAsia" w:cs="Times New Roman"/>
                      <w:b w:val="0"/>
                      <w:bCs w:val="0"/>
                      <w:color w:val="auto"/>
                      <w:kern w:val="0"/>
                      <w:sz w:val="21"/>
                      <w:szCs w:val="21"/>
                      <w:highlight w:val="none"/>
                      <w:lang w:val="en-US" w:eastAsia="zh-CN" w:bidi="ar-SA"/>
                    </w:rPr>
                    <w:t>34893</w:t>
                  </w:r>
                  <w:r>
                    <w:rPr>
                      <w:rFonts w:hint="default" w:ascii="Times New Roman" w:hAnsi="Times New Roman" w:eastAsia="宋体" w:cs="Times New Roman"/>
                      <w:b w:val="0"/>
                      <w:bCs w:val="0"/>
                      <w:color w:val="auto"/>
                      <w:kern w:val="0"/>
                      <w:sz w:val="21"/>
                      <w:szCs w:val="21"/>
                      <w:highlight w:val="none"/>
                      <w:lang w:val="en-US" w:eastAsia="zh-CN" w:bidi="ar-SA"/>
                    </w:rPr>
                    <w:t>m³/h</w:t>
                  </w:r>
                </w:p>
              </w:tc>
              <w:tc>
                <w:tcPr>
                  <w:tcW w:w="81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w:t>
                  </w:r>
                </w:p>
              </w:tc>
              <w:tc>
                <w:tcPr>
                  <w:tcW w:w="54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w:t>
                  </w:r>
                </w:p>
              </w:tc>
              <w:tc>
                <w:tcPr>
                  <w:tcW w:w="81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27635</w:t>
                  </w:r>
                  <w:r>
                    <w:rPr>
                      <w:rFonts w:hint="default" w:ascii="Times New Roman" w:hAnsi="Times New Roman" w:eastAsia="宋体" w:cs="Times New Roman"/>
                      <w:b w:val="0"/>
                      <w:bCs w:val="0"/>
                      <w:color w:val="auto"/>
                      <w:kern w:val="0"/>
                      <w:sz w:val="21"/>
                      <w:szCs w:val="21"/>
                      <w:highlight w:val="none"/>
                      <w:lang w:val="en-US" w:eastAsia="zh-CN" w:bidi="ar-SA"/>
                    </w:rPr>
                    <w:t>万m³/a，</w:t>
                  </w:r>
                  <w:r>
                    <w:rPr>
                      <w:rFonts w:hint="eastAsia" w:cs="Times New Roman"/>
                      <w:b w:val="0"/>
                      <w:bCs w:val="0"/>
                      <w:color w:val="auto"/>
                      <w:kern w:val="0"/>
                      <w:sz w:val="21"/>
                      <w:szCs w:val="21"/>
                      <w:highlight w:val="none"/>
                      <w:lang w:val="en-US" w:eastAsia="zh-CN" w:bidi="ar-SA"/>
                    </w:rPr>
                    <w:t>34893</w:t>
                  </w:r>
                  <w:r>
                    <w:rPr>
                      <w:rFonts w:hint="default" w:ascii="Times New Roman" w:hAnsi="Times New Roman" w:eastAsia="宋体" w:cs="Times New Roman"/>
                      <w:b w:val="0"/>
                      <w:bCs w:val="0"/>
                      <w:color w:val="auto"/>
                      <w:kern w:val="0"/>
                      <w:sz w:val="21"/>
                      <w:szCs w:val="21"/>
                      <w:highlight w:val="none"/>
                      <w:lang w:val="en-US" w:eastAsia="zh-CN" w:bidi="ar-SA"/>
                    </w:rPr>
                    <w:t>m³/h</w:t>
                  </w:r>
                </w:p>
              </w:tc>
              <w:tc>
                <w:tcPr>
                  <w:tcW w:w="75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颗粒物</w:t>
                  </w:r>
                </w:p>
              </w:tc>
              <w:tc>
                <w:tcPr>
                  <w:tcW w:w="878" w:type="pct"/>
                  <w:tcBorders>
                    <w:tl2br w:val="nil"/>
                    <w:tr2bl w:val="nil"/>
                  </w:tcBorders>
                  <w:noWrap w:val="0"/>
                  <w:vAlign w:val="center"/>
                </w:tcPr>
                <w:p>
                  <w:pPr>
                    <w:keepNext w:val="0"/>
                    <w:keepLines w:val="0"/>
                    <w:widowControl/>
                    <w:suppressLineNumbers w:val="0"/>
                    <w:jc w:val="center"/>
                    <w:textAlignment w:val="center"/>
                    <w:rPr>
                      <w:rFonts w:hint="default" w:cs="Times New Roman"/>
                      <w:b w:val="0"/>
                      <w:bCs w:val="0"/>
                      <w:color w:val="auto"/>
                      <w:kern w:val="0"/>
                      <w:sz w:val="21"/>
                      <w:szCs w:val="21"/>
                      <w:highlight w:val="none"/>
                      <w:lang w:val="en-US" w:eastAsia="zh-CN"/>
                    </w:rPr>
                  </w:pPr>
                  <w:r>
                    <w:rPr>
                      <w:rStyle w:val="109"/>
                      <w:rFonts w:hint="eastAsia" w:eastAsia="宋体"/>
                      <w:color w:val="auto"/>
                      <w:kern w:val="0"/>
                      <w:highlight w:val="none"/>
                      <w:lang w:val="en-US" w:bidi="ar"/>
                    </w:rPr>
                    <w:t>1665.22</w:t>
                  </w:r>
                  <w:r>
                    <w:rPr>
                      <w:rStyle w:val="109"/>
                      <w:rFonts w:eastAsia="宋体"/>
                      <w:color w:val="auto"/>
                      <w:kern w:val="0"/>
                      <w:highlight w:val="none"/>
                      <w:lang w:bidi="ar"/>
                    </w:rPr>
                    <w:t>t/a</w:t>
                  </w:r>
                </w:p>
              </w:tc>
              <w:tc>
                <w:tcPr>
                  <w:tcW w:w="81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6025.64</w:t>
                  </w:r>
                  <w:r>
                    <w:rPr>
                      <w:rFonts w:hint="default" w:ascii="Times New Roman" w:hAnsi="Times New Roman" w:eastAsia="宋体" w:cs="Times New Roman"/>
                      <w:i w:val="0"/>
                      <w:iCs w:val="0"/>
                      <w:color w:val="auto"/>
                      <w:kern w:val="0"/>
                      <w:sz w:val="21"/>
                      <w:szCs w:val="21"/>
                      <w:highlight w:val="none"/>
                      <w:u w:val="none"/>
                      <w:lang w:val="en-US" w:eastAsia="zh-CN" w:bidi="ar"/>
                    </w:rPr>
                    <w:t>mg/m³</w:t>
                  </w:r>
                </w:p>
              </w:tc>
              <w:tc>
                <w:tcPr>
                  <w:tcW w:w="54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99.232%</w:t>
                  </w:r>
                </w:p>
              </w:tc>
              <w:tc>
                <w:tcPr>
                  <w:tcW w:w="8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12.79</w:t>
                  </w:r>
                  <w:r>
                    <w:rPr>
                      <w:rStyle w:val="109"/>
                      <w:rFonts w:eastAsia="宋体"/>
                      <w:color w:val="auto"/>
                      <w:kern w:val="0"/>
                      <w:highlight w:val="none"/>
                      <w:lang w:bidi="ar"/>
                    </w:rPr>
                    <w:t>t/a</w:t>
                  </w:r>
                </w:p>
              </w:tc>
              <w:tc>
                <w:tcPr>
                  <w:tcW w:w="75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46.28</w:t>
                  </w:r>
                  <w:r>
                    <w:rPr>
                      <w:rFonts w:hint="default" w:ascii="Times New Roman" w:hAnsi="Times New Roman" w:eastAsia="宋体" w:cs="Times New Roman"/>
                      <w:i w:val="0"/>
                      <w:iCs w:val="0"/>
                      <w:color w:val="auto"/>
                      <w:kern w:val="0"/>
                      <w:sz w:val="21"/>
                      <w:szCs w:val="21"/>
                      <w:highlight w:val="none"/>
                      <w:u w:val="none"/>
                      <w:lang w:val="en-US" w:eastAsia="zh-CN" w:bidi="ar"/>
                    </w:rPr>
                    <w:t>mg/m³</w:t>
                  </w:r>
                </w:p>
              </w:tc>
              <w:tc>
                <w:tcPr>
                  <w:tcW w:w="6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1.61</w:t>
                  </w:r>
                  <w:r>
                    <w:rPr>
                      <w:rFonts w:hint="default" w:ascii="Times New Roman" w:hAnsi="Times New Roman" w:eastAsia="宋体" w:cs="Times New Roman"/>
                      <w:i w:val="0"/>
                      <w:iCs w:val="0"/>
                      <w:color w:val="auto"/>
                      <w:kern w:val="0"/>
                      <w:sz w:val="21"/>
                      <w:szCs w:val="21"/>
                      <w:highlight w:val="none"/>
                      <w:u w:val="none"/>
                      <w:lang w:val="en-US" w:eastAsia="zh-CN" w:bidi="ar"/>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SO</w:t>
                  </w:r>
                  <w:r>
                    <w:rPr>
                      <w:rFonts w:hint="eastAsia" w:cs="Times New Roman"/>
                      <w:b w:val="0"/>
                      <w:bCs w:val="0"/>
                      <w:color w:val="auto"/>
                      <w:kern w:val="0"/>
                      <w:sz w:val="21"/>
                      <w:szCs w:val="21"/>
                      <w:highlight w:val="none"/>
                      <w:vertAlign w:val="subscript"/>
                      <w:lang w:val="en-US" w:eastAsia="zh-CN"/>
                    </w:rPr>
                    <w:t>2</w:t>
                  </w:r>
                </w:p>
              </w:tc>
              <w:tc>
                <w:tcPr>
                  <w:tcW w:w="878" w:type="pct"/>
                  <w:tcBorders>
                    <w:tl2br w:val="nil"/>
                    <w:tr2bl w:val="nil"/>
                  </w:tcBorders>
                  <w:noWrap w:val="0"/>
                  <w:vAlign w:val="center"/>
                </w:tcPr>
                <w:p>
                  <w:pPr>
                    <w:keepNext w:val="0"/>
                    <w:keepLines w:val="0"/>
                    <w:widowControl/>
                    <w:suppressLineNumbers w:val="0"/>
                    <w:jc w:val="center"/>
                    <w:textAlignment w:val="center"/>
                    <w:rPr>
                      <w:rFonts w:hint="default" w:cs="Times New Roman"/>
                      <w:b w:val="0"/>
                      <w:bCs w:val="0"/>
                      <w:color w:val="auto"/>
                      <w:kern w:val="0"/>
                      <w:sz w:val="21"/>
                      <w:szCs w:val="21"/>
                      <w:highlight w:val="none"/>
                      <w:lang w:val="en-US" w:eastAsia="zh-CN"/>
                    </w:rPr>
                  </w:pPr>
                  <w:r>
                    <w:rPr>
                      <w:rStyle w:val="109"/>
                      <w:rFonts w:hint="eastAsia" w:eastAsia="宋体"/>
                      <w:color w:val="auto"/>
                      <w:kern w:val="0"/>
                      <w:highlight w:val="none"/>
                      <w:lang w:val="en-US" w:bidi="ar"/>
                    </w:rPr>
                    <w:t>15.06</w:t>
                  </w:r>
                  <w:r>
                    <w:rPr>
                      <w:rStyle w:val="109"/>
                      <w:rFonts w:eastAsia="宋体"/>
                      <w:color w:val="auto"/>
                      <w:kern w:val="0"/>
                      <w:highlight w:val="none"/>
                      <w:lang w:bidi="ar"/>
                    </w:rPr>
                    <w:t>t/a</w:t>
                  </w:r>
                </w:p>
              </w:tc>
              <w:tc>
                <w:tcPr>
                  <w:tcW w:w="81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54.49</w:t>
                  </w:r>
                  <w:r>
                    <w:rPr>
                      <w:rFonts w:hint="default" w:ascii="Times New Roman" w:hAnsi="Times New Roman" w:eastAsia="宋体" w:cs="Times New Roman"/>
                      <w:i w:val="0"/>
                      <w:iCs w:val="0"/>
                      <w:color w:val="auto"/>
                      <w:kern w:val="0"/>
                      <w:sz w:val="21"/>
                      <w:szCs w:val="21"/>
                      <w:highlight w:val="none"/>
                      <w:u w:val="none"/>
                      <w:lang w:val="en-US" w:eastAsia="zh-CN" w:bidi="ar"/>
                    </w:rPr>
                    <w:t>mg/m³</w:t>
                  </w:r>
                </w:p>
              </w:tc>
              <w:tc>
                <w:tcPr>
                  <w:tcW w:w="54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Style w:val="109"/>
                      <w:rFonts w:eastAsia="宋体"/>
                      <w:color w:val="auto"/>
                      <w:kern w:val="0"/>
                      <w:highlight w:val="none"/>
                      <w:lang w:bidi="ar"/>
                    </w:rPr>
                    <w:t>/</w:t>
                  </w:r>
                </w:p>
              </w:tc>
              <w:tc>
                <w:tcPr>
                  <w:tcW w:w="8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Style w:val="109"/>
                      <w:rFonts w:hint="eastAsia" w:eastAsia="宋体"/>
                      <w:color w:val="auto"/>
                      <w:kern w:val="0"/>
                      <w:highlight w:val="none"/>
                      <w:lang w:val="en-US" w:bidi="ar"/>
                    </w:rPr>
                    <w:t>15.06</w:t>
                  </w:r>
                  <w:r>
                    <w:rPr>
                      <w:rStyle w:val="109"/>
                      <w:rFonts w:eastAsia="宋体"/>
                      <w:color w:val="auto"/>
                      <w:kern w:val="0"/>
                      <w:highlight w:val="none"/>
                      <w:lang w:bidi="ar"/>
                    </w:rPr>
                    <w:t>t/a</w:t>
                  </w:r>
                </w:p>
              </w:tc>
              <w:tc>
                <w:tcPr>
                  <w:tcW w:w="759"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54.49</w:t>
                  </w:r>
                  <w:r>
                    <w:rPr>
                      <w:rFonts w:hint="default" w:ascii="Times New Roman" w:hAnsi="Times New Roman" w:eastAsia="宋体" w:cs="Times New Roman"/>
                      <w:i w:val="0"/>
                      <w:iCs w:val="0"/>
                      <w:color w:val="auto"/>
                      <w:kern w:val="0"/>
                      <w:sz w:val="21"/>
                      <w:szCs w:val="21"/>
                      <w:highlight w:val="none"/>
                      <w:u w:val="none"/>
                      <w:lang w:val="en-US" w:eastAsia="zh-CN" w:bidi="ar"/>
                    </w:rPr>
                    <w:t>mg/m³</w:t>
                  </w:r>
                </w:p>
              </w:tc>
              <w:tc>
                <w:tcPr>
                  <w:tcW w:w="6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1.9</w:t>
                  </w:r>
                  <w:r>
                    <w:rPr>
                      <w:rFonts w:hint="default" w:ascii="Times New Roman" w:hAnsi="Times New Roman" w:eastAsia="宋体" w:cs="Times New Roman"/>
                      <w:i w:val="0"/>
                      <w:iCs w:val="0"/>
                      <w:color w:val="auto"/>
                      <w:kern w:val="0"/>
                      <w:sz w:val="21"/>
                      <w:szCs w:val="21"/>
                      <w:highlight w:val="none"/>
                      <w:u w:val="none"/>
                      <w:lang w:val="en-US" w:eastAsia="zh-CN" w:bidi="ar"/>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NOx</w:t>
                  </w:r>
                </w:p>
              </w:tc>
              <w:tc>
                <w:tcPr>
                  <w:tcW w:w="878" w:type="pct"/>
                  <w:tcBorders>
                    <w:tl2br w:val="nil"/>
                    <w:tr2bl w:val="nil"/>
                  </w:tcBorders>
                  <w:noWrap w:val="0"/>
                  <w:vAlign w:val="center"/>
                </w:tcPr>
                <w:p>
                  <w:pPr>
                    <w:keepNext w:val="0"/>
                    <w:keepLines w:val="0"/>
                    <w:widowControl/>
                    <w:suppressLineNumbers w:val="0"/>
                    <w:jc w:val="center"/>
                    <w:textAlignment w:val="center"/>
                    <w:rPr>
                      <w:rFonts w:hint="default" w:cs="Times New Roman"/>
                      <w:b w:val="0"/>
                      <w:bCs w:val="0"/>
                      <w:color w:val="auto"/>
                      <w:kern w:val="0"/>
                      <w:sz w:val="21"/>
                      <w:szCs w:val="21"/>
                      <w:highlight w:val="none"/>
                      <w:lang w:val="en-US" w:eastAsia="zh-CN"/>
                    </w:rPr>
                  </w:pPr>
                  <w:r>
                    <w:rPr>
                      <w:rStyle w:val="109"/>
                      <w:rFonts w:hint="eastAsia"/>
                      <w:color w:val="auto"/>
                      <w:kern w:val="0"/>
                      <w:highlight w:val="none"/>
                      <w:lang w:val="en-US" w:bidi="ar"/>
                    </w:rPr>
                    <w:t>45.17</w:t>
                  </w:r>
                  <w:r>
                    <w:rPr>
                      <w:rStyle w:val="109"/>
                      <w:rFonts w:eastAsia="宋体"/>
                      <w:color w:val="auto"/>
                      <w:kern w:val="0"/>
                      <w:highlight w:val="none"/>
                      <w:lang w:bidi="ar"/>
                    </w:rPr>
                    <w:t>t/a</w:t>
                  </w:r>
                </w:p>
              </w:tc>
              <w:tc>
                <w:tcPr>
                  <w:tcW w:w="81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163.46</w:t>
                  </w:r>
                  <w:r>
                    <w:rPr>
                      <w:rFonts w:hint="default" w:ascii="Times New Roman" w:hAnsi="Times New Roman" w:eastAsia="宋体" w:cs="Times New Roman"/>
                      <w:i w:val="0"/>
                      <w:iCs w:val="0"/>
                      <w:color w:val="auto"/>
                      <w:kern w:val="0"/>
                      <w:sz w:val="21"/>
                      <w:szCs w:val="21"/>
                      <w:highlight w:val="none"/>
                      <w:u w:val="none"/>
                      <w:lang w:val="en-US" w:eastAsia="zh-CN" w:bidi="ar"/>
                    </w:rPr>
                    <w:t>mg/m³</w:t>
                  </w:r>
                </w:p>
              </w:tc>
              <w:tc>
                <w:tcPr>
                  <w:tcW w:w="54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Style w:val="109"/>
                      <w:rFonts w:eastAsia="宋体"/>
                      <w:color w:val="auto"/>
                      <w:kern w:val="0"/>
                      <w:highlight w:val="none"/>
                      <w:lang w:bidi="ar"/>
                    </w:rPr>
                    <w:t>/</w:t>
                  </w:r>
                </w:p>
              </w:tc>
              <w:tc>
                <w:tcPr>
                  <w:tcW w:w="8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Style w:val="109"/>
                      <w:rFonts w:hint="eastAsia"/>
                      <w:color w:val="auto"/>
                      <w:kern w:val="0"/>
                      <w:highlight w:val="none"/>
                      <w:lang w:val="en-US" w:bidi="ar"/>
                    </w:rPr>
                    <w:t>45.17</w:t>
                  </w:r>
                  <w:r>
                    <w:rPr>
                      <w:rStyle w:val="109"/>
                      <w:rFonts w:eastAsia="宋体"/>
                      <w:color w:val="auto"/>
                      <w:kern w:val="0"/>
                      <w:highlight w:val="none"/>
                      <w:lang w:bidi="ar"/>
                    </w:rPr>
                    <w:t>t/a</w:t>
                  </w:r>
                </w:p>
              </w:tc>
              <w:tc>
                <w:tcPr>
                  <w:tcW w:w="759"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163.46</w:t>
                  </w:r>
                  <w:r>
                    <w:rPr>
                      <w:rFonts w:hint="default" w:ascii="Times New Roman" w:hAnsi="Times New Roman" w:eastAsia="宋体" w:cs="Times New Roman"/>
                      <w:i w:val="0"/>
                      <w:iCs w:val="0"/>
                      <w:color w:val="auto"/>
                      <w:kern w:val="0"/>
                      <w:sz w:val="21"/>
                      <w:szCs w:val="21"/>
                      <w:highlight w:val="none"/>
                      <w:u w:val="none"/>
                      <w:lang w:val="en-US" w:eastAsia="zh-CN" w:bidi="ar"/>
                    </w:rPr>
                    <w:t>mg/m³</w:t>
                  </w:r>
                </w:p>
              </w:tc>
              <w:tc>
                <w:tcPr>
                  <w:tcW w:w="6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5.7</w:t>
                  </w:r>
                  <w:r>
                    <w:rPr>
                      <w:rFonts w:hint="default" w:ascii="Times New Roman" w:hAnsi="Times New Roman" w:eastAsia="宋体" w:cs="Times New Roman"/>
                      <w:i w:val="0"/>
                      <w:iCs w:val="0"/>
                      <w:color w:val="auto"/>
                      <w:kern w:val="0"/>
                      <w:sz w:val="21"/>
                      <w:szCs w:val="21"/>
                      <w:highlight w:val="none"/>
                      <w:u w:val="none"/>
                      <w:lang w:val="en-US" w:eastAsia="zh-CN" w:bidi="ar"/>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7"/>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 w:val="21"/>
                      <w:szCs w:val="21"/>
                      <w:highlight w:val="none"/>
                      <w:lang w:val="en-US" w:eastAsia="zh-CN"/>
                    </w:rPr>
                  </w:pPr>
                  <w:r>
                    <w:rPr>
                      <w:rFonts w:hint="eastAsia" w:cs="Times New Roman"/>
                      <w:b/>
                      <w:bCs/>
                      <w:color w:val="auto"/>
                      <w:kern w:val="0"/>
                      <w:sz w:val="21"/>
                      <w:szCs w:val="21"/>
                      <w:highlight w:val="none"/>
                      <w:lang w:val="en-US" w:eastAsia="zh-CN"/>
                    </w:rPr>
                    <w:t>漓源供热点生物质锅炉废气产生及排放情况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燃料消耗量</w:t>
                  </w:r>
                </w:p>
              </w:tc>
              <w:tc>
                <w:tcPr>
                  <w:tcW w:w="4460" w:type="pct"/>
                  <w:gridSpan w:val="6"/>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6766.9t/a（1台4t/h锅炉）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污染物</w:t>
                  </w:r>
                </w:p>
              </w:tc>
              <w:tc>
                <w:tcPr>
                  <w:tcW w:w="87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产生量</w:t>
                  </w:r>
                </w:p>
              </w:tc>
              <w:tc>
                <w:tcPr>
                  <w:tcW w:w="81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产生浓度</w:t>
                  </w:r>
                </w:p>
              </w:tc>
              <w:tc>
                <w:tcPr>
                  <w:tcW w:w="54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去除率</w:t>
                  </w:r>
                </w:p>
              </w:tc>
              <w:tc>
                <w:tcPr>
                  <w:tcW w:w="81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排放量</w:t>
                  </w:r>
                </w:p>
              </w:tc>
              <w:tc>
                <w:tcPr>
                  <w:tcW w:w="75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排放浓度</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排放速率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烟气量</w:t>
                  </w:r>
                </w:p>
              </w:tc>
              <w:tc>
                <w:tcPr>
                  <w:tcW w:w="87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4222</w:t>
                  </w:r>
                  <w:r>
                    <w:rPr>
                      <w:rFonts w:hint="default" w:ascii="Times New Roman" w:hAnsi="Times New Roman" w:eastAsia="宋体" w:cs="Times New Roman"/>
                      <w:b w:val="0"/>
                      <w:bCs w:val="0"/>
                      <w:color w:val="auto"/>
                      <w:kern w:val="0"/>
                      <w:sz w:val="21"/>
                      <w:szCs w:val="21"/>
                      <w:highlight w:val="none"/>
                      <w:lang w:val="en-US" w:eastAsia="zh-CN" w:bidi="ar-SA"/>
                    </w:rPr>
                    <w:t>万m³/a，</w:t>
                  </w:r>
                  <w:r>
                    <w:rPr>
                      <w:rFonts w:hint="eastAsia" w:cs="Times New Roman"/>
                      <w:b w:val="0"/>
                      <w:bCs w:val="0"/>
                      <w:color w:val="auto"/>
                      <w:kern w:val="0"/>
                      <w:sz w:val="21"/>
                      <w:szCs w:val="21"/>
                      <w:highlight w:val="none"/>
                      <w:lang w:val="en-US" w:eastAsia="zh-CN" w:bidi="ar-SA"/>
                    </w:rPr>
                    <w:t>5331</w:t>
                  </w:r>
                  <w:r>
                    <w:rPr>
                      <w:rFonts w:hint="default" w:ascii="Times New Roman" w:hAnsi="Times New Roman" w:eastAsia="宋体" w:cs="Times New Roman"/>
                      <w:b w:val="0"/>
                      <w:bCs w:val="0"/>
                      <w:color w:val="auto"/>
                      <w:kern w:val="0"/>
                      <w:sz w:val="21"/>
                      <w:szCs w:val="21"/>
                      <w:highlight w:val="none"/>
                      <w:lang w:val="en-US" w:eastAsia="zh-CN" w:bidi="ar-SA"/>
                    </w:rPr>
                    <w:t>m³/h</w:t>
                  </w:r>
                </w:p>
              </w:tc>
              <w:tc>
                <w:tcPr>
                  <w:tcW w:w="81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w:t>
                  </w:r>
                </w:p>
              </w:tc>
              <w:tc>
                <w:tcPr>
                  <w:tcW w:w="54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w:t>
                  </w:r>
                </w:p>
              </w:tc>
              <w:tc>
                <w:tcPr>
                  <w:tcW w:w="81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4222</w:t>
                  </w:r>
                  <w:r>
                    <w:rPr>
                      <w:rFonts w:hint="default" w:ascii="Times New Roman" w:hAnsi="Times New Roman" w:eastAsia="宋体" w:cs="Times New Roman"/>
                      <w:b w:val="0"/>
                      <w:bCs w:val="0"/>
                      <w:color w:val="auto"/>
                      <w:kern w:val="0"/>
                      <w:sz w:val="21"/>
                      <w:szCs w:val="21"/>
                      <w:highlight w:val="none"/>
                      <w:lang w:val="en-US" w:eastAsia="zh-CN" w:bidi="ar-SA"/>
                    </w:rPr>
                    <w:t>万m³/a，</w:t>
                  </w:r>
                  <w:r>
                    <w:rPr>
                      <w:rFonts w:hint="eastAsia" w:cs="Times New Roman"/>
                      <w:b w:val="0"/>
                      <w:bCs w:val="0"/>
                      <w:color w:val="auto"/>
                      <w:kern w:val="0"/>
                      <w:sz w:val="21"/>
                      <w:szCs w:val="21"/>
                      <w:highlight w:val="none"/>
                      <w:lang w:val="en-US" w:eastAsia="zh-CN" w:bidi="ar-SA"/>
                    </w:rPr>
                    <w:t>5331</w:t>
                  </w:r>
                  <w:r>
                    <w:rPr>
                      <w:rFonts w:hint="default" w:ascii="Times New Roman" w:hAnsi="Times New Roman" w:eastAsia="宋体" w:cs="Times New Roman"/>
                      <w:b w:val="0"/>
                      <w:bCs w:val="0"/>
                      <w:color w:val="auto"/>
                      <w:kern w:val="0"/>
                      <w:sz w:val="21"/>
                      <w:szCs w:val="21"/>
                      <w:highlight w:val="none"/>
                      <w:lang w:val="en-US" w:eastAsia="zh-CN" w:bidi="ar-SA"/>
                    </w:rPr>
                    <w:t>m³/h</w:t>
                  </w:r>
                </w:p>
              </w:tc>
              <w:tc>
                <w:tcPr>
                  <w:tcW w:w="75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颗粒物</w:t>
                  </w:r>
                </w:p>
              </w:tc>
              <w:tc>
                <w:tcPr>
                  <w:tcW w:w="878" w:type="pct"/>
                  <w:tcBorders>
                    <w:tl2br w:val="nil"/>
                    <w:tr2bl w:val="nil"/>
                  </w:tcBorders>
                  <w:noWrap w:val="0"/>
                  <w:vAlign w:val="center"/>
                </w:tcPr>
                <w:p>
                  <w:pPr>
                    <w:keepNext w:val="0"/>
                    <w:keepLines w:val="0"/>
                    <w:widowControl/>
                    <w:suppressLineNumbers w:val="0"/>
                    <w:jc w:val="center"/>
                    <w:textAlignment w:val="center"/>
                    <w:rPr>
                      <w:rFonts w:hint="default" w:cs="Times New Roman"/>
                      <w:b w:val="0"/>
                      <w:bCs w:val="0"/>
                      <w:color w:val="auto"/>
                      <w:kern w:val="0"/>
                      <w:sz w:val="21"/>
                      <w:szCs w:val="21"/>
                      <w:highlight w:val="none"/>
                      <w:lang w:val="en-US" w:eastAsia="zh-CN"/>
                    </w:rPr>
                  </w:pPr>
                  <w:r>
                    <w:rPr>
                      <w:rStyle w:val="109"/>
                      <w:rFonts w:hint="eastAsia" w:eastAsia="宋体"/>
                      <w:color w:val="auto"/>
                      <w:kern w:val="0"/>
                      <w:highlight w:val="none"/>
                      <w:lang w:val="en-US" w:bidi="ar"/>
                    </w:rPr>
                    <w:t>254.43</w:t>
                  </w:r>
                  <w:r>
                    <w:rPr>
                      <w:rStyle w:val="109"/>
                      <w:rFonts w:eastAsia="宋体"/>
                      <w:color w:val="auto"/>
                      <w:kern w:val="0"/>
                      <w:highlight w:val="none"/>
                      <w:lang w:bidi="ar"/>
                    </w:rPr>
                    <w:t>t/a</w:t>
                  </w:r>
                </w:p>
              </w:tc>
              <w:tc>
                <w:tcPr>
                  <w:tcW w:w="81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6025.64</w:t>
                  </w:r>
                  <w:r>
                    <w:rPr>
                      <w:rFonts w:hint="default" w:ascii="Times New Roman" w:hAnsi="Times New Roman" w:eastAsia="宋体" w:cs="Times New Roman"/>
                      <w:i w:val="0"/>
                      <w:iCs w:val="0"/>
                      <w:color w:val="auto"/>
                      <w:kern w:val="0"/>
                      <w:sz w:val="21"/>
                      <w:szCs w:val="21"/>
                      <w:highlight w:val="none"/>
                      <w:u w:val="none"/>
                      <w:lang w:val="en-US" w:eastAsia="zh-CN" w:bidi="ar"/>
                    </w:rPr>
                    <w:t>mg/m³</w:t>
                  </w:r>
                </w:p>
              </w:tc>
              <w:tc>
                <w:tcPr>
                  <w:tcW w:w="54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99.232%</w:t>
                  </w:r>
                </w:p>
              </w:tc>
              <w:tc>
                <w:tcPr>
                  <w:tcW w:w="8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1.95</w:t>
                  </w:r>
                  <w:r>
                    <w:rPr>
                      <w:rStyle w:val="109"/>
                      <w:rFonts w:eastAsia="宋体"/>
                      <w:color w:val="auto"/>
                      <w:kern w:val="0"/>
                      <w:highlight w:val="none"/>
                      <w:lang w:bidi="ar"/>
                    </w:rPr>
                    <w:t>t/a</w:t>
                  </w:r>
                </w:p>
              </w:tc>
              <w:tc>
                <w:tcPr>
                  <w:tcW w:w="75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46.28</w:t>
                  </w:r>
                  <w:r>
                    <w:rPr>
                      <w:rFonts w:hint="default" w:ascii="Times New Roman" w:hAnsi="Times New Roman" w:eastAsia="宋体" w:cs="Times New Roman"/>
                      <w:i w:val="0"/>
                      <w:iCs w:val="0"/>
                      <w:color w:val="auto"/>
                      <w:kern w:val="0"/>
                      <w:sz w:val="21"/>
                      <w:szCs w:val="21"/>
                      <w:highlight w:val="none"/>
                      <w:u w:val="none"/>
                      <w:lang w:val="en-US" w:eastAsia="zh-CN" w:bidi="ar"/>
                    </w:rPr>
                    <w:t>mg/m³</w:t>
                  </w:r>
                </w:p>
              </w:tc>
              <w:tc>
                <w:tcPr>
                  <w:tcW w:w="6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0.49</w:t>
                  </w:r>
                  <w:r>
                    <w:rPr>
                      <w:rFonts w:hint="default" w:ascii="Times New Roman" w:hAnsi="Times New Roman" w:eastAsia="宋体" w:cs="Times New Roman"/>
                      <w:i w:val="0"/>
                      <w:iCs w:val="0"/>
                      <w:color w:val="auto"/>
                      <w:kern w:val="0"/>
                      <w:sz w:val="21"/>
                      <w:szCs w:val="21"/>
                      <w:highlight w:val="none"/>
                      <w:u w:val="none"/>
                      <w:lang w:val="en-US" w:eastAsia="zh-CN" w:bidi="ar"/>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SO</w:t>
                  </w:r>
                  <w:r>
                    <w:rPr>
                      <w:rFonts w:hint="eastAsia" w:cs="Times New Roman"/>
                      <w:b w:val="0"/>
                      <w:bCs w:val="0"/>
                      <w:color w:val="auto"/>
                      <w:kern w:val="0"/>
                      <w:sz w:val="21"/>
                      <w:szCs w:val="21"/>
                      <w:highlight w:val="none"/>
                      <w:vertAlign w:val="subscript"/>
                      <w:lang w:val="en-US" w:eastAsia="zh-CN"/>
                    </w:rPr>
                    <w:t>2</w:t>
                  </w:r>
                </w:p>
              </w:tc>
              <w:tc>
                <w:tcPr>
                  <w:tcW w:w="878" w:type="pct"/>
                  <w:tcBorders>
                    <w:tl2br w:val="nil"/>
                    <w:tr2bl w:val="nil"/>
                  </w:tcBorders>
                  <w:noWrap w:val="0"/>
                  <w:vAlign w:val="center"/>
                </w:tcPr>
                <w:p>
                  <w:pPr>
                    <w:keepNext w:val="0"/>
                    <w:keepLines w:val="0"/>
                    <w:widowControl/>
                    <w:suppressLineNumbers w:val="0"/>
                    <w:jc w:val="center"/>
                    <w:textAlignment w:val="center"/>
                    <w:rPr>
                      <w:rFonts w:hint="default" w:cs="Times New Roman"/>
                      <w:b w:val="0"/>
                      <w:bCs w:val="0"/>
                      <w:color w:val="auto"/>
                      <w:kern w:val="0"/>
                      <w:sz w:val="21"/>
                      <w:szCs w:val="21"/>
                      <w:highlight w:val="none"/>
                      <w:lang w:val="en-US" w:eastAsia="zh-CN"/>
                    </w:rPr>
                  </w:pPr>
                  <w:r>
                    <w:rPr>
                      <w:rStyle w:val="109"/>
                      <w:rFonts w:hint="eastAsia" w:eastAsia="宋体"/>
                      <w:color w:val="auto"/>
                      <w:kern w:val="0"/>
                      <w:highlight w:val="none"/>
                      <w:lang w:val="en-US" w:bidi="ar"/>
                    </w:rPr>
                    <w:t>2.3</w:t>
                  </w:r>
                  <w:r>
                    <w:rPr>
                      <w:rStyle w:val="109"/>
                      <w:rFonts w:eastAsia="宋体"/>
                      <w:color w:val="auto"/>
                      <w:kern w:val="0"/>
                      <w:highlight w:val="none"/>
                      <w:lang w:bidi="ar"/>
                    </w:rPr>
                    <w:t>t/a</w:t>
                  </w:r>
                </w:p>
              </w:tc>
              <w:tc>
                <w:tcPr>
                  <w:tcW w:w="81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54.49</w:t>
                  </w:r>
                  <w:r>
                    <w:rPr>
                      <w:rFonts w:hint="default" w:ascii="Times New Roman" w:hAnsi="Times New Roman" w:eastAsia="宋体" w:cs="Times New Roman"/>
                      <w:i w:val="0"/>
                      <w:iCs w:val="0"/>
                      <w:color w:val="auto"/>
                      <w:kern w:val="0"/>
                      <w:sz w:val="21"/>
                      <w:szCs w:val="21"/>
                      <w:highlight w:val="none"/>
                      <w:u w:val="none"/>
                      <w:lang w:val="en-US" w:eastAsia="zh-CN" w:bidi="ar"/>
                    </w:rPr>
                    <w:t>mg/m³</w:t>
                  </w:r>
                </w:p>
              </w:tc>
              <w:tc>
                <w:tcPr>
                  <w:tcW w:w="54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Style w:val="109"/>
                      <w:rFonts w:eastAsia="宋体"/>
                      <w:color w:val="auto"/>
                      <w:kern w:val="0"/>
                      <w:highlight w:val="none"/>
                      <w:lang w:bidi="ar"/>
                    </w:rPr>
                    <w:t>/</w:t>
                  </w:r>
                </w:p>
              </w:tc>
              <w:tc>
                <w:tcPr>
                  <w:tcW w:w="8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Style w:val="109"/>
                      <w:rFonts w:hint="eastAsia" w:eastAsia="宋体"/>
                      <w:color w:val="auto"/>
                      <w:kern w:val="0"/>
                      <w:highlight w:val="none"/>
                      <w:lang w:val="en-US" w:bidi="ar"/>
                    </w:rPr>
                    <w:t>2.3</w:t>
                  </w:r>
                  <w:r>
                    <w:rPr>
                      <w:rStyle w:val="109"/>
                      <w:rFonts w:eastAsia="宋体"/>
                      <w:color w:val="auto"/>
                      <w:kern w:val="0"/>
                      <w:highlight w:val="none"/>
                      <w:lang w:bidi="ar"/>
                    </w:rPr>
                    <w:t>t/a</w:t>
                  </w:r>
                </w:p>
              </w:tc>
              <w:tc>
                <w:tcPr>
                  <w:tcW w:w="759"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54.49</w:t>
                  </w:r>
                  <w:r>
                    <w:rPr>
                      <w:rFonts w:hint="default" w:ascii="Times New Roman" w:hAnsi="Times New Roman" w:eastAsia="宋体" w:cs="Times New Roman"/>
                      <w:i w:val="0"/>
                      <w:iCs w:val="0"/>
                      <w:color w:val="auto"/>
                      <w:kern w:val="0"/>
                      <w:sz w:val="21"/>
                      <w:szCs w:val="21"/>
                      <w:highlight w:val="none"/>
                      <w:u w:val="none"/>
                      <w:lang w:val="en-US" w:eastAsia="zh-CN" w:bidi="ar"/>
                    </w:rPr>
                    <w:t>mg/m³</w:t>
                  </w:r>
                </w:p>
              </w:tc>
              <w:tc>
                <w:tcPr>
                  <w:tcW w:w="6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58</w:t>
                  </w:r>
                  <w:r>
                    <w:rPr>
                      <w:rFonts w:hint="default" w:ascii="Times New Roman" w:hAnsi="Times New Roman" w:eastAsia="宋体" w:cs="Times New Roman"/>
                      <w:i w:val="0"/>
                      <w:iCs w:val="0"/>
                      <w:color w:val="auto"/>
                      <w:kern w:val="0"/>
                      <w:sz w:val="21"/>
                      <w:szCs w:val="21"/>
                      <w:highlight w:val="none"/>
                      <w:u w:val="none"/>
                      <w:lang w:val="en-US" w:eastAsia="zh-CN" w:bidi="ar"/>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NOx</w:t>
                  </w:r>
                </w:p>
              </w:tc>
              <w:tc>
                <w:tcPr>
                  <w:tcW w:w="878" w:type="pct"/>
                  <w:tcBorders>
                    <w:tl2br w:val="nil"/>
                    <w:tr2bl w:val="nil"/>
                  </w:tcBorders>
                  <w:noWrap w:val="0"/>
                  <w:vAlign w:val="center"/>
                </w:tcPr>
                <w:p>
                  <w:pPr>
                    <w:keepNext w:val="0"/>
                    <w:keepLines w:val="0"/>
                    <w:widowControl/>
                    <w:suppressLineNumbers w:val="0"/>
                    <w:jc w:val="center"/>
                    <w:textAlignment w:val="center"/>
                    <w:rPr>
                      <w:rFonts w:hint="default" w:cs="Times New Roman"/>
                      <w:b w:val="0"/>
                      <w:bCs w:val="0"/>
                      <w:color w:val="auto"/>
                      <w:kern w:val="0"/>
                      <w:sz w:val="21"/>
                      <w:szCs w:val="21"/>
                      <w:highlight w:val="none"/>
                      <w:lang w:val="en-US" w:eastAsia="zh-CN"/>
                    </w:rPr>
                  </w:pPr>
                  <w:r>
                    <w:rPr>
                      <w:rStyle w:val="109"/>
                      <w:rFonts w:hint="eastAsia"/>
                      <w:color w:val="auto"/>
                      <w:kern w:val="0"/>
                      <w:highlight w:val="none"/>
                      <w:lang w:val="en-US" w:bidi="ar"/>
                    </w:rPr>
                    <w:t>6.9</w:t>
                  </w:r>
                  <w:r>
                    <w:rPr>
                      <w:rStyle w:val="109"/>
                      <w:rFonts w:eastAsia="宋体"/>
                      <w:color w:val="auto"/>
                      <w:kern w:val="0"/>
                      <w:highlight w:val="none"/>
                      <w:lang w:bidi="ar"/>
                    </w:rPr>
                    <w:t>t/a</w:t>
                  </w:r>
                </w:p>
              </w:tc>
              <w:tc>
                <w:tcPr>
                  <w:tcW w:w="81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163.46</w:t>
                  </w:r>
                  <w:r>
                    <w:rPr>
                      <w:rFonts w:hint="default" w:ascii="Times New Roman" w:hAnsi="Times New Roman" w:eastAsia="宋体" w:cs="Times New Roman"/>
                      <w:i w:val="0"/>
                      <w:iCs w:val="0"/>
                      <w:color w:val="auto"/>
                      <w:kern w:val="0"/>
                      <w:sz w:val="21"/>
                      <w:szCs w:val="21"/>
                      <w:highlight w:val="none"/>
                      <w:u w:val="none"/>
                      <w:lang w:val="en-US" w:eastAsia="zh-CN" w:bidi="ar"/>
                    </w:rPr>
                    <w:t>mg/m³</w:t>
                  </w:r>
                </w:p>
              </w:tc>
              <w:tc>
                <w:tcPr>
                  <w:tcW w:w="54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Style w:val="109"/>
                      <w:rFonts w:eastAsia="宋体"/>
                      <w:color w:val="auto"/>
                      <w:kern w:val="0"/>
                      <w:highlight w:val="none"/>
                      <w:lang w:bidi="ar"/>
                    </w:rPr>
                    <w:t>/</w:t>
                  </w:r>
                </w:p>
              </w:tc>
              <w:tc>
                <w:tcPr>
                  <w:tcW w:w="8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Style w:val="109"/>
                      <w:rFonts w:hint="eastAsia"/>
                      <w:color w:val="auto"/>
                      <w:kern w:val="0"/>
                      <w:highlight w:val="none"/>
                      <w:lang w:val="en-US" w:bidi="ar"/>
                    </w:rPr>
                    <w:t>6.9</w:t>
                  </w:r>
                  <w:r>
                    <w:rPr>
                      <w:rStyle w:val="109"/>
                      <w:rFonts w:eastAsia="宋体"/>
                      <w:color w:val="auto"/>
                      <w:kern w:val="0"/>
                      <w:highlight w:val="none"/>
                      <w:lang w:bidi="ar"/>
                    </w:rPr>
                    <w:t>t/a</w:t>
                  </w:r>
                </w:p>
              </w:tc>
              <w:tc>
                <w:tcPr>
                  <w:tcW w:w="759"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163.46</w:t>
                  </w:r>
                  <w:r>
                    <w:rPr>
                      <w:rFonts w:hint="default" w:ascii="Times New Roman" w:hAnsi="Times New Roman" w:eastAsia="宋体" w:cs="Times New Roman"/>
                      <w:i w:val="0"/>
                      <w:iCs w:val="0"/>
                      <w:color w:val="auto"/>
                      <w:kern w:val="0"/>
                      <w:sz w:val="21"/>
                      <w:szCs w:val="21"/>
                      <w:highlight w:val="none"/>
                      <w:u w:val="none"/>
                      <w:lang w:val="en-US" w:eastAsia="zh-CN" w:bidi="ar"/>
                    </w:rPr>
                    <w:t>mg/m³</w:t>
                  </w:r>
                </w:p>
              </w:tc>
              <w:tc>
                <w:tcPr>
                  <w:tcW w:w="6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1.74</w:t>
                  </w:r>
                  <w:r>
                    <w:rPr>
                      <w:rFonts w:hint="default" w:ascii="Times New Roman" w:hAnsi="Times New Roman" w:eastAsia="宋体" w:cs="Times New Roman"/>
                      <w:i w:val="0"/>
                      <w:iCs w:val="0"/>
                      <w:color w:val="auto"/>
                      <w:kern w:val="0"/>
                      <w:sz w:val="21"/>
                      <w:szCs w:val="21"/>
                      <w:highlight w:val="none"/>
                      <w:u w:val="none"/>
                      <w:lang w:val="en-US" w:eastAsia="zh-CN" w:bidi="ar"/>
                    </w:rPr>
                    <w:t>kg/h</w:t>
                  </w:r>
                </w:p>
              </w:tc>
            </w:tr>
          </w:tbl>
          <w:p>
            <w:pPr>
              <w:autoSpaceDE w:val="0"/>
              <w:autoSpaceDN w:val="0"/>
              <w:adjustRightInd w:val="0"/>
              <w:spacing w:line="360" w:lineRule="auto"/>
              <w:ind w:firstLine="474" w:firstLineChars="197"/>
              <w:rPr>
                <w:rFonts w:hint="default" w:ascii="Times New Roman" w:hAnsi="宋体" w:eastAsia="宋体" w:cs="Times New Roman"/>
                <w:b/>
                <w:bCs/>
                <w:color w:val="auto"/>
                <w:sz w:val="24"/>
                <w:highlight w:val="none"/>
                <w:lang w:val="en-US" w:eastAsia="zh-CN"/>
              </w:rPr>
            </w:pPr>
            <w:r>
              <w:rPr>
                <w:rFonts w:hint="eastAsia" w:ascii="Times New Roman" w:hAnsi="宋体" w:eastAsia="宋体" w:cs="Times New Roman"/>
                <w:b/>
                <w:bCs/>
                <w:color w:val="auto"/>
                <w:sz w:val="24"/>
                <w:highlight w:val="none"/>
                <w:lang w:val="en-US" w:eastAsia="zh-CN"/>
              </w:rPr>
              <w:t>（3）非正常排放影响分析</w:t>
            </w:r>
          </w:p>
          <w:p>
            <w:pPr>
              <w:spacing w:line="360" w:lineRule="auto"/>
              <w:ind w:firstLine="504" w:firstLineChars="200"/>
              <w:rPr>
                <w:rFonts w:hint="eastAsia" w:ascii="Times New Roman" w:hAnsi="宋体" w:eastAsia="宋体" w:cs="Times New Roman"/>
                <w:color w:val="auto"/>
                <w:spacing w:val="6"/>
                <w:sz w:val="24"/>
                <w:highlight w:val="none"/>
                <w:lang w:val="en-US" w:eastAsia="zh-CN"/>
              </w:rPr>
            </w:pPr>
            <w:r>
              <w:rPr>
                <w:rFonts w:hint="eastAsia" w:ascii="Times New Roman" w:hAnsi="宋体" w:eastAsia="宋体" w:cs="Times New Roman"/>
                <w:color w:val="auto"/>
                <w:spacing w:val="6"/>
                <w:sz w:val="24"/>
                <w:highlight w:val="none"/>
                <w:lang w:val="en-US" w:eastAsia="zh-CN"/>
              </w:rPr>
              <w:t>本项目废气产生源主要来源于生物质锅炉废气，本次评价非正常排放假设为锅炉房除尘设施出现破损和故障，除尘效率下降至99%，废气非正常排放情况见下表。</w:t>
            </w:r>
          </w:p>
          <w:p>
            <w:pPr>
              <w:pStyle w:val="4"/>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表4-</w:t>
            </w:r>
            <w:r>
              <w:rPr>
                <w:rFonts w:hint="eastAsia" w:cs="Times New Roman"/>
                <w:b/>
                <w:bCs/>
                <w:color w:val="auto"/>
                <w:sz w:val="21"/>
                <w:szCs w:val="21"/>
                <w:highlight w:val="none"/>
                <w:lang w:val="en-US" w:eastAsia="zh-CN"/>
              </w:rPr>
              <w:t>3项目非正常排放条件下废气排放情况一览表</w:t>
            </w:r>
          </w:p>
          <w:tbl>
            <w:tblPr>
              <w:tblStyle w:val="29"/>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1"/>
              <w:gridCol w:w="711"/>
              <w:gridCol w:w="1189"/>
              <w:gridCol w:w="1189"/>
              <w:gridCol w:w="1334"/>
              <w:gridCol w:w="828"/>
              <w:gridCol w:w="879"/>
              <w:gridCol w:w="1015"/>
              <w:gridCol w:w="10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blHeader/>
                <w:jc w:val="center"/>
              </w:trPr>
              <w:tc>
                <w:tcPr>
                  <w:tcW w:w="416"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供热点</w:t>
                  </w:r>
                </w:p>
              </w:tc>
              <w:tc>
                <w:tcPr>
                  <w:tcW w:w="416"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污染物种类</w:t>
                  </w:r>
                </w:p>
              </w:tc>
              <w:tc>
                <w:tcPr>
                  <w:tcW w:w="615"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排放限制（</w:t>
                  </w:r>
                  <w:r>
                    <w:rPr>
                      <w:rFonts w:hint="eastAsia" w:ascii="Times New Roman" w:hAnsi="Times New Roman" w:eastAsia="宋体" w:cs="Times New Roman"/>
                      <w:b w:val="0"/>
                      <w:bCs/>
                      <w:color w:val="auto"/>
                      <w:kern w:val="1"/>
                      <w:szCs w:val="21"/>
                      <w:highlight w:val="none"/>
                      <w:lang w:val="en-US" w:eastAsia="zh-CN"/>
                    </w:rPr>
                    <w:t>mg/</w:t>
                  </w:r>
                  <w:r>
                    <w:rPr>
                      <w:rFonts w:hint="eastAsia" w:cs="Times New Roman"/>
                      <w:b w:val="0"/>
                      <w:bCs/>
                      <w:color w:val="auto"/>
                      <w:kern w:val="1"/>
                      <w:szCs w:val="21"/>
                      <w:highlight w:val="none"/>
                      <w:lang w:val="en-US" w:eastAsia="zh-CN"/>
                    </w:rPr>
                    <w:t>m</w:t>
                  </w:r>
                  <w:r>
                    <w:rPr>
                      <w:rFonts w:hint="default" w:ascii="Times New Roman" w:hAnsi="Times New Roman" w:cs="Times New Roman"/>
                      <w:b w:val="0"/>
                      <w:bCs/>
                      <w:color w:val="auto"/>
                      <w:kern w:val="1"/>
                      <w:szCs w:val="21"/>
                      <w:highlight w:val="none"/>
                      <w:lang w:val="en-US" w:eastAsia="zh-CN"/>
                    </w:rPr>
                    <w:t>³</w:t>
                  </w:r>
                  <w:r>
                    <w:rPr>
                      <w:rFonts w:hint="eastAsia" w:cs="Times New Roman"/>
                      <w:b w:val="0"/>
                      <w:bCs/>
                      <w:color w:val="auto"/>
                      <w:kern w:val="1"/>
                      <w:szCs w:val="21"/>
                      <w:highlight w:val="none"/>
                      <w:lang w:val="en-US" w:eastAsia="zh-CN"/>
                    </w:rPr>
                    <w:t>）</w:t>
                  </w:r>
                </w:p>
              </w:tc>
              <w:tc>
                <w:tcPr>
                  <w:tcW w:w="615" w:type="pct"/>
                  <w:tcBorders>
                    <w:tl2br w:val="nil"/>
                    <w:tr2bl w:val="nil"/>
                  </w:tcBorders>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非正常排放浓度（</w:t>
                  </w:r>
                  <w:r>
                    <w:rPr>
                      <w:rFonts w:hint="eastAsia" w:ascii="Times New Roman" w:hAnsi="Times New Roman" w:eastAsia="宋体" w:cs="Times New Roman"/>
                      <w:b w:val="0"/>
                      <w:bCs/>
                      <w:color w:val="auto"/>
                      <w:kern w:val="1"/>
                      <w:szCs w:val="21"/>
                      <w:highlight w:val="none"/>
                      <w:lang w:val="en-US" w:eastAsia="zh-CN"/>
                    </w:rPr>
                    <w:t>mg/</w:t>
                  </w:r>
                  <w:r>
                    <w:rPr>
                      <w:rFonts w:hint="eastAsia" w:cs="Times New Roman"/>
                      <w:b w:val="0"/>
                      <w:bCs/>
                      <w:color w:val="auto"/>
                      <w:kern w:val="1"/>
                      <w:szCs w:val="21"/>
                      <w:highlight w:val="none"/>
                      <w:lang w:val="en-US" w:eastAsia="zh-CN"/>
                    </w:rPr>
                    <w:t>m</w:t>
                  </w:r>
                  <w:r>
                    <w:rPr>
                      <w:rFonts w:hint="default" w:ascii="Times New Roman" w:hAnsi="Times New Roman" w:cs="Times New Roman"/>
                      <w:b w:val="0"/>
                      <w:bCs/>
                      <w:color w:val="auto"/>
                      <w:kern w:val="1"/>
                      <w:szCs w:val="21"/>
                      <w:highlight w:val="none"/>
                      <w:lang w:val="en-US" w:eastAsia="zh-CN"/>
                    </w:rPr>
                    <w:t>³</w:t>
                  </w:r>
                  <w:r>
                    <w:rPr>
                      <w:rFonts w:hint="eastAsia" w:cs="Times New Roman"/>
                      <w:b w:val="0"/>
                      <w:bCs/>
                      <w:color w:val="auto"/>
                      <w:kern w:val="1"/>
                      <w:szCs w:val="21"/>
                      <w:highlight w:val="none"/>
                      <w:lang w:val="en-US" w:eastAsia="zh-CN"/>
                    </w:rPr>
                    <w:t>）</w:t>
                  </w:r>
                </w:p>
              </w:tc>
              <w:tc>
                <w:tcPr>
                  <w:tcW w:w="767"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非正常排放速率（kg/h）</w:t>
                  </w:r>
                </w:p>
              </w:tc>
              <w:tc>
                <w:tcPr>
                  <w:tcW w:w="482" w:type="pct"/>
                  <w:tcBorders>
                    <w:tl2br w:val="nil"/>
                    <w:tr2bl w:val="nil"/>
                  </w:tcBorders>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事故频次（次/年）</w:t>
                  </w:r>
                </w:p>
              </w:tc>
              <w:tc>
                <w:tcPr>
                  <w:tcW w:w="511"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持续时间（h/次）</w:t>
                  </w:r>
                </w:p>
              </w:tc>
              <w:tc>
                <w:tcPr>
                  <w:tcW w:w="587"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非正常排放量（kg/a）</w:t>
                  </w:r>
                </w:p>
              </w:tc>
              <w:tc>
                <w:tcPr>
                  <w:tcW w:w="587" w:type="pct"/>
                  <w:tcBorders>
                    <w:tl2br w:val="nil"/>
                    <w:tr2bl w:val="nil"/>
                  </w:tcBorders>
                  <w:noWrap w:val="0"/>
                  <w:vAlign w:val="center"/>
                </w:tcPr>
                <w:p>
                  <w:pPr>
                    <w:adjustRightInd w:val="0"/>
                    <w:snapToGrid w:val="0"/>
                    <w:jc w:val="center"/>
                    <w:rPr>
                      <w:rFonts w:hint="eastAsia"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应对措施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blHeader/>
                <w:jc w:val="center"/>
              </w:trPr>
              <w:tc>
                <w:tcPr>
                  <w:tcW w:w="416" w:type="pct"/>
                  <w:tcBorders>
                    <w:tl2br w:val="nil"/>
                    <w:tr2bl w:val="nil"/>
                  </w:tcBorders>
                  <w:noWrap w:val="0"/>
                  <w:vAlign w:val="center"/>
                </w:tcPr>
                <w:p>
                  <w:pPr>
                    <w:adjustRightInd w:val="0"/>
                    <w:snapToGrid w:val="0"/>
                    <w:jc w:val="center"/>
                    <w:rPr>
                      <w:rFonts w:hint="eastAsia"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海大供热点</w:t>
                  </w:r>
                </w:p>
              </w:tc>
              <w:tc>
                <w:tcPr>
                  <w:tcW w:w="416"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颗粒物</w:t>
                  </w:r>
                </w:p>
              </w:tc>
              <w:tc>
                <w:tcPr>
                  <w:tcW w:w="615"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50</w:t>
                  </w:r>
                </w:p>
              </w:tc>
              <w:tc>
                <w:tcPr>
                  <w:tcW w:w="615"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60.26</w:t>
                  </w:r>
                </w:p>
              </w:tc>
              <w:tc>
                <w:tcPr>
                  <w:tcW w:w="767"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2.03</w:t>
                  </w:r>
                </w:p>
              </w:tc>
              <w:tc>
                <w:tcPr>
                  <w:tcW w:w="482"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1</w:t>
                  </w:r>
                </w:p>
              </w:tc>
              <w:tc>
                <w:tcPr>
                  <w:tcW w:w="511"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1</w:t>
                  </w:r>
                </w:p>
              </w:tc>
              <w:tc>
                <w:tcPr>
                  <w:tcW w:w="1015"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2.03</w:t>
                  </w:r>
                </w:p>
              </w:tc>
              <w:tc>
                <w:tcPr>
                  <w:tcW w:w="587"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default" w:cs="Times New Roman"/>
                      <w:b w:val="0"/>
                      <w:bCs/>
                      <w:color w:val="auto"/>
                      <w:kern w:val="1"/>
                      <w:szCs w:val="21"/>
                      <w:highlight w:val="none"/>
                      <w:lang w:val="en-US" w:eastAsia="zh-CN"/>
                    </w:rPr>
                    <w:t>立即停</w:t>
                  </w:r>
                  <w:r>
                    <w:rPr>
                      <w:rFonts w:hint="eastAsia" w:cs="Times New Roman"/>
                      <w:b w:val="0"/>
                      <w:bCs/>
                      <w:color w:val="auto"/>
                      <w:kern w:val="1"/>
                      <w:szCs w:val="21"/>
                      <w:highlight w:val="none"/>
                      <w:lang w:val="en-US" w:eastAsia="zh-CN"/>
                    </w:rPr>
                    <w:t>炉</w:t>
                  </w:r>
                  <w:r>
                    <w:rPr>
                      <w:rFonts w:hint="default" w:cs="Times New Roman"/>
                      <w:b w:val="0"/>
                      <w:bCs/>
                      <w:color w:val="auto"/>
                      <w:kern w:val="1"/>
                      <w:szCs w:val="21"/>
                      <w:highlight w:val="none"/>
                      <w:lang w:val="en-US" w:eastAsia="zh-CN"/>
                    </w:rPr>
                    <w:t>检修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blHeader/>
                <w:jc w:val="center"/>
              </w:trPr>
              <w:tc>
                <w:tcPr>
                  <w:tcW w:w="416" w:type="pct"/>
                  <w:tcBorders>
                    <w:tl2br w:val="nil"/>
                    <w:tr2bl w:val="nil"/>
                  </w:tcBorders>
                  <w:noWrap w:val="0"/>
                  <w:vAlign w:val="center"/>
                </w:tcPr>
                <w:p>
                  <w:pPr>
                    <w:adjustRightInd w:val="0"/>
                    <w:snapToGrid w:val="0"/>
                    <w:jc w:val="center"/>
                    <w:rPr>
                      <w:rFonts w:hint="eastAsia"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特驱供热点</w:t>
                  </w:r>
                </w:p>
              </w:tc>
              <w:tc>
                <w:tcPr>
                  <w:tcW w:w="416" w:type="pct"/>
                  <w:tcBorders>
                    <w:tl2br w:val="nil"/>
                    <w:tr2bl w:val="nil"/>
                  </w:tcBorders>
                  <w:noWrap w:val="0"/>
                  <w:vAlign w:val="center"/>
                </w:tcPr>
                <w:p>
                  <w:pPr>
                    <w:adjustRightInd w:val="0"/>
                    <w:snapToGrid w:val="0"/>
                    <w:jc w:val="center"/>
                    <w:rPr>
                      <w:rFonts w:hint="eastAsia"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颗粒物</w:t>
                  </w:r>
                </w:p>
              </w:tc>
              <w:tc>
                <w:tcPr>
                  <w:tcW w:w="615" w:type="pct"/>
                  <w:tcBorders>
                    <w:tl2br w:val="nil"/>
                    <w:tr2bl w:val="nil"/>
                  </w:tcBorders>
                  <w:noWrap w:val="0"/>
                  <w:vAlign w:val="center"/>
                </w:tcPr>
                <w:p>
                  <w:pPr>
                    <w:adjustRightInd w:val="0"/>
                    <w:snapToGrid w:val="0"/>
                    <w:jc w:val="center"/>
                    <w:rPr>
                      <w:rFonts w:hint="eastAsia"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50</w:t>
                  </w:r>
                </w:p>
              </w:tc>
              <w:tc>
                <w:tcPr>
                  <w:tcW w:w="615" w:type="pct"/>
                  <w:tcBorders>
                    <w:tl2br w:val="nil"/>
                    <w:tr2bl w:val="nil"/>
                  </w:tcBorders>
                  <w:noWrap w:val="0"/>
                  <w:vAlign w:val="center"/>
                </w:tcPr>
                <w:p>
                  <w:pPr>
                    <w:adjustRightInd w:val="0"/>
                    <w:snapToGrid w:val="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b w:val="0"/>
                      <w:bCs/>
                      <w:color w:val="auto"/>
                      <w:kern w:val="1"/>
                      <w:szCs w:val="21"/>
                      <w:highlight w:val="none"/>
                      <w:lang w:val="en-US" w:eastAsia="zh-CN"/>
                    </w:rPr>
                    <w:t>60.26</w:t>
                  </w:r>
                </w:p>
              </w:tc>
              <w:tc>
                <w:tcPr>
                  <w:tcW w:w="767"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2.10</w:t>
                  </w:r>
                </w:p>
              </w:tc>
              <w:tc>
                <w:tcPr>
                  <w:tcW w:w="482" w:type="pct"/>
                  <w:tcBorders>
                    <w:tl2br w:val="nil"/>
                    <w:tr2bl w:val="nil"/>
                  </w:tcBorders>
                  <w:noWrap w:val="0"/>
                  <w:vAlign w:val="center"/>
                </w:tcPr>
                <w:p>
                  <w:pPr>
                    <w:adjustRightInd w:val="0"/>
                    <w:snapToGrid w:val="0"/>
                    <w:jc w:val="center"/>
                    <w:rPr>
                      <w:rFonts w:hint="eastAsia"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1</w:t>
                  </w:r>
                </w:p>
              </w:tc>
              <w:tc>
                <w:tcPr>
                  <w:tcW w:w="511" w:type="pct"/>
                  <w:tcBorders>
                    <w:tl2br w:val="nil"/>
                    <w:tr2bl w:val="nil"/>
                  </w:tcBorders>
                  <w:noWrap w:val="0"/>
                  <w:vAlign w:val="center"/>
                </w:tcPr>
                <w:p>
                  <w:pPr>
                    <w:adjustRightInd w:val="0"/>
                    <w:snapToGrid w:val="0"/>
                    <w:jc w:val="center"/>
                    <w:rPr>
                      <w:rFonts w:hint="eastAsia"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1</w:t>
                  </w:r>
                </w:p>
              </w:tc>
              <w:tc>
                <w:tcPr>
                  <w:tcW w:w="1015" w:type="dxa"/>
                  <w:tcBorders>
                    <w:tl2br w:val="nil"/>
                    <w:tr2bl w:val="nil"/>
                  </w:tcBorders>
                  <w:noWrap w:val="0"/>
                  <w:vAlign w:val="center"/>
                </w:tcPr>
                <w:p>
                  <w:pPr>
                    <w:adjustRightInd w:val="0"/>
                    <w:snapToGrid w:val="0"/>
                    <w:jc w:val="center"/>
                    <w:rPr>
                      <w:rFonts w:hint="eastAsia"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2.10</w:t>
                  </w:r>
                </w:p>
              </w:tc>
              <w:tc>
                <w:tcPr>
                  <w:tcW w:w="587" w:type="pct"/>
                  <w:tcBorders>
                    <w:tl2br w:val="nil"/>
                    <w:tr2bl w:val="nil"/>
                  </w:tcBorders>
                  <w:noWrap w:val="0"/>
                  <w:vAlign w:val="center"/>
                </w:tcPr>
                <w:p>
                  <w:pPr>
                    <w:adjustRightInd w:val="0"/>
                    <w:snapToGrid w:val="0"/>
                    <w:jc w:val="center"/>
                    <w:rPr>
                      <w:rFonts w:hint="eastAsia" w:cs="Times New Roman"/>
                      <w:b w:val="0"/>
                      <w:bCs/>
                      <w:color w:val="auto"/>
                      <w:kern w:val="1"/>
                      <w:szCs w:val="21"/>
                      <w:highlight w:val="none"/>
                      <w:lang w:val="en-US" w:eastAsia="zh-CN"/>
                    </w:rPr>
                  </w:pPr>
                  <w:r>
                    <w:rPr>
                      <w:rFonts w:hint="default" w:cs="Times New Roman"/>
                      <w:b w:val="0"/>
                      <w:bCs/>
                      <w:color w:val="auto"/>
                      <w:kern w:val="1"/>
                      <w:szCs w:val="21"/>
                      <w:highlight w:val="none"/>
                      <w:lang w:val="en-US" w:eastAsia="zh-CN"/>
                    </w:rPr>
                    <w:t>立即停</w:t>
                  </w:r>
                  <w:r>
                    <w:rPr>
                      <w:rFonts w:hint="eastAsia" w:cs="Times New Roman"/>
                      <w:b w:val="0"/>
                      <w:bCs/>
                      <w:color w:val="auto"/>
                      <w:kern w:val="1"/>
                      <w:szCs w:val="21"/>
                      <w:highlight w:val="none"/>
                      <w:lang w:val="en-US" w:eastAsia="zh-CN"/>
                    </w:rPr>
                    <w:t>炉</w:t>
                  </w:r>
                  <w:r>
                    <w:rPr>
                      <w:rFonts w:hint="default" w:cs="Times New Roman"/>
                      <w:b w:val="0"/>
                      <w:bCs/>
                      <w:color w:val="auto"/>
                      <w:kern w:val="1"/>
                      <w:szCs w:val="21"/>
                      <w:highlight w:val="none"/>
                      <w:lang w:val="en-US" w:eastAsia="zh-CN"/>
                    </w:rPr>
                    <w:t>检修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blHeader/>
                <w:jc w:val="center"/>
              </w:trPr>
              <w:tc>
                <w:tcPr>
                  <w:tcW w:w="416" w:type="pct"/>
                  <w:tcBorders>
                    <w:tl2br w:val="nil"/>
                    <w:tr2bl w:val="nil"/>
                  </w:tcBorders>
                  <w:noWrap w:val="0"/>
                  <w:vAlign w:val="center"/>
                </w:tcPr>
                <w:p>
                  <w:pPr>
                    <w:adjustRightInd w:val="0"/>
                    <w:snapToGrid w:val="0"/>
                    <w:jc w:val="center"/>
                    <w:rPr>
                      <w:rFonts w:hint="eastAsia"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漓源供热点</w:t>
                  </w:r>
                </w:p>
              </w:tc>
              <w:tc>
                <w:tcPr>
                  <w:tcW w:w="416" w:type="pct"/>
                  <w:tcBorders>
                    <w:tl2br w:val="nil"/>
                    <w:tr2bl w:val="nil"/>
                  </w:tcBorders>
                  <w:noWrap w:val="0"/>
                  <w:vAlign w:val="center"/>
                </w:tcPr>
                <w:p>
                  <w:pPr>
                    <w:adjustRightInd w:val="0"/>
                    <w:snapToGrid w:val="0"/>
                    <w:jc w:val="center"/>
                    <w:rPr>
                      <w:rFonts w:hint="eastAsia"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颗粒物</w:t>
                  </w:r>
                </w:p>
              </w:tc>
              <w:tc>
                <w:tcPr>
                  <w:tcW w:w="615" w:type="pct"/>
                  <w:tcBorders>
                    <w:tl2br w:val="nil"/>
                    <w:tr2bl w:val="nil"/>
                  </w:tcBorders>
                  <w:noWrap w:val="0"/>
                  <w:vAlign w:val="center"/>
                </w:tcPr>
                <w:p>
                  <w:pPr>
                    <w:adjustRightInd w:val="0"/>
                    <w:snapToGrid w:val="0"/>
                    <w:jc w:val="center"/>
                    <w:rPr>
                      <w:rFonts w:hint="eastAsia"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50</w:t>
                  </w:r>
                </w:p>
              </w:tc>
              <w:tc>
                <w:tcPr>
                  <w:tcW w:w="615" w:type="pct"/>
                  <w:tcBorders>
                    <w:tl2br w:val="nil"/>
                    <w:tr2bl w:val="nil"/>
                  </w:tcBorders>
                  <w:noWrap w:val="0"/>
                  <w:vAlign w:val="center"/>
                </w:tcPr>
                <w:p>
                  <w:pPr>
                    <w:adjustRightInd w:val="0"/>
                    <w:snapToGrid w:val="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b w:val="0"/>
                      <w:bCs/>
                      <w:color w:val="auto"/>
                      <w:kern w:val="1"/>
                      <w:szCs w:val="21"/>
                      <w:highlight w:val="none"/>
                      <w:lang w:val="en-US" w:eastAsia="zh-CN"/>
                    </w:rPr>
                    <w:t>60.26</w:t>
                  </w:r>
                </w:p>
              </w:tc>
              <w:tc>
                <w:tcPr>
                  <w:tcW w:w="767"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0.64</w:t>
                  </w:r>
                </w:p>
              </w:tc>
              <w:tc>
                <w:tcPr>
                  <w:tcW w:w="482" w:type="pct"/>
                  <w:tcBorders>
                    <w:tl2br w:val="nil"/>
                    <w:tr2bl w:val="nil"/>
                  </w:tcBorders>
                  <w:noWrap w:val="0"/>
                  <w:vAlign w:val="center"/>
                </w:tcPr>
                <w:p>
                  <w:pPr>
                    <w:adjustRightInd w:val="0"/>
                    <w:snapToGrid w:val="0"/>
                    <w:jc w:val="center"/>
                    <w:rPr>
                      <w:rFonts w:hint="eastAsia"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1</w:t>
                  </w:r>
                </w:p>
              </w:tc>
              <w:tc>
                <w:tcPr>
                  <w:tcW w:w="511" w:type="pct"/>
                  <w:tcBorders>
                    <w:tl2br w:val="nil"/>
                    <w:tr2bl w:val="nil"/>
                  </w:tcBorders>
                  <w:noWrap w:val="0"/>
                  <w:vAlign w:val="center"/>
                </w:tcPr>
                <w:p>
                  <w:pPr>
                    <w:adjustRightInd w:val="0"/>
                    <w:snapToGrid w:val="0"/>
                    <w:jc w:val="center"/>
                    <w:rPr>
                      <w:rFonts w:hint="eastAsia"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1</w:t>
                  </w:r>
                </w:p>
              </w:tc>
              <w:tc>
                <w:tcPr>
                  <w:tcW w:w="1015" w:type="dxa"/>
                  <w:tcBorders>
                    <w:tl2br w:val="nil"/>
                    <w:tr2bl w:val="nil"/>
                  </w:tcBorders>
                  <w:noWrap w:val="0"/>
                  <w:vAlign w:val="center"/>
                </w:tcPr>
                <w:p>
                  <w:pPr>
                    <w:adjustRightInd w:val="0"/>
                    <w:snapToGrid w:val="0"/>
                    <w:jc w:val="center"/>
                    <w:rPr>
                      <w:rFonts w:hint="eastAsia"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0.64</w:t>
                  </w:r>
                </w:p>
              </w:tc>
              <w:tc>
                <w:tcPr>
                  <w:tcW w:w="587" w:type="pct"/>
                  <w:tcBorders>
                    <w:tl2br w:val="nil"/>
                    <w:tr2bl w:val="nil"/>
                  </w:tcBorders>
                  <w:noWrap w:val="0"/>
                  <w:vAlign w:val="center"/>
                </w:tcPr>
                <w:p>
                  <w:pPr>
                    <w:adjustRightInd w:val="0"/>
                    <w:snapToGrid w:val="0"/>
                    <w:jc w:val="center"/>
                    <w:rPr>
                      <w:rFonts w:hint="eastAsia" w:cs="Times New Roman"/>
                      <w:b w:val="0"/>
                      <w:bCs/>
                      <w:color w:val="auto"/>
                      <w:kern w:val="1"/>
                      <w:szCs w:val="21"/>
                      <w:highlight w:val="none"/>
                      <w:lang w:val="en-US" w:eastAsia="zh-CN"/>
                    </w:rPr>
                  </w:pPr>
                  <w:r>
                    <w:rPr>
                      <w:rFonts w:hint="default" w:cs="Times New Roman"/>
                      <w:b w:val="0"/>
                      <w:bCs/>
                      <w:color w:val="auto"/>
                      <w:kern w:val="1"/>
                      <w:szCs w:val="21"/>
                      <w:highlight w:val="none"/>
                      <w:lang w:val="en-US" w:eastAsia="zh-CN"/>
                    </w:rPr>
                    <w:t>立即停</w:t>
                  </w:r>
                  <w:r>
                    <w:rPr>
                      <w:rFonts w:hint="eastAsia" w:cs="Times New Roman"/>
                      <w:b w:val="0"/>
                      <w:bCs/>
                      <w:color w:val="auto"/>
                      <w:kern w:val="1"/>
                      <w:szCs w:val="21"/>
                      <w:highlight w:val="none"/>
                      <w:lang w:val="en-US" w:eastAsia="zh-CN"/>
                    </w:rPr>
                    <w:t>炉</w:t>
                  </w:r>
                  <w:r>
                    <w:rPr>
                      <w:rFonts w:hint="default" w:cs="Times New Roman"/>
                      <w:b w:val="0"/>
                      <w:bCs/>
                      <w:color w:val="auto"/>
                      <w:kern w:val="1"/>
                      <w:szCs w:val="21"/>
                      <w:highlight w:val="none"/>
                      <w:lang w:val="en-US" w:eastAsia="zh-CN"/>
                    </w:rPr>
                    <w:t>检修</w:t>
                  </w:r>
                </w:p>
              </w:tc>
            </w:tr>
          </w:tbl>
          <w:p>
            <w:pPr>
              <w:spacing w:line="360" w:lineRule="auto"/>
              <w:ind w:firstLine="504" w:firstLineChars="200"/>
              <w:rPr>
                <w:rFonts w:hint="eastAsia" w:ascii="Times New Roman" w:hAnsi="宋体" w:eastAsia="宋体" w:cs="Times New Roman"/>
                <w:color w:val="auto"/>
                <w:spacing w:val="6"/>
                <w:sz w:val="24"/>
                <w:highlight w:val="none"/>
                <w:lang w:val="en-US" w:eastAsia="zh-CN"/>
              </w:rPr>
            </w:pPr>
            <w:r>
              <w:rPr>
                <w:rFonts w:hint="eastAsia" w:hAnsi="宋体" w:cs="Times New Roman"/>
                <w:color w:val="auto"/>
                <w:spacing w:val="6"/>
                <w:sz w:val="24"/>
                <w:highlight w:val="none"/>
                <w:lang w:val="en-US" w:eastAsia="zh-CN"/>
              </w:rPr>
              <w:t>由上可知，锅炉废气非正常排放情况下，除尘效率降为99%，颗粒物排放浓度超过《锅炉大气污染物排放标准》(GB13271-2014)燃煤锅炉标准。非正常排放对区域环境会产生一定影响，为避免废气对厂内员工及周围大气环境造成影响，除尘设施安装气压表，监控气压变化反映设施运行状态，日常运行期间应对除尘器进行维护和管理，杜绝非正常排放。若发生非正常排放，立即停产检修，找出非正常排放的来源。</w:t>
            </w:r>
            <w:r>
              <w:rPr>
                <w:rFonts w:hint="eastAsia" w:ascii="Times New Roman" w:hAnsi="宋体" w:eastAsia="宋体" w:cs="Times New Roman"/>
                <w:color w:val="auto"/>
                <w:spacing w:val="6"/>
                <w:sz w:val="24"/>
                <w:highlight w:val="none"/>
                <w:lang w:val="en-US" w:eastAsia="zh-CN"/>
              </w:rPr>
              <w:t>本项目非正常排放是可控的，对周围环境影响较小。</w:t>
            </w:r>
          </w:p>
          <w:p>
            <w:pPr>
              <w:pStyle w:val="74"/>
              <w:pageBreakBefore w:val="0"/>
              <w:widowControl w:val="0"/>
              <w:numPr>
                <w:ilvl w:val="0"/>
                <w:numId w:val="0"/>
              </w:numPr>
              <w:kinsoku/>
              <w:wordWrap/>
              <w:overflowPunct/>
              <w:topLinePunct w:val="0"/>
              <w:autoSpaceDE/>
              <w:autoSpaceDN/>
              <w:bidi w:val="0"/>
              <w:adjustRightInd/>
              <w:snapToGrid/>
              <w:spacing w:before="0" w:beforeLines="0" w:after="0" w:afterLines="0"/>
              <w:ind w:leftChars="200"/>
              <w:textAlignment w:val="auto"/>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2、无组织废气</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本项目运营期无组织粉尘主要来自生物质燃料装卸及储存产生的少量粉尘，生物质燃烧后产生的灰渣装卸运输过程产生的少量粉尘，为无组织排放。根据《环境影响评价实用技术指南》（机械工业出版社2008年4月第一版），无组织排放源的确定采用估算法，按照原料年使用量的0.1‰~0.4‰计算，本次环评按照0.3‰计算。项目生物质原料堆场、灰渣堆场地面进行硬化处理，采用三面围挡+顶棚遮盖，且生物质燃料、灰渣主要以袋装的方式堆放在场内，抑尘效率可达90%以上。则本项目无组织粉尘产生量如下：海大供热点产生量12.85t/a，排放量为1.28t/a；特驱供热点产生量13.29t/a，排放量为1.33t/a；漓源供热点产生量2.03t/a，排放量为0.2t/a。</w:t>
            </w:r>
          </w:p>
          <w:p>
            <w:pPr>
              <w:pStyle w:val="74"/>
              <w:pageBreakBefore w:val="0"/>
              <w:widowControl w:val="0"/>
              <w:numPr>
                <w:ilvl w:val="0"/>
                <w:numId w:val="0"/>
              </w:numPr>
              <w:kinsoku/>
              <w:wordWrap/>
              <w:overflowPunct/>
              <w:topLinePunct w:val="0"/>
              <w:autoSpaceDE/>
              <w:autoSpaceDN/>
              <w:bidi w:val="0"/>
              <w:adjustRightInd/>
              <w:snapToGrid/>
              <w:spacing w:before="0" w:beforeLines="0" w:after="0" w:afterLines="0"/>
              <w:ind w:leftChars="200"/>
              <w:textAlignment w:val="auto"/>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3、项目废气产排污情况</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通过上述核算结果，本项目运营期废气产排污情况如下</w:t>
            </w:r>
            <w:r>
              <w:rPr>
                <w:rFonts w:hint="eastAsia" w:ascii="Times New Roman" w:hAnsi="Times New Roman" w:eastAsia="宋体" w:cs="Times New Roman"/>
                <w:b w:val="0"/>
                <w:bCs/>
                <w:color w:val="auto"/>
                <w:sz w:val="24"/>
                <w:szCs w:val="24"/>
                <w:highlight w:val="none"/>
                <w:lang w:val="en-US" w:eastAsia="zh-CN"/>
              </w:rPr>
              <w:t>：</w:t>
            </w:r>
          </w:p>
          <w:p>
            <w:pPr>
              <w:pStyle w:val="4"/>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4-</w:t>
            </w:r>
            <w:r>
              <w:rPr>
                <w:rFonts w:hint="eastAsia" w:cs="Times New Roman"/>
                <w:b/>
                <w:bCs/>
                <w:color w:val="auto"/>
                <w:sz w:val="21"/>
                <w:szCs w:val="21"/>
                <w:highlight w:val="none"/>
                <w:lang w:val="en-US" w:eastAsia="zh-CN"/>
              </w:rPr>
              <w:t>4海大供热点运营期废气产排污情况一览表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
              <w:gridCol w:w="2073"/>
              <w:gridCol w:w="1387"/>
              <w:gridCol w:w="1284"/>
              <w:gridCol w:w="1090"/>
              <w:gridCol w:w="2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产污排污环节</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锅炉</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锅炉废气量（万</w:t>
                  </w:r>
                  <w:r>
                    <w:rPr>
                      <w:rFonts w:hint="default" w:cs="Times New Roman"/>
                      <w:b w:val="0"/>
                      <w:bCs w:val="0"/>
                      <w:color w:val="auto"/>
                      <w:kern w:val="0"/>
                      <w:sz w:val="21"/>
                      <w:szCs w:val="21"/>
                      <w:highlight w:val="none"/>
                      <w:lang w:val="en-US" w:eastAsia="zh-CN"/>
                    </w:rPr>
                    <w:t>m³</w:t>
                  </w:r>
                  <w:r>
                    <w:rPr>
                      <w:rFonts w:hint="eastAsia" w:cs="Times New Roman"/>
                      <w:b w:val="0"/>
                      <w:bCs w:val="0"/>
                      <w:color w:val="auto"/>
                      <w:kern w:val="0"/>
                      <w:sz w:val="21"/>
                      <w:szCs w:val="21"/>
                      <w:highlight w:val="none"/>
                      <w:lang w:val="en-US" w:eastAsia="zh-CN"/>
                    </w:rPr>
                    <w:t>/a）</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26736</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污染物种类</w:t>
                  </w:r>
                </w:p>
              </w:tc>
              <w:tc>
                <w:tcPr>
                  <w:tcW w:w="78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颗粒物</w:t>
                  </w:r>
                </w:p>
              </w:tc>
              <w:tc>
                <w:tcPr>
                  <w:tcW w:w="72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SO</w:t>
                  </w:r>
                  <w:r>
                    <w:rPr>
                      <w:rFonts w:hint="eastAsia" w:cs="Times New Roman"/>
                      <w:b w:val="0"/>
                      <w:bCs w:val="0"/>
                      <w:color w:val="auto"/>
                      <w:kern w:val="0"/>
                      <w:sz w:val="21"/>
                      <w:szCs w:val="21"/>
                      <w:highlight w:val="none"/>
                      <w:vertAlign w:val="subscript"/>
                      <w:lang w:val="en-US" w:eastAsia="zh-CN"/>
                    </w:rPr>
                    <w:t>2</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NOx</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污染物</w:t>
                  </w:r>
                  <w:r>
                    <w:rPr>
                      <w:rFonts w:hint="eastAsia" w:cs="Times New Roman"/>
                      <w:b w:val="0"/>
                      <w:bCs w:val="0"/>
                      <w:color w:val="auto"/>
                      <w:kern w:val="0"/>
                      <w:sz w:val="21"/>
                      <w:szCs w:val="21"/>
                      <w:highlight w:val="none"/>
                      <w:lang w:val="en-US" w:eastAsia="zh-CN"/>
                    </w:rPr>
                    <w:t>产生</w:t>
                  </w:r>
                  <w:r>
                    <w:rPr>
                      <w:rFonts w:hint="default" w:cs="Times New Roman"/>
                      <w:b w:val="0"/>
                      <w:bCs w:val="0"/>
                      <w:color w:val="auto"/>
                      <w:kern w:val="0"/>
                      <w:sz w:val="21"/>
                      <w:szCs w:val="21"/>
                      <w:highlight w:val="none"/>
                      <w:lang w:val="en-US" w:eastAsia="zh-CN"/>
                    </w:rPr>
                    <w:t>量</w:t>
                  </w:r>
                  <w:r>
                    <w:rPr>
                      <w:rFonts w:hint="eastAsia" w:cs="Times New Roman"/>
                      <w:b w:val="0"/>
                      <w:bCs w:val="0"/>
                      <w:color w:val="auto"/>
                      <w:kern w:val="0"/>
                      <w:sz w:val="21"/>
                      <w:szCs w:val="21"/>
                      <w:highlight w:val="none"/>
                      <w:lang w:val="en-US" w:eastAsia="zh-CN"/>
                    </w:rPr>
                    <w:t>（</w:t>
                  </w:r>
                  <w:r>
                    <w:rPr>
                      <w:rFonts w:hint="default" w:cs="Times New Roman"/>
                      <w:b w:val="0"/>
                      <w:bCs w:val="0"/>
                      <w:color w:val="auto"/>
                      <w:kern w:val="0"/>
                      <w:sz w:val="21"/>
                      <w:szCs w:val="21"/>
                      <w:highlight w:val="none"/>
                      <w:lang w:val="en-US" w:eastAsia="zh-CN"/>
                    </w:rPr>
                    <w:t>t/a</w:t>
                  </w:r>
                  <w:r>
                    <w:rPr>
                      <w:rFonts w:hint="eastAsia" w:cs="Times New Roman"/>
                      <w:b w:val="0"/>
                      <w:bCs w:val="0"/>
                      <w:color w:val="auto"/>
                      <w:kern w:val="0"/>
                      <w:sz w:val="21"/>
                      <w:szCs w:val="21"/>
                      <w:highlight w:val="none"/>
                      <w:lang w:val="en-US" w:eastAsia="zh-CN"/>
                    </w:rPr>
                    <w:t>）</w:t>
                  </w:r>
                </w:p>
              </w:tc>
              <w:tc>
                <w:tcPr>
                  <w:tcW w:w="781"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color w:val="auto"/>
                      <w:kern w:val="1"/>
                      <w:sz w:val="21"/>
                      <w:szCs w:val="21"/>
                      <w:highlight w:val="none"/>
                      <w:lang w:val="en-US" w:eastAsia="zh-CN" w:bidi="ar-SA"/>
                    </w:rPr>
                    <w:t>1611.05</w:t>
                  </w:r>
                </w:p>
              </w:tc>
              <w:tc>
                <w:tcPr>
                  <w:tcW w:w="723"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color w:val="auto"/>
                      <w:kern w:val="1"/>
                      <w:sz w:val="21"/>
                      <w:szCs w:val="21"/>
                      <w:highlight w:val="none"/>
                      <w:lang w:val="en-US" w:eastAsia="zh-CN" w:bidi="ar-SA"/>
                    </w:rPr>
                    <w:t>14.57</w:t>
                  </w:r>
                </w:p>
              </w:tc>
              <w:tc>
                <w:tcPr>
                  <w:tcW w:w="614"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Style w:val="109"/>
                      <w:rFonts w:hint="eastAsia" w:eastAsia="宋体"/>
                      <w:b w:val="0"/>
                      <w:bCs w:val="0"/>
                      <w:color w:val="auto"/>
                      <w:kern w:val="0"/>
                      <w:highlight w:val="none"/>
                      <w:lang w:val="en-US" w:bidi="ar"/>
                    </w:rPr>
                    <w:t>43.7</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12.85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污染物</w:t>
                  </w:r>
                  <w:r>
                    <w:rPr>
                      <w:rFonts w:hint="eastAsia" w:cs="Times New Roman"/>
                      <w:b w:val="0"/>
                      <w:bCs w:val="0"/>
                      <w:color w:val="auto"/>
                      <w:kern w:val="0"/>
                      <w:sz w:val="21"/>
                      <w:szCs w:val="21"/>
                      <w:highlight w:val="none"/>
                      <w:lang w:val="en-US" w:eastAsia="zh-CN"/>
                    </w:rPr>
                    <w:t>产生</w:t>
                  </w:r>
                  <w:r>
                    <w:rPr>
                      <w:rFonts w:hint="default" w:cs="Times New Roman"/>
                      <w:b w:val="0"/>
                      <w:bCs w:val="0"/>
                      <w:color w:val="auto"/>
                      <w:kern w:val="0"/>
                      <w:sz w:val="21"/>
                      <w:szCs w:val="21"/>
                      <w:highlight w:val="none"/>
                      <w:lang w:val="en-US" w:eastAsia="zh-CN"/>
                    </w:rPr>
                    <w:t>浓度</w:t>
                  </w:r>
                  <w:r>
                    <w:rPr>
                      <w:rFonts w:hint="eastAsia" w:cs="Times New Roman"/>
                      <w:b w:val="0"/>
                      <w:bCs w:val="0"/>
                      <w:color w:val="auto"/>
                      <w:kern w:val="0"/>
                      <w:sz w:val="21"/>
                      <w:szCs w:val="21"/>
                      <w:highlight w:val="none"/>
                      <w:lang w:val="en-US" w:eastAsia="zh-CN"/>
                    </w:rPr>
                    <w:t>（mg/</w:t>
                  </w:r>
                  <w:r>
                    <w:rPr>
                      <w:rFonts w:hint="default" w:cs="Times New Roman"/>
                      <w:b w:val="0"/>
                      <w:bCs w:val="0"/>
                      <w:color w:val="auto"/>
                      <w:kern w:val="0"/>
                      <w:sz w:val="21"/>
                      <w:szCs w:val="21"/>
                      <w:highlight w:val="none"/>
                      <w:lang w:val="en-US" w:eastAsia="zh-CN"/>
                    </w:rPr>
                    <w:t>m³</w:t>
                  </w:r>
                  <w:r>
                    <w:rPr>
                      <w:rFonts w:hint="eastAsia" w:cs="Times New Roman"/>
                      <w:b w:val="0"/>
                      <w:bCs w:val="0"/>
                      <w:color w:val="auto"/>
                      <w:kern w:val="0"/>
                      <w:sz w:val="21"/>
                      <w:szCs w:val="21"/>
                      <w:highlight w:val="none"/>
                      <w:lang w:val="en-US" w:eastAsia="zh-CN"/>
                    </w:rPr>
                    <w:t>）</w:t>
                  </w:r>
                </w:p>
              </w:tc>
              <w:tc>
                <w:tcPr>
                  <w:tcW w:w="781"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6025.64</w:t>
                  </w:r>
                </w:p>
              </w:tc>
              <w:tc>
                <w:tcPr>
                  <w:tcW w:w="723"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Style w:val="109"/>
                      <w:rFonts w:hint="eastAsia" w:eastAsia="宋体"/>
                      <w:b w:val="0"/>
                      <w:bCs w:val="0"/>
                      <w:color w:val="auto"/>
                      <w:kern w:val="0"/>
                      <w:highlight w:val="none"/>
                      <w:lang w:val="en-US" w:bidi="ar"/>
                    </w:rPr>
                    <w:t>54.49</w:t>
                  </w:r>
                </w:p>
              </w:tc>
              <w:tc>
                <w:tcPr>
                  <w:tcW w:w="614"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Style w:val="109"/>
                      <w:rFonts w:hint="eastAsia" w:eastAsia="宋体"/>
                      <w:b w:val="0"/>
                      <w:bCs w:val="0"/>
                      <w:color w:val="auto"/>
                      <w:kern w:val="0"/>
                      <w:highlight w:val="none"/>
                      <w:lang w:val="en-US" w:bidi="ar"/>
                    </w:rPr>
                    <w:t>163.46</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排放形式</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有组织</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锅炉烟气</w:t>
                  </w: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治理工艺</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1"/>
                      <w:szCs w:val="21"/>
                      <w:highlight w:val="none"/>
                      <w:lang w:val="en-US" w:eastAsia="zh-CN"/>
                    </w:rPr>
                    <w:t>旋风除尘+袋式除尘技术</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装袋后暂存堆渣间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治理工艺去除率</w:t>
                  </w:r>
                </w:p>
              </w:tc>
              <w:tc>
                <w:tcPr>
                  <w:tcW w:w="78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99.232%</w:t>
                  </w:r>
                </w:p>
              </w:tc>
              <w:tc>
                <w:tcPr>
                  <w:tcW w:w="72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是否为可行技术</w:t>
                  </w:r>
                </w:p>
              </w:tc>
              <w:tc>
                <w:tcPr>
                  <w:tcW w:w="78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可行</w:t>
                  </w:r>
                </w:p>
              </w:tc>
              <w:tc>
                <w:tcPr>
                  <w:tcW w:w="72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污染物</w:t>
                  </w:r>
                  <w:r>
                    <w:rPr>
                      <w:rFonts w:hint="eastAsia" w:cs="Times New Roman"/>
                      <w:b w:val="0"/>
                      <w:bCs w:val="0"/>
                      <w:color w:val="auto"/>
                      <w:kern w:val="0"/>
                      <w:sz w:val="21"/>
                      <w:szCs w:val="21"/>
                      <w:highlight w:val="none"/>
                      <w:lang w:val="en-US" w:eastAsia="zh-CN"/>
                    </w:rPr>
                    <w:t>排放</w:t>
                  </w:r>
                  <w:r>
                    <w:rPr>
                      <w:rFonts w:hint="default" w:cs="Times New Roman"/>
                      <w:b w:val="0"/>
                      <w:bCs w:val="0"/>
                      <w:color w:val="auto"/>
                      <w:kern w:val="0"/>
                      <w:sz w:val="21"/>
                      <w:szCs w:val="21"/>
                      <w:highlight w:val="none"/>
                      <w:lang w:val="en-US" w:eastAsia="zh-CN"/>
                    </w:rPr>
                    <w:t>量</w:t>
                  </w:r>
                  <w:r>
                    <w:rPr>
                      <w:rFonts w:hint="eastAsia" w:cs="Times New Roman"/>
                      <w:b w:val="0"/>
                      <w:bCs w:val="0"/>
                      <w:color w:val="auto"/>
                      <w:kern w:val="0"/>
                      <w:sz w:val="21"/>
                      <w:szCs w:val="21"/>
                      <w:highlight w:val="none"/>
                      <w:lang w:val="en-US" w:eastAsia="zh-CN"/>
                    </w:rPr>
                    <w:t>（</w:t>
                  </w:r>
                  <w:r>
                    <w:rPr>
                      <w:rFonts w:hint="default" w:cs="Times New Roman"/>
                      <w:b w:val="0"/>
                      <w:bCs w:val="0"/>
                      <w:color w:val="auto"/>
                      <w:kern w:val="0"/>
                      <w:sz w:val="21"/>
                      <w:szCs w:val="21"/>
                      <w:highlight w:val="none"/>
                      <w:lang w:val="en-US" w:eastAsia="zh-CN"/>
                    </w:rPr>
                    <w:t>t/a</w:t>
                  </w:r>
                  <w:r>
                    <w:rPr>
                      <w:rFonts w:hint="eastAsia" w:cs="Times New Roman"/>
                      <w:b w:val="0"/>
                      <w:bCs w:val="0"/>
                      <w:color w:val="auto"/>
                      <w:kern w:val="0"/>
                      <w:sz w:val="21"/>
                      <w:szCs w:val="21"/>
                      <w:highlight w:val="none"/>
                      <w:lang w:val="en-US" w:eastAsia="zh-CN"/>
                    </w:rPr>
                    <w:t>）</w:t>
                  </w:r>
                </w:p>
              </w:tc>
              <w:tc>
                <w:tcPr>
                  <w:tcW w:w="781" w:type="pct"/>
                  <w:tcBorders>
                    <w:tl2br w:val="nil"/>
                    <w:tr2bl w:val="nil"/>
                  </w:tcBorders>
                  <w:noWrap w:val="0"/>
                  <w:vAlign w:val="top"/>
                </w:tcPr>
                <w:p>
                  <w:pPr>
                    <w:adjustRightInd w:val="0"/>
                    <w:snapToGrid w:val="0"/>
                    <w:jc w:val="center"/>
                    <w:rPr>
                      <w:rFonts w:hint="default"/>
                      <w:b w:val="0"/>
                      <w:bCs w:val="0"/>
                      <w:color w:val="auto"/>
                      <w:highlight w:val="none"/>
                      <w:lang w:val="en-US" w:eastAsia="zh-CN"/>
                    </w:rPr>
                  </w:pPr>
                  <w:r>
                    <w:rPr>
                      <w:rFonts w:hint="eastAsia" w:cs="Times New Roman"/>
                      <w:b w:val="0"/>
                      <w:bCs w:val="0"/>
                      <w:i w:val="0"/>
                      <w:iCs w:val="0"/>
                      <w:color w:val="auto"/>
                      <w:kern w:val="0"/>
                      <w:sz w:val="21"/>
                      <w:szCs w:val="21"/>
                      <w:highlight w:val="none"/>
                      <w:u w:val="none"/>
                      <w:lang w:val="en-US" w:eastAsia="zh-CN" w:bidi="ar"/>
                    </w:rPr>
                    <w:t>12.37</w:t>
                  </w:r>
                </w:p>
              </w:tc>
              <w:tc>
                <w:tcPr>
                  <w:tcW w:w="723"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color w:val="auto"/>
                      <w:kern w:val="1"/>
                      <w:sz w:val="21"/>
                      <w:szCs w:val="21"/>
                      <w:highlight w:val="none"/>
                      <w:lang w:val="en-US" w:eastAsia="zh-CN" w:bidi="ar-SA"/>
                    </w:rPr>
                    <w:t>14.57</w:t>
                  </w:r>
                </w:p>
              </w:tc>
              <w:tc>
                <w:tcPr>
                  <w:tcW w:w="614"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Style w:val="109"/>
                      <w:rFonts w:hint="eastAsia" w:eastAsia="宋体"/>
                      <w:b w:val="0"/>
                      <w:bCs w:val="0"/>
                      <w:color w:val="auto"/>
                      <w:kern w:val="0"/>
                      <w:highlight w:val="none"/>
                      <w:lang w:val="en-US" w:bidi="ar"/>
                    </w:rPr>
                    <w:t>43.7</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污染物</w:t>
                  </w:r>
                  <w:r>
                    <w:rPr>
                      <w:rFonts w:hint="eastAsia" w:cs="Times New Roman"/>
                      <w:b w:val="0"/>
                      <w:bCs w:val="0"/>
                      <w:color w:val="auto"/>
                      <w:kern w:val="0"/>
                      <w:sz w:val="21"/>
                      <w:szCs w:val="21"/>
                      <w:highlight w:val="none"/>
                      <w:lang w:val="en-US" w:eastAsia="zh-CN"/>
                    </w:rPr>
                    <w:t>排放</w:t>
                  </w:r>
                  <w:r>
                    <w:rPr>
                      <w:rFonts w:hint="default" w:cs="Times New Roman"/>
                      <w:b w:val="0"/>
                      <w:bCs w:val="0"/>
                      <w:color w:val="auto"/>
                      <w:kern w:val="0"/>
                      <w:sz w:val="21"/>
                      <w:szCs w:val="21"/>
                      <w:highlight w:val="none"/>
                      <w:lang w:val="en-US" w:eastAsia="zh-CN"/>
                    </w:rPr>
                    <w:t>速率</w:t>
                  </w:r>
                  <w:r>
                    <w:rPr>
                      <w:rFonts w:hint="eastAsia" w:cs="Times New Roman"/>
                      <w:b w:val="0"/>
                      <w:bCs w:val="0"/>
                      <w:color w:val="auto"/>
                      <w:kern w:val="0"/>
                      <w:sz w:val="21"/>
                      <w:szCs w:val="21"/>
                      <w:highlight w:val="none"/>
                      <w:lang w:val="en-US" w:eastAsia="zh-CN"/>
                    </w:rPr>
                    <w:t>（</w:t>
                  </w:r>
                  <w:r>
                    <w:rPr>
                      <w:rFonts w:hint="default" w:cs="Times New Roman"/>
                      <w:b w:val="0"/>
                      <w:bCs w:val="0"/>
                      <w:color w:val="auto"/>
                      <w:kern w:val="0"/>
                      <w:sz w:val="21"/>
                      <w:szCs w:val="21"/>
                      <w:highlight w:val="none"/>
                      <w:lang w:val="en-US" w:eastAsia="zh-CN"/>
                    </w:rPr>
                    <w:t>kg/h</w:t>
                  </w:r>
                  <w:r>
                    <w:rPr>
                      <w:rFonts w:hint="eastAsia" w:cs="Times New Roman"/>
                      <w:b w:val="0"/>
                      <w:bCs w:val="0"/>
                      <w:color w:val="auto"/>
                      <w:kern w:val="0"/>
                      <w:sz w:val="21"/>
                      <w:szCs w:val="21"/>
                      <w:highlight w:val="none"/>
                      <w:lang w:val="en-US" w:eastAsia="zh-CN"/>
                    </w:rPr>
                    <w:t>）</w:t>
                  </w:r>
                </w:p>
              </w:tc>
              <w:tc>
                <w:tcPr>
                  <w:tcW w:w="781"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1.56</w:t>
                  </w:r>
                </w:p>
              </w:tc>
              <w:tc>
                <w:tcPr>
                  <w:tcW w:w="723"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1.84</w:t>
                  </w:r>
                </w:p>
              </w:tc>
              <w:tc>
                <w:tcPr>
                  <w:tcW w:w="614"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5.52</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污染物</w:t>
                  </w:r>
                  <w:r>
                    <w:rPr>
                      <w:rFonts w:hint="eastAsia" w:cs="Times New Roman"/>
                      <w:b w:val="0"/>
                      <w:bCs w:val="0"/>
                      <w:color w:val="auto"/>
                      <w:kern w:val="0"/>
                      <w:sz w:val="21"/>
                      <w:szCs w:val="21"/>
                      <w:highlight w:val="none"/>
                      <w:lang w:val="en-US" w:eastAsia="zh-CN"/>
                    </w:rPr>
                    <w:t>排放</w:t>
                  </w:r>
                  <w:r>
                    <w:rPr>
                      <w:rFonts w:hint="default" w:cs="Times New Roman"/>
                      <w:b w:val="0"/>
                      <w:bCs w:val="0"/>
                      <w:color w:val="auto"/>
                      <w:kern w:val="0"/>
                      <w:sz w:val="21"/>
                      <w:szCs w:val="21"/>
                      <w:highlight w:val="none"/>
                      <w:lang w:val="en-US" w:eastAsia="zh-CN"/>
                    </w:rPr>
                    <w:t>浓度</w:t>
                  </w:r>
                  <w:r>
                    <w:rPr>
                      <w:rFonts w:hint="eastAsia" w:cs="Times New Roman"/>
                      <w:b w:val="0"/>
                      <w:bCs w:val="0"/>
                      <w:color w:val="auto"/>
                      <w:kern w:val="0"/>
                      <w:sz w:val="21"/>
                      <w:szCs w:val="21"/>
                      <w:highlight w:val="none"/>
                      <w:lang w:val="en-US" w:eastAsia="zh-CN"/>
                    </w:rPr>
                    <w:t>（mg/m</w:t>
                  </w:r>
                  <w:r>
                    <w:rPr>
                      <w:rFonts w:hint="default" w:cs="Times New Roman"/>
                      <w:b w:val="0"/>
                      <w:bCs w:val="0"/>
                      <w:color w:val="auto"/>
                      <w:kern w:val="0"/>
                      <w:sz w:val="21"/>
                      <w:szCs w:val="21"/>
                      <w:highlight w:val="none"/>
                      <w:lang w:val="en-US" w:eastAsia="zh-CN"/>
                    </w:rPr>
                    <w:t>³</w:t>
                  </w:r>
                  <w:r>
                    <w:rPr>
                      <w:rFonts w:hint="eastAsia" w:cs="Times New Roman"/>
                      <w:b w:val="0"/>
                      <w:bCs w:val="0"/>
                      <w:color w:val="auto"/>
                      <w:kern w:val="0"/>
                      <w:sz w:val="21"/>
                      <w:szCs w:val="21"/>
                      <w:highlight w:val="none"/>
                      <w:lang w:val="en-US" w:eastAsia="zh-CN"/>
                    </w:rPr>
                    <w:t>）</w:t>
                  </w:r>
                </w:p>
              </w:tc>
              <w:tc>
                <w:tcPr>
                  <w:tcW w:w="781"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46.28</w:t>
                  </w:r>
                </w:p>
              </w:tc>
              <w:tc>
                <w:tcPr>
                  <w:tcW w:w="723"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Style w:val="109"/>
                      <w:rFonts w:hint="eastAsia" w:eastAsia="宋体"/>
                      <w:b w:val="0"/>
                      <w:bCs w:val="0"/>
                      <w:color w:val="auto"/>
                      <w:kern w:val="0"/>
                      <w:highlight w:val="none"/>
                      <w:lang w:val="en-US" w:bidi="ar"/>
                    </w:rPr>
                    <w:t>54.49</w:t>
                  </w:r>
                </w:p>
              </w:tc>
              <w:tc>
                <w:tcPr>
                  <w:tcW w:w="614"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Style w:val="109"/>
                      <w:rFonts w:hint="eastAsia" w:eastAsia="宋体"/>
                      <w:b w:val="0"/>
                      <w:bCs w:val="0"/>
                      <w:color w:val="auto"/>
                      <w:kern w:val="0"/>
                      <w:highlight w:val="none"/>
                      <w:lang w:val="en-US" w:bidi="ar"/>
                    </w:rPr>
                    <w:t>163.46</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排放口基本情况</w:t>
                  </w: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排气筒高度（m）</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45</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排气筒内径（m）</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1.0</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温度</w:t>
                  </w:r>
                  <w:r>
                    <w:rPr>
                      <w:rFonts w:hint="default" w:cs="Times New Roman"/>
                      <w:b w:val="0"/>
                      <w:bCs w:val="0"/>
                      <w:color w:val="auto"/>
                      <w:kern w:val="0"/>
                      <w:sz w:val="21"/>
                      <w:szCs w:val="21"/>
                      <w:highlight w:val="none"/>
                      <w:lang w:val="en-US" w:eastAsia="zh-CN"/>
                    </w:rPr>
                    <w:t>℃</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6</w:t>
                  </w:r>
                  <w:r>
                    <w:rPr>
                      <w:rFonts w:hint="eastAsia" w:cs="Times New Roman"/>
                      <w:b w:val="0"/>
                      <w:bCs w:val="0"/>
                      <w:color w:val="auto"/>
                      <w:kern w:val="0"/>
                      <w:sz w:val="21"/>
                      <w:szCs w:val="21"/>
                      <w:highlight w:val="none"/>
                      <w:lang w:val="en-US" w:eastAsia="zh-CN"/>
                    </w:rPr>
                    <w:t>0</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编号</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DA001</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类型</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主要排放口</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地理坐标</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103°11′47.006″</w:t>
                  </w:r>
                  <w:r>
                    <w:rPr>
                      <w:rFonts w:hint="eastAsia" w:ascii="Times New Roman" w:hAnsi="Times New Roman"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24°59′56.994″</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排放标准</w:t>
                  </w: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标准名称</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《锅炉大气污染物排放标准》（GB13271-2014）表2新建锅炉大气污染物排放浓度限值中的燃煤锅炉限值。</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《大气污染物综合排放标准》（GB16297-1996）表2无组织排放监控浓度限值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标准限值（mg/m</w:t>
                  </w:r>
                  <w:r>
                    <w:rPr>
                      <w:rFonts w:hint="default" w:cs="Times New Roman"/>
                      <w:b w:val="0"/>
                      <w:bCs w:val="0"/>
                      <w:color w:val="auto"/>
                      <w:kern w:val="0"/>
                      <w:sz w:val="21"/>
                      <w:szCs w:val="21"/>
                      <w:highlight w:val="none"/>
                      <w:lang w:val="en-US" w:eastAsia="zh-CN"/>
                    </w:rPr>
                    <w:t>³</w:t>
                  </w:r>
                  <w:r>
                    <w:rPr>
                      <w:rFonts w:hint="eastAsia" w:cs="Times New Roman"/>
                      <w:b w:val="0"/>
                      <w:bCs w:val="0"/>
                      <w:color w:val="auto"/>
                      <w:kern w:val="0"/>
                      <w:sz w:val="21"/>
                      <w:szCs w:val="21"/>
                      <w:highlight w:val="none"/>
                      <w:lang w:val="en-US" w:eastAsia="zh-CN"/>
                    </w:rPr>
                    <w:t>）</w:t>
                  </w:r>
                </w:p>
              </w:tc>
              <w:tc>
                <w:tcPr>
                  <w:tcW w:w="78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50</w:t>
                  </w:r>
                </w:p>
              </w:tc>
              <w:tc>
                <w:tcPr>
                  <w:tcW w:w="72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300</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300</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监测要求</w:t>
                  </w: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监测点位</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DA001烟囱排放口</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厂界上风向一个点，下风向三个点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监测因子</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颗粒物</w:t>
                  </w:r>
                  <w:r>
                    <w:rPr>
                      <w:rFonts w:hint="eastAsia" w:cs="Times New Roman"/>
                      <w:b w:val="0"/>
                      <w:bCs w:val="0"/>
                      <w:color w:val="auto"/>
                      <w:kern w:val="0"/>
                      <w:sz w:val="21"/>
                      <w:szCs w:val="21"/>
                      <w:highlight w:val="none"/>
                      <w:lang w:val="en-US" w:eastAsia="zh-CN"/>
                    </w:rPr>
                    <w:t>、SO</w:t>
                  </w:r>
                  <w:r>
                    <w:rPr>
                      <w:rFonts w:hint="eastAsia" w:cs="Times New Roman"/>
                      <w:b w:val="0"/>
                      <w:bCs w:val="0"/>
                      <w:color w:val="auto"/>
                      <w:kern w:val="0"/>
                      <w:sz w:val="21"/>
                      <w:szCs w:val="21"/>
                      <w:highlight w:val="none"/>
                      <w:vertAlign w:val="subscript"/>
                      <w:lang w:val="en-US" w:eastAsia="zh-CN"/>
                    </w:rPr>
                    <w:t>2</w:t>
                  </w:r>
                  <w:r>
                    <w:rPr>
                      <w:rFonts w:hint="eastAsia" w:cs="Times New Roman"/>
                      <w:b w:val="0"/>
                      <w:bCs w:val="0"/>
                      <w:color w:val="auto"/>
                      <w:kern w:val="0"/>
                      <w:sz w:val="21"/>
                      <w:szCs w:val="21"/>
                      <w:highlight w:val="none"/>
                      <w:lang w:val="en-US" w:eastAsia="zh-CN"/>
                    </w:rPr>
                    <w:t>、NOx、烟气黑度（林格曼黑度）</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监测频次</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监测</w:t>
                  </w:r>
                  <w:r>
                    <w:rPr>
                      <w:rFonts w:hint="eastAsia" w:cs="Times New Roman"/>
                      <w:b w:val="0"/>
                      <w:bCs w:val="0"/>
                      <w:color w:val="auto"/>
                      <w:kern w:val="0"/>
                      <w:sz w:val="21"/>
                      <w:szCs w:val="21"/>
                      <w:highlight w:val="none"/>
                      <w:lang w:val="en-US" w:eastAsia="zh-CN"/>
                    </w:rPr>
                    <w:t>2</w:t>
                  </w:r>
                  <w:r>
                    <w:rPr>
                      <w:rFonts w:hint="default" w:cs="Times New Roman"/>
                      <w:b w:val="0"/>
                      <w:bCs w:val="0"/>
                      <w:color w:val="auto"/>
                      <w:kern w:val="0"/>
                      <w:sz w:val="21"/>
                      <w:szCs w:val="21"/>
                      <w:highlight w:val="none"/>
                      <w:lang w:val="en-US" w:eastAsia="zh-CN"/>
                    </w:rPr>
                    <w:t>天，每天监测3次</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监测2天，每天3次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自行监测计划</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颗粒物</w:t>
                  </w:r>
                  <w:r>
                    <w:rPr>
                      <w:rFonts w:hint="eastAsia" w:cs="Times New Roman"/>
                      <w:b w:val="0"/>
                      <w:bCs w:val="0"/>
                      <w:color w:val="auto"/>
                      <w:kern w:val="0"/>
                      <w:sz w:val="21"/>
                      <w:szCs w:val="21"/>
                      <w:highlight w:val="none"/>
                      <w:lang w:val="en-US" w:eastAsia="zh-CN"/>
                    </w:rPr>
                    <w:t>、SO</w:t>
                  </w:r>
                  <w:r>
                    <w:rPr>
                      <w:rFonts w:hint="eastAsia" w:cs="Times New Roman"/>
                      <w:b w:val="0"/>
                      <w:bCs w:val="0"/>
                      <w:color w:val="auto"/>
                      <w:kern w:val="0"/>
                      <w:sz w:val="21"/>
                      <w:szCs w:val="21"/>
                      <w:highlight w:val="none"/>
                      <w:vertAlign w:val="subscript"/>
                      <w:lang w:val="en-US" w:eastAsia="zh-CN"/>
                    </w:rPr>
                    <w:t>2</w:t>
                  </w:r>
                  <w:r>
                    <w:rPr>
                      <w:rFonts w:hint="eastAsia" w:cs="Times New Roman"/>
                      <w:b w:val="0"/>
                      <w:bCs w:val="0"/>
                      <w:color w:val="auto"/>
                      <w:kern w:val="0"/>
                      <w:sz w:val="21"/>
                      <w:szCs w:val="21"/>
                      <w:highlight w:val="none"/>
                      <w:lang w:val="en-US" w:eastAsia="zh-CN"/>
                    </w:rPr>
                    <w:t>、NOx：自动监测</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烟气黑度（林格曼黑度）：每季度1次</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每季度1次</w:t>
                  </w:r>
                </w:p>
              </w:tc>
            </w:tr>
          </w:tbl>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b w:val="0"/>
                <w:bCs/>
                <w:color w:val="auto"/>
                <w:sz w:val="24"/>
                <w:szCs w:val="24"/>
                <w:highlight w:val="none"/>
                <w:lang w:val="en-US" w:eastAsia="zh-CN"/>
              </w:rPr>
            </w:pPr>
          </w:p>
          <w:p>
            <w:pPr>
              <w:pStyle w:val="4"/>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4-</w:t>
            </w:r>
            <w:r>
              <w:rPr>
                <w:rFonts w:hint="eastAsia" w:cs="Times New Roman"/>
                <w:b/>
                <w:bCs/>
                <w:color w:val="auto"/>
                <w:sz w:val="21"/>
                <w:szCs w:val="21"/>
                <w:highlight w:val="none"/>
                <w:lang w:val="en-US" w:eastAsia="zh-CN"/>
              </w:rPr>
              <w:t>5特驱供热点运营期废气产排污情况一览表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
              <w:gridCol w:w="2073"/>
              <w:gridCol w:w="1387"/>
              <w:gridCol w:w="1284"/>
              <w:gridCol w:w="1090"/>
              <w:gridCol w:w="2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产污排污环节</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锅炉</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锅炉废气量（万</w:t>
                  </w:r>
                  <w:r>
                    <w:rPr>
                      <w:rFonts w:hint="default" w:cs="Times New Roman"/>
                      <w:b w:val="0"/>
                      <w:bCs w:val="0"/>
                      <w:color w:val="auto"/>
                      <w:kern w:val="0"/>
                      <w:sz w:val="21"/>
                      <w:szCs w:val="21"/>
                      <w:highlight w:val="none"/>
                      <w:lang w:val="en-US" w:eastAsia="zh-CN"/>
                    </w:rPr>
                    <w:t>m³</w:t>
                  </w:r>
                  <w:r>
                    <w:rPr>
                      <w:rFonts w:hint="eastAsia" w:cs="Times New Roman"/>
                      <w:b w:val="0"/>
                      <w:bCs w:val="0"/>
                      <w:color w:val="auto"/>
                      <w:kern w:val="0"/>
                      <w:sz w:val="21"/>
                      <w:szCs w:val="21"/>
                      <w:highlight w:val="none"/>
                      <w:lang w:val="en-US" w:eastAsia="zh-CN"/>
                    </w:rPr>
                    <w:t>/a）</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27635</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污染物种类</w:t>
                  </w:r>
                </w:p>
              </w:tc>
              <w:tc>
                <w:tcPr>
                  <w:tcW w:w="78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颗粒物</w:t>
                  </w:r>
                </w:p>
              </w:tc>
              <w:tc>
                <w:tcPr>
                  <w:tcW w:w="72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SO</w:t>
                  </w:r>
                  <w:r>
                    <w:rPr>
                      <w:rFonts w:hint="eastAsia" w:cs="Times New Roman"/>
                      <w:b w:val="0"/>
                      <w:bCs w:val="0"/>
                      <w:color w:val="auto"/>
                      <w:kern w:val="0"/>
                      <w:sz w:val="21"/>
                      <w:szCs w:val="21"/>
                      <w:highlight w:val="none"/>
                      <w:vertAlign w:val="subscript"/>
                      <w:lang w:val="en-US" w:eastAsia="zh-CN"/>
                    </w:rPr>
                    <w:t>2</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NOx</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污染物</w:t>
                  </w:r>
                  <w:r>
                    <w:rPr>
                      <w:rFonts w:hint="eastAsia" w:cs="Times New Roman"/>
                      <w:b w:val="0"/>
                      <w:bCs w:val="0"/>
                      <w:color w:val="auto"/>
                      <w:kern w:val="0"/>
                      <w:sz w:val="21"/>
                      <w:szCs w:val="21"/>
                      <w:highlight w:val="none"/>
                      <w:lang w:val="en-US" w:eastAsia="zh-CN"/>
                    </w:rPr>
                    <w:t>产生</w:t>
                  </w:r>
                  <w:r>
                    <w:rPr>
                      <w:rFonts w:hint="default" w:cs="Times New Roman"/>
                      <w:b w:val="0"/>
                      <w:bCs w:val="0"/>
                      <w:color w:val="auto"/>
                      <w:kern w:val="0"/>
                      <w:sz w:val="21"/>
                      <w:szCs w:val="21"/>
                      <w:highlight w:val="none"/>
                      <w:lang w:val="en-US" w:eastAsia="zh-CN"/>
                    </w:rPr>
                    <w:t>量</w:t>
                  </w:r>
                  <w:r>
                    <w:rPr>
                      <w:rFonts w:hint="eastAsia" w:cs="Times New Roman"/>
                      <w:b w:val="0"/>
                      <w:bCs w:val="0"/>
                      <w:color w:val="auto"/>
                      <w:kern w:val="0"/>
                      <w:sz w:val="21"/>
                      <w:szCs w:val="21"/>
                      <w:highlight w:val="none"/>
                      <w:lang w:val="en-US" w:eastAsia="zh-CN"/>
                    </w:rPr>
                    <w:t>（</w:t>
                  </w:r>
                  <w:r>
                    <w:rPr>
                      <w:rFonts w:hint="default" w:cs="Times New Roman"/>
                      <w:b w:val="0"/>
                      <w:bCs w:val="0"/>
                      <w:color w:val="auto"/>
                      <w:kern w:val="0"/>
                      <w:sz w:val="21"/>
                      <w:szCs w:val="21"/>
                      <w:highlight w:val="none"/>
                      <w:lang w:val="en-US" w:eastAsia="zh-CN"/>
                    </w:rPr>
                    <w:t>t/a</w:t>
                  </w:r>
                  <w:r>
                    <w:rPr>
                      <w:rFonts w:hint="eastAsia" w:cs="Times New Roman"/>
                      <w:b w:val="0"/>
                      <w:bCs w:val="0"/>
                      <w:color w:val="auto"/>
                      <w:kern w:val="0"/>
                      <w:sz w:val="21"/>
                      <w:szCs w:val="21"/>
                      <w:highlight w:val="none"/>
                      <w:lang w:val="en-US" w:eastAsia="zh-CN"/>
                    </w:rPr>
                    <w:t>）</w:t>
                  </w:r>
                </w:p>
              </w:tc>
              <w:tc>
                <w:tcPr>
                  <w:tcW w:w="781"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color w:val="auto"/>
                      <w:kern w:val="1"/>
                      <w:sz w:val="21"/>
                      <w:szCs w:val="21"/>
                      <w:highlight w:val="none"/>
                      <w:lang w:val="en-US" w:eastAsia="zh-CN" w:bidi="ar-SA"/>
                    </w:rPr>
                    <w:t>1665.22</w:t>
                  </w:r>
                </w:p>
              </w:tc>
              <w:tc>
                <w:tcPr>
                  <w:tcW w:w="723"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color w:val="auto"/>
                      <w:kern w:val="1"/>
                      <w:sz w:val="21"/>
                      <w:szCs w:val="21"/>
                      <w:highlight w:val="none"/>
                      <w:lang w:val="en-US" w:eastAsia="zh-CN" w:bidi="ar-SA"/>
                    </w:rPr>
                    <w:t>15.06</w:t>
                  </w:r>
                </w:p>
              </w:tc>
              <w:tc>
                <w:tcPr>
                  <w:tcW w:w="614"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Style w:val="109"/>
                      <w:rFonts w:hint="eastAsia" w:eastAsia="宋体"/>
                      <w:b w:val="0"/>
                      <w:bCs w:val="0"/>
                      <w:color w:val="auto"/>
                      <w:kern w:val="0"/>
                      <w:highlight w:val="none"/>
                      <w:lang w:val="en-US" w:bidi="ar"/>
                    </w:rPr>
                    <w:t>45.17</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13.29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污染物</w:t>
                  </w:r>
                  <w:r>
                    <w:rPr>
                      <w:rFonts w:hint="eastAsia" w:cs="Times New Roman"/>
                      <w:b w:val="0"/>
                      <w:bCs w:val="0"/>
                      <w:color w:val="auto"/>
                      <w:kern w:val="0"/>
                      <w:sz w:val="21"/>
                      <w:szCs w:val="21"/>
                      <w:highlight w:val="none"/>
                      <w:lang w:val="en-US" w:eastAsia="zh-CN"/>
                    </w:rPr>
                    <w:t>产生</w:t>
                  </w:r>
                  <w:r>
                    <w:rPr>
                      <w:rFonts w:hint="default" w:cs="Times New Roman"/>
                      <w:b w:val="0"/>
                      <w:bCs w:val="0"/>
                      <w:color w:val="auto"/>
                      <w:kern w:val="0"/>
                      <w:sz w:val="21"/>
                      <w:szCs w:val="21"/>
                      <w:highlight w:val="none"/>
                      <w:lang w:val="en-US" w:eastAsia="zh-CN"/>
                    </w:rPr>
                    <w:t>浓度</w:t>
                  </w:r>
                  <w:r>
                    <w:rPr>
                      <w:rFonts w:hint="eastAsia" w:cs="Times New Roman"/>
                      <w:b w:val="0"/>
                      <w:bCs w:val="0"/>
                      <w:color w:val="auto"/>
                      <w:kern w:val="0"/>
                      <w:sz w:val="21"/>
                      <w:szCs w:val="21"/>
                      <w:highlight w:val="none"/>
                      <w:lang w:val="en-US" w:eastAsia="zh-CN"/>
                    </w:rPr>
                    <w:t>（mg/</w:t>
                  </w:r>
                  <w:r>
                    <w:rPr>
                      <w:rFonts w:hint="default" w:cs="Times New Roman"/>
                      <w:b w:val="0"/>
                      <w:bCs w:val="0"/>
                      <w:color w:val="auto"/>
                      <w:kern w:val="0"/>
                      <w:sz w:val="21"/>
                      <w:szCs w:val="21"/>
                      <w:highlight w:val="none"/>
                      <w:lang w:val="en-US" w:eastAsia="zh-CN"/>
                    </w:rPr>
                    <w:t>m³</w:t>
                  </w:r>
                  <w:r>
                    <w:rPr>
                      <w:rFonts w:hint="eastAsia" w:cs="Times New Roman"/>
                      <w:b w:val="0"/>
                      <w:bCs w:val="0"/>
                      <w:color w:val="auto"/>
                      <w:kern w:val="0"/>
                      <w:sz w:val="21"/>
                      <w:szCs w:val="21"/>
                      <w:highlight w:val="none"/>
                      <w:lang w:val="en-US" w:eastAsia="zh-CN"/>
                    </w:rPr>
                    <w:t>）</w:t>
                  </w:r>
                </w:p>
              </w:tc>
              <w:tc>
                <w:tcPr>
                  <w:tcW w:w="781"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6025.64</w:t>
                  </w:r>
                </w:p>
              </w:tc>
              <w:tc>
                <w:tcPr>
                  <w:tcW w:w="723"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Style w:val="109"/>
                      <w:rFonts w:hint="eastAsia" w:eastAsia="宋体"/>
                      <w:b w:val="0"/>
                      <w:bCs w:val="0"/>
                      <w:color w:val="auto"/>
                      <w:kern w:val="0"/>
                      <w:highlight w:val="none"/>
                      <w:lang w:val="en-US" w:bidi="ar"/>
                    </w:rPr>
                    <w:t>54.49</w:t>
                  </w:r>
                </w:p>
              </w:tc>
              <w:tc>
                <w:tcPr>
                  <w:tcW w:w="614"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Style w:val="109"/>
                      <w:rFonts w:hint="eastAsia" w:eastAsia="宋体"/>
                      <w:b w:val="0"/>
                      <w:bCs w:val="0"/>
                      <w:color w:val="auto"/>
                      <w:kern w:val="0"/>
                      <w:highlight w:val="none"/>
                      <w:lang w:val="en-US" w:bidi="ar"/>
                    </w:rPr>
                    <w:t>163.46</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排放形式</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有组织</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锅炉烟气</w:t>
                  </w: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治理工艺</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1"/>
                      <w:szCs w:val="21"/>
                      <w:highlight w:val="none"/>
                      <w:lang w:val="en-US" w:eastAsia="zh-CN"/>
                    </w:rPr>
                    <w:t>旋风除尘+袋式除尘技术</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装袋后暂存堆渣间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治理工艺去除率</w:t>
                  </w:r>
                </w:p>
              </w:tc>
              <w:tc>
                <w:tcPr>
                  <w:tcW w:w="78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99.232%</w:t>
                  </w:r>
                </w:p>
              </w:tc>
              <w:tc>
                <w:tcPr>
                  <w:tcW w:w="72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是否为可行技术</w:t>
                  </w:r>
                </w:p>
              </w:tc>
              <w:tc>
                <w:tcPr>
                  <w:tcW w:w="78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可行</w:t>
                  </w:r>
                </w:p>
              </w:tc>
              <w:tc>
                <w:tcPr>
                  <w:tcW w:w="72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污染物</w:t>
                  </w:r>
                  <w:r>
                    <w:rPr>
                      <w:rFonts w:hint="eastAsia" w:cs="Times New Roman"/>
                      <w:b w:val="0"/>
                      <w:bCs w:val="0"/>
                      <w:color w:val="auto"/>
                      <w:kern w:val="0"/>
                      <w:sz w:val="21"/>
                      <w:szCs w:val="21"/>
                      <w:highlight w:val="none"/>
                      <w:lang w:val="en-US" w:eastAsia="zh-CN"/>
                    </w:rPr>
                    <w:t>排放</w:t>
                  </w:r>
                  <w:r>
                    <w:rPr>
                      <w:rFonts w:hint="default" w:cs="Times New Roman"/>
                      <w:b w:val="0"/>
                      <w:bCs w:val="0"/>
                      <w:color w:val="auto"/>
                      <w:kern w:val="0"/>
                      <w:sz w:val="21"/>
                      <w:szCs w:val="21"/>
                      <w:highlight w:val="none"/>
                      <w:lang w:val="en-US" w:eastAsia="zh-CN"/>
                    </w:rPr>
                    <w:t>量</w:t>
                  </w:r>
                  <w:r>
                    <w:rPr>
                      <w:rFonts w:hint="eastAsia" w:cs="Times New Roman"/>
                      <w:b w:val="0"/>
                      <w:bCs w:val="0"/>
                      <w:color w:val="auto"/>
                      <w:kern w:val="0"/>
                      <w:sz w:val="21"/>
                      <w:szCs w:val="21"/>
                      <w:highlight w:val="none"/>
                      <w:lang w:val="en-US" w:eastAsia="zh-CN"/>
                    </w:rPr>
                    <w:t>（</w:t>
                  </w:r>
                  <w:r>
                    <w:rPr>
                      <w:rFonts w:hint="default" w:cs="Times New Roman"/>
                      <w:b w:val="0"/>
                      <w:bCs w:val="0"/>
                      <w:color w:val="auto"/>
                      <w:kern w:val="0"/>
                      <w:sz w:val="21"/>
                      <w:szCs w:val="21"/>
                      <w:highlight w:val="none"/>
                      <w:lang w:val="en-US" w:eastAsia="zh-CN"/>
                    </w:rPr>
                    <w:t>t/a</w:t>
                  </w:r>
                  <w:r>
                    <w:rPr>
                      <w:rFonts w:hint="eastAsia" w:cs="Times New Roman"/>
                      <w:b w:val="0"/>
                      <w:bCs w:val="0"/>
                      <w:color w:val="auto"/>
                      <w:kern w:val="0"/>
                      <w:sz w:val="21"/>
                      <w:szCs w:val="21"/>
                      <w:highlight w:val="none"/>
                      <w:lang w:val="en-US" w:eastAsia="zh-CN"/>
                    </w:rPr>
                    <w:t>）</w:t>
                  </w:r>
                </w:p>
              </w:tc>
              <w:tc>
                <w:tcPr>
                  <w:tcW w:w="781" w:type="pct"/>
                  <w:tcBorders>
                    <w:tl2br w:val="nil"/>
                    <w:tr2bl w:val="nil"/>
                  </w:tcBorders>
                  <w:noWrap w:val="0"/>
                  <w:vAlign w:val="top"/>
                </w:tcPr>
                <w:p>
                  <w:pPr>
                    <w:adjustRightInd w:val="0"/>
                    <w:snapToGrid w:val="0"/>
                    <w:jc w:val="center"/>
                    <w:rPr>
                      <w:rFonts w:hint="default"/>
                      <w:b w:val="0"/>
                      <w:bCs w:val="0"/>
                      <w:color w:val="auto"/>
                      <w:highlight w:val="none"/>
                      <w:lang w:val="en-US" w:eastAsia="zh-CN"/>
                    </w:rPr>
                  </w:pPr>
                  <w:r>
                    <w:rPr>
                      <w:rFonts w:hint="eastAsia" w:cs="Times New Roman"/>
                      <w:b w:val="0"/>
                      <w:bCs w:val="0"/>
                      <w:i w:val="0"/>
                      <w:iCs w:val="0"/>
                      <w:color w:val="auto"/>
                      <w:kern w:val="0"/>
                      <w:sz w:val="21"/>
                      <w:szCs w:val="21"/>
                      <w:highlight w:val="none"/>
                      <w:u w:val="none"/>
                      <w:lang w:val="en-US" w:eastAsia="zh-CN" w:bidi="ar"/>
                    </w:rPr>
                    <w:t>12.79</w:t>
                  </w:r>
                </w:p>
              </w:tc>
              <w:tc>
                <w:tcPr>
                  <w:tcW w:w="723"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color w:val="auto"/>
                      <w:kern w:val="1"/>
                      <w:sz w:val="21"/>
                      <w:szCs w:val="21"/>
                      <w:highlight w:val="none"/>
                      <w:lang w:val="en-US" w:eastAsia="zh-CN" w:bidi="ar-SA"/>
                    </w:rPr>
                    <w:t>15.06</w:t>
                  </w:r>
                </w:p>
              </w:tc>
              <w:tc>
                <w:tcPr>
                  <w:tcW w:w="614"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Style w:val="109"/>
                      <w:rFonts w:hint="eastAsia" w:eastAsia="宋体"/>
                      <w:b w:val="0"/>
                      <w:bCs w:val="0"/>
                      <w:color w:val="auto"/>
                      <w:kern w:val="0"/>
                      <w:highlight w:val="none"/>
                      <w:lang w:val="en-US" w:bidi="ar"/>
                    </w:rPr>
                    <w:t>45.17</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污染物</w:t>
                  </w:r>
                  <w:r>
                    <w:rPr>
                      <w:rFonts w:hint="eastAsia" w:cs="Times New Roman"/>
                      <w:b w:val="0"/>
                      <w:bCs w:val="0"/>
                      <w:color w:val="auto"/>
                      <w:kern w:val="0"/>
                      <w:sz w:val="21"/>
                      <w:szCs w:val="21"/>
                      <w:highlight w:val="none"/>
                      <w:lang w:val="en-US" w:eastAsia="zh-CN"/>
                    </w:rPr>
                    <w:t>排放</w:t>
                  </w:r>
                  <w:r>
                    <w:rPr>
                      <w:rFonts w:hint="default" w:cs="Times New Roman"/>
                      <w:b w:val="0"/>
                      <w:bCs w:val="0"/>
                      <w:color w:val="auto"/>
                      <w:kern w:val="0"/>
                      <w:sz w:val="21"/>
                      <w:szCs w:val="21"/>
                      <w:highlight w:val="none"/>
                      <w:lang w:val="en-US" w:eastAsia="zh-CN"/>
                    </w:rPr>
                    <w:t>速率</w:t>
                  </w:r>
                  <w:r>
                    <w:rPr>
                      <w:rFonts w:hint="eastAsia" w:cs="Times New Roman"/>
                      <w:b w:val="0"/>
                      <w:bCs w:val="0"/>
                      <w:color w:val="auto"/>
                      <w:kern w:val="0"/>
                      <w:sz w:val="21"/>
                      <w:szCs w:val="21"/>
                      <w:highlight w:val="none"/>
                      <w:lang w:val="en-US" w:eastAsia="zh-CN"/>
                    </w:rPr>
                    <w:t>（</w:t>
                  </w:r>
                  <w:r>
                    <w:rPr>
                      <w:rFonts w:hint="default" w:cs="Times New Roman"/>
                      <w:b w:val="0"/>
                      <w:bCs w:val="0"/>
                      <w:color w:val="auto"/>
                      <w:kern w:val="0"/>
                      <w:sz w:val="21"/>
                      <w:szCs w:val="21"/>
                      <w:highlight w:val="none"/>
                      <w:lang w:val="en-US" w:eastAsia="zh-CN"/>
                    </w:rPr>
                    <w:t>kg/h</w:t>
                  </w:r>
                  <w:r>
                    <w:rPr>
                      <w:rFonts w:hint="eastAsia" w:cs="Times New Roman"/>
                      <w:b w:val="0"/>
                      <w:bCs w:val="0"/>
                      <w:color w:val="auto"/>
                      <w:kern w:val="0"/>
                      <w:sz w:val="21"/>
                      <w:szCs w:val="21"/>
                      <w:highlight w:val="none"/>
                      <w:lang w:val="en-US" w:eastAsia="zh-CN"/>
                    </w:rPr>
                    <w:t>）</w:t>
                  </w:r>
                </w:p>
              </w:tc>
              <w:tc>
                <w:tcPr>
                  <w:tcW w:w="781"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1.61</w:t>
                  </w:r>
                </w:p>
              </w:tc>
              <w:tc>
                <w:tcPr>
                  <w:tcW w:w="723"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1.9</w:t>
                  </w:r>
                </w:p>
              </w:tc>
              <w:tc>
                <w:tcPr>
                  <w:tcW w:w="614"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5.7</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污染物</w:t>
                  </w:r>
                  <w:r>
                    <w:rPr>
                      <w:rFonts w:hint="eastAsia" w:cs="Times New Roman"/>
                      <w:b w:val="0"/>
                      <w:bCs w:val="0"/>
                      <w:color w:val="auto"/>
                      <w:kern w:val="0"/>
                      <w:sz w:val="21"/>
                      <w:szCs w:val="21"/>
                      <w:highlight w:val="none"/>
                      <w:lang w:val="en-US" w:eastAsia="zh-CN"/>
                    </w:rPr>
                    <w:t>排放</w:t>
                  </w:r>
                  <w:r>
                    <w:rPr>
                      <w:rFonts w:hint="default" w:cs="Times New Roman"/>
                      <w:b w:val="0"/>
                      <w:bCs w:val="0"/>
                      <w:color w:val="auto"/>
                      <w:kern w:val="0"/>
                      <w:sz w:val="21"/>
                      <w:szCs w:val="21"/>
                      <w:highlight w:val="none"/>
                      <w:lang w:val="en-US" w:eastAsia="zh-CN"/>
                    </w:rPr>
                    <w:t>浓度</w:t>
                  </w:r>
                  <w:r>
                    <w:rPr>
                      <w:rFonts w:hint="eastAsia" w:cs="Times New Roman"/>
                      <w:b w:val="0"/>
                      <w:bCs w:val="0"/>
                      <w:color w:val="auto"/>
                      <w:kern w:val="0"/>
                      <w:sz w:val="21"/>
                      <w:szCs w:val="21"/>
                      <w:highlight w:val="none"/>
                      <w:lang w:val="en-US" w:eastAsia="zh-CN"/>
                    </w:rPr>
                    <w:t>（mg/m</w:t>
                  </w:r>
                  <w:r>
                    <w:rPr>
                      <w:rFonts w:hint="default" w:cs="Times New Roman"/>
                      <w:b w:val="0"/>
                      <w:bCs w:val="0"/>
                      <w:color w:val="auto"/>
                      <w:kern w:val="0"/>
                      <w:sz w:val="21"/>
                      <w:szCs w:val="21"/>
                      <w:highlight w:val="none"/>
                      <w:lang w:val="en-US" w:eastAsia="zh-CN"/>
                    </w:rPr>
                    <w:t>³</w:t>
                  </w:r>
                  <w:r>
                    <w:rPr>
                      <w:rFonts w:hint="eastAsia" w:cs="Times New Roman"/>
                      <w:b w:val="0"/>
                      <w:bCs w:val="0"/>
                      <w:color w:val="auto"/>
                      <w:kern w:val="0"/>
                      <w:sz w:val="21"/>
                      <w:szCs w:val="21"/>
                      <w:highlight w:val="none"/>
                      <w:lang w:val="en-US" w:eastAsia="zh-CN"/>
                    </w:rPr>
                    <w:t>）</w:t>
                  </w:r>
                </w:p>
              </w:tc>
              <w:tc>
                <w:tcPr>
                  <w:tcW w:w="781"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46.28</w:t>
                  </w:r>
                </w:p>
              </w:tc>
              <w:tc>
                <w:tcPr>
                  <w:tcW w:w="723"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Style w:val="109"/>
                      <w:rFonts w:hint="eastAsia" w:eastAsia="宋体"/>
                      <w:b w:val="0"/>
                      <w:bCs w:val="0"/>
                      <w:color w:val="auto"/>
                      <w:kern w:val="0"/>
                      <w:highlight w:val="none"/>
                      <w:lang w:val="en-US" w:bidi="ar"/>
                    </w:rPr>
                    <w:t>54.49</w:t>
                  </w:r>
                </w:p>
              </w:tc>
              <w:tc>
                <w:tcPr>
                  <w:tcW w:w="614"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Style w:val="109"/>
                      <w:rFonts w:hint="eastAsia" w:eastAsia="宋体"/>
                      <w:b w:val="0"/>
                      <w:bCs w:val="0"/>
                      <w:color w:val="auto"/>
                      <w:kern w:val="0"/>
                      <w:highlight w:val="none"/>
                      <w:lang w:val="en-US" w:bidi="ar"/>
                    </w:rPr>
                    <w:t>163.46</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排放口基本情况</w:t>
                  </w: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排气筒高度（m）</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45</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排气筒内径（m）</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0.6</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温度</w:t>
                  </w:r>
                  <w:r>
                    <w:rPr>
                      <w:rFonts w:hint="default" w:cs="Times New Roman"/>
                      <w:b w:val="0"/>
                      <w:bCs w:val="0"/>
                      <w:color w:val="auto"/>
                      <w:kern w:val="0"/>
                      <w:sz w:val="21"/>
                      <w:szCs w:val="21"/>
                      <w:highlight w:val="none"/>
                      <w:lang w:val="en-US" w:eastAsia="zh-CN"/>
                    </w:rPr>
                    <w:t>℃</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6</w:t>
                  </w:r>
                  <w:r>
                    <w:rPr>
                      <w:rFonts w:hint="eastAsia" w:cs="Times New Roman"/>
                      <w:b w:val="0"/>
                      <w:bCs w:val="0"/>
                      <w:color w:val="auto"/>
                      <w:kern w:val="0"/>
                      <w:sz w:val="21"/>
                      <w:szCs w:val="21"/>
                      <w:highlight w:val="none"/>
                      <w:lang w:val="en-US" w:eastAsia="zh-CN"/>
                    </w:rPr>
                    <w:t>0</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编号</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DA002</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类型</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主要排放口</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地理坐标</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103°11′50.053″，25°0′7.071″</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排放标准</w:t>
                  </w: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标准名称</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《锅炉大气污染物排放标准》（GB13271-2014）表2新建锅炉大气污染物排放浓度限值中的燃煤锅炉限值。</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《大气污染物综合排放标准》（GB16297-1996）表2无组织排放监控浓度限值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标准限值（mg/m</w:t>
                  </w:r>
                  <w:r>
                    <w:rPr>
                      <w:rFonts w:hint="default" w:cs="Times New Roman"/>
                      <w:b w:val="0"/>
                      <w:bCs w:val="0"/>
                      <w:color w:val="auto"/>
                      <w:kern w:val="0"/>
                      <w:sz w:val="21"/>
                      <w:szCs w:val="21"/>
                      <w:highlight w:val="none"/>
                      <w:lang w:val="en-US" w:eastAsia="zh-CN"/>
                    </w:rPr>
                    <w:t>³</w:t>
                  </w:r>
                  <w:r>
                    <w:rPr>
                      <w:rFonts w:hint="eastAsia" w:cs="Times New Roman"/>
                      <w:b w:val="0"/>
                      <w:bCs w:val="0"/>
                      <w:color w:val="auto"/>
                      <w:kern w:val="0"/>
                      <w:sz w:val="21"/>
                      <w:szCs w:val="21"/>
                      <w:highlight w:val="none"/>
                      <w:lang w:val="en-US" w:eastAsia="zh-CN"/>
                    </w:rPr>
                    <w:t>）</w:t>
                  </w:r>
                </w:p>
              </w:tc>
              <w:tc>
                <w:tcPr>
                  <w:tcW w:w="78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50</w:t>
                  </w:r>
                </w:p>
              </w:tc>
              <w:tc>
                <w:tcPr>
                  <w:tcW w:w="72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300</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300</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监测要求</w:t>
                  </w: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监测点位</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DA002烟囱排放口</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厂界上风向一个点，下风向三个点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监测因子</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颗粒物</w:t>
                  </w:r>
                  <w:r>
                    <w:rPr>
                      <w:rFonts w:hint="eastAsia" w:cs="Times New Roman"/>
                      <w:b w:val="0"/>
                      <w:bCs w:val="0"/>
                      <w:color w:val="auto"/>
                      <w:kern w:val="0"/>
                      <w:sz w:val="21"/>
                      <w:szCs w:val="21"/>
                      <w:highlight w:val="none"/>
                      <w:lang w:val="en-US" w:eastAsia="zh-CN"/>
                    </w:rPr>
                    <w:t>、SO</w:t>
                  </w:r>
                  <w:r>
                    <w:rPr>
                      <w:rFonts w:hint="eastAsia" w:cs="Times New Roman"/>
                      <w:b w:val="0"/>
                      <w:bCs w:val="0"/>
                      <w:color w:val="auto"/>
                      <w:kern w:val="0"/>
                      <w:sz w:val="21"/>
                      <w:szCs w:val="21"/>
                      <w:highlight w:val="none"/>
                      <w:vertAlign w:val="subscript"/>
                      <w:lang w:val="en-US" w:eastAsia="zh-CN"/>
                    </w:rPr>
                    <w:t>2</w:t>
                  </w:r>
                  <w:r>
                    <w:rPr>
                      <w:rFonts w:hint="eastAsia" w:cs="Times New Roman"/>
                      <w:b w:val="0"/>
                      <w:bCs w:val="0"/>
                      <w:color w:val="auto"/>
                      <w:kern w:val="0"/>
                      <w:sz w:val="21"/>
                      <w:szCs w:val="21"/>
                      <w:highlight w:val="none"/>
                      <w:lang w:val="en-US" w:eastAsia="zh-CN"/>
                    </w:rPr>
                    <w:t>、NOx、烟气黑度（林格曼黑度）</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监测频次</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监测</w:t>
                  </w:r>
                  <w:r>
                    <w:rPr>
                      <w:rFonts w:hint="eastAsia" w:cs="Times New Roman"/>
                      <w:b w:val="0"/>
                      <w:bCs w:val="0"/>
                      <w:color w:val="auto"/>
                      <w:kern w:val="0"/>
                      <w:sz w:val="21"/>
                      <w:szCs w:val="21"/>
                      <w:highlight w:val="none"/>
                      <w:lang w:val="en-US" w:eastAsia="zh-CN"/>
                    </w:rPr>
                    <w:t>2</w:t>
                  </w:r>
                  <w:r>
                    <w:rPr>
                      <w:rFonts w:hint="default" w:cs="Times New Roman"/>
                      <w:b w:val="0"/>
                      <w:bCs w:val="0"/>
                      <w:color w:val="auto"/>
                      <w:kern w:val="0"/>
                      <w:sz w:val="21"/>
                      <w:szCs w:val="21"/>
                      <w:highlight w:val="none"/>
                      <w:lang w:val="en-US" w:eastAsia="zh-CN"/>
                    </w:rPr>
                    <w:t>天，每天监测3次</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监测2天，每天3次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自行监测计划</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颗粒物</w:t>
                  </w:r>
                  <w:r>
                    <w:rPr>
                      <w:rFonts w:hint="eastAsia" w:cs="Times New Roman"/>
                      <w:b w:val="0"/>
                      <w:bCs w:val="0"/>
                      <w:color w:val="auto"/>
                      <w:kern w:val="0"/>
                      <w:sz w:val="21"/>
                      <w:szCs w:val="21"/>
                      <w:highlight w:val="none"/>
                      <w:lang w:val="en-US" w:eastAsia="zh-CN"/>
                    </w:rPr>
                    <w:t>、SO</w:t>
                  </w:r>
                  <w:r>
                    <w:rPr>
                      <w:rFonts w:hint="eastAsia" w:cs="Times New Roman"/>
                      <w:b w:val="0"/>
                      <w:bCs w:val="0"/>
                      <w:color w:val="auto"/>
                      <w:kern w:val="0"/>
                      <w:sz w:val="21"/>
                      <w:szCs w:val="21"/>
                      <w:highlight w:val="none"/>
                      <w:vertAlign w:val="subscript"/>
                      <w:lang w:val="en-US" w:eastAsia="zh-CN"/>
                    </w:rPr>
                    <w:t>2</w:t>
                  </w:r>
                  <w:r>
                    <w:rPr>
                      <w:rFonts w:hint="eastAsia" w:cs="Times New Roman"/>
                      <w:b w:val="0"/>
                      <w:bCs w:val="0"/>
                      <w:color w:val="auto"/>
                      <w:kern w:val="0"/>
                      <w:sz w:val="21"/>
                      <w:szCs w:val="21"/>
                      <w:highlight w:val="none"/>
                      <w:lang w:val="en-US" w:eastAsia="zh-CN"/>
                    </w:rPr>
                    <w:t>、NOx：自动监测</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烟气黑度（林格曼黑度）：每季度1次</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每季度1次</w:t>
                  </w:r>
                </w:p>
              </w:tc>
            </w:tr>
          </w:tbl>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b w:val="0"/>
                <w:bCs/>
                <w:color w:val="auto"/>
                <w:sz w:val="24"/>
                <w:szCs w:val="24"/>
                <w:highlight w:val="none"/>
                <w:lang w:val="en-US" w:eastAsia="zh-CN"/>
              </w:rPr>
            </w:pPr>
          </w:p>
          <w:p>
            <w:pPr>
              <w:pStyle w:val="4"/>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4-</w:t>
            </w:r>
            <w:r>
              <w:rPr>
                <w:rFonts w:hint="eastAsia" w:cs="Times New Roman"/>
                <w:b/>
                <w:bCs/>
                <w:color w:val="auto"/>
                <w:sz w:val="21"/>
                <w:szCs w:val="21"/>
                <w:highlight w:val="none"/>
                <w:lang w:val="en-US" w:eastAsia="zh-CN"/>
              </w:rPr>
              <w:t>6漓源供热点运营期废气产排污情况一览表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
              <w:gridCol w:w="2073"/>
              <w:gridCol w:w="1387"/>
              <w:gridCol w:w="1284"/>
              <w:gridCol w:w="1090"/>
              <w:gridCol w:w="2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产污排污环节</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锅炉</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锅炉废气量（万</w:t>
                  </w:r>
                  <w:r>
                    <w:rPr>
                      <w:rFonts w:hint="default" w:cs="Times New Roman"/>
                      <w:b w:val="0"/>
                      <w:bCs w:val="0"/>
                      <w:color w:val="auto"/>
                      <w:kern w:val="0"/>
                      <w:sz w:val="21"/>
                      <w:szCs w:val="21"/>
                      <w:highlight w:val="none"/>
                      <w:lang w:val="en-US" w:eastAsia="zh-CN"/>
                    </w:rPr>
                    <w:t>m³</w:t>
                  </w:r>
                  <w:r>
                    <w:rPr>
                      <w:rFonts w:hint="eastAsia" w:cs="Times New Roman"/>
                      <w:b w:val="0"/>
                      <w:bCs w:val="0"/>
                      <w:color w:val="auto"/>
                      <w:kern w:val="0"/>
                      <w:sz w:val="21"/>
                      <w:szCs w:val="21"/>
                      <w:highlight w:val="none"/>
                      <w:lang w:val="en-US" w:eastAsia="zh-CN"/>
                    </w:rPr>
                    <w:t>/a）</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4222</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污染物种类</w:t>
                  </w:r>
                </w:p>
              </w:tc>
              <w:tc>
                <w:tcPr>
                  <w:tcW w:w="78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颗粒物</w:t>
                  </w:r>
                </w:p>
              </w:tc>
              <w:tc>
                <w:tcPr>
                  <w:tcW w:w="72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SO</w:t>
                  </w:r>
                  <w:r>
                    <w:rPr>
                      <w:rFonts w:hint="eastAsia" w:cs="Times New Roman"/>
                      <w:b w:val="0"/>
                      <w:bCs w:val="0"/>
                      <w:color w:val="auto"/>
                      <w:kern w:val="0"/>
                      <w:sz w:val="21"/>
                      <w:szCs w:val="21"/>
                      <w:highlight w:val="none"/>
                      <w:vertAlign w:val="subscript"/>
                      <w:lang w:val="en-US" w:eastAsia="zh-CN"/>
                    </w:rPr>
                    <w:t>2</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NOx</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污染物</w:t>
                  </w:r>
                  <w:r>
                    <w:rPr>
                      <w:rFonts w:hint="eastAsia" w:cs="Times New Roman"/>
                      <w:b w:val="0"/>
                      <w:bCs w:val="0"/>
                      <w:color w:val="auto"/>
                      <w:kern w:val="0"/>
                      <w:sz w:val="21"/>
                      <w:szCs w:val="21"/>
                      <w:highlight w:val="none"/>
                      <w:lang w:val="en-US" w:eastAsia="zh-CN"/>
                    </w:rPr>
                    <w:t>产生</w:t>
                  </w:r>
                  <w:r>
                    <w:rPr>
                      <w:rFonts w:hint="default" w:cs="Times New Roman"/>
                      <w:b w:val="0"/>
                      <w:bCs w:val="0"/>
                      <w:color w:val="auto"/>
                      <w:kern w:val="0"/>
                      <w:sz w:val="21"/>
                      <w:szCs w:val="21"/>
                      <w:highlight w:val="none"/>
                      <w:lang w:val="en-US" w:eastAsia="zh-CN"/>
                    </w:rPr>
                    <w:t>量</w:t>
                  </w:r>
                  <w:r>
                    <w:rPr>
                      <w:rFonts w:hint="eastAsia" w:cs="Times New Roman"/>
                      <w:b w:val="0"/>
                      <w:bCs w:val="0"/>
                      <w:color w:val="auto"/>
                      <w:kern w:val="0"/>
                      <w:sz w:val="21"/>
                      <w:szCs w:val="21"/>
                      <w:highlight w:val="none"/>
                      <w:lang w:val="en-US" w:eastAsia="zh-CN"/>
                    </w:rPr>
                    <w:t>（</w:t>
                  </w:r>
                  <w:r>
                    <w:rPr>
                      <w:rFonts w:hint="default" w:cs="Times New Roman"/>
                      <w:b w:val="0"/>
                      <w:bCs w:val="0"/>
                      <w:color w:val="auto"/>
                      <w:kern w:val="0"/>
                      <w:sz w:val="21"/>
                      <w:szCs w:val="21"/>
                      <w:highlight w:val="none"/>
                      <w:lang w:val="en-US" w:eastAsia="zh-CN"/>
                    </w:rPr>
                    <w:t>t/a</w:t>
                  </w:r>
                  <w:r>
                    <w:rPr>
                      <w:rFonts w:hint="eastAsia" w:cs="Times New Roman"/>
                      <w:b w:val="0"/>
                      <w:bCs w:val="0"/>
                      <w:color w:val="auto"/>
                      <w:kern w:val="0"/>
                      <w:sz w:val="21"/>
                      <w:szCs w:val="21"/>
                      <w:highlight w:val="none"/>
                      <w:lang w:val="en-US" w:eastAsia="zh-CN"/>
                    </w:rPr>
                    <w:t>）</w:t>
                  </w:r>
                </w:p>
              </w:tc>
              <w:tc>
                <w:tcPr>
                  <w:tcW w:w="781"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color w:val="auto"/>
                      <w:kern w:val="1"/>
                      <w:sz w:val="21"/>
                      <w:szCs w:val="21"/>
                      <w:highlight w:val="none"/>
                      <w:lang w:val="en-US" w:eastAsia="zh-CN" w:bidi="ar-SA"/>
                    </w:rPr>
                    <w:t>254.43</w:t>
                  </w:r>
                </w:p>
              </w:tc>
              <w:tc>
                <w:tcPr>
                  <w:tcW w:w="723"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color w:val="auto"/>
                      <w:kern w:val="1"/>
                      <w:sz w:val="21"/>
                      <w:szCs w:val="21"/>
                      <w:highlight w:val="none"/>
                      <w:lang w:val="en-US" w:eastAsia="zh-CN" w:bidi="ar-SA"/>
                    </w:rPr>
                    <w:t>2.3</w:t>
                  </w:r>
                </w:p>
              </w:tc>
              <w:tc>
                <w:tcPr>
                  <w:tcW w:w="614"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Style w:val="109"/>
                      <w:rFonts w:hint="eastAsia" w:eastAsia="宋体"/>
                      <w:b w:val="0"/>
                      <w:bCs w:val="0"/>
                      <w:color w:val="auto"/>
                      <w:kern w:val="0"/>
                      <w:highlight w:val="none"/>
                      <w:lang w:val="en-US" w:bidi="ar"/>
                    </w:rPr>
                    <w:t>6.9</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污染物</w:t>
                  </w:r>
                  <w:r>
                    <w:rPr>
                      <w:rFonts w:hint="eastAsia" w:cs="Times New Roman"/>
                      <w:b w:val="0"/>
                      <w:bCs w:val="0"/>
                      <w:color w:val="auto"/>
                      <w:kern w:val="0"/>
                      <w:sz w:val="21"/>
                      <w:szCs w:val="21"/>
                      <w:highlight w:val="none"/>
                      <w:lang w:val="en-US" w:eastAsia="zh-CN"/>
                    </w:rPr>
                    <w:t>产生</w:t>
                  </w:r>
                  <w:r>
                    <w:rPr>
                      <w:rFonts w:hint="default" w:cs="Times New Roman"/>
                      <w:b w:val="0"/>
                      <w:bCs w:val="0"/>
                      <w:color w:val="auto"/>
                      <w:kern w:val="0"/>
                      <w:sz w:val="21"/>
                      <w:szCs w:val="21"/>
                      <w:highlight w:val="none"/>
                      <w:lang w:val="en-US" w:eastAsia="zh-CN"/>
                    </w:rPr>
                    <w:t>浓度</w:t>
                  </w:r>
                  <w:r>
                    <w:rPr>
                      <w:rFonts w:hint="eastAsia" w:cs="Times New Roman"/>
                      <w:b w:val="0"/>
                      <w:bCs w:val="0"/>
                      <w:color w:val="auto"/>
                      <w:kern w:val="0"/>
                      <w:sz w:val="21"/>
                      <w:szCs w:val="21"/>
                      <w:highlight w:val="none"/>
                      <w:lang w:val="en-US" w:eastAsia="zh-CN"/>
                    </w:rPr>
                    <w:t>（mg/</w:t>
                  </w:r>
                  <w:r>
                    <w:rPr>
                      <w:rFonts w:hint="default" w:cs="Times New Roman"/>
                      <w:b w:val="0"/>
                      <w:bCs w:val="0"/>
                      <w:color w:val="auto"/>
                      <w:kern w:val="0"/>
                      <w:sz w:val="21"/>
                      <w:szCs w:val="21"/>
                      <w:highlight w:val="none"/>
                      <w:lang w:val="en-US" w:eastAsia="zh-CN"/>
                    </w:rPr>
                    <w:t>m³</w:t>
                  </w:r>
                  <w:r>
                    <w:rPr>
                      <w:rFonts w:hint="eastAsia" w:cs="Times New Roman"/>
                      <w:b w:val="0"/>
                      <w:bCs w:val="0"/>
                      <w:color w:val="auto"/>
                      <w:kern w:val="0"/>
                      <w:sz w:val="21"/>
                      <w:szCs w:val="21"/>
                      <w:highlight w:val="none"/>
                      <w:lang w:val="en-US" w:eastAsia="zh-CN"/>
                    </w:rPr>
                    <w:t>）</w:t>
                  </w:r>
                </w:p>
              </w:tc>
              <w:tc>
                <w:tcPr>
                  <w:tcW w:w="781"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6025.64</w:t>
                  </w:r>
                </w:p>
              </w:tc>
              <w:tc>
                <w:tcPr>
                  <w:tcW w:w="723"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Style w:val="109"/>
                      <w:rFonts w:hint="eastAsia" w:eastAsia="宋体"/>
                      <w:b w:val="0"/>
                      <w:bCs w:val="0"/>
                      <w:color w:val="auto"/>
                      <w:kern w:val="0"/>
                      <w:highlight w:val="none"/>
                      <w:lang w:val="en-US" w:bidi="ar"/>
                    </w:rPr>
                    <w:t>54.49</w:t>
                  </w:r>
                </w:p>
              </w:tc>
              <w:tc>
                <w:tcPr>
                  <w:tcW w:w="614"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Style w:val="109"/>
                      <w:rFonts w:hint="eastAsia" w:eastAsia="宋体"/>
                      <w:b w:val="0"/>
                      <w:bCs w:val="0"/>
                      <w:color w:val="auto"/>
                      <w:kern w:val="0"/>
                      <w:highlight w:val="none"/>
                      <w:lang w:val="en-US" w:bidi="ar"/>
                    </w:rPr>
                    <w:t>163.46</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排放形式</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有组织</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锅炉烟气</w:t>
                  </w: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治理工艺</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1"/>
                      <w:szCs w:val="21"/>
                      <w:highlight w:val="none"/>
                      <w:lang w:val="en-US" w:eastAsia="zh-CN"/>
                    </w:rPr>
                    <w:t>旋风除尘+袋式除尘技术</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装袋后暂存堆渣间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治理工艺去除率</w:t>
                  </w:r>
                </w:p>
              </w:tc>
              <w:tc>
                <w:tcPr>
                  <w:tcW w:w="78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99.232%</w:t>
                  </w:r>
                </w:p>
              </w:tc>
              <w:tc>
                <w:tcPr>
                  <w:tcW w:w="72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是否为可行技术</w:t>
                  </w:r>
                </w:p>
              </w:tc>
              <w:tc>
                <w:tcPr>
                  <w:tcW w:w="78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可行</w:t>
                  </w:r>
                </w:p>
              </w:tc>
              <w:tc>
                <w:tcPr>
                  <w:tcW w:w="72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污染物</w:t>
                  </w:r>
                  <w:r>
                    <w:rPr>
                      <w:rFonts w:hint="eastAsia" w:cs="Times New Roman"/>
                      <w:b w:val="0"/>
                      <w:bCs w:val="0"/>
                      <w:color w:val="auto"/>
                      <w:kern w:val="0"/>
                      <w:sz w:val="21"/>
                      <w:szCs w:val="21"/>
                      <w:highlight w:val="none"/>
                      <w:lang w:val="en-US" w:eastAsia="zh-CN"/>
                    </w:rPr>
                    <w:t>排放</w:t>
                  </w:r>
                  <w:r>
                    <w:rPr>
                      <w:rFonts w:hint="default" w:cs="Times New Roman"/>
                      <w:b w:val="0"/>
                      <w:bCs w:val="0"/>
                      <w:color w:val="auto"/>
                      <w:kern w:val="0"/>
                      <w:sz w:val="21"/>
                      <w:szCs w:val="21"/>
                      <w:highlight w:val="none"/>
                      <w:lang w:val="en-US" w:eastAsia="zh-CN"/>
                    </w:rPr>
                    <w:t>量</w:t>
                  </w:r>
                  <w:r>
                    <w:rPr>
                      <w:rFonts w:hint="eastAsia" w:cs="Times New Roman"/>
                      <w:b w:val="0"/>
                      <w:bCs w:val="0"/>
                      <w:color w:val="auto"/>
                      <w:kern w:val="0"/>
                      <w:sz w:val="21"/>
                      <w:szCs w:val="21"/>
                      <w:highlight w:val="none"/>
                      <w:lang w:val="en-US" w:eastAsia="zh-CN"/>
                    </w:rPr>
                    <w:t>（</w:t>
                  </w:r>
                  <w:r>
                    <w:rPr>
                      <w:rFonts w:hint="default" w:cs="Times New Roman"/>
                      <w:b w:val="0"/>
                      <w:bCs w:val="0"/>
                      <w:color w:val="auto"/>
                      <w:kern w:val="0"/>
                      <w:sz w:val="21"/>
                      <w:szCs w:val="21"/>
                      <w:highlight w:val="none"/>
                      <w:lang w:val="en-US" w:eastAsia="zh-CN"/>
                    </w:rPr>
                    <w:t>t/a</w:t>
                  </w:r>
                  <w:r>
                    <w:rPr>
                      <w:rFonts w:hint="eastAsia" w:cs="Times New Roman"/>
                      <w:b w:val="0"/>
                      <w:bCs w:val="0"/>
                      <w:color w:val="auto"/>
                      <w:kern w:val="0"/>
                      <w:sz w:val="21"/>
                      <w:szCs w:val="21"/>
                      <w:highlight w:val="none"/>
                      <w:lang w:val="en-US" w:eastAsia="zh-CN"/>
                    </w:rPr>
                    <w:t>）</w:t>
                  </w:r>
                </w:p>
              </w:tc>
              <w:tc>
                <w:tcPr>
                  <w:tcW w:w="781" w:type="pct"/>
                  <w:tcBorders>
                    <w:tl2br w:val="nil"/>
                    <w:tr2bl w:val="nil"/>
                  </w:tcBorders>
                  <w:noWrap w:val="0"/>
                  <w:vAlign w:val="top"/>
                </w:tcPr>
                <w:p>
                  <w:pPr>
                    <w:adjustRightInd w:val="0"/>
                    <w:snapToGrid w:val="0"/>
                    <w:jc w:val="center"/>
                    <w:rPr>
                      <w:rFonts w:hint="default"/>
                      <w:b w:val="0"/>
                      <w:bCs w:val="0"/>
                      <w:color w:val="auto"/>
                      <w:highlight w:val="none"/>
                      <w:lang w:val="en-US" w:eastAsia="zh-CN"/>
                    </w:rPr>
                  </w:pPr>
                  <w:r>
                    <w:rPr>
                      <w:rFonts w:hint="eastAsia" w:cs="Times New Roman"/>
                      <w:b w:val="0"/>
                      <w:bCs w:val="0"/>
                      <w:i w:val="0"/>
                      <w:iCs w:val="0"/>
                      <w:color w:val="auto"/>
                      <w:kern w:val="0"/>
                      <w:sz w:val="21"/>
                      <w:szCs w:val="21"/>
                      <w:highlight w:val="none"/>
                      <w:u w:val="none"/>
                      <w:lang w:val="en-US" w:eastAsia="zh-CN" w:bidi="ar"/>
                    </w:rPr>
                    <w:t>1.95</w:t>
                  </w:r>
                </w:p>
              </w:tc>
              <w:tc>
                <w:tcPr>
                  <w:tcW w:w="723"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color w:val="auto"/>
                      <w:kern w:val="1"/>
                      <w:sz w:val="21"/>
                      <w:szCs w:val="21"/>
                      <w:highlight w:val="none"/>
                      <w:lang w:val="en-US" w:eastAsia="zh-CN" w:bidi="ar-SA"/>
                    </w:rPr>
                    <w:t>2.3</w:t>
                  </w:r>
                </w:p>
              </w:tc>
              <w:tc>
                <w:tcPr>
                  <w:tcW w:w="614"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Style w:val="109"/>
                      <w:rFonts w:hint="eastAsia" w:eastAsia="宋体"/>
                      <w:b w:val="0"/>
                      <w:bCs w:val="0"/>
                      <w:color w:val="auto"/>
                      <w:kern w:val="0"/>
                      <w:highlight w:val="none"/>
                      <w:lang w:val="en-US" w:bidi="ar"/>
                    </w:rPr>
                    <w:t>6.9</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污染物</w:t>
                  </w:r>
                  <w:r>
                    <w:rPr>
                      <w:rFonts w:hint="eastAsia" w:cs="Times New Roman"/>
                      <w:b w:val="0"/>
                      <w:bCs w:val="0"/>
                      <w:color w:val="auto"/>
                      <w:kern w:val="0"/>
                      <w:sz w:val="21"/>
                      <w:szCs w:val="21"/>
                      <w:highlight w:val="none"/>
                      <w:lang w:val="en-US" w:eastAsia="zh-CN"/>
                    </w:rPr>
                    <w:t>排放</w:t>
                  </w:r>
                  <w:r>
                    <w:rPr>
                      <w:rFonts w:hint="default" w:cs="Times New Roman"/>
                      <w:b w:val="0"/>
                      <w:bCs w:val="0"/>
                      <w:color w:val="auto"/>
                      <w:kern w:val="0"/>
                      <w:sz w:val="21"/>
                      <w:szCs w:val="21"/>
                      <w:highlight w:val="none"/>
                      <w:lang w:val="en-US" w:eastAsia="zh-CN"/>
                    </w:rPr>
                    <w:t>速率</w:t>
                  </w:r>
                  <w:r>
                    <w:rPr>
                      <w:rFonts w:hint="eastAsia" w:cs="Times New Roman"/>
                      <w:b w:val="0"/>
                      <w:bCs w:val="0"/>
                      <w:color w:val="auto"/>
                      <w:kern w:val="0"/>
                      <w:sz w:val="21"/>
                      <w:szCs w:val="21"/>
                      <w:highlight w:val="none"/>
                      <w:lang w:val="en-US" w:eastAsia="zh-CN"/>
                    </w:rPr>
                    <w:t>（</w:t>
                  </w:r>
                  <w:r>
                    <w:rPr>
                      <w:rFonts w:hint="default" w:cs="Times New Roman"/>
                      <w:b w:val="0"/>
                      <w:bCs w:val="0"/>
                      <w:color w:val="auto"/>
                      <w:kern w:val="0"/>
                      <w:sz w:val="21"/>
                      <w:szCs w:val="21"/>
                      <w:highlight w:val="none"/>
                      <w:lang w:val="en-US" w:eastAsia="zh-CN"/>
                    </w:rPr>
                    <w:t>kg/h</w:t>
                  </w:r>
                  <w:r>
                    <w:rPr>
                      <w:rFonts w:hint="eastAsia" w:cs="Times New Roman"/>
                      <w:b w:val="0"/>
                      <w:bCs w:val="0"/>
                      <w:color w:val="auto"/>
                      <w:kern w:val="0"/>
                      <w:sz w:val="21"/>
                      <w:szCs w:val="21"/>
                      <w:highlight w:val="none"/>
                      <w:lang w:val="en-US" w:eastAsia="zh-CN"/>
                    </w:rPr>
                    <w:t>）</w:t>
                  </w:r>
                </w:p>
              </w:tc>
              <w:tc>
                <w:tcPr>
                  <w:tcW w:w="781"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0.49</w:t>
                  </w:r>
                </w:p>
              </w:tc>
              <w:tc>
                <w:tcPr>
                  <w:tcW w:w="723"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0.58</w:t>
                  </w:r>
                </w:p>
              </w:tc>
              <w:tc>
                <w:tcPr>
                  <w:tcW w:w="614"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1.74</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43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污染物</w:t>
                  </w:r>
                  <w:r>
                    <w:rPr>
                      <w:rFonts w:hint="eastAsia" w:cs="Times New Roman"/>
                      <w:b w:val="0"/>
                      <w:bCs w:val="0"/>
                      <w:color w:val="auto"/>
                      <w:kern w:val="0"/>
                      <w:sz w:val="21"/>
                      <w:szCs w:val="21"/>
                      <w:highlight w:val="none"/>
                      <w:lang w:val="en-US" w:eastAsia="zh-CN"/>
                    </w:rPr>
                    <w:t>排放</w:t>
                  </w:r>
                  <w:r>
                    <w:rPr>
                      <w:rFonts w:hint="default" w:cs="Times New Roman"/>
                      <w:b w:val="0"/>
                      <w:bCs w:val="0"/>
                      <w:color w:val="auto"/>
                      <w:kern w:val="0"/>
                      <w:sz w:val="21"/>
                      <w:szCs w:val="21"/>
                      <w:highlight w:val="none"/>
                      <w:lang w:val="en-US" w:eastAsia="zh-CN"/>
                    </w:rPr>
                    <w:t>浓度</w:t>
                  </w:r>
                  <w:r>
                    <w:rPr>
                      <w:rFonts w:hint="eastAsia" w:cs="Times New Roman"/>
                      <w:b w:val="0"/>
                      <w:bCs w:val="0"/>
                      <w:color w:val="auto"/>
                      <w:kern w:val="0"/>
                      <w:sz w:val="21"/>
                      <w:szCs w:val="21"/>
                      <w:highlight w:val="none"/>
                      <w:lang w:val="en-US" w:eastAsia="zh-CN"/>
                    </w:rPr>
                    <w:t>（mg/m</w:t>
                  </w:r>
                  <w:r>
                    <w:rPr>
                      <w:rFonts w:hint="default" w:cs="Times New Roman"/>
                      <w:b w:val="0"/>
                      <w:bCs w:val="0"/>
                      <w:color w:val="auto"/>
                      <w:kern w:val="0"/>
                      <w:sz w:val="21"/>
                      <w:szCs w:val="21"/>
                      <w:highlight w:val="none"/>
                      <w:lang w:val="en-US" w:eastAsia="zh-CN"/>
                    </w:rPr>
                    <w:t>³</w:t>
                  </w:r>
                  <w:r>
                    <w:rPr>
                      <w:rFonts w:hint="eastAsia" w:cs="Times New Roman"/>
                      <w:b w:val="0"/>
                      <w:bCs w:val="0"/>
                      <w:color w:val="auto"/>
                      <w:kern w:val="0"/>
                      <w:sz w:val="21"/>
                      <w:szCs w:val="21"/>
                      <w:highlight w:val="none"/>
                      <w:lang w:val="en-US" w:eastAsia="zh-CN"/>
                    </w:rPr>
                    <w:t>）</w:t>
                  </w:r>
                </w:p>
              </w:tc>
              <w:tc>
                <w:tcPr>
                  <w:tcW w:w="781"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46.28</w:t>
                  </w:r>
                </w:p>
              </w:tc>
              <w:tc>
                <w:tcPr>
                  <w:tcW w:w="723"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Style w:val="109"/>
                      <w:rFonts w:hint="eastAsia" w:eastAsia="宋体"/>
                      <w:b w:val="0"/>
                      <w:bCs w:val="0"/>
                      <w:color w:val="auto"/>
                      <w:kern w:val="0"/>
                      <w:highlight w:val="none"/>
                      <w:lang w:val="en-US" w:bidi="ar"/>
                    </w:rPr>
                    <w:t>54.49</w:t>
                  </w:r>
                </w:p>
              </w:tc>
              <w:tc>
                <w:tcPr>
                  <w:tcW w:w="614" w:type="pct"/>
                  <w:tcBorders>
                    <w:tl2br w:val="nil"/>
                    <w:tr2bl w:val="nil"/>
                  </w:tcBorders>
                  <w:noWrap w:val="0"/>
                  <w:vAlign w:val="top"/>
                </w:tcPr>
                <w:p>
                  <w:pPr>
                    <w:adjustRightInd w:val="0"/>
                    <w:snapToGrid w:val="0"/>
                    <w:jc w:val="center"/>
                    <w:rPr>
                      <w:rFonts w:hint="default" w:ascii="Times New Roman" w:hAnsi="Times New Roman" w:eastAsia="宋体" w:cs="Times New Roman"/>
                      <w:b w:val="0"/>
                      <w:bCs w:val="0"/>
                      <w:color w:val="auto"/>
                      <w:kern w:val="1"/>
                      <w:sz w:val="21"/>
                      <w:szCs w:val="21"/>
                      <w:highlight w:val="none"/>
                      <w:lang w:val="en-US" w:eastAsia="zh-CN" w:bidi="ar-SA"/>
                    </w:rPr>
                  </w:pPr>
                  <w:r>
                    <w:rPr>
                      <w:rStyle w:val="109"/>
                      <w:rFonts w:hint="eastAsia" w:eastAsia="宋体"/>
                      <w:b w:val="0"/>
                      <w:bCs w:val="0"/>
                      <w:color w:val="auto"/>
                      <w:kern w:val="0"/>
                      <w:highlight w:val="none"/>
                      <w:lang w:val="en-US" w:bidi="ar"/>
                    </w:rPr>
                    <w:t>163.46</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排放口基本情况</w:t>
                  </w: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排气筒高度（m）</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35</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排气筒内径（m）</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0.5</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温度</w:t>
                  </w:r>
                  <w:r>
                    <w:rPr>
                      <w:rFonts w:hint="default" w:cs="Times New Roman"/>
                      <w:b w:val="0"/>
                      <w:bCs w:val="0"/>
                      <w:color w:val="auto"/>
                      <w:kern w:val="0"/>
                      <w:sz w:val="21"/>
                      <w:szCs w:val="21"/>
                      <w:highlight w:val="none"/>
                      <w:lang w:val="en-US" w:eastAsia="zh-CN"/>
                    </w:rPr>
                    <w:t>℃</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6</w:t>
                  </w:r>
                  <w:r>
                    <w:rPr>
                      <w:rFonts w:hint="eastAsia" w:cs="Times New Roman"/>
                      <w:b w:val="0"/>
                      <w:bCs w:val="0"/>
                      <w:color w:val="auto"/>
                      <w:kern w:val="0"/>
                      <w:sz w:val="21"/>
                      <w:szCs w:val="21"/>
                      <w:highlight w:val="none"/>
                      <w:lang w:val="en-US" w:eastAsia="zh-CN"/>
                    </w:rPr>
                    <w:t>0</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编号</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DA003</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类型</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主要排放口</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地理坐标</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103°11′35.332″</w:t>
                  </w:r>
                  <w:r>
                    <w:rPr>
                      <w:rFonts w:hint="eastAsia" w:ascii="Times New Roman" w:hAnsi="Times New Roman"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25°0′11.561″</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排放标准</w:t>
                  </w: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标准名称</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《锅炉大气污染物排放标准》（GB13271-2014）表2新建锅炉大气污染物排放浓度限值中的燃煤锅炉限值。</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《大气污染物综合排放标准》（GB16297-1996）表2无组织排放监控浓度限值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标准限值（mg/m</w:t>
                  </w:r>
                  <w:r>
                    <w:rPr>
                      <w:rFonts w:hint="default" w:cs="Times New Roman"/>
                      <w:b w:val="0"/>
                      <w:bCs w:val="0"/>
                      <w:color w:val="auto"/>
                      <w:kern w:val="0"/>
                      <w:sz w:val="21"/>
                      <w:szCs w:val="21"/>
                      <w:highlight w:val="none"/>
                      <w:lang w:val="en-US" w:eastAsia="zh-CN"/>
                    </w:rPr>
                    <w:t>³</w:t>
                  </w:r>
                  <w:r>
                    <w:rPr>
                      <w:rFonts w:hint="eastAsia" w:cs="Times New Roman"/>
                      <w:b w:val="0"/>
                      <w:bCs w:val="0"/>
                      <w:color w:val="auto"/>
                      <w:kern w:val="0"/>
                      <w:sz w:val="21"/>
                      <w:szCs w:val="21"/>
                      <w:highlight w:val="none"/>
                      <w:lang w:val="en-US" w:eastAsia="zh-CN"/>
                    </w:rPr>
                    <w:t>）</w:t>
                  </w:r>
                </w:p>
              </w:tc>
              <w:tc>
                <w:tcPr>
                  <w:tcW w:w="78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50</w:t>
                  </w:r>
                </w:p>
              </w:tc>
              <w:tc>
                <w:tcPr>
                  <w:tcW w:w="72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300</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300</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监测要求</w:t>
                  </w: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监测点位</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DA003烟囱排放口</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厂界上风向一个点，下风向三个点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监测因子</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颗粒物</w:t>
                  </w:r>
                  <w:r>
                    <w:rPr>
                      <w:rFonts w:hint="eastAsia" w:cs="Times New Roman"/>
                      <w:b w:val="0"/>
                      <w:bCs w:val="0"/>
                      <w:color w:val="auto"/>
                      <w:kern w:val="0"/>
                      <w:sz w:val="21"/>
                      <w:szCs w:val="21"/>
                      <w:highlight w:val="none"/>
                      <w:lang w:val="en-US" w:eastAsia="zh-CN"/>
                    </w:rPr>
                    <w:t>、SO</w:t>
                  </w:r>
                  <w:r>
                    <w:rPr>
                      <w:rFonts w:hint="eastAsia" w:cs="Times New Roman"/>
                      <w:b w:val="0"/>
                      <w:bCs w:val="0"/>
                      <w:color w:val="auto"/>
                      <w:kern w:val="0"/>
                      <w:sz w:val="21"/>
                      <w:szCs w:val="21"/>
                      <w:highlight w:val="none"/>
                      <w:vertAlign w:val="subscript"/>
                      <w:lang w:val="en-US" w:eastAsia="zh-CN"/>
                    </w:rPr>
                    <w:t>2</w:t>
                  </w:r>
                  <w:r>
                    <w:rPr>
                      <w:rFonts w:hint="eastAsia" w:cs="Times New Roman"/>
                      <w:b w:val="0"/>
                      <w:bCs w:val="0"/>
                      <w:color w:val="auto"/>
                      <w:kern w:val="0"/>
                      <w:sz w:val="21"/>
                      <w:szCs w:val="21"/>
                      <w:highlight w:val="none"/>
                      <w:lang w:val="en-US" w:eastAsia="zh-CN"/>
                    </w:rPr>
                    <w:t>、NOx、烟气黑度（林格曼黑度）</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监测频次</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监测</w:t>
                  </w:r>
                  <w:r>
                    <w:rPr>
                      <w:rFonts w:hint="eastAsia" w:cs="Times New Roman"/>
                      <w:b w:val="0"/>
                      <w:bCs w:val="0"/>
                      <w:color w:val="auto"/>
                      <w:kern w:val="0"/>
                      <w:sz w:val="21"/>
                      <w:szCs w:val="21"/>
                      <w:highlight w:val="none"/>
                      <w:lang w:val="en-US" w:eastAsia="zh-CN"/>
                    </w:rPr>
                    <w:t>2</w:t>
                  </w:r>
                  <w:r>
                    <w:rPr>
                      <w:rFonts w:hint="default" w:cs="Times New Roman"/>
                      <w:b w:val="0"/>
                      <w:bCs w:val="0"/>
                      <w:color w:val="auto"/>
                      <w:kern w:val="0"/>
                      <w:sz w:val="21"/>
                      <w:szCs w:val="21"/>
                      <w:highlight w:val="none"/>
                      <w:lang w:val="en-US" w:eastAsia="zh-CN"/>
                    </w:rPr>
                    <w:t>天，每天监测3次</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监测2天，每天3次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自行监测计划</w:t>
                  </w:r>
                </w:p>
              </w:tc>
              <w:tc>
                <w:tcPr>
                  <w:tcW w:w="2118"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颗粒物</w:t>
                  </w:r>
                  <w:r>
                    <w:rPr>
                      <w:rFonts w:hint="eastAsia" w:cs="Times New Roman"/>
                      <w:b w:val="0"/>
                      <w:bCs w:val="0"/>
                      <w:color w:val="auto"/>
                      <w:kern w:val="0"/>
                      <w:sz w:val="21"/>
                      <w:szCs w:val="21"/>
                      <w:highlight w:val="none"/>
                      <w:lang w:val="en-US" w:eastAsia="zh-CN"/>
                    </w:rPr>
                    <w:t>、SO</w:t>
                  </w:r>
                  <w:r>
                    <w:rPr>
                      <w:rFonts w:hint="eastAsia" w:cs="Times New Roman"/>
                      <w:b w:val="0"/>
                      <w:bCs w:val="0"/>
                      <w:color w:val="auto"/>
                      <w:kern w:val="0"/>
                      <w:sz w:val="21"/>
                      <w:szCs w:val="21"/>
                      <w:highlight w:val="none"/>
                      <w:vertAlign w:val="subscript"/>
                      <w:lang w:val="en-US" w:eastAsia="zh-CN"/>
                    </w:rPr>
                    <w:t>2</w:t>
                  </w:r>
                  <w:r>
                    <w:rPr>
                      <w:rFonts w:hint="eastAsia" w:cs="Times New Roman"/>
                      <w:b w:val="0"/>
                      <w:bCs w:val="0"/>
                      <w:color w:val="auto"/>
                      <w:kern w:val="0"/>
                      <w:sz w:val="21"/>
                      <w:szCs w:val="21"/>
                      <w:highlight w:val="none"/>
                      <w:lang w:val="en-US" w:eastAsia="zh-CN"/>
                    </w:rPr>
                    <w:t>、NOx：自动监测</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烟气黑度（林格曼黑度）：每季度1次</w:t>
                  </w:r>
                </w:p>
              </w:tc>
              <w:tc>
                <w:tcPr>
                  <w:tcW w:w="14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每季度1次</w:t>
                  </w:r>
                </w:p>
              </w:tc>
            </w:tr>
          </w:tbl>
          <w:p>
            <w:pPr>
              <w:pStyle w:val="74"/>
              <w:pageBreakBefore w:val="0"/>
              <w:widowControl w:val="0"/>
              <w:numPr>
                <w:ilvl w:val="0"/>
                <w:numId w:val="0"/>
              </w:numPr>
              <w:kinsoku/>
              <w:wordWrap/>
              <w:overflowPunct/>
              <w:topLinePunct w:val="0"/>
              <w:autoSpaceDE/>
              <w:autoSpaceDN/>
              <w:bidi w:val="0"/>
              <w:adjustRightInd/>
              <w:snapToGrid/>
              <w:spacing w:before="0" w:beforeLines="0" w:after="0" w:afterLines="0"/>
              <w:ind w:leftChars="200"/>
              <w:textAlignment w:val="auto"/>
              <w:rPr>
                <w:rFonts w:hint="default" w:ascii="Times New Roman" w:hAnsi="Times New Roman" w:eastAsia="宋体" w:cs="Times New Roman"/>
                <w:b/>
                <w:bCs/>
                <w:color w:val="auto"/>
                <w:highlight w:val="none"/>
                <w:lang w:val="en-US" w:eastAsia="zh-CN"/>
              </w:rPr>
            </w:pPr>
            <w:r>
              <w:rPr>
                <w:rFonts w:hint="eastAsia" w:eastAsia="宋体" w:cs="Times New Roman"/>
                <w:b/>
                <w:bCs/>
                <w:color w:val="auto"/>
                <w:highlight w:val="none"/>
                <w:lang w:val="en-US" w:eastAsia="zh-CN"/>
              </w:rPr>
              <w:t>4、废气污染防治技术可行性分析</w:t>
            </w:r>
          </w:p>
          <w:p>
            <w:pPr>
              <w:spacing w:line="360" w:lineRule="auto"/>
              <w:ind w:firstLine="504" w:firstLineChars="200"/>
              <w:rPr>
                <w:rFonts w:hint="eastAsia" w:ascii="Times New Roman" w:hAnsi="宋体" w:eastAsia="宋体" w:cs="Times New Roman"/>
                <w:color w:val="auto"/>
                <w:spacing w:val="6"/>
                <w:sz w:val="24"/>
                <w:highlight w:val="none"/>
                <w:lang w:val="en-US" w:eastAsia="zh-CN"/>
              </w:rPr>
            </w:pPr>
            <w:r>
              <w:rPr>
                <w:rFonts w:hint="eastAsia" w:hAnsi="宋体" w:cs="Times New Roman"/>
                <w:color w:val="auto"/>
                <w:spacing w:val="6"/>
                <w:sz w:val="24"/>
                <w:highlight w:val="none"/>
                <w:lang w:val="en-US" w:eastAsia="zh-CN"/>
              </w:rPr>
              <w:t>根据《排污许可证申请与核发技术规范 锅炉》（HJ953-2018）等技术规范中“废气污染防治可行技术”，可知本项目采取的污染防治措施均为可行技术，具体对照分析如下表。</w:t>
            </w:r>
          </w:p>
          <w:p>
            <w:pPr>
              <w:pStyle w:val="4"/>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表4-</w:t>
            </w:r>
            <w:r>
              <w:rPr>
                <w:rFonts w:hint="eastAsia" w:cs="Times New Roman"/>
                <w:b/>
                <w:bCs/>
                <w:color w:val="auto"/>
                <w:sz w:val="21"/>
                <w:szCs w:val="21"/>
                <w:highlight w:val="none"/>
                <w:lang w:val="en-US" w:eastAsia="zh-CN"/>
              </w:rPr>
              <w:t>7</w:t>
            </w:r>
            <w:r>
              <w:rPr>
                <w:rFonts w:hint="eastAsia" w:ascii="Times New Roman" w:hAnsi="Times New Roman" w:eastAsia="宋体" w:cs="Times New Roman"/>
                <w:b/>
                <w:bCs/>
                <w:color w:val="auto"/>
                <w:sz w:val="21"/>
                <w:szCs w:val="21"/>
                <w:highlight w:val="none"/>
                <w:lang w:val="en-US" w:eastAsia="zh-CN"/>
              </w:rPr>
              <w:t>本项目拟建锅炉废气污染防治可行技术的符合性分析</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7"/>
              <w:gridCol w:w="998"/>
              <w:gridCol w:w="2779"/>
              <w:gridCol w:w="1325"/>
              <w:gridCol w:w="1394"/>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443"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类型</w:t>
                  </w:r>
                </w:p>
              </w:tc>
              <w:tc>
                <w:tcPr>
                  <w:tcW w:w="562" w:type="pct"/>
                  <w:tcBorders>
                    <w:tl2br w:val="nil"/>
                    <w:tr2bl w:val="nil"/>
                  </w:tcBorders>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污染物</w:t>
                  </w:r>
                </w:p>
              </w:tc>
              <w:tc>
                <w:tcPr>
                  <w:tcW w:w="1565"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《排污许可证申请与核发技术规范 锅炉》（HJ953-2018）中推荐</w:t>
                  </w:r>
                  <w:r>
                    <w:rPr>
                      <w:rFonts w:hint="default" w:ascii="Times New Roman" w:hAnsi="Times New Roman" w:eastAsia="宋体" w:cs="Times New Roman"/>
                      <w:b w:val="0"/>
                      <w:bCs/>
                      <w:color w:val="auto"/>
                      <w:kern w:val="1"/>
                      <w:szCs w:val="21"/>
                      <w:highlight w:val="none"/>
                      <w:lang w:val="en-US" w:eastAsia="zh-CN"/>
                    </w:rPr>
                    <w:t>的防治措施</w:t>
                  </w:r>
                </w:p>
              </w:tc>
              <w:tc>
                <w:tcPr>
                  <w:tcW w:w="746" w:type="pct"/>
                  <w:tcBorders>
                    <w:tl2br w:val="nil"/>
                    <w:tr2bl w:val="nil"/>
                  </w:tcBorders>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本项目采取的防治措施</w:t>
                  </w:r>
                </w:p>
              </w:tc>
              <w:tc>
                <w:tcPr>
                  <w:tcW w:w="785"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是否为技术规范可行措施</w:t>
                  </w:r>
                </w:p>
              </w:tc>
              <w:tc>
                <w:tcPr>
                  <w:tcW w:w="897"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采取措施后的排放情况（影响）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443"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锅炉烟气</w:t>
                  </w:r>
                </w:p>
              </w:tc>
              <w:tc>
                <w:tcPr>
                  <w:tcW w:w="562"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 w:val="21"/>
                      <w:szCs w:val="21"/>
                      <w:highlight w:val="none"/>
                      <w:lang w:val="en-US" w:eastAsia="zh-CN" w:bidi="ar-SA"/>
                    </w:rPr>
                  </w:pPr>
                  <w:r>
                    <w:rPr>
                      <w:rFonts w:hint="eastAsia" w:cs="Times New Roman"/>
                      <w:b w:val="0"/>
                      <w:bCs/>
                      <w:color w:val="auto"/>
                      <w:kern w:val="1"/>
                      <w:szCs w:val="21"/>
                      <w:highlight w:val="none"/>
                      <w:lang w:val="en-US" w:eastAsia="zh-CN"/>
                    </w:rPr>
                    <w:t>颗粒物</w:t>
                  </w:r>
                </w:p>
              </w:tc>
              <w:tc>
                <w:tcPr>
                  <w:tcW w:w="1565" w:type="pct"/>
                  <w:tcBorders>
                    <w:tl2br w:val="nil"/>
                    <w:tr2bl w:val="nil"/>
                  </w:tcBorders>
                  <w:noWrap w:val="0"/>
                  <w:vAlign w:val="center"/>
                </w:tcPr>
                <w:p>
                  <w:pPr>
                    <w:adjustRightInd w:val="0"/>
                    <w:snapToGrid w:val="0"/>
                    <w:jc w:val="center"/>
                    <w:rPr>
                      <w:rFonts w:hint="eastAsia" w:ascii="Times New Roman" w:hAnsi="Times New Roman" w:eastAsia="宋体" w:cs="Times New Roman"/>
                      <w:b w:val="0"/>
                      <w:bCs/>
                      <w:color w:val="auto"/>
                      <w:kern w:val="1"/>
                      <w:sz w:val="21"/>
                      <w:szCs w:val="21"/>
                      <w:highlight w:val="none"/>
                      <w:lang w:val="en-US" w:eastAsia="zh-CN" w:bidi="ar-SA"/>
                    </w:rPr>
                  </w:pPr>
                  <w:r>
                    <w:rPr>
                      <w:rFonts w:hint="default" w:ascii="Times New Roman" w:hAnsi="Times New Roman" w:eastAsia="宋体" w:cs="Times New Roman"/>
                      <w:b w:val="0"/>
                      <w:bCs/>
                      <w:color w:val="auto"/>
                      <w:kern w:val="1"/>
                      <w:szCs w:val="21"/>
                      <w:highlight w:val="none"/>
                      <w:lang w:val="en-US" w:eastAsia="zh-CN"/>
                    </w:rPr>
                    <w:t>旋风除尘+袋式除尘</w:t>
                  </w:r>
                  <w:r>
                    <w:rPr>
                      <w:rFonts w:hint="eastAsia" w:cs="Times New Roman"/>
                      <w:b w:val="0"/>
                      <w:bCs/>
                      <w:color w:val="auto"/>
                      <w:kern w:val="1"/>
                      <w:szCs w:val="21"/>
                      <w:highlight w:val="none"/>
                      <w:lang w:val="en-US" w:eastAsia="zh-CN"/>
                    </w:rPr>
                    <w:t>组合技术</w:t>
                  </w:r>
                </w:p>
              </w:tc>
              <w:tc>
                <w:tcPr>
                  <w:tcW w:w="746"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 w:val="21"/>
                      <w:szCs w:val="21"/>
                      <w:highlight w:val="none"/>
                      <w:lang w:val="en-US" w:eastAsia="zh-CN" w:bidi="ar-SA"/>
                    </w:rPr>
                  </w:pPr>
                  <w:r>
                    <w:rPr>
                      <w:rFonts w:hint="default" w:ascii="Times New Roman" w:hAnsi="Times New Roman" w:eastAsia="宋体" w:cs="Times New Roman"/>
                      <w:b w:val="0"/>
                      <w:bCs/>
                      <w:color w:val="auto"/>
                      <w:kern w:val="1"/>
                      <w:szCs w:val="21"/>
                      <w:highlight w:val="none"/>
                      <w:lang w:val="en-US" w:eastAsia="zh-CN"/>
                    </w:rPr>
                    <w:t>旋风除尘+袋式除尘</w:t>
                  </w:r>
                  <w:r>
                    <w:rPr>
                      <w:rFonts w:hint="eastAsia" w:cs="Times New Roman"/>
                      <w:b w:val="0"/>
                      <w:bCs/>
                      <w:color w:val="auto"/>
                      <w:kern w:val="1"/>
                      <w:szCs w:val="21"/>
                      <w:highlight w:val="none"/>
                      <w:lang w:val="en-US" w:eastAsia="zh-CN"/>
                    </w:rPr>
                    <w:t>组合技术</w:t>
                  </w:r>
                </w:p>
              </w:tc>
              <w:tc>
                <w:tcPr>
                  <w:tcW w:w="785" w:type="pct"/>
                  <w:tcBorders>
                    <w:tl2br w:val="nil"/>
                    <w:tr2bl w:val="nil"/>
                  </w:tcBorders>
                  <w:noWrap w:val="0"/>
                  <w:vAlign w:val="center"/>
                </w:tcPr>
                <w:p>
                  <w:pPr>
                    <w:adjustRightInd w:val="0"/>
                    <w:snapToGrid w:val="0"/>
                    <w:jc w:val="center"/>
                    <w:rPr>
                      <w:rFonts w:hint="eastAsia" w:ascii="Times New Roman" w:hAnsi="Times New Roman" w:eastAsia="宋体" w:cs="Times New Roman"/>
                      <w:b w:val="0"/>
                      <w:bCs/>
                      <w:color w:val="auto"/>
                      <w:kern w:val="1"/>
                      <w:sz w:val="21"/>
                      <w:szCs w:val="21"/>
                      <w:highlight w:val="none"/>
                      <w:lang w:val="en-US" w:eastAsia="zh-CN" w:bidi="ar-SA"/>
                    </w:rPr>
                  </w:pPr>
                  <w:r>
                    <w:rPr>
                      <w:rFonts w:hint="eastAsia" w:cs="Times New Roman"/>
                      <w:b w:val="0"/>
                      <w:bCs/>
                      <w:color w:val="auto"/>
                      <w:kern w:val="1"/>
                      <w:szCs w:val="21"/>
                      <w:highlight w:val="none"/>
                      <w:lang w:val="en-US" w:eastAsia="zh-CN"/>
                    </w:rPr>
                    <w:t>是</w:t>
                  </w:r>
                </w:p>
              </w:tc>
              <w:tc>
                <w:tcPr>
                  <w:tcW w:w="897" w:type="pct"/>
                  <w:tcBorders>
                    <w:tl2br w:val="nil"/>
                    <w:tr2bl w:val="nil"/>
                  </w:tcBorders>
                  <w:noWrap w:val="0"/>
                  <w:vAlign w:val="center"/>
                </w:tcPr>
                <w:p>
                  <w:pPr>
                    <w:adjustRightInd w:val="0"/>
                    <w:snapToGrid w:val="0"/>
                    <w:jc w:val="center"/>
                    <w:rPr>
                      <w:rFonts w:hint="eastAsia" w:ascii="Times New Roman" w:hAnsi="Times New Roman" w:eastAsia="宋体" w:cs="Times New Roman"/>
                      <w:b w:val="0"/>
                      <w:bCs/>
                      <w:color w:val="auto"/>
                      <w:kern w:val="1"/>
                      <w:sz w:val="21"/>
                      <w:szCs w:val="21"/>
                      <w:highlight w:val="none"/>
                      <w:lang w:val="en-US" w:eastAsia="zh-CN" w:bidi="ar-SA"/>
                    </w:rPr>
                  </w:pPr>
                  <w:r>
                    <w:rPr>
                      <w:rFonts w:hint="eastAsia" w:cs="Times New Roman"/>
                      <w:b w:val="0"/>
                      <w:bCs/>
                      <w:color w:val="auto"/>
                      <w:kern w:val="1"/>
                      <w:szCs w:val="21"/>
                      <w:highlight w:val="none"/>
                      <w:lang w:val="en-US" w:eastAsia="zh-CN"/>
                    </w:rPr>
                    <w:t>采取措施后锅炉烟气</w:t>
                  </w:r>
                  <w:r>
                    <w:rPr>
                      <w:rFonts w:hint="eastAsia" w:ascii="Times New Roman" w:hAnsi="Times New Roman" w:eastAsia="宋体" w:cs="Times New Roman"/>
                      <w:b w:val="0"/>
                      <w:bCs/>
                      <w:color w:val="auto"/>
                      <w:kern w:val="1"/>
                      <w:szCs w:val="21"/>
                      <w:highlight w:val="none"/>
                      <w:lang w:val="en-US" w:eastAsia="zh-CN"/>
                    </w:rPr>
                    <w:t>达标排放，对周围环境影响较小。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443"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粉尘</w:t>
                  </w:r>
                </w:p>
              </w:tc>
              <w:tc>
                <w:tcPr>
                  <w:tcW w:w="562"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粉尘</w:t>
                  </w:r>
                </w:p>
              </w:tc>
              <w:tc>
                <w:tcPr>
                  <w:tcW w:w="1565"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灰场、渣场应及时覆盖并定期洒水。设有灰仓的应采用密闭措施，卸灰管道出口应有防尘措施。设有渣库的应采用挡尘卷帘、围挡等形式的防尘措施。</w:t>
                  </w:r>
                </w:p>
              </w:tc>
              <w:tc>
                <w:tcPr>
                  <w:tcW w:w="746" w:type="pct"/>
                  <w:tcBorders>
                    <w:tl2br w:val="nil"/>
                    <w:tr2bl w:val="nil"/>
                  </w:tcBorders>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料场、堆渣间采取</w:t>
                  </w:r>
                  <w:r>
                    <w:rPr>
                      <w:rFonts w:hint="eastAsia" w:ascii="Times New Roman" w:hAnsi="Times New Roman" w:eastAsia="宋体" w:cs="Times New Roman"/>
                      <w:b w:val="0"/>
                      <w:bCs/>
                      <w:color w:val="auto"/>
                      <w:kern w:val="1"/>
                      <w:szCs w:val="21"/>
                      <w:highlight w:val="none"/>
                      <w:lang w:val="en-US" w:eastAsia="zh-CN"/>
                    </w:rPr>
                    <w:t>堆场三面围挡结构，加装顶棚等措施</w:t>
                  </w:r>
                </w:p>
              </w:tc>
              <w:tc>
                <w:tcPr>
                  <w:tcW w:w="785"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是</w:t>
                  </w:r>
                </w:p>
              </w:tc>
              <w:tc>
                <w:tcPr>
                  <w:tcW w:w="897" w:type="pct"/>
                  <w:tcBorders>
                    <w:tl2br w:val="nil"/>
                    <w:tr2bl w:val="nil"/>
                  </w:tcBorders>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采取措施后无组织粉尘</w:t>
                  </w:r>
                  <w:r>
                    <w:rPr>
                      <w:rFonts w:hint="eastAsia" w:ascii="Times New Roman" w:hAnsi="Times New Roman" w:eastAsia="宋体" w:cs="Times New Roman"/>
                      <w:b w:val="0"/>
                      <w:bCs/>
                      <w:color w:val="auto"/>
                      <w:kern w:val="1"/>
                      <w:szCs w:val="21"/>
                      <w:highlight w:val="none"/>
                      <w:lang w:val="en-US" w:eastAsia="zh-CN"/>
                    </w:rPr>
                    <w:t>达标排放，对周围环境影响较小。</w:t>
                  </w:r>
                </w:p>
              </w:tc>
            </w:tr>
          </w:tbl>
          <w:p>
            <w:pPr>
              <w:pStyle w:val="74"/>
              <w:pageBreakBefore w:val="0"/>
              <w:widowControl w:val="0"/>
              <w:numPr>
                <w:ilvl w:val="0"/>
                <w:numId w:val="0"/>
              </w:numPr>
              <w:kinsoku/>
              <w:wordWrap/>
              <w:overflowPunct/>
              <w:topLinePunct w:val="0"/>
              <w:autoSpaceDE/>
              <w:autoSpaceDN/>
              <w:bidi w:val="0"/>
              <w:adjustRightInd/>
              <w:snapToGrid/>
              <w:spacing w:before="0" w:beforeLines="0" w:after="0" w:afterLines="0"/>
              <w:ind w:leftChars="200"/>
              <w:textAlignment w:val="auto"/>
              <w:rPr>
                <w:rFonts w:hint="default" w:eastAsia="宋体" w:cs="Times New Roman"/>
                <w:b/>
                <w:bCs/>
                <w:color w:val="auto"/>
                <w:highlight w:val="none"/>
                <w:lang w:val="en-US" w:eastAsia="zh-CN"/>
              </w:rPr>
            </w:pPr>
            <w:r>
              <w:rPr>
                <w:rFonts w:hint="eastAsia" w:eastAsia="宋体" w:cs="Times New Roman"/>
                <w:b/>
                <w:bCs/>
                <w:color w:val="auto"/>
                <w:highlight w:val="none"/>
                <w:lang w:val="en-US" w:eastAsia="zh-CN"/>
              </w:rPr>
              <w:t>5、大气环境影响分析结论</w:t>
            </w:r>
          </w:p>
          <w:p>
            <w:pPr>
              <w:keepNext w:val="0"/>
              <w:keepLines w:val="0"/>
              <w:pageBreakBefore w:val="0"/>
              <w:widowControl w:val="0"/>
              <w:kinsoku/>
              <w:wordWrap/>
              <w:overflowPunct/>
              <w:topLinePunct w:val="0"/>
              <w:autoSpaceDE/>
              <w:autoSpaceDN/>
              <w:bidi w:val="0"/>
              <w:adjustRightInd/>
              <w:snapToGrid/>
              <w:spacing w:line="360" w:lineRule="auto"/>
              <w:ind w:firstLine="504" w:firstLineChars="200"/>
              <w:textAlignment w:val="auto"/>
              <w:rPr>
                <w:rFonts w:hint="default" w:hAnsi="宋体" w:cs="Times New Roman"/>
                <w:color w:val="auto"/>
                <w:spacing w:val="6"/>
                <w:sz w:val="24"/>
                <w:highlight w:val="none"/>
                <w:lang w:val="en-US" w:eastAsia="zh-CN"/>
              </w:rPr>
            </w:pPr>
            <w:r>
              <w:rPr>
                <w:rFonts w:hint="eastAsia" w:hAnsi="宋体" w:cs="Times New Roman"/>
                <w:color w:val="auto"/>
                <w:spacing w:val="6"/>
                <w:sz w:val="24"/>
                <w:highlight w:val="none"/>
                <w:lang w:val="en-US" w:eastAsia="zh-CN"/>
              </w:rPr>
              <w:t>根据昆明市生态环境局发布的《2022年度昆明市生态环境状况公报》及引用现状监测情况，判定本项目所在区域属于环境空气质量达标区。</w:t>
            </w:r>
          </w:p>
          <w:p>
            <w:pPr>
              <w:keepNext w:val="0"/>
              <w:keepLines w:val="0"/>
              <w:pageBreakBefore w:val="0"/>
              <w:widowControl w:val="0"/>
              <w:kinsoku/>
              <w:wordWrap/>
              <w:overflowPunct/>
              <w:topLinePunct w:val="0"/>
              <w:autoSpaceDE/>
              <w:autoSpaceDN/>
              <w:bidi w:val="0"/>
              <w:adjustRightInd/>
              <w:snapToGrid/>
              <w:spacing w:line="360" w:lineRule="auto"/>
              <w:ind w:firstLine="504" w:firstLineChars="200"/>
              <w:textAlignment w:val="auto"/>
              <w:rPr>
                <w:rFonts w:hint="eastAsia" w:ascii="Times New Roman" w:hAnsi="宋体" w:eastAsia="宋体" w:cs="Times New Roman"/>
                <w:color w:val="auto"/>
                <w:spacing w:val="6"/>
                <w:sz w:val="24"/>
                <w:highlight w:val="none"/>
                <w:lang w:val="en-US" w:eastAsia="zh-CN"/>
              </w:rPr>
            </w:pPr>
            <w:r>
              <w:rPr>
                <w:rFonts w:hint="eastAsia" w:ascii="Times New Roman" w:hAnsi="宋体" w:eastAsia="宋体" w:cs="Times New Roman"/>
                <w:color w:val="auto"/>
                <w:spacing w:val="6"/>
                <w:sz w:val="24"/>
                <w:highlight w:val="none"/>
                <w:lang w:val="en-US" w:eastAsia="zh-CN"/>
              </w:rPr>
              <w:t>项目生物质锅炉</w:t>
            </w:r>
            <w:r>
              <w:rPr>
                <w:rFonts w:hint="eastAsia" w:hAnsi="宋体" w:cs="Times New Roman"/>
                <w:color w:val="auto"/>
                <w:spacing w:val="6"/>
                <w:sz w:val="24"/>
                <w:highlight w:val="none"/>
                <w:lang w:val="en-US" w:eastAsia="zh-CN"/>
              </w:rPr>
              <w:t>烟</w:t>
            </w:r>
            <w:r>
              <w:rPr>
                <w:rFonts w:hint="eastAsia" w:ascii="Times New Roman" w:hAnsi="宋体" w:eastAsia="宋体" w:cs="Times New Roman"/>
                <w:color w:val="auto"/>
                <w:spacing w:val="6"/>
                <w:sz w:val="24"/>
                <w:highlight w:val="none"/>
                <w:lang w:val="en-US" w:eastAsia="zh-CN"/>
              </w:rPr>
              <w:t>气经“多管旋风除尘器+布袋除尘器”两级除尘设施处理后</w:t>
            </w:r>
            <w:r>
              <w:rPr>
                <w:rFonts w:hint="eastAsia" w:hAnsi="宋体" w:cs="Times New Roman"/>
                <w:color w:val="auto"/>
                <w:spacing w:val="6"/>
                <w:sz w:val="24"/>
                <w:highlight w:val="none"/>
                <w:lang w:val="en-US" w:eastAsia="zh-CN"/>
              </w:rPr>
              <w:t>经</w:t>
            </w:r>
            <w:r>
              <w:rPr>
                <w:rFonts w:hint="eastAsia" w:ascii="Times New Roman" w:hAnsi="宋体" w:eastAsia="宋体" w:cs="Times New Roman"/>
                <w:color w:val="auto"/>
                <w:spacing w:val="6"/>
                <w:sz w:val="24"/>
                <w:highlight w:val="none"/>
                <w:lang w:val="en-US" w:eastAsia="zh-CN"/>
              </w:rPr>
              <w:t>排气筒排放</w:t>
            </w:r>
            <w:r>
              <w:rPr>
                <w:rFonts w:hint="eastAsia" w:hAnsi="宋体" w:cs="Times New Roman"/>
                <w:color w:val="auto"/>
                <w:spacing w:val="6"/>
                <w:sz w:val="24"/>
                <w:highlight w:val="none"/>
                <w:lang w:val="en-US" w:eastAsia="zh-CN"/>
              </w:rPr>
              <w:t>。</w:t>
            </w:r>
            <w:r>
              <w:rPr>
                <w:rFonts w:hint="eastAsia" w:ascii="Times New Roman" w:hAnsi="宋体" w:eastAsia="宋体" w:cs="Times New Roman"/>
                <w:color w:val="auto"/>
                <w:spacing w:val="6"/>
                <w:sz w:val="24"/>
                <w:highlight w:val="none"/>
                <w:lang w:val="en-US" w:eastAsia="zh-CN"/>
              </w:rPr>
              <w:t>项目运营期</w:t>
            </w:r>
            <w:r>
              <w:rPr>
                <w:rFonts w:hint="eastAsia" w:hAnsi="宋体" w:cs="Times New Roman"/>
                <w:color w:val="auto"/>
                <w:spacing w:val="6"/>
                <w:sz w:val="24"/>
                <w:highlight w:val="none"/>
                <w:lang w:val="en-US" w:eastAsia="zh-CN"/>
              </w:rPr>
              <w:t>正常工况下，</w:t>
            </w:r>
            <w:r>
              <w:rPr>
                <w:rFonts w:hint="eastAsia" w:ascii="Times New Roman" w:hAnsi="宋体" w:eastAsia="宋体" w:cs="Times New Roman"/>
                <w:color w:val="auto"/>
                <w:spacing w:val="6"/>
                <w:sz w:val="24"/>
                <w:highlight w:val="none"/>
                <w:lang w:val="en-US" w:eastAsia="zh-CN"/>
              </w:rPr>
              <w:t>各污染物的排放浓度均满足《锅炉大气污染物排放标准》（GB13271-2014）表2新建锅炉大气污染物排放浓度限值</w:t>
            </w:r>
            <w:r>
              <w:rPr>
                <w:rFonts w:hint="eastAsia" w:hAnsi="宋体" w:cs="Times New Roman"/>
                <w:color w:val="auto"/>
                <w:spacing w:val="6"/>
                <w:sz w:val="24"/>
                <w:highlight w:val="none"/>
                <w:lang w:val="en-US" w:eastAsia="zh-CN"/>
              </w:rPr>
              <w:t>：</w:t>
            </w:r>
            <w:r>
              <w:rPr>
                <w:rFonts w:hint="eastAsia" w:ascii="Times New Roman" w:hAnsi="宋体" w:eastAsia="宋体" w:cs="Times New Roman"/>
                <w:color w:val="auto"/>
                <w:spacing w:val="6"/>
                <w:sz w:val="24"/>
                <w:highlight w:val="none"/>
                <w:lang w:val="en-US" w:eastAsia="zh-CN"/>
              </w:rPr>
              <w:t>颗粒物≤50mg/m</w:t>
            </w:r>
            <w:r>
              <w:rPr>
                <w:rFonts w:hint="default" w:ascii="Times New Roman" w:hAnsi="Times New Roman" w:eastAsia="宋体" w:cs="Times New Roman"/>
                <w:color w:val="auto"/>
                <w:spacing w:val="6"/>
                <w:sz w:val="24"/>
                <w:highlight w:val="none"/>
                <w:lang w:val="en-US" w:eastAsia="zh-CN"/>
              </w:rPr>
              <w:t>³</w:t>
            </w:r>
            <w:r>
              <w:rPr>
                <w:rFonts w:hint="eastAsia" w:ascii="Times New Roman" w:hAnsi="宋体" w:eastAsia="宋体" w:cs="Times New Roman"/>
                <w:color w:val="auto"/>
                <w:spacing w:val="6"/>
                <w:sz w:val="24"/>
                <w:highlight w:val="none"/>
                <w:lang w:val="en-US" w:eastAsia="zh-CN"/>
              </w:rPr>
              <w:t>、二氧化硫≤300mg/m</w:t>
            </w:r>
            <w:r>
              <w:rPr>
                <w:rFonts w:hint="default" w:ascii="Times New Roman" w:hAnsi="Times New Roman" w:eastAsia="宋体" w:cs="Times New Roman"/>
                <w:color w:val="auto"/>
                <w:spacing w:val="6"/>
                <w:sz w:val="24"/>
                <w:highlight w:val="none"/>
                <w:lang w:val="en-US" w:eastAsia="zh-CN"/>
              </w:rPr>
              <w:t>³</w:t>
            </w:r>
            <w:r>
              <w:rPr>
                <w:rFonts w:hint="eastAsia" w:ascii="Times New Roman" w:hAnsi="宋体" w:eastAsia="宋体" w:cs="Times New Roman"/>
                <w:color w:val="auto"/>
                <w:spacing w:val="6"/>
                <w:sz w:val="24"/>
                <w:highlight w:val="none"/>
                <w:lang w:val="en-US" w:eastAsia="zh-CN"/>
              </w:rPr>
              <w:t>、氮氧化物≤300mg/m</w:t>
            </w:r>
            <w:r>
              <w:rPr>
                <w:rFonts w:hint="default" w:ascii="Times New Roman" w:hAnsi="Times New Roman" w:eastAsia="宋体" w:cs="Times New Roman"/>
                <w:color w:val="auto"/>
                <w:spacing w:val="6"/>
                <w:sz w:val="24"/>
                <w:highlight w:val="none"/>
                <w:lang w:val="en-US" w:eastAsia="zh-CN"/>
              </w:rPr>
              <w:t>³，对周围环境影响较小</w:t>
            </w:r>
            <w:r>
              <w:rPr>
                <w:rFonts w:hint="eastAsia" w:ascii="Times New Roman" w:hAnsi="宋体" w:eastAsia="宋体" w:cs="Times New Roman"/>
                <w:color w:val="auto"/>
                <w:spacing w:val="6"/>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04" w:firstLineChars="200"/>
              <w:textAlignment w:val="auto"/>
              <w:rPr>
                <w:rFonts w:hint="eastAsia" w:ascii="Times New Roman" w:hAnsi="宋体" w:eastAsia="宋体" w:cs="Times New Roman"/>
                <w:color w:val="auto"/>
                <w:spacing w:val="6"/>
                <w:sz w:val="24"/>
                <w:highlight w:val="none"/>
                <w:lang w:val="en-US" w:eastAsia="zh-CN"/>
              </w:rPr>
            </w:pPr>
            <w:r>
              <w:rPr>
                <w:rFonts w:hint="eastAsia" w:ascii="Times New Roman" w:hAnsi="宋体" w:eastAsia="宋体" w:cs="Times New Roman"/>
                <w:color w:val="auto"/>
                <w:spacing w:val="6"/>
                <w:sz w:val="24"/>
                <w:highlight w:val="none"/>
                <w:lang w:val="en-US" w:eastAsia="zh-CN"/>
              </w:rPr>
              <w:t>非正常排放情况下，除尘效率降为</w:t>
            </w:r>
            <w:r>
              <w:rPr>
                <w:rFonts w:hint="eastAsia" w:hAnsi="宋体" w:cs="Times New Roman"/>
                <w:color w:val="auto"/>
                <w:spacing w:val="6"/>
                <w:sz w:val="24"/>
                <w:highlight w:val="none"/>
                <w:lang w:val="en-US" w:eastAsia="zh-CN"/>
              </w:rPr>
              <w:t>99</w:t>
            </w:r>
            <w:r>
              <w:rPr>
                <w:rFonts w:hint="eastAsia" w:ascii="Times New Roman" w:hAnsi="宋体" w:eastAsia="宋体" w:cs="Times New Roman"/>
                <w:color w:val="auto"/>
                <w:spacing w:val="6"/>
                <w:sz w:val="24"/>
                <w:highlight w:val="none"/>
                <w:lang w:val="en-US" w:eastAsia="zh-CN"/>
              </w:rPr>
              <w:t>%，颗粒物排放浓度超过《锅炉大气污染物排放标准》(GB13271-2014)燃煤锅炉标准。非正常排放对区域环境会产生一定影响，建设单位日常运行期间对除尘器进行维护和管理，杜绝非正常排放。若发生非正常排放，采取立即停</w:t>
            </w:r>
            <w:r>
              <w:rPr>
                <w:rFonts w:hint="eastAsia" w:hAnsi="宋体" w:cs="Times New Roman"/>
                <w:color w:val="auto"/>
                <w:spacing w:val="6"/>
                <w:sz w:val="24"/>
                <w:highlight w:val="none"/>
                <w:lang w:val="en-US" w:eastAsia="zh-CN"/>
              </w:rPr>
              <w:t>炉</w:t>
            </w:r>
            <w:r>
              <w:rPr>
                <w:rFonts w:hint="eastAsia" w:ascii="Times New Roman" w:hAnsi="宋体" w:eastAsia="宋体" w:cs="Times New Roman"/>
                <w:color w:val="auto"/>
                <w:spacing w:val="6"/>
                <w:sz w:val="24"/>
                <w:highlight w:val="none"/>
                <w:lang w:val="en-US" w:eastAsia="zh-CN"/>
              </w:rPr>
              <w:t>检修方式处理，可避免废气污染对厂内员工</w:t>
            </w:r>
            <w:r>
              <w:rPr>
                <w:rFonts w:hint="eastAsia" w:hAnsi="宋体" w:cs="Times New Roman"/>
                <w:color w:val="auto"/>
                <w:spacing w:val="6"/>
                <w:sz w:val="24"/>
                <w:highlight w:val="none"/>
                <w:lang w:val="en-US" w:eastAsia="zh-CN"/>
              </w:rPr>
              <w:t>和</w:t>
            </w:r>
            <w:r>
              <w:rPr>
                <w:rFonts w:hint="eastAsia" w:ascii="Times New Roman" w:hAnsi="宋体" w:eastAsia="宋体" w:cs="Times New Roman"/>
                <w:color w:val="auto"/>
                <w:spacing w:val="6"/>
                <w:sz w:val="24"/>
                <w:highlight w:val="none"/>
                <w:lang w:val="en-US" w:eastAsia="zh-CN"/>
              </w:rPr>
              <w:t>大气环境造成较大影响的情况。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宋体" w:eastAsia="宋体" w:cs="Times New Roman"/>
                <w:color w:val="auto"/>
                <w:spacing w:val="6"/>
                <w:sz w:val="24"/>
                <w:highlight w:val="none"/>
                <w:lang w:val="en-US" w:eastAsia="zh-CN"/>
              </w:rPr>
            </w:pPr>
            <w:r>
              <w:rPr>
                <w:rFonts w:hint="eastAsia" w:cs="Times New Roman"/>
                <w:b w:val="0"/>
                <w:bCs/>
                <w:color w:val="auto"/>
                <w:sz w:val="24"/>
                <w:szCs w:val="24"/>
                <w:highlight w:val="none"/>
                <w:lang w:val="en-US" w:eastAsia="zh-CN"/>
              </w:rPr>
              <w:t>项目运营期无组织粉尘主要来自生物质燃料装卸及储存产生的少量粉尘，生物质燃烧后产生的灰渣装卸运输过程产生的少量粉尘。项目生物质原料堆场、灰渣堆场地面进行硬化处理，采用三面围挡+顶棚遮盖，且生物质燃料、灰渣主要以袋装的方式堆放在场内，抑尘效率可达90%以上。</w:t>
            </w:r>
            <w:r>
              <w:rPr>
                <w:rFonts w:hint="eastAsia" w:ascii="Times New Roman" w:hAnsi="宋体" w:eastAsia="宋体" w:cs="Times New Roman"/>
                <w:color w:val="auto"/>
                <w:spacing w:val="6"/>
                <w:sz w:val="24"/>
                <w:highlight w:val="none"/>
                <w:lang w:val="en-US" w:eastAsia="zh-CN"/>
              </w:rPr>
              <w:t>采取</w:t>
            </w:r>
            <w:r>
              <w:rPr>
                <w:rFonts w:hint="eastAsia" w:hAnsi="宋体" w:cs="Times New Roman"/>
                <w:color w:val="auto"/>
                <w:spacing w:val="6"/>
                <w:sz w:val="24"/>
                <w:highlight w:val="none"/>
                <w:lang w:val="en-US" w:eastAsia="zh-CN"/>
              </w:rPr>
              <w:t>以上防治</w:t>
            </w:r>
            <w:r>
              <w:rPr>
                <w:rFonts w:hint="eastAsia" w:ascii="Times New Roman" w:hAnsi="宋体" w:eastAsia="宋体" w:cs="Times New Roman"/>
                <w:color w:val="auto"/>
                <w:spacing w:val="6"/>
                <w:sz w:val="24"/>
                <w:highlight w:val="none"/>
                <w:lang w:val="en-US" w:eastAsia="zh-CN"/>
              </w:rPr>
              <w:t>措施</w:t>
            </w:r>
            <w:r>
              <w:rPr>
                <w:rFonts w:hint="eastAsia" w:hAnsi="宋体" w:cs="Times New Roman"/>
                <w:color w:val="auto"/>
                <w:spacing w:val="6"/>
                <w:sz w:val="24"/>
                <w:highlight w:val="none"/>
                <w:lang w:val="en-US" w:eastAsia="zh-CN"/>
              </w:rPr>
              <w:t>后</w:t>
            </w:r>
            <w:r>
              <w:rPr>
                <w:rFonts w:hint="eastAsia" w:ascii="Times New Roman" w:hAnsi="宋体" w:eastAsia="宋体" w:cs="Times New Roman"/>
                <w:color w:val="auto"/>
                <w:spacing w:val="6"/>
                <w:sz w:val="24"/>
                <w:highlight w:val="none"/>
                <w:lang w:val="en-US" w:eastAsia="zh-CN"/>
              </w:rPr>
              <w:t>，项目无组织排放的废气对周边大气环境影响较小。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综上所述，在采取适当的废气治理措施后，项目废气均能达标排放，对周边区域环境空气的影响在可接受范围内。</w:t>
            </w:r>
          </w:p>
          <w:p>
            <w:pPr>
              <w:pStyle w:val="74"/>
              <w:pageBreakBefore w:val="0"/>
              <w:widowControl w:val="0"/>
              <w:numPr>
                <w:ilvl w:val="0"/>
                <w:numId w:val="0"/>
              </w:numPr>
              <w:kinsoku/>
              <w:wordWrap/>
              <w:overflowPunct/>
              <w:topLinePunct w:val="0"/>
              <w:autoSpaceDE/>
              <w:autoSpaceDN/>
              <w:bidi w:val="0"/>
              <w:adjustRightInd/>
              <w:snapToGrid/>
              <w:spacing w:before="0" w:beforeLines="0" w:after="0" w:afterLines="0"/>
              <w:ind w:leftChars="200"/>
              <w:textAlignment w:val="auto"/>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二、运营期水环境影响</w:t>
            </w:r>
            <w:r>
              <w:rPr>
                <w:rFonts w:hint="eastAsia" w:eastAsia="宋体" w:cs="Times New Roman"/>
                <w:b/>
                <w:bCs/>
                <w:color w:val="auto"/>
                <w:highlight w:val="none"/>
                <w:lang w:val="en-US" w:eastAsia="zh-CN"/>
              </w:rPr>
              <w:t>分析</w:t>
            </w:r>
          </w:p>
          <w:p>
            <w:pPr>
              <w:autoSpaceDE w:val="0"/>
              <w:autoSpaceDN w:val="0"/>
              <w:adjustRightInd w:val="0"/>
              <w:spacing w:line="360" w:lineRule="auto"/>
              <w:ind w:firstLine="472" w:firstLineChars="197"/>
              <w:rPr>
                <w:rFonts w:hint="eastAsia" w:ascii="Times New Roman" w:hAnsi="宋体" w:eastAsia="宋体" w:cs="Times New Roman"/>
                <w:color w:val="auto"/>
                <w:sz w:val="24"/>
                <w:highlight w:val="none"/>
                <w:lang w:val="en-US" w:eastAsia="zh-CN"/>
              </w:rPr>
            </w:pPr>
            <w:r>
              <w:rPr>
                <w:rFonts w:hint="eastAsia" w:ascii="Times New Roman" w:hAnsi="宋体" w:eastAsia="宋体" w:cs="Times New Roman"/>
                <w:color w:val="auto"/>
                <w:sz w:val="24"/>
                <w:highlight w:val="none"/>
                <w:lang w:val="en-US" w:eastAsia="zh-CN"/>
              </w:rPr>
              <w:t>项目运营期产生的废水主要为锅炉排污水+软化处理废水，员工生活污水。</w:t>
            </w:r>
          </w:p>
          <w:p>
            <w:pPr>
              <w:pStyle w:val="74"/>
              <w:pageBreakBefore w:val="0"/>
              <w:widowControl w:val="0"/>
              <w:numPr>
                <w:ilvl w:val="0"/>
                <w:numId w:val="0"/>
              </w:numPr>
              <w:kinsoku/>
              <w:wordWrap/>
              <w:overflowPunct/>
              <w:topLinePunct w:val="0"/>
              <w:autoSpaceDE/>
              <w:autoSpaceDN/>
              <w:bidi w:val="0"/>
              <w:adjustRightInd/>
              <w:snapToGrid/>
              <w:spacing w:before="0" w:beforeLines="0" w:after="0" w:afterLines="0"/>
              <w:ind w:leftChars="200"/>
              <w:textAlignment w:val="auto"/>
              <w:rPr>
                <w:rFonts w:hint="default" w:ascii="Times New Roman" w:hAnsi="Times New Roman" w:eastAsia="宋体" w:cs="Times New Roman"/>
                <w:b/>
                <w:bCs/>
                <w:color w:val="auto"/>
                <w:highlight w:val="none"/>
                <w:lang w:val="en-US" w:eastAsia="zh-CN"/>
              </w:rPr>
            </w:pPr>
            <w:r>
              <w:rPr>
                <w:rFonts w:hint="eastAsia" w:eastAsia="宋体" w:cs="Times New Roman"/>
                <w:b/>
                <w:bCs/>
                <w:color w:val="auto"/>
                <w:highlight w:val="none"/>
                <w:lang w:val="en-US" w:eastAsia="zh-CN"/>
              </w:rPr>
              <w:t>1、</w:t>
            </w:r>
            <w:r>
              <w:rPr>
                <w:rFonts w:hint="eastAsia" w:ascii="Times New Roman" w:hAnsi="Times New Roman" w:eastAsia="宋体" w:cs="Times New Roman"/>
                <w:b/>
                <w:bCs/>
                <w:color w:val="auto"/>
                <w:highlight w:val="none"/>
                <w:lang w:val="en-US" w:eastAsia="zh-CN"/>
              </w:rPr>
              <w:t>废水</w:t>
            </w:r>
            <w:r>
              <w:rPr>
                <w:rFonts w:hint="eastAsia" w:eastAsia="宋体" w:cs="Times New Roman"/>
                <w:b/>
                <w:bCs/>
                <w:color w:val="auto"/>
                <w:highlight w:val="none"/>
                <w:lang w:val="en-US" w:eastAsia="zh-CN"/>
              </w:rPr>
              <w:t>污染物源强核算</w:t>
            </w:r>
          </w:p>
          <w:p>
            <w:pPr>
              <w:autoSpaceDE w:val="0"/>
              <w:autoSpaceDN w:val="0"/>
              <w:adjustRightInd w:val="0"/>
              <w:spacing w:line="360" w:lineRule="auto"/>
              <w:ind w:firstLine="474" w:firstLineChars="197"/>
              <w:rPr>
                <w:rFonts w:hint="default" w:ascii="Times New Roman" w:hAnsi="宋体" w:eastAsia="宋体" w:cs="Times New Roman"/>
                <w:b/>
                <w:bCs/>
                <w:color w:val="auto"/>
                <w:sz w:val="24"/>
                <w:highlight w:val="none"/>
                <w:lang w:val="en-US" w:eastAsia="zh-CN"/>
              </w:rPr>
            </w:pPr>
            <w:r>
              <w:rPr>
                <w:rFonts w:hint="eastAsia" w:hAnsi="宋体" w:cs="Times New Roman"/>
                <w:b/>
                <w:bCs/>
                <w:color w:val="auto"/>
                <w:sz w:val="24"/>
                <w:highlight w:val="none"/>
                <w:lang w:val="en-US" w:eastAsia="zh-CN"/>
              </w:rPr>
              <w:t>（1）锅炉排污水+软化处理废水</w:t>
            </w:r>
          </w:p>
          <w:p>
            <w:pPr>
              <w:autoSpaceDE w:val="0"/>
              <w:autoSpaceDN w:val="0"/>
              <w:adjustRightInd w:val="0"/>
              <w:spacing w:line="360" w:lineRule="auto"/>
              <w:ind w:firstLine="472" w:firstLineChars="197"/>
              <w:rPr>
                <w:rFonts w:hint="eastAsia" w:ascii="Times New Roman" w:hAnsi="宋体" w:eastAsia="宋体" w:cs="Times New Roman"/>
                <w:color w:val="auto"/>
                <w:sz w:val="24"/>
                <w:highlight w:val="none"/>
                <w:lang w:val="en-US" w:eastAsia="zh-CN"/>
              </w:rPr>
            </w:pPr>
            <w:r>
              <w:rPr>
                <w:rFonts w:hint="eastAsia" w:ascii="Times New Roman" w:hAnsi="宋体" w:eastAsia="宋体" w:cs="Times New Roman"/>
                <w:color w:val="auto"/>
                <w:sz w:val="24"/>
                <w:highlight w:val="none"/>
                <w:lang w:val="en-US" w:eastAsia="zh-CN"/>
              </w:rPr>
              <w:t>项目生物质锅炉采用</w:t>
            </w:r>
            <w:r>
              <w:rPr>
                <w:rFonts w:hint="eastAsia" w:hAnsi="宋体" w:cs="Times New Roman"/>
                <w:color w:val="auto"/>
                <w:sz w:val="24"/>
                <w:highlight w:val="none"/>
                <w:lang w:val="en-US" w:eastAsia="zh-CN"/>
              </w:rPr>
              <w:t>离子交换树脂设备</w:t>
            </w:r>
            <w:r>
              <w:rPr>
                <w:rFonts w:hint="eastAsia" w:ascii="Times New Roman" w:hAnsi="宋体" w:eastAsia="宋体" w:cs="Times New Roman"/>
                <w:color w:val="auto"/>
                <w:sz w:val="24"/>
                <w:highlight w:val="none"/>
                <w:lang w:val="en-US" w:eastAsia="zh-CN"/>
              </w:rPr>
              <w:t>制</w:t>
            </w:r>
            <w:r>
              <w:rPr>
                <w:rFonts w:hint="eastAsia" w:hAnsi="宋体" w:cs="Times New Roman"/>
                <w:color w:val="auto"/>
                <w:sz w:val="24"/>
                <w:highlight w:val="none"/>
                <w:lang w:val="en-US" w:eastAsia="zh-CN"/>
              </w:rPr>
              <w:t>软</w:t>
            </w:r>
            <w:r>
              <w:rPr>
                <w:rFonts w:hint="eastAsia" w:ascii="Times New Roman" w:hAnsi="宋体" w:eastAsia="宋体" w:cs="Times New Roman"/>
                <w:color w:val="auto"/>
                <w:sz w:val="24"/>
                <w:highlight w:val="none"/>
                <w:lang w:val="en-US" w:eastAsia="zh-CN"/>
              </w:rPr>
              <w:t>水，炉内软水经加热成蒸汽经管道送至企业使用。为了控制锅水品质，必须进行锅炉排污，以排出部分被盐质和水渣污染的锅水，因此会产生一定量的锅炉排污水</w:t>
            </w:r>
            <w:r>
              <w:rPr>
                <w:rFonts w:hint="eastAsia" w:hAnsi="宋体" w:cs="Times New Roman"/>
                <w:color w:val="auto"/>
                <w:sz w:val="24"/>
                <w:highlight w:val="none"/>
                <w:lang w:val="en-US" w:eastAsia="zh-CN"/>
              </w:rPr>
              <w:t>，</w:t>
            </w:r>
            <w:r>
              <w:rPr>
                <w:rFonts w:hint="eastAsia" w:ascii="Times New Roman" w:hAnsi="宋体" w:eastAsia="宋体" w:cs="Times New Roman"/>
                <w:color w:val="auto"/>
                <w:sz w:val="24"/>
                <w:highlight w:val="none"/>
                <w:lang w:val="en-US" w:eastAsia="zh-CN"/>
              </w:rPr>
              <w:t>锅炉排污水主要污染物为pH、COD。</w:t>
            </w:r>
          </w:p>
          <w:p>
            <w:pPr>
              <w:autoSpaceDE w:val="0"/>
              <w:autoSpaceDN w:val="0"/>
              <w:adjustRightInd w:val="0"/>
              <w:spacing w:line="360" w:lineRule="auto"/>
              <w:ind w:firstLine="472" w:firstLineChars="197"/>
              <w:rPr>
                <w:rFonts w:hint="eastAsia"/>
                <w:color w:val="auto"/>
                <w:sz w:val="24"/>
                <w:highlight w:val="none"/>
                <w:lang w:val="en-US" w:eastAsia="zh-CN"/>
              </w:rPr>
            </w:pPr>
            <w:r>
              <w:rPr>
                <w:rFonts w:hint="eastAsia" w:ascii="Times New Roman" w:hAnsi="宋体" w:eastAsia="宋体" w:cs="Times New Roman"/>
                <w:color w:val="auto"/>
                <w:sz w:val="24"/>
                <w:highlight w:val="none"/>
                <w:lang w:val="en-US" w:eastAsia="zh-CN"/>
              </w:rPr>
              <w:t>项目制软水设备需定期添加清水至制盐液罐中配制盐液，并用清水及盐液先后对已饱和的离子交换树脂进行冲洗再生，会产生一定量的软化处理废水</w:t>
            </w:r>
            <w:r>
              <w:rPr>
                <w:rFonts w:hint="eastAsia" w:hAnsi="宋体" w:cs="Times New Roman"/>
                <w:color w:val="auto"/>
                <w:sz w:val="24"/>
                <w:highlight w:val="none"/>
                <w:lang w:val="en-US" w:eastAsia="zh-CN"/>
              </w:rPr>
              <w:t>，</w:t>
            </w:r>
            <w:r>
              <w:rPr>
                <w:rFonts w:hint="eastAsia" w:ascii="Times New Roman" w:hAnsi="宋体" w:eastAsia="宋体" w:cs="Times New Roman"/>
                <w:color w:val="auto"/>
                <w:sz w:val="24"/>
                <w:highlight w:val="none"/>
                <w:lang w:val="en-US" w:eastAsia="zh-CN"/>
              </w:rPr>
              <w:t>软化处理废水主要污染物为全盐量，</w:t>
            </w:r>
            <w:r>
              <w:rPr>
                <w:rFonts w:hint="eastAsia"/>
                <w:color w:val="auto"/>
                <w:sz w:val="24"/>
                <w:highlight w:val="none"/>
                <w:lang w:val="en-US" w:eastAsia="zh-CN"/>
              </w:rPr>
              <w:t>参照《环境影响评价工程师职业资格登记培训教材社会区域》中水质参数，溶解性总固体（全盐量）产生浓度约为1800mg/L。</w:t>
            </w:r>
          </w:p>
          <w:p>
            <w:pPr>
              <w:autoSpaceDE w:val="0"/>
              <w:autoSpaceDN w:val="0"/>
              <w:adjustRightInd w:val="0"/>
              <w:spacing w:line="360" w:lineRule="auto"/>
              <w:ind w:firstLine="472" w:firstLineChars="197"/>
              <w:rPr>
                <w:rFonts w:hint="eastAsia" w:hAnsi="宋体" w:cs="Times New Roman"/>
                <w:color w:val="auto"/>
                <w:sz w:val="24"/>
                <w:highlight w:val="none"/>
                <w:lang w:val="en-US" w:eastAsia="zh-CN"/>
              </w:rPr>
            </w:pPr>
            <w:r>
              <w:rPr>
                <w:rFonts w:hint="eastAsia" w:ascii="Times New Roman" w:hAnsi="宋体" w:eastAsia="宋体" w:cs="Times New Roman"/>
                <w:color w:val="auto"/>
                <w:sz w:val="24"/>
                <w:highlight w:val="none"/>
                <w:lang w:val="en-US" w:eastAsia="zh-CN"/>
              </w:rPr>
              <w:t>根据《第二次全国污染源普查工业污染源产排污系数手册》</w:t>
            </w:r>
            <w:r>
              <w:rPr>
                <w:rFonts w:hint="eastAsia" w:hAnsi="宋体" w:cs="Times New Roman"/>
                <w:color w:val="auto"/>
                <w:sz w:val="24"/>
                <w:highlight w:val="none"/>
                <w:lang w:val="en-US" w:eastAsia="zh-CN"/>
              </w:rPr>
              <w:t>“</w:t>
            </w:r>
            <w:r>
              <w:rPr>
                <w:rFonts w:hint="eastAsia" w:ascii="Times New Roman" w:hAnsi="宋体" w:eastAsia="宋体" w:cs="Times New Roman"/>
                <w:color w:val="auto"/>
                <w:sz w:val="24"/>
                <w:highlight w:val="none"/>
                <w:lang w:val="en-US" w:eastAsia="zh-CN"/>
              </w:rPr>
              <w:t>4430工业锅炉（热力生产和供应行业）产污系数表-工业废水量和化学需氧量</w:t>
            </w:r>
            <w:r>
              <w:rPr>
                <w:rFonts w:hint="eastAsia" w:hAnsi="宋体" w:cs="Times New Roman"/>
                <w:color w:val="auto"/>
                <w:sz w:val="24"/>
                <w:highlight w:val="none"/>
                <w:lang w:val="en-US" w:eastAsia="zh-CN"/>
              </w:rPr>
              <w:t>”表</w:t>
            </w:r>
            <w:r>
              <w:rPr>
                <w:rFonts w:hint="eastAsia" w:ascii="Times New Roman" w:hAnsi="宋体" w:eastAsia="宋体" w:cs="Times New Roman"/>
                <w:color w:val="auto"/>
                <w:sz w:val="24"/>
                <w:highlight w:val="none"/>
                <w:lang w:val="en-US" w:eastAsia="zh-CN"/>
              </w:rPr>
              <w:t>中燃生物质燃料热水锅炉（锅外水处理）工业废水量产污系数为0.356吨/吨-原料（锅炉排污水</w:t>
            </w:r>
            <w:r>
              <w:rPr>
                <w:rFonts w:hint="eastAsia" w:hAnsi="宋体" w:cs="Times New Roman"/>
                <w:color w:val="auto"/>
                <w:sz w:val="24"/>
                <w:highlight w:val="none"/>
                <w:lang w:val="en-US" w:eastAsia="zh-CN"/>
              </w:rPr>
              <w:t>0.259</w:t>
            </w:r>
            <w:r>
              <w:rPr>
                <w:rFonts w:hint="eastAsia" w:ascii="Times New Roman" w:hAnsi="宋体" w:eastAsia="宋体" w:cs="Times New Roman"/>
                <w:color w:val="auto"/>
                <w:sz w:val="24"/>
                <w:highlight w:val="none"/>
                <w:lang w:val="en-US" w:eastAsia="zh-CN"/>
              </w:rPr>
              <w:t>+软化处理废水</w:t>
            </w:r>
            <w:r>
              <w:rPr>
                <w:rFonts w:hint="eastAsia" w:hAnsi="宋体" w:cs="Times New Roman"/>
                <w:color w:val="auto"/>
                <w:sz w:val="24"/>
                <w:highlight w:val="none"/>
                <w:lang w:val="en-US" w:eastAsia="zh-CN"/>
              </w:rPr>
              <w:t>0.097</w:t>
            </w:r>
            <w:r>
              <w:rPr>
                <w:rFonts w:hint="eastAsia" w:ascii="Times New Roman" w:hAnsi="宋体" w:eastAsia="宋体" w:cs="Times New Roman"/>
                <w:color w:val="auto"/>
                <w:sz w:val="24"/>
                <w:highlight w:val="none"/>
                <w:lang w:val="en-US" w:eastAsia="zh-CN"/>
              </w:rPr>
              <w:t>），化学需氧量产污系数为</w:t>
            </w:r>
            <w:r>
              <w:rPr>
                <w:rFonts w:hint="eastAsia" w:hAnsi="宋体" w:cs="Times New Roman"/>
                <w:color w:val="auto"/>
                <w:sz w:val="24"/>
                <w:highlight w:val="none"/>
                <w:lang w:val="en-US" w:eastAsia="zh-CN"/>
              </w:rPr>
              <w:t>30克/</w:t>
            </w:r>
            <w:r>
              <w:rPr>
                <w:rFonts w:hint="eastAsia" w:ascii="Times New Roman" w:hAnsi="宋体" w:eastAsia="宋体" w:cs="Times New Roman"/>
                <w:color w:val="auto"/>
                <w:sz w:val="24"/>
                <w:highlight w:val="none"/>
                <w:lang w:val="en-US" w:eastAsia="zh-CN"/>
              </w:rPr>
              <w:t>吨-原料</w:t>
            </w:r>
            <w:r>
              <w:rPr>
                <w:rFonts w:hint="eastAsia" w:hAnsi="宋体" w:cs="Times New Roman"/>
                <w:color w:val="auto"/>
                <w:sz w:val="24"/>
                <w:highlight w:val="none"/>
                <w:lang w:val="en-US" w:eastAsia="zh-CN"/>
              </w:rPr>
              <w:t>。</w:t>
            </w:r>
            <w:r>
              <w:rPr>
                <w:rFonts w:hint="eastAsia" w:ascii="Times New Roman" w:hAnsi="宋体" w:eastAsia="宋体" w:cs="Times New Roman"/>
                <w:color w:val="auto"/>
                <w:sz w:val="24"/>
                <w:highlight w:val="none"/>
                <w:lang w:val="en-US" w:eastAsia="zh-CN"/>
              </w:rPr>
              <w:t>根据建设单位提供资料，每个供热点配置一台烟气蒸发器，锅炉排污水</w:t>
            </w:r>
            <w:r>
              <w:rPr>
                <w:rFonts w:hint="eastAsia" w:hAnsi="宋体" w:cs="Times New Roman"/>
                <w:color w:val="auto"/>
                <w:sz w:val="24"/>
                <w:highlight w:val="none"/>
                <w:lang w:val="en-US" w:eastAsia="zh-CN"/>
              </w:rPr>
              <w:t>及软化处理废水</w:t>
            </w:r>
            <w:r>
              <w:rPr>
                <w:rFonts w:hint="eastAsia" w:ascii="Times New Roman" w:hAnsi="宋体" w:eastAsia="宋体" w:cs="Times New Roman"/>
                <w:color w:val="auto"/>
                <w:sz w:val="24"/>
                <w:highlight w:val="none"/>
                <w:lang w:val="en-US" w:eastAsia="zh-CN"/>
              </w:rPr>
              <w:t>经过管道接入烟气蒸器用于烟气降温，随烟气蒸发，不外排。</w:t>
            </w:r>
          </w:p>
          <w:p>
            <w:pPr>
              <w:autoSpaceDE w:val="0"/>
              <w:autoSpaceDN w:val="0"/>
              <w:adjustRightInd w:val="0"/>
              <w:spacing w:line="360" w:lineRule="auto"/>
              <w:ind w:firstLine="472" w:firstLineChars="197"/>
              <w:rPr>
                <w:rFonts w:hint="default" w:hAnsi="宋体" w:cs="Times New Roman"/>
                <w:color w:val="auto"/>
                <w:sz w:val="24"/>
                <w:highlight w:val="none"/>
                <w:lang w:val="en-US" w:eastAsia="zh-CN"/>
              </w:rPr>
            </w:pPr>
            <w:r>
              <w:rPr>
                <w:rFonts w:hint="eastAsia" w:hAnsi="宋体" w:cs="Times New Roman"/>
                <w:color w:val="auto"/>
                <w:sz w:val="24"/>
                <w:highlight w:val="none"/>
                <w:lang w:val="en-US" w:eastAsia="zh-CN"/>
              </w:rPr>
              <w:t>本项目3个供热点锅炉排污水+软化处理废水产生情况如下：</w:t>
            </w:r>
          </w:p>
          <w:p>
            <w:pPr>
              <w:pStyle w:val="4"/>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表4-</w:t>
            </w:r>
            <w:r>
              <w:rPr>
                <w:rFonts w:hint="eastAsia" w:cs="Times New Roman"/>
                <w:b/>
                <w:bCs/>
                <w:color w:val="auto"/>
                <w:sz w:val="21"/>
                <w:szCs w:val="21"/>
                <w:highlight w:val="none"/>
                <w:lang w:val="en-US" w:eastAsia="zh-CN"/>
              </w:rPr>
              <w:t>8</w:t>
            </w:r>
            <w:r>
              <w:rPr>
                <w:rFonts w:hint="eastAsia" w:ascii="Times New Roman" w:hAnsi="Times New Roman" w:eastAsia="宋体" w:cs="Times New Roman"/>
                <w:b/>
                <w:bCs/>
                <w:color w:val="auto"/>
                <w:sz w:val="21"/>
                <w:szCs w:val="21"/>
                <w:highlight w:val="none"/>
                <w:lang w:val="en-US" w:eastAsia="zh-CN"/>
              </w:rPr>
              <w:t>项目运营期锅炉排污水+软化处理废水产排污情况一览表</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72"/>
              <w:gridCol w:w="1009"/>
              <w:gridCol w:w="1101"/>
              <w:gridCol w:w="1168"/>
              <w:gridCol w:w="1115"/>
              <w:gridCol w:w="902"/>
              <w:gridCol w:w="955"/>
              <w:gridCol w:w="1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5" w:type="pct"/>
                  <w:tcBorders>
                    <w:tl2br w:val="nil"/>
                    <w:tr2bl w:val="nil"/>
                  </w:tcBorders>
                  <w:noWrap w:val="0"/>
                  <w:vAlign w:val="center"/>
                </w:tcPr>
                <w:p>
                  <w:pPr>
                    <w:adjustRightInd w:val="0"/>
                    <w:snapToGrid w:val="0"/>
                    <w:jc w:val="center"/>
                    <w:rPr>
                      <w:rFonts w:hint="eastAsia" w:ascii="Times New Roman" w:hAnsi="Times New Roman" w:eastAsia="宋体" w:cs="Times New Roman"/>
                      <w:b w:val="0"/>
                      <w:bCs/>
                      <w:color w:val="auto"/>
                      <w:kern w:val="1"/>
                      <w:sz w:val="21"/>
                      <w:szCs w:val="21"/>
                      <w:highlight w:val="none"/>
                      <w:lang w:val="en-US" w:eastAsia="zh-CN" w:bidi="ar-SA"/>
                    </w:rPr>
                  </w:pPr>
                  <w:r>
                    <w:rPr>
                      <w:rFonts w:hint="eastAsia" w:cs="Times New Roman"/>
                      <w:b w:val="0"/>
                      <w:bCs/>
                      <w:color w:val="auto"/>
                      <w:kern w:val="1"/>
                      <w:szCs w:val="21"/>
                      <w:highlight w:val="none"/>
                      <w:lang w:val="en-US" w:eastAsia="zh-CN"/>
                    </w:rPr>
                    <w:t>供热点</w:t>
                  </w:r>
                </w:p>
              </w:tc>
              <w:tc>
                <w:tcPr>
                  <w:tcW w:w="568"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 w:val="21"/>
                      <w:szCs w:val="21"/>
                      <w:highlight w:val="none"/>
                      <w:lang w:val="en-US" w:eastAsia="zh-CN" w:bidi="ar-SA"/>
                    </w:rPr>
                  </w:pPr>
                  <w:r>
                    <w:rPr>
                      <w:rFonts w:hint="eastAsia" w:ascii="Times New Roman" w:hAnsi="Times New Roman" w:eastAsia="宋体" w:cs="Times New Roman"/>
                      <w:b w:val="0"/>
                      <w:bCs/>
                      <w:color w:val="auto"/>
                      <w:kern w:val="1"/>
                      <w:sz w:val="21"/>
                      <w:szCs w:val="21"/>
                      <w:highlight w:val="none"/>
                      <w:lang w:val="en-US" w:eastAsia="zh-CN" w:bidi="ar-SA"/>
                    </w:rPr>
                    <w:t>生物质燃料使用量</w:t>
                  </w:r>
                </w:p>
              </w:tc>
              <w:tc>
                <w:tcPr>
                  <w:tcW w:w="620"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 w:val="21"/>
                      <w:szCs w:val="21"/>
                      <w:highlight w:val="none"/>
                      <w:lang w:val="en-US" w:eastAsia="zh-CN" w:bidi="ar-SA"/>
                    </w:rPr>
                  </w:pPr>
                  <w:r>
                    <w:rPr>
                      <w:rFonts w:hint="eastAsia" w:ascii="Times New Roman" w:hAnsi="Times New Roman" w:eastAsia="宋体" w:cs="Times New Roman"/>
                      <w:b w:val="0"/>
                      <w:bCs/>
                      <w:color w:val="auto"/>
                      <w:kern w:val="1"/>
                      <w:sz w:val="21"/>
                      <w:szCs w:val="21"/>
                      <w:highlight w:val="none"/>
                      <w:lang w:val="en-US" w:eastAsia="zh-CN" w:bidi="ar-SA"/>
                    </w:rPr>
                    <w:t>新鲜水用水量</w:t>
                  </w:r>
                </w:p>
              </w:tc>
              <w:tc>
                <w:tcPr>
                  <w:tcW w:w="658"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 w:val="21"/>
                      <w:szCs w:val="21"/>
                      <w:highlight w:val="none"/>
                      <w:lang w:val="en-US" w:eastAsia="zh-CN" w:bidi="ar-SA"/>
                    </w:rPr>
                  </w:pPr>
                  <w:r>
                    <w:rPr>
                      <w:rFonts w:hint="default" w:ascii="Times New Roman" w:hAnsi="Times New Roman" w:eastAsia="宋体" w:cs="Times New Roman"/>
                      <w:b w:val="0"/>
                      <w:bCs/>
                      <w:color w:val="auto"/>
                      <w:kern w:val="1"/>
                      <w:sz w:val="21"/>
                      <w:szCs w:val="21"/>
                      <w:highlight w:val="none"/>
                      <w:lang w:val="en-US" w:eastAsia="zh-CN" w:bidi="ar-SA"/>
                    </w:rPr>
                    <w:t>软化处理废水</w:t>
                  </w:r>
                </w:p>
              </w:tc>
              <w:tc>
                <w:tcPr>
                  <w:tcW w:w="628"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default" w:ascii="Times New Roman" w:hAnsi="Times New Roman" w:eastAsia="宋体" w:cs="Times New Roman"/>
                      <w:b w:val="0"/>
                      <w:bCs/>
                      <w:color w:val="auto"/>
                      <w:kern w:val="1"/>
                      <w:szCs w:val="21"/>
                      <w:highlight w:val="none"/>
                      <w:lang w:val="en-US" w:eastAsia="zh-CN"/>
                    </w:rPr>
                    <w:t>锅炉</w:t>
                  </w:r>
                  <w:r>
                    <w:rPr>
                      <w:rFonts w:hint="eastAsia" w:ascii="Times New Roman" w:hAnsi="Times New Roman" w:eastAsia="宋体" w:cs="Times New Roman"/>
                      <w:b w:val="0"/>
                      <w:bCs/>
                      <w:color w:val="auto"/>
                      <w:kern w:val="1"/>
                      <w:szCs w:val="21"/>
                      <w:highlight w:val="none"/>
                      <w:lang w:val="en-US" w:eastAsia="zh-CN"/>
                    </w:rPr>
                    <w:t>排污水</w:t>
                  </w:r>
                </w:p>
              </w:tc>
              <w:tc>
                <w:tcPr>
                  <w:tcW w:w="508"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default" w:ascii="Times New Roman" w:hAnsi="Times New Roman" w:eastAsia="宋体" w:cs="Times New Roman"/>
                      <w:b w:val="0"/>
                      <w:bCs/>
                      <w:color w:val="auto"/>
                      <w:kern w:val="1"/>
                      <w:sz w:val="21"/>
                      <w:szCs w:val="21"/>
                      <w:highlight w:val="none"/>
                      <w:lang w:val="en-US" w:eastAsia="zh-CN" w:bidi="ar-SA"/>
                    </w:rPr>
                    <w:t>化学需氧量</w:t>
                  </w:r>
                </w:p>
              </w:tc>
              <w:tc>
                <w:tcPr>
                  <w:tcW w:w="538"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 w:val="21"/>
                      <w:szCs w:val="21"/>
                      <w:highlight w:val="none"/>
                      <w:lang w:val="en-US" w:eastAsia="zh-CN" w:bidi="ar-SA"/>
                    </w:rPr>
                  </w:pPr>
                  <w:r>
                    <w:rPr>
                      <w:rFonts w:hint="eastAsia" w:cs="Times New Roman"/>
                      <w:b w:val="0"/>
                      <w:bCs/>
                      <w:color w:val="auto"/>
                      <w:kern w:val="1"/>
                      <w:sz w:val="21"/>
                      <w:szCs w:val="21"/>
                      <w:highlight w:val="none"/>
                      <w:lang w:val="en-US" w:eastAsia="zh-CN" w:bidi="ar-SA"/>
                    </w:rPr>
                    <w:t>产</w:t>
                  </w:r>
                  <w:r>
                    <w:rPr>
                      <w:rFonts w:hint="default" w:ascii="Times New Roman" w:hAnsi="Times New Roman" w:eastAsia="宋体" w:cs="Times New Roman"/>
                      <w:b w:val="0"/>
                      <w:bCs/>
                      <w:color w:val="auto"/>
                      <w:kern w:val="1"/>
                      <w:sz w:val="21"/>
                      <w:szCs w:val="21"/>
                      <w:highlight w:val="none"/>
                      <w:lang w:val="en-US" w:eastAsia="zh-CN" w:bidi="ar-SA"/>
                    </w:rPr>
                    <w:t>蒸汽</w:t>
                  </w:r>
                  <w:r>
                    <w:rPr>
                      <w:rFonts w:hint="eastAsia" w:cs="Times New Roman"/>
                      <w:b w:val="0"/>
                      <w:bCs/>
                      <w:color w:val="auto"/>
                      <w:kern w:val="1"/>
                      <w:sz w:val="21"/>
                      <w:szCs w:val="21"/>
                      <w:highlight w:val="none"/>
                      <w:lang w:val="en-US" w:eastAsia="zh-CN" w:bidi="ar-SA"/>
                    </w:rPr>
                    <w:t>量</w:t>
                  </w:r>
                </w:p>
              </w:tc>
              <w:tc>
                <w:tcPr>
                  <w:tcW w:w="1041" w:type="pct"/>
                  <w:tcBorders>
                    <w:tl2br w:val="nil"/>
                    <w:tr2bl w:val="nil"/>
                  </w:tcBorders>
                  <w:noWrap w:val="0"/>
                  <w:vAlign w:val="center"/>
                </w:tcPr>
                <w:p>
                  <w:pPr>
                    <w:adjustRightInd w:val="0"/>
                    <w:snapToGrid w:val="0"/>
                    <w:jc w:val="center"/>
                    <w:rPr>
                      <w:rFonts w:hint="default" w:cs="Times New Roman"/>
                      <w:b w:val="0"/>
                      <w:bCs/>
                      <w:color w:val="auto"/>
                      <w:kern w:val="1"/>
                      <w:sz w:val="21"/>
                      <w:szCs w:val="21"/>
                      <w:highlight w:val="none"/>
                      <w:lang w:val="en-US" w:eastAsia="zh-CN" w:bidi="ar-SA"/>
                    </w:rPr>
                  </w:pPr>
                  <w:r>
                    <w:rPr>
                      <w:rFonts w:hint="eastAsia" w:cs="Times New Roman"/>
                      <w:b w:val="0"/>
                      <w:bCs/>
                      <w:color w:val="auto"/>
                      <w:kern w:val="1"/>
                      <w:sz w:val="21"/>
                      <w:szCs w:val="21"/>
                      <w:highlight w:val="none"/>
                      <w:lang w:val="en-US" w:eastAsia="zh-CN" w:bidi="ar-SA"/>
                    </w:rPr>
                    <w:t>处置去向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5"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default" w:ascii="Times New Roman" w:hAnsi="Times New Roman" w:eastAsia="宋体" w:cs="Times New Roman"/>
                      <w:b w:val="0"/>
                      <w:bCs/>
                      <w:color w:val="auto"/>
                      <w:kern w:val="1"/>
                      <w:szCs w:val="21"/>
                      <w:highlight w:val="none"/>
                      <w:lang w:val="en-US" w:eastAsia="zh-CN"/>
                    </w:rPr>
                    <w:t>海大供热点</w:t>
                  </w:r>
                </w:p>
              </w:tc>
              <w:tc>
                <w:tcPr>
                  <w:tcW w:w="568"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default" w:cs="Times New Roman"/>
                      <w:b w:val="0"/>
                      <w:bCs/>
                      <w:color w:val="auto"/>
                      <w:kern w:val="1"/>
                      <w:szCs w:val="21"/>
                      <w:highlight w:val="none"/>
                      <w:lang w:val="en-US" w:eastAsia="zh-CN"/>
                    </w:rPr>
                    <w:t>42847.2t/a</w:t>
                  </w:r>
                </w:p>
              </w:tc>
              <w:tc>
                <w:tcPr>
                  <w:tcW w:w="620" w:type="pct"/>
                  <w:tcBorders>
                    <w:tl2br w:val="nil"/>
                    <w:tr2bl w:val="nil"/>
                  </w:tcBorders>
                  <w:noWrap w:val="0"/>
                  <w:vAlign w:val="center"/>
                </w:tcPr>
                <w:p>
                  <w:pPr>
                    <w:adjustRightInd w:val="0"/>
                    <w:snapToGrid w:val="0"/>
                    <w:jc w:val="center"/>
                    <w:rPr>
                      <w:rFonts w:hint="default" w:ascii="Times New Roman" w:hAnsi="Times New Roman" w:cs="Times New Roman"/>
                      <w:b w:val="0"/>
                      <w:bCs/>
                      <w:color w:val="auto"/>
                      <w:kern w:val="1"/>
                      <w:szCs w:val="21"/>
                      <w:highlight w:val="none"/>
                      <w:lang w:val="en-US" w:eastAsia="zh-CN"/>
                    </w:rPr>
                  </w:pPr>
                  <w:r>
                    <w:rPr>
                      <w:rFonts w:hint="eastAsia" w:ascii="Times New Roman" w:hAnsi="Times New Roman" w:cs="Times New Roman"/>
                      <w:b w:val="0"/>
                      <w:bCs/>
                      <w:color w:val="auto"/>
                      <w:kern w:val="1"/>
                      <w:szCs w:val="21"/>
                      <w:highlight w:val="none"/>
                      <w:lang w:val="en-US" w:eastAsia="zh-CN"/>
                    </w:rPr>
                    <w:t>213246</w:t>
                  </w:r>
                  <w:r>
                    <w:rPr>
                      <w:rFonts w:hint="default" w:cs="Times New Roman"/>
                      <w:b w:val="0"/>
                      <w:bCs/>
                      <w:color w:val="auto"/>
                      <w:kern w:val="1"/>
                      <w:szCs w:val="21"/>
                      <w:highlight w:val="none"/>
                      <w:lang w:val="en-US" w:eastAsia="zh-CN"/>
                    </w:rPr>
                    <w:t>t/a</w:t>
                  </w:r>
                </w:p>
                <w:p>
                  <w:pPr>
                    <w:adjustRightInd w:val="0"/>
                    <w:snapToGrid w:val="0"/>
                    <w:jc w:val="center"/>
                    <w:rPr>
                      <w:rFonts w:hint="default" w:ascii="Times New Roman" w:hAnsi="Times New Roman" w:cs="Times New Roman"/>
                      <w:b w:val="0"/>
                      <w:bCs/>
                      <w:color w:val="auto"/>
                      <w:kern w:val="1"/>
                      <w:szCs w:val="21"/>
                      <w:highlight w:val="none"/>
                      <w:lang w:val="en-US" w:eastAsia="zh-CN"/>
                    </w:rPr>
                  </w:pPr>
                  <w:r>
                    <w:rPr>
                      <w:rFonts w:hint="eastAsia" w:ascii="Times New Roman" w:hAnsi="Times New Roman" w:cs="Times New Roman"/>
                      <w:b w:val="0"/>
                      <w:bCs/>
                      <w:color w:val="auto"/>
                      <w:kern w:val="1"/>
                      <w:szCs w:val="21"/>
                      <w:highlight w:val="none"/>
                      <w:lang w:val="en-US" w:eastAsia="zh-CN"/>
                    </w:rPr>
                    <w:t>646.2</w:t>
                  </w:r>
                  <w:r>
                    <w:rPr>
                      <w:rFonts w:hint="default" w:ascii="Times New Roman" w:hAnsi="Times New Roman" w:cs="Times New Roman"/>
                      <w:b w:val="0"/>
                      <w:bCs/>
                      <w:color w:val="auto"/>
                      <w:kern w:val="1"/>
                      <w:szCs w:val="21"/>
                      <w:highlight w:val="none"/>
                      <w:lang w:val="en-US" w:eastAsia="zh-CN"/>
                    </w:rPr>
                    <w:t>m³</w:t>
                  </w:r>
                  <w:r>
                    <w:rPr>
                      <w:rFonts w:hint="eastAsia" w:cs="Times New Roman"/>
                      <w:b w:val="0"/>
                      <w:bCs/>
                      <w:color w:val="auto"/>
                      <w:kern w:val="1"/>
                      <w:szCs w:val="21"/>
                      <w:highlight w:val="none"/>
                      <w:lang w:val="en-US" w:eastAsia="zh-CN"/>
                    </w:rPr>
                    <w:t>/d</w:t>
                  </w:r>
                </w:p>
              </w:tc>
              <w:tc>
                <w:tcPr>
                  <w:tcW w:w="658"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 w:val="21"/>
                      <w:szCs w:val="21"/>
                      <w:highlight w:val="none"/>
                      <w:lang w:val="en-US" w:eastAsia="zh-CN" w:bidi="ar-SA"/>
                    </w:rPr>
                    <w:t>4156.2</w:t>
                  </w:r>
                  <w:r>
                    <w:rPr>
                      <w:rFonts w:hint="default" w:cs="Times New Roman"/>
                      <w:b w:val="0"/>
                      <w:bCs/>
                      <w:color w:val="auto"/>
                      <w:kern w:val="1"/>
                      <w:szCs w:val="21"/>
                      <w:highlight w:val="none"/>
                      <w:lang w:val="en-US" w:eastAsia="zh-CN"/>
                    </w:rPr>
                    <w:t>t/a</w:t>
                  </w:r>
                </w:p>
                <w:p>
                  <w:pPr>
                    <w:adjustRightInd w:val="0"/>
                    <w:snapToGrid w:val="0"/>
                    <w:jc w:val="center"/>
                    <w:rPr>
                      <w:rFonts w:hint="eastAsia" w:ascii="Times New Roman" w:hAnsi="Times New Roman" w:eastAsia="宋体" w:cs="Times New Roman"/>
                      <w:b w:val="0"/>
                      <w:bCs/>
                      <w:color w:val="auto"/>
                      <w:kern w:val="1"/>
                      <w:sz w:val="21"/>
                      <w:szCs w:val="21"/>
                      <w:highlight w:val="none"/>
                      <w:lang w:val="en-US" w:eastAsia="zh-CN" w:bidi="ar-SA"/>
                    </w:rPr>
                  </w:pPr>
                  <w:r>
                    <w:rPr>
                      <w:rFonts w:hint="eastAsia" w:ascii="Times New Roman" w:hAnsi="Times New Roman" w:cs="Times New Roman"/>
                      <w:b w:val="0"/>
                      <w:bCs/>
                      <w:color w:val="auto"/>
                      <w:kern w:val="1"/>
                      <w:szCs w:val="21"/>
                      <w:highlight w:val="none"/>
                      <w:lang w:val="en-US" w:eastAsia="zh-CN"/>
                    </w:rPr>
                    <w:t>12.6</w:t>
                  </w:r>
                  <w:r>
                    <w:rPr>
                      <w:rFonts w:hint="default" w:ascii="Times New Roman" w:hAnsi="Times New Roman" w:cs="Times New Roman"/>
                      <w:b w:val="0"/>
                      <w:bCs/>
                      <w:color w:val="auto"/>
                      <w:kern w:val="1"/>
                      <w:szCs w:val="21"/>
                      <w:highlight w:val="none"/>
                      <w:lang w:val="en-US" w:eastAsia="zh-CN"/>
                    </w:rPr>
                    <w:t>m³</w:t>
                  </w:r>
                  <w:r>
                    <w:rPr>
                      <w:rFonts w:hint="eastAsia" w:cs="Times New Roman"/>
                      <w:b w:val="0"/>
                      <w:bCs/>
                      <w:color w:val="auto"/>
                      <w:kern w:val="1"/>
                      <w:szCs w:val="21"/>
                      <w:highlight w:val="none"/>
                      <w:lang w:val="en-US" w:eastAsia="zh-CN"/>
                    </w:rPr>
                    <w:t>/d</w:t>
                  </w:r>
                </w:p>
              </w:tc>
              <w:tc>
                <w:tcPr>
                  <w:tcW w:w="628"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11097.4</w:t>
                  </w:r>
                  <w:r>
                    <w:rPr>
                      <w:rFonts w:hint="default" w:cs="Times New Roman"/>
                      <w:b w:val="0"/>
                      <w:bCs/>
                      <w:color w:val="auto"/>
                      <w:kern w:val="1"/>
                      <w:szCs w:val="21"/>
                      <w:highlight w:val="none"/>
                      <w:lang w:val="en-US" w:eastAsia="zh-CN"/>
                    </w:rPr>
                    <w:t>t/a</w:t>
                  </w:r>
                </w:p>
                <w:p>
                  <w:pPr>
                    <w:adjustRightInd w:val="0"/>
                    <w:snapToGrid w:val="0"/>
                    <w:jc w:val="center"/>
                    <w:rPr>
                      <w:rFonts w:hint="eastAsia"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33.6</w:t>
                  </w:r>
                  <w:r>
                    <w:rPr>
                      <w:rFonts w:hint="default" w:ascii="Times New Roman" w:hAnsi="Times New Roman" w:cs="Times New Roman"/>
                      <w:b w:val="0"/>
                      <w:bCs/>
                      <w:color w:val="auto"/>
                      <w:kern w:val="1"/>
                      <w:szCs w:val="21"/>
                      <w:highlight w:val="none"/>
                      <w:lang w:val="en-US" w:eastAsia="zh-CN"/>
                    </w:rPr>
                    <w:t>m³</w:t>
                  </w:r>
                  <w:r>
                    <w:rPr>
                      <w:rFonts w:hint="eastAsia" w:cs="Times New Roman"/>
                      <w:b w:val="0"/>
                      <w:bCs/>
                      <w:color w:val="auto"/>
                      <w:kern w:val="1"/>
                      <w:szCs w:val="21"/>
                      <w:highlight w:val="none"/>
                      <w:lang w:val="en-US" w:eastAsia="zh-CN"/>
                    </w:rPr>
                    <w:t>/d</w:t>
                  </w:r>
                </w:p>
              </w:tc>
              <w:tc>
                <w:tcPr>
                  <w:tcW w:w="508"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1.29</w:t>
                  </w:r>
                  <w:r>
                    <w:rPr>
                      <w:rFonts w:hint="default" w:cs="Times New Roman"/>
                      <w:b w:val="0"/>
                      <w:bCs/>
                      <w:color w:val="auto"/>
                      <w:kern w:val="1"/>
                      <w:szCs w:val="21"/>
                      <w:highlight w:val="none"/>
                      <w:lang w:val="en-US" w:eastAsia="zh-CN"/>
                    </w:rPr>
                    <w:t>t/a</w:t>
                  </w:r>
                </w:p>
              </w:tc>
              <w:tc>
                <w:tcPr>
                  <w:tcW w:w="538"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 w:val="21"/>
                      <w:szCs w:val="21"/>
                      <w:highlight w:val="none"/>
                      <w:lang w:val="en-US" w:eastAsia="zh-CN" w:bidi="ar-SA"/>
                    </w:rPr>
                  </w:pPr>
                  <w:r>
                    <w:rPr>
                      <w:rFonts w:hint="eastAsia" w:ascii="Times New Roman" w:hAnsi="Times New Roman" w:eastAsia="宋体" w:cs="Times New Roman"/>
                      <w:b w:val="0"/>
                      <w:bCs/>
                      <w:color w:val="auto"/>
                      <w:kern w:val="1"/>
                      <w:szCs w:val="21"/>
                      <w:highlight w:val="none"/>
                      <w:lang w:val="en-US" w:eastAsia="zh-CN"/>
                    </w:rPr>
                    <w:t>198000t/a</w:t>
                  </w:r>
                </w:p>
              </w:tc>
              <w:tc>
                <w:tcPr>
                  <w:tcW w:w="1041" w:type="pct"/>
                  <w:vMerge w:val="restart"/>
                  <w:tcBorders>
                    <w:tl2br w:val="nil"/>
                    <w:tr2bl w:val="nil"/>
                  </w:tcBorders>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default" w:ascii="Times New Roman" w:hAnsi="Times New Roman" w:eastAsia="宋体" w:cs="Times New Roman"/>
                      <w:b w:val="0"/>
                      <w:bCs/>
                      <w:color w:val="auto"/>
                      <w:kern w:val="1"/>
                      <w:sz w:val="21"/>
                      <w:szCs w:val="21"/>
                      <w:highlight w:val="none"/>
                      <w:lang w:val="en-US" w:eastAsia="zh-CN" w:bidi="ar-SA"/>
                    </w:rPr>
                    <w:t>软化处理废水</w:t>
                  </w:r>
                  <w:r>
                    <w:rPr>
                      <w:rFonts w:hint="eastAsia" w:ascii="Times New Roman" w:hAnsi="Times New Roman" w:eastAsia="宋体" w:cs="Times New Roman"/>
                      <w:b w:val="0"/>
                      <w:bCs/>
                      <w:color w:val="auto"/>
                      <w:kern w:val="1"/>
                      <w:sz w:val="21"/>
                      <w:szCs w:val="21"/>
                      <w:highlight w:val="none"/>
                      <w:lang w:val="en-US" w:eastAsia="zh-CN" w:bidi="ar-SA"/>
                    </w:rPr>
                    <w:t>、</w:t>
                  </w:r>
                  <w:r>
                    <w:rPr>
                      <w:rFonts w:hint="eastAsia" w:ascii="Times New Roman" w:hAnsi="Times New Roman" w:eastAsia="宋体" w:cs="Times New Roman"/>
                      <w:b w:val="0"/>
                      <w:bCs/>
                      <w:color w:val="auto"/>
                      <w:kern w:val="1"/>
                      <w:szCs w:val="21"/>
                      <w:highlight w:val="none"/>
                      <w:lang w:val="en-US" w:eastAsia="zh-CN"/>
                    </w:rPr>
                    <w:t>锅炉排污水经过管道接入烟气蒸器用于烟气降温，随烟气蒸发，不外排。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5"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default" w:ascii="Times New Roman" w:hAnsi="Times New Roman" w:eastAsia="宋体" w:cs="Times New Roman"/>
                      <w:b w:val="0"/>
                      <w:bCs/>
                      <w:color w:val="auto"/>
                      <w:kern w:val="1"/>
                      <w:szCs w:val="21"/>
                      <w:highlight w:val="none"/>
                      <w:lang w:val="en-US" w:eastAsia="zh-CN"/>
                    </w:rPr>
                    <w:t>特驱供热点</w:t>
                  </w:r>
                </w:p>
              </w:tc>
              <w:tc>
                <w:tcPr>
                  <w:tcW w:w="568"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 w:val="21"/>
                      <w:szCs w:val="21"/>
                      <w:highlight w:val="none"/>
                      <w:lang w:val="en-US" w:eastAsia="zh-CN" w:bidi="ar-SA"/>
                    </w:rPr>
                  </w:pPr>
                  <w:r>
                    <w:rPr>
                      <w:rFonts w:hint="default" w:cs="Times New Roman"/>
                      <w:b w:val="0"/>
                      <w:bCs/>
                      <w:color w:val="auto"/>
                      <w:kern w:val="1"/>
                      <w:szCs w:val="21"/>
                      <w:highlight w:val="none"/>
                      <w:lang w:val="en-US" w:eastAsia="zh-CN"/>
                    </w:rPr>
                    <w:t>44287.7t/a</w:t>
                  </w:r>
                </w:p>
              </w:tc>
              <w:tc>
                <w:tcPr>
                  <w:tcW w:w="620" w:type="pct"/>
                  <w:tcBorders>
                    <w:tl2br w:val="nil"/>
                    <w:tr2bl w:val="nil"/>
                  </w:tcBorders>
                  <w:noWrap w:val="0"/>
                  <w:vAlign w:val="center"/>
                </w:tcPr>
                <w:p>
                  <w:pPr>
                    <w:adjustRightInd w:val="0"/>
                    <w:snapToGrid w:val="0"/>
                    <w:jc w:val="center"/>
                    <w:rPr>
                      <w:rFonts w:hint="default" w:ascii="Times New Roman" w:hAnsi="Times New Roman" w:cs="Times New Roman"/>
                      <w:b w:val="0"/>
                      <w:bCs/>
                      <w:color w:val="auto"/>
                      <w:kern w:val="1"/>
                      <w:szCs w:val="21"/>
                      <w:highlight w:val="none"/>
                      <w:lang w:val="en-US" w:eastAsia="zh-CN"/>
                    </w:rPr>
                  </w:pPr>
                  <w:r>
                    <w:rPr>
                      <w:rFonts w:hint="eastAsia" w:ascii="Times New Roman" w:hAnsi="Times New Roman" w:cs="Times New Roman"/>
                      <w:b w:val="0"/>
                      <w:bCs/>
                      <w:color w:val="auto"/>
                      <w:kern w:val="1"/>
                      <w:szCs w:val="21"/>
                      <w:highlight w:val="none"/>
                      <w:lang w:val="en-US" w:eastAsia="zh-CN"/>
                    </w:rPr>
                    <w:t>221694</w:t>
                  </w:r>
                  <w:r>
                    <w:rPr>
                      <w:rFonts w:hint="default" w:cs="Times New Roman"/>
                      <w:b w:val="0"/>
                      <w:bCs/>
                      <w:color w:val="auto"/>
                      <w:kern w:val="1"/>
                      <w:szCs w:val="21"/>
                      <w:highlight w:val="none"/>
                      <w:lang w:val="en-US" w:eastAsia="zh-CN"/>
                    </w:rPr>
                    <w:t>t/a</w:t>
                  </w:r>
                </w:p>
                <w:p>
                  <w:pPr>
                    <w:adjustRightInd w:val="0"/>
                    <w:snapToGrid w:val="0"/>
                    <w:jc w:val="center"/>
                    <w:rPr>
                      <w:rFonts w:hint="default" w:ascii="Times New Roman" w:hAnsi="Times New Roman" w:cs="Times New Roman"/>
                      <w:b w:val="0"/>
                      <w:bCs/>
                      <w:color w:val="auto"/>
                      <w:kern w:val="1"/>
                      <w:szCs w:val="21"/>
                      <w:highlight w:val="none"/>
                      <w:lang w:val="en-US" w:eastAsia="zh-CN"/>
                    </w:rPr>
                  </w:pPr>
                  <w:r>
                    <w:rPr>
                      <w:rFonts w:hint="eastAsia" w:ascii="Times New Roman" w:hAnsi="Times New Roman" w:cs="Times New Roman"/>
                      <w:b w:val="0"/>
                      <w:bCs/>
                      <w:color w:val="auto"/>
                      <w:kern w:val="1"/>
                      <w:szCs w:val="21"/>
                      <w:highlight w:val="none"/>
                      <w:lang w:val="en-US" w:eastAsia="zh-CN"/>
                    </w:rPr>
                    <w:t>671.8</w:t>
                  </w:r>
                  <w:r>
                    <w:rPr>
                      <w:rFonts w:hint="default" w:ascii="Times New Roman" w:hAnsi="Times New Roman" w:cs="Times New Roman"/>
                      <w:b w:val="0"/>
                      <w:bCs/>
                      <w:color w:val="auto"/>
                      <w:kern w:val="1"/>
                      <w:szCs w:val="21"/>
                      <w:highlight w:val="none"/>
                      <w:lang w:val="en-US" w:eastAsia="zh-CN"/>
                    </w:rPr>
                    <w:t>m³</w:t>
                  </w:r>
                  <w:r>
                    <w:rPr>
                      <w:rFonts w:hint="eastAsia" w:cs="Times New Roman"/>
                      <w:b w:val="0"/>
                      <w:bCs/>
                      <w:color w:val="auto"/>
                      <w:kern w:val="1"/>
                      <w:szCs w:val="21"/>
                      <w:highlight w:val="none"/>
                      <w:lang w:val="en-US" w:eastAsia="zh-CN"/>
                    </w:rPr>
                    <w:t>/d</w:t>
                  </w:r>
                </w:p>
              </w:tc>
              <w:tc>
                <w:tcPr>
                  <w:tcW w:w="658"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4295.9</w:t>
                  </w:r>
                  <w:r>
                    <w:rPr>
                      <w:rFonts w:hint="default" w:cs="Times New Roman"/>
                      <w:b w:val="0"/>
                      <w:bCs/>
                      <w:color w:val="auto"/>
                      <w:kern w:val="1"/>
                      <w:szCs w:val="21"/>
                      <w:highlight w:val="none"/>
                      <w:lang w:val="en-US" w:eastAsia="zh-CN"/>
                    </w:rPr>
                    <w:t>t/a</w:t>
                  </w:r>
                </w:p>
                <w:p>
                  <w:pPr>
                    <w:adjustRightInd w:val="0"/>
                    <w:snapToGrid w:val="0"/>
                    <w:jc w:val="center"/>
                    <w:rPr>
                      <w:rFonts w:hint="eastAsia" w:ascii="Times New Roman" w:hAnsi="Times New Roman" w:eastAsia="宋体" w:cs="Times New Roman"/>
                      <w:b w:val="0"/>
                      <w:bCs/>
                      <w:color w:val="auto"/>
                      <w:kern w:val="1"/>
                      <w:sz w:val="21"/>
                      <w:szCs w:val="21"/>
                      <w:highlight w:val="none"/>
                      <w:lang w:val="en-US" w:eastAsia="zh-CN" w:bidi="ar-SA"/>
                    </w:rPr>
                  </w:pPr>
                  <w:r>
                    <w:rPr>
                      <w:rFonts w:hint="eastAsia" w:ascii="Times New Roman" w:hAnsi="Times New Roman" w:cs="Times New Roman"/>
                      <w:b w:val="0"/>
                      <w:bCs/>
                      <w:color w:val="auto"/>
                      <w:kern w:val="1"/>
                      <w:szCs w:val="21"/>
                      <w:highlight w:val="none"/>
                      <w:lang w:val="en-US" w:eastAsia="zh-CN"/>
                    </w:rPr>
                    <w:t>13</w:t>
                  </w:r>
                  <w:r>
                    <w:rPr>
                      <w:rFonts w:hint="default" w:ascii="Times New Roman" w:hAnsi="Times New Roman" w:cs="Times New Roman"/>
                      <w:b w:val="0"/>
                      <w:bCs/>
                      <w:color w:val="auto"/>
                      <w:kern w:val="1"/>
                      <w:szCs w:val="21"/>
                      <w:highlight w:val="none"/>
                      <w:lang w:val="en-US" w:eastAsia="zh-CN"/>
                    </w:rPr>
                    <w:t>m³</w:t>
                  </w:r>
                  <w:r>
                    <w:rPr>
                      <w:rFonts w:hint="eastAsia" w:cs="Times New Roman"/>
                      <w:b w:val="0"/>
                      <w:bCs/>
                      <w:color w:val="auto"/>
                      <w:kern w:val="1"/>
                      <w:szCs w:val="21"/>
                      <w:highlight w:val="none"/>
                      <w:lang w:val="en-US" w:eastAsia="zh-CN"/>
                    </w:rPr>
                    <w:t>/d</w:t>
                  </w:r>
                </w:p>
              </w:tc>
              <w:tc>
                <w:tcPr>
                  <w:tcW w:w="628"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11470.5</w:t>
                  </w:r>
                  <w:r>
                    <w:rPr>
                      <w:rFonts w:hint="default" w:cs="Times New Roman"/>
                      <w:b w:val="0"/>
                      <w:bCs/>
                      <w:color w:val="auto"/>
                      <w:kern w:val="1"/>
                      <w:szCs w:val="21"/>
                      <w:highlight w:val="none"/>
                      <w:lang w:val="en-US" w:eastAsia="zh-CN"/>
                    </w:rPr>
                    <w:t>t/a</w:t>
                  </w:r>
                </w:p>
                <w:p>
                  <w:pPr>
                    <w:adjustRightInd w:val="0"/>
                    <w:snapToGrid w:val="0"/>
                    <w:jc w:val="center"/>
                    <w:rPr>
                      <w:rFonts w:hint="eastAsia"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34.8</w:t>
                  </w:r>
                  <w:r>
                    <w:rPr>
                      <w:rFonts w:hint="default" w:ascii="Times New Roman" w:hAnsi="Times New Roman" w:cs="Times New Roman"/>
                      <w:b w:val="0"/>
                      <w:bCs/>
                      <w:color w:val="auto"/>
                      <w:kern w:val="1"/>
                      <w:szCs w:val="21"/>
                      <w:highlight w:val="none"/>
                      <w:lang w:val="en-US" w:eastAsia="zh-CN"/>
                    </w:rPr>
                    <w:t>m³</w:t>
                  </w:r>
                  <w:r>
                    <w:rPr>
                      <w:rFonts w:hint="eastAsia" w:cs="Times New Roman"/>
                      <w:b w:val="0"/>
                      <w:bCs/>
                      <w:color w:val="auto"/>
                      <w:kern w:val="1"/>
                      <w:szCs w:val="21"/>
                      <w:highlight w:val="none"/>
                      <w:lang w:val="en-US" w:eastAsia="zh-CN"/>
                    </w:rPr>
                    <w:t>/d</w:t>
                  </w:r>
                </w:p>
              </w:tc>
              <w:tc>
                <w:tcPr>
                  <w:tcW w:w="508"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1.33</w:t>
                  </w:r>
                  <w:r>
                    <w:rPr>
                      <w:rFonts w:hint="default" w:cs="Times New Roman"/>
                      <w:b w:val="0"/>
                      <w:bCs/>
                      <w:color w:val="auto"/>
                      <w:kern w:val="1"/>
                      <w:szCs w:val="21"/>
                      <w:highlight w:val="none"/>
                      <w:lang w:val="en-US" w:eastAsia="zh-CN"/>
                    </w:rPr>
                    <w:t>t/a</w:t>
                  </w:r>
                </w:p>
              </w:tc>
              <w:tc>
                <w:tcPr>
                  <w:tcW w:w="538"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205920</w:t>
                  </w:r>
                  <w:r>
                    <w:rPr>
                      <w:rFonts w:hint="eastAsia" w:ascii="Times New Roman" w:hAnsi="Times New Roman" w:eastAsia="宋体" w:cs="Times New Roman"/>
                      <w:b w:val="0"/>
                      <w:bCs/>
                      <w:color w:val="auto"/>
                      <w:kern w:val="1"/>
                      <w:szCs w:val="21"/>
                      <w:highlight w:val="none"/>
                      <w:lang w:val="en-US" w:eastAsia="zh-CN"/>
                    </w:rPr>
                    <w:t>t/a</w:t>
                  </w:r>
                </w:p>
              </w:tc>
              <w:tc>
                <w:tcPr>
                  <w:tcW w:w="1041" w:type="pct"/>
                  <w:vMerge w:val="continue"/>
                  <w:tcBorders>
                    <w:tl2br w:val="nil"/>
                    <w:tr2bl w:val="nil"/>
                  </w:tcBorders>
                  <w:noWrap w:val="0"/>
                  <w:vAlign w:val="center"/>
                </w:tcPr>
                <w:p>
                  <w:pPr>
                    <w:adjustRightInd w:val="0"/>
                    <w:snapToGrid w:val="0"/>
                    <w:jc w:val="center"/>
                    <w:rPr>
                      <w:rFonts w:hint="eastAsia" w:cs="Times New Roman"/>
                      <w:b w:val="0"/>
                      <w:bCs/>
                      <w:color w:val="auto"/>
                      <w:kern w:val="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5"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default" w:ascii="Times New Roman" w:hAnsi="Times New Roman" w:eastAsia="宋体" w:cs="Times New Roman"/>
                      <w:b w:val="0"/>
                      <w:bCs/>
                      <w:color w:val="auto"/>
                      <w:kern w:val="1"/>
                      <w:szCs w:val="21"/>
                      <w:highlight w:val="none"/>
                      <w:lang w:val="en-US" w:eastAsia="zh-CN"/>
                    </w:rPr>
                    <w:t>漓源供热点</w:t>
                  </w:r>
                </w:p>
              </w:tc>
              <w:tc>
                <w:tcPr>
                  <w:tcW w:w="568"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 w:val="21"/>
                      <w:szCs w:val="21"/>
                      <w:highlight w:val="none"/>
                      <w:lang w:val="en-US" w:eastAsia="zh-CN" w:bidi="ar-SA"/>
                    </w:rPr>
                  </w:pPr>
                  <w:r>
                    <w:rPr>
                      <w:rFonts w:hint="default" w:cs="Times New Roman"/>
                      <w:b w:val="0"/>
                      <w:bCs/>
                      <w:color w:val="auto"/>
                      <w:kern w:val="1"/>
                      <w:szCs w:val="21"/>
                      <w:highlight w:val="none"/>
                      <w:lang w:val="en-US" w:eastAsia="zh-CN"/>
                    </w:rPr>
                    <w:t>6766.9t/a</w:t>
                  </w:r>
                </w:p>
              </w:tc>
              <w:tc>
                <w:tcPr>
                  <w:tcW w:w="620" w:type="pct"/>
                  <w:tcBorders>
                    <w:tl2br w:val="nil"/>
                    <w:tr2bl w:val="nil"/>
                  </w:tcBorders>
                  <w:noWrap w:val="0"/>
                  <w:vAlign w:val="center"/>
                </w:tcPr>
                <w:p>
                  <w:pPr>
                    <w:adjustRightInd w:val="0"/>
                    <w:snapToGrid w:val="0"/>
                    <w:jc w:val="center"/>
                    <w:rPr>
                      <w:rFonts w:hint="default" w:ascii="Times New Roman" w:hAnsi="Times New Roman" w:cs="Times New Roman"/>
                      <w:b w:val="0"/>
                      <w:bCs/>
                      <w:color w:val="auto"/>
                      <w:kern w:val="1"/>
                      <w:szCs w:val="21"/>
                      <w:highlight w:val="none"/>
                      <w:lang w:val="en-US" w:eastAsia="zh-CN"/>
                    </w:rPr>
                  </w:pPr>
                  <w:r>
                    <w:rPr>
                      <w:rFonts w:hint="eastAsia" w:ascii="Times New Roman" w:hAnsi="Times New Roman" w:cs="Times New Roman"/>
                      <w:b w:val="0"/>
                      <w:bCs/>
                      <w:color w:val="auto"/>
                      <w:kern w:val="1"/>
                      <w:szCs w:val="21"/>
                      <w:highlight w:val="none"/>
                      <w:lang w:val="en-US" w:eastAsia="zh-CN"/>
                    </w:rPr>
                    <w:t>17028</w:t>
                  </w:r>
                  <w:r>
                    <w:rPr>
                      <w:rFonts w:hint="default" w:cs="Times New Roman"/>
                      <w:b w:val="0"/>
                      <w:bCs/>
                      <w:color w:val="auto"/>
                      <w:kern w:val="1"/>
                      <w:szCs w:val="21"/>
                      <w:highlight w:val="none"/>
                      <w:lang w:val="en-US" w:eastAsia="zh-CN"/>
                    </w:rPr>
                    <w:t>t/a</w:t>
                  </w:r>
                </w:p>
                <w:p>
                  <w:pPr>
                    <w:adjustRightInd w:val="0"/>
                    <w:snapToGrid w:val="0"/>
                    <w:jc w:val="center"/>
                    <w:rPr>
                      <w:rFonts w:hint="default" w:ascii="Times New Roman" w:hAnsi="Times New Roman" w:cs="Times New Roman"/>
                      <w:b w:val="0"/>
                      <w:bCs/>
                      <w:color w:val="auto"/>
                      <w:kern w:val="1"/>
                      <w:szCs w:val="21"/>
                      <w:highlight w:val="none"/>
                      <w:lang w:val="en-US" w:eastAsia="zh-CN"/>
                    </w:rPr>
                  </w:pPr>
                  <w:r>
                    <w:rPr>
                      <w:rFonts w:hint="eastAsia" w:ascii="Times New Roman" w:hAnsi="Times New Roman" w:cs="Times New Roman"/>
                      <w:b w:val="0"/>
                      <w:bCs/>
                      <w:color w:val="auto"/>
                      <w:kern w:val="1"/>
                      <w:szCs w:val="21"/>
                      <w:highlight w:val="none"/>
                      <w:lang w:val="en-US" w:eastAsia="zh-CN"/>
                    </w:rPr>
                    <w:t>51.6</w:t>
                  </w:r>
                  <w:r>
                    <w:rPr>
                      <w:rFonts w:hint="default" w:ascii="Times New Roman" w:hAnsi="Times New Roman" w:cs="Times New Roman"/>
                      <w:b w:val="0"/>
                      <w:bCs/>
                      <w:color w:val="auto"/>
                      <w:kern w:val="1"/>
                      <w:szCs w:val="21"/>
                      <w:highlight w:val="none"/>
                      <w:lang w:val="en-US" w:eastAsia="zh-CN"/>
                    </w:rPr>
                    <w:t>m³</w:t>
                  </w:r>
                  <w:r>
                    <w:rPr>
                      <w:rFonts w:hint="eastAsia" w:cs="Times New Roman"/>
                      <w:b w:val="0"/>
                      <w:bCs/>
                      <w:color w:val="auto"/>
                      <w:kern w:val="1"/>
                      <w:szCs w:val="21"/>
                      <w:highlight w:val="none"/>
                      <w:lang w:val="en-US" w:eastAsia="zh-CN"/>
                    </w:rPr>
                    <w:t>/d</w:t>
                  </w:r>
                </w:p>
              </w:tc>
              <w:tc>
                <w:tcPr>
                  <w:tcW w:w="658"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656.4</w:t>
                  </w:r>
                  <w:r>
                    <w:rPr>
                      <w:rFonts w:hint="default" w:cs="Times New Roman"/>
                      <w:b w:val="0"/>
                      <w:bCs/>
                      <w:color w:val="auto"/>
                      <w:kern w:val="1"/>
                      <w:szCs w:val="21"/>
                      <w:highlight w:val="none"/>
                      <w:lang w:val="en-US" w:eastAsia="zh-CN"/>
                    </w:rPr>
                    <w:t>t/a</w:t>
                  </w:r>
                </w:p>
                <w:p>
                  <w:pPr>
                    <w:adjustRightInd w:val="0"/>
                    <w:snapToGrid w:val="0"/>
                    <w:jc w:val="center"/>
                    <w:rPr>
                      <w:rFonts w:hint="eastAsia" w:ascii="Times New Roman" w:hAnsi="Times New Roman" w:eastAsia="宋体" w:cs="Times New Roman"/>
                      <w:b w:val="0"/>
                      <w:bCs/>
                      <w:color w:val="auto"/>
                      <w:kern w:val="1"/>
                      <w:sz w:val="21"/>
                      <w:szCs w:val="21"/>
                      <w:highlight w:val="none"/>
                      <w:lang w:val="en-US" w:eastAsia="zh-CN" w:bidi="ar-SA"/>
                    </w:rPr>
                  </w:pPr>
                  <w:r>
                    <w:rPr>
                      <w:rFonts w:hint="eastAsia" w:ascii="Times New Roman" w:hAnsi="Times New Roman" w:cs="Times New Roman"/>
                      <w:b w:val="0"/>
                      <w:bCs/>
                      <w:color w:val="auto"/>
                      <w:kern w:val="1"/>
                      <w:szCs w:val="21"/>
                      <w:highlight w:val="none"/>
                      <w:lang w:val="en-US" w:eastAsia="zh-CN"/>
                    </w:rPr>
                    <w:t>1.0</w:t>
                  </w:r>
                  <w:r>
                    <w:rPr>
                      <w:rFonts w:hint="default" w:ascii="Times New Roman" w:hAnsi="Times New Roman" w:cs="Times New Roman"/>
                      <w:b w:val="0"/>
                      <w:bCs/>
                      <w:color w:val="auto"/>
                      <w:kern w:val="1"/>
                      <w:szCs w:val="21"/>
                      <w:highlight w:val="none"/>
                      <w:lang w:val="en-US" w:eastAsia="zh-CN"/>
                    </w:rPr>
                    <w:t>m³</w:t>
                  </w:r>
                  <w:r>
                    <w:rPr>
                      <w:rFonts w:hint="eastAsia" w:cs="Times New Roman"/>
                      <w:b w:val="0"/>
                      <w:bCs/>
                      <w:color w:val="auto"/>
                      <w:kern w:val="1"/>
                      <w:szCs w:val="21"/>
                      <w:highlight w:val="none"/>
                      <w:lang w:val="en-US" w:eastAsia="zh-CN"/>
                    </w:rPr>
                    <w:t>/d</w:t>
                  </w:r>
                </w:p>
              </w:tc>
              <w:tc>
                <w:tcPr>
                  <w:tcW w:w="628"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1752.6</w:t>
                  </w:r>
                  <w:r>
                    <w:rPr>
                      <w:rFonts w:hint="default" w:cs="Times New Roman"/>
                      <w:b w:val="0"/>
                      <w:bCs/>
                      <w:color w:val="auto"/>
                      <w:kern w:val="1"/>
                      <w:szCs w:val="21"/>
                      <w:highlight w:val="none"/>
                      <w:lang w:val="en-US" w:eastAsia="zh-CN"/>
                    </w:rPr>
                    <w:t>t/a</w:t>
                  </w:r>
                </w:p>
                <w:p>
                  <w:pPr>
                    <w:adjustRightInd w:val="0"/>
                    <w:snapToGrid w:val="0"/>
                    <w:jc w:val="center"/>
                    <w:rPr>
                      <w:rFonts w:hint="eastAsia" w:ascii="Times New Roman" w:hAnsi="Times New Roman" w:cs="Times New Roman"/>
                      <w:b w:val="0"/>
                      <w:bCs/>
                      <w:color w:val="auto"/>
                      <w:kern w:val="1"/>
                      <w:szCs w:val="21"/>
                      <w:highlight w:val="none"/>
                      <w:lang w:val="en-US" w:eastAsia="zh-CN"/>
                    </w:rPr>
                  </w:pPr>
                  <w:r>
                    <w:rPr>
                      <w:rFonts w:hint="eastAsia" w:ascii="Times New Roman" w:hAnsi="Times New Roman" w:cs="Times New Roman"/>
                      <w:b w:val="0"/>
                      <w:bCs/>
                      <w:color w:val="auto"/>
                      <w:kern w:val="1"/>
                      <w:szCs w:val="21"/>
                      <w:highlight w:val="none"/>
                      <w:lang w:val="en-US" w:eastAsia="zh-CN"/>
                    </w:rPr>
                    <w:t>2.6</w:t>
                  </w:r>
                  <w:r>
                    <w:rPr>
                      <w:rFonts w:hint="default" w:ascii="Times New Roman" w:hAnsi="Times New Roman" w:cs="Times New Roman"/>
                      <w:b w:val="0"/>
                      <w:bCs/>
                      <w:color w:val="auto"/>
                      <w:kern w:val="1"/>
                      <w:szCs w:val="21"/>
                      <w:highlight w:val="none"/>
                      <w:lang w:val="en-US" w:eastAsia="zh-CN"/>
                    </w:rPr>
                    <w:t>m³</w:t>
                  </w:r>
                  <w:r>
                    <w:rPr>
                      <w:rFonts w:hint="eastAsia" w:cs="Times New Roman"/>
                      <w:b w:val="0"/>
                      <w:bCs/>
                      <w:color w:val="auto"/>
                      <w:kern w:val="1"/>
                      <w:szCs w:val="21"/>
                      <w:highlight w:val="none"/>
                      <w:lang w:val="en-US" w:eastAsia="zh-CN"/>
                    </w:rPr>
                    <w:t>/d</w:t>
                  </w:r>
                </w:p>
              </w:tc>
              <w:tc>
                <w:tcPr>
                  <w:tcW w:w="508"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0.2</w:t>
                  </w:r>
                  <w:r>
                    <w:rPr>
                      <w:rFonts w:hint="default" w:cs="Times New Roman"/>
                      <w:b w:val="0"/>
                      <w:bCs/>
                      <w:color w:val="auto"/>
                      <w:kern w:val="1"/>
                      <w:szCs w:val="21"/>
                      <w:highlight w:val="none"/>
                      <w:lang w:val="en-US" w:eastAsia="zh-CN"/>
                    </w:rPr>
                    <w:t>t/a</w:t>
                  </w:r>
                </w:p>
              </w:tc>
              <w:tc>
                <w:tcPr>
                  <w:tcW w:w="538"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15840t/a</w:t>
                  </w:r>
                </w:p>
              </w:tc>
              <w:tc>
                <w:tcPr>
                  <w:tcW w:w="1041" w:type="pct"/>
                  <w:vMerge w:val="continue"/>
                  <w:tcBorders>
                    <w:tl2br w:val="nil"/>
                    <w:tr2bl w:val="nil"/>
                  </w:tcBorders>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5"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合计</w:t>
                  </w:r>
                </w:p>
              </w:tc>
              <w:tc>
                <w:tcPr>
                  <w:tcW w:w="568"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93901.8</w:t>
                  </w:r>
                  <w:r>
                    <w:rPr>
                      <w:rFonts w:hint="default" w:cs="Times New Roman"/>
                      <w:b w:val="0"/>
                      <w:bCs/>
                      <w:color w:val="auto"/>
                      <w:kern w:val="1"/>
                      <w:szCs w:val="21"/>
                      <w:highlight w:val="none"/>
                      <w:lang w:val="en-US" w:eastAsia="zh-CN"/>
                    </w:rPr>
                    <w:t>t/a</w:t>
                  </w:r>
                </w:p>
              </w:tc>
              <w:tc>
                <w:tcPr>
                  <w:tcW w:w="620" w:type="pct"/>
                  <w:tcBorders>
                    <w:tl2br w:val="nil"/>
                    <w:tr2bl w:val="nil"/>
                  </w:tcBorders>
                  <w:noWrap w:val="0"/>
                  <w:vAlign w:val="center"/>
                </w:tcPr>
                <w:p>
                  <w:pPr>
                    <w:adjustRightInd w:val="0"/>
                    <w:snapToGrid w:val="0"/>
                    <w:jc w:val="center"/>
                    <w:rPr>
                      <w:rFonts w:hint="default" w:ascii="Times New Roman" w:hAnsi="Times New Roman" w:cs="Times New Roman"/>
                      <w:b w:val="0"/>
                      <w:bCs/>
                      <w:color w:val="auto"/>
                      <w:kern w:val="1"/>
                      <w:szCs w:val="21"/>
                      <w:highlight w:val="none"/>
                      <w:lang w:val="en-US" w:eastAsia="zh-CN"/>
                    </w:rPr>
                  </w:pPr>
                  <w:r>
                    <w:rPr>
                      <w:rFonts w:hint="eastAsia" w:ascii="Times New Roman" w:hAnsi="Times New Roman" w:cs="Times New Roman"/>
                      <w:b w:val="0"/>
                      <w:bCs/>
                      <w:color w:val="auto"/>
                      <w:kern w:val="1"/>
                      <w:szCs w:val="21"/>
                      <w:highlight w:val="none"/>
                      <w:lang w:val="en-US" w:eastAsia="zh-CN"/>
                    </w:rPr>
                    <w:t>451968</w:t>
                  </w:r>
                  <w:r>
                    <w:rPr>
                      <w:rFonts w:hint="default" w:cs="Times New Roman"/>
                      <w:b w:val="0"/>
                      <w:bCs/>
                      <w:color w:val="auto"/>
                      <w:kern w:val="1"/>
                      <w:szCs w:val="21"/>
                      <w:highlight w:val="none"/>
                      <w:lang w:val="en-US" w:eastAsia="zh-CN"/>
                    </w:rPr>
                    <w:t>t/a</w:t>
                  </w:r>
                </w:p>
                <w:p>
                  <w:pPr>
                    <w:adjustRightInd w:val="0"/>
                    <w:snapToGrid w:val="0"/>
                    <w:jc w:val="center"/>
                    <w:rPr>
                      <w:rFonts w:hint="default" w:ascii="Times New Roman" w:hAnsi="Times New Roman" w:cs="Times New Roman"/>
                      <w:b w:val="0"/>
                      <w:bCs/>
                      <w:color w:val="auto"/>
                      <w:kern w:val="1"/>
                      <w:szCs w:val="21"/>
                      <w:highlight w:val="none"/>
                      <w:lang w:val="en-US" w:eastAsia="zh-CN"/>
                    </w:rPr>
                  </w:pPr>
                  <w:r>
                    <w:rPr>
                      <w:rFonts w:hint="eastAsia" w:ascii="Times New Roman" w:hAnsi="Times New Roman" w:cs="Times New Roman"/>
                      <w:b w:val="0"/>
                      <w:bCs/>
                      <w:color w:val="auto"/>
                      <w:kern w:val="1"/>
                      <w:szCs w:val="21"/>
                      <w:highlight w:val="none"/>
                      <w:lang w:val="en-US" w:eastAsia="zh-CN"/>
                    </w:rPr>
                    <w:t>1369.6</w:t>
                  </w:r>
                  <w:r>
                    <w:rPr>
                      <w:rFonts w:hint="default" w:ascii="Times New Roman" w:hAnsi="Times New Roman" w:cs="Times New Roman"/>
                      <w:b w:val="0"/>
                      <w:bCs/>
                      <w:color w:val="auto"/>
                      <w:kern w:val="1"/>
                      <w:szCs w:val="21"/>
                      <w:highlight w:val="none"/>
                      <w:lang w:val="en-US" w:eastAsia="zh-CN"/>
                    </w:rPr>
                    <w:t>m³</w:t>
                  </w:r>
                  <w:r>
                    <w:rPr>
                      <w:rFonts w:hint="eastAsia" w:cs="Times New Roman"/>
                      <w:b w:val="0"/>
                      <w:bCs/>
                      <w:color w:val="auto"/>
                      <w:kern w:val="1"/>
                      <w:szCs w:val="21"/>
                      <w:highlight w:val="none"/>
                      <w:lang w:val="en-US" w:eastAsia="zh-CN"/>
                    </w:rPr>
                    <w:t>/d</w:t>
                  </w:r>
                </w:p>
              </w:tc>
              <w:tc>
                <w:tcPr>
                  <w:tcW w:w="658" w:type="pct"/>
                  <w:tcBorders>
                    <w:tl2br w:val="nil"/>
                    <w:tr2bl w:val="nil"/>
                  </w:tcBorders>
                  <w:noWrap w:val="0"/>
                  <w:vAlign w:val="center"/>
                </w:tcPr>
                <w:p>
                  <w:pPr>
                    <w:adjustRightInd w:val="0"/>
                    <w:snapToGrid w:val="0"/>
                    <w:jc w:val="center"/>
                    <w:rPr>
                      <w:rFonts w:hint="default" w:ascii="Times New Roman" w:hAnsi="Times New Roman" w:cs="Times New Roman"/>
                      <w:b w:val="0"/>
                      <w:bCs/>
                      <w:color w:val="auto"/>
                      <w:kern w:val="1"/>
                      <w:szCs w:val="21"/>
                      <w:highlight w:val="none"/>
                      <w:lang w:val="en-US" w:eastAsia="zh-CN"/>
                    </w:rPr>
                  </w:pPr>
                  <w:r>
                    <w:rPr>
                      <w:rFonts w:hint="eastAsia" w:ascii="Times New Roman" w:hAnsi="Times New Roman" w:cs="Times New Roman"/>
                      <w:b w:val="0"/>
                      <w:bCs/>
                      <w:color w:val="auto"/>
                      <w:kern w:val="1"/>
                      <w:szCs w:val="21"/>
                      <w:highlight w:val="none"/>
                      <w:lang w:val="en-US" w:eastAsia="zh-CN"/>
                    </w:rPr>
                    <w:t>/</w:t>
                  </w:r>
                </w:p>
              </w:tc>
              <w:tc>
                <w:tcPr>
                  <w:tcW w:w="628" w:type="pct"/>
                  <w:tcBorders>
                    <w:tl2br w:val="nil"/>
                    <w:tr2bl w:val="nil"/>
                  </w:tcBorders>
                  <w:noWrap w:val="0"/>
                  <w:vAlign w:val="center"/>
                </w:tcPr>
                <w:p>
                  <w:pPr>
                    <w:adjustRightInd w:val="0"/>
                    <w:snapToGrid w:val="0"/>
                    <w:jc w:val="center"/>
                    <w:rPr>
                      <w:rFonts w:hint="default" w:ascii="Times New Roman" w:hAnsi="Times New Roman" w:cs="Times New Roman"/>
                      <w:b w:val="0"/>
                      <w:bCs/>
                      <w:color w:val="auto"/>
                      <w:kern w:val="1"/>
                      <w:szCs w:val="21"/>
                      <w:highlight w:val="none"/>
                      <w:lang w:val="en-US" w:eastAsia="zh-CN"/>
                    </w:rPr>
                  </w:pPr>
                  <w:r>
                    <w:rPr>
                      <w:rFonts w:hint="eastAsia" w:ascii="Times New Roman" w:hAnsi="Times New Roman" w:cs="Times New Roman"/>
                      <w:b w:val="0"/>
                      <w:bCs/>
                      <w:color w:val="auto"/>
                      <w:kern w:val="1"/>
                      <w:szCs w:val="21"/>
                      <w:highlight w:val="none"/>
                      <w:lang w:val="en-US" w:eastAsia="zh-CN"/>
                    </w:rPr>
                    <w:t>/</w:t>
                  </w:r>
                </w:p>
              </w:tc>
              <w:tc>
                <w:tcPr>
                  <w:tcW w:w="508"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w:t>
                  </w:r>
                </w:p>
              </w:tc>
              <w:tc>
                <w:tcPr>
                  <w:tcW w:w="538"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419760t/a</w:t>
                  </w:r>
                </w:p>
              </w:tc>
              <w:tc>
                <w:tcPr>
                  <w:tcW w:w="1041" w:type="pct"/>
                  <w:tcBorders>
                    <w:tl2br w:val="nil"/>
                    <w:tr2bl w:val="nil"/>
                  </w:tcBorders>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p>
              </w:tc>
            </w:tr>
          </w:tbl>
          <w:p>
            <w:pPr>
              <w:autoSpaceDE w:val="0"/>
              <w:autoSpaceDN w:val="0"/>
              <w:adjustRightInd w:val="0"/>
              <w:spacing w:line="360" w:lineRule="auto"/>
              <w:ind w:firstLine="474" w:firstLineChars="197"/>
              <w:rPr>
                <w:rFonts w:hint="eastAsia" w:hAnsi="宋体" w:cs="Times New Roman"/>
                <w:b/>
                <w:bCs/>
                <w:color w:val="auto"/>
                <w:sz w:val="24"/>
                <w:highlight w:val="none"/>
                <w:lang w:val="en-US" w:eastAsia="zh-CN"/>
              </w:rPr>
            </w:pPr>
            <w:r>
              <w:rPr>
                <w:rFonts w:hint="eastAsia" w:hAnsi="宋体" w:cs="Times New Roman"/>
                <w:b/>
                <w:bCs/>
                <w:color w:val="auto"/>
                <w:sz w:val="24"/>
                <w:highlight w:val="none"/>
                <w:lang w:val="en-US" w:eastAsia="zh-CN"/>
              </w:rPr>
              <w:t>（2）生活污水</w:t>
            </w:r>
          </w:p>
          <w:p>
            <w:pPr>
              <w:autoSpaceDE w:val="0"/>
              <w:autoSpaceDN w:val="0"/>
              <w:adjustRightInd w:val="0"/>
              <w:spacing w:line="360" w:lineRule="auto"/>
              <w:ind w:firstLine="472" w:firstLineChars="197"/>
              <w:rPr>
                <w:rFonts w:hint="eastAsia" w:hAnsi="宋体" w:cs="Times New Roman"/>
                <w:color w:val="auto"/>
                <w:sz w:val="24"/>
                <w:highlight w:val="none"/>
                <w:lang w:val="en-US" w:eastAsia="zh-CN"/>
              </w:rPr>
            </w:pPr>
            <w:r>
              <w:rPr>
                <w:rFonts w:hint="eastAsia" w:hAnsi="宋体" w:cs="Times New Roman"/>
                <w:color w:val="auto"/>
                <w:sz w:val="24"/>
                <w:highlight w:val="none"/>
                <w:lang w:val="en-US" w:eastAsia="zh-CN"/>
              </w:rPr>
              <w:t>项目区内不设生活设施，项目员工均不在项目区内食宿，员工吃饭住宿均自行解决，如厕依托服务企业现有卫生间，产生的生活污水主要为洗手废水及冲厕废水，主要污染物为：pH值、COD、BOD</w:t>
            </w:r>
            <w:r>
              <w:rPr>
                <w:rFonts w:hint="eastAsia" w:hAnsi="宋体" w:cs="Times New Roman"/>
                <w:color w:val="auto"/>
                <w:sz w:val="24"/>
                <w:highlight w:val="none"/>
                <w:vertAlign w:val="subscript"/>
                <w:lang w:val="en-US" w:eastAsia="zh-CN"/>
              </w:rPr>
              <w:t>5</w:t>
            </w:r>
            <w:r>
              <w:rPr>
                <w:rFonts w:hint="eastAsia" w:hAnsi="宋体" w:cs="Times New Roman"/>
                <w:color w:val="auto"/>
                <w:sz w:val="24"/>
                <w:highlight w:val="none"/>
                <w:lang w:val="en-US" w:eastAsia="zh-CN"/>
              </w:rPr>
              <w:t>、氨氮、总氮、SS、总磷、动植物油。</w:t>
            </w:r>
          </w:p>
          <w:p>
            <w:pPr>
              <w:autoSpaceDE w:val="0"/>
              <w:autoSpaceDN w:val="0"/>
              <w:adjustRightInd w:val="0"/>
              <w:spacing w:line="360" w:lineRule="auto"/>
              <w:ind w:firstLine="472" w:firstLineChars="197"/>
              <w:rPr>
                <w:rFonts w:hint="eastAsia" w:hAnsi="宋体" w:cs="Times New Roman"/>
                <w:color w:val="auto"/>
                <w:sz w:val="24"/>
                <w:highlight w:val="none"/>
                <w:lang w:val="en-US" w:eastAsia="zh-CN"/>
              </w:rPr>
            </w:pPr>
            <w:r>
              <w:rPr>
                <w:rFonts w:hint="eastAsia" w:hAnsi="宋体" w:cs="Times New Roman"/>
                <w:color w:val="auto"/>
                <w:sz w:val="24"/>
                <w:highlight w:val="none"/>
                <w:lang w:val="en-US" w:eastAsia="zh-CN"/>
              </w:rPr>
              <w:t>海大供热点及特驱供热点生活设施依托昆明特驱饲料有限公司已建成的生活设施，产生的生活污水由昆明特驱饲料有限公司已建成并通过验收的一座5</w:t>
            </w:r>
            <w:r>
              <w:rPr>
                <w:rFonts w:hint="default" w:ascii="Times New Roman" w:hAnsi="Times New Roman" w:cs="Times New Roman"/>
                <w:color w:val="auto"/>
                <w:sz w:val="24"/>
                <w:highlight w:val="none"/>
                <w:lang w:val="en-US" w:eastAsia="zh-CN"/>
              </w:rPr>
              <w:t>m³/d</w:t>
            </w:r>
            <w:r>
              <w:rPr>
                <w:rFonts w:hint="eastAsia" w:hAnsi="宋体" w:cs="Times New Roman"/>
                <w:color w:val="auto"/>
                <w:sz w:val="24"/>
                <w:highlight w:val="none"/>
                <w:lang w:val="en-US" w:eastAsia="zh-CN"/>
              </w:rPr>
              <w:t>的一体化膜生物反应器处理。漓源供热点员工生活设施依托昆明漓源饲料有限公司已建成的生活设施，产生的生活污水由昆明漓源饲料有限公司已建成并通过验收的一座15</w:t>
            </w:r>
            <w:r>
              <w:rPr>
                <w:rFonts w:hint="default" w:ascii="Times New Roman" w:hAnsi="Times New Roman" w:cs="Times New Roman"/>
                <w:color w:val="auto"/>
                <w:sz w:val="24"/>
                <w:highlight w:val="none"/>
                <w:lang w:val="en-US" w:eastAsia="zh-CN"/>
              </w:rPr>
              <w:t>m³/d</w:t>
            </w:r>
            <w:r>
              <w:rPr>
                <w:rFonts w:hint="eastAsia" w:hAnsi="宋体" w:cs="Times New Roman"/>
                <w:color w:val="auto"/>
                <w:sz w:val="24"/>
                <w:highlight w:val="none"/>
                <w:lang w:val="en-US" w:eastAsia="zh-CN"/>
              </w:rPr>
              <w:t>一体化污水处理设施处理。</w:t>
            </w:r>
          </w:p>
          <w:p>
            <w:pPr>
              <w:autoSpaceDE w:val="0"/>
              <w:autoSpaceDN w:val="0"/>
              <w:adjustRightInd w:val="0"/>
              <w:spacing w:line="360" w:lineRule="auto"/>
              <w:ind w:firstLine="472" w:firstLineChars="197"/>
              <w:rPr>
                <w:rFonts w:hint="default" w:hAnsi="宋体" w:cs="Times New Roman"/>
                <w:color w:val="auto"/>
                <w:sz w:val="24"/>
                <w:highlight w:val="none"/>
                <w:lang w:val="en-US" w:eastAsia="zh-CN"/>
              </w:rPr>
            </w:pPr>
            <w:r>
              <w:rPr>
                <w:rFonts w:hint="eastAsia" w:hAnsi="宋体" w:cs="Times New Roman"/>
                <w:color w:val="auto"/>
                <w:sz w:val="24"/>
                <w:highlight w:val="none"/>
                <w:lang w:val="en-US" w:eastAsia="zh-CN"/>
              </w:rPr>
              <w:t>参考《云南省地方标准用水定额》（DB53/T168-2019）并结合生产实际，生活用水量按30L/（人·d）计，产污系数按80%计。经核算，项目3个供热点生活污水产排情况见下表。</w:t>
            </w:r>
          </w:p>
          <w:p>
            <w:pPr>
              <w:pStyle w:val="4"/>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表4-</w:t>
            </w:r>
            <w:r>
              <w:rPr>
                <w:rFonts w:hint="eastAsia" w:cs="Times New Roman"/>
                <w:b/>
                <w:bCs/>
                <w:color w:val="auto"/>
                <w:sz w:val="21"/>
                <w:szCs w:val="21"/>
                <w:highlight w:val="none"/>
                <w:lang w:val="en-US" w:eastAsia="zh-CN"/>
              </w:rPr>
              <w:t>9</w:t>
            </w:r>
            <w:r>
              <w:rPr>
                <w:rFonts w:hint="eastAsia" w:ascii="Times New Roman" w:hAnsi="Times New Roman" w:eastAsia="宋体" w:cs="Times New Roman"/>
                <w:b/>
                <w:bCs/>
                <w:color w:val="auto"/>
                <w:sz w:val="21"/>
                <w:szCs w:val="21"/>
                <w:highlight w:val="none"/>
                <w:lang w:val="en-US" w:eastAsia="zh-CN"/>
              </w:rPr>
              <w:t>项目运营期生活污水产排污情况一览表</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09"/>
              <w:gridCol w:w="717"/>
              <w:gridCol w:w="1246"/>
              <w:gridCol w:w="890"/>
              <w:gridCol w:w="955"/>
              <w:gridCol w:w="1035"/>
              <w:gridCol w:w="2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81" w:type="pct"/>
                  <w:tcBorders>
                    <w:tl2br w:val="nil"/>
                    <w:tr2bl w:val="nil"/>
                  </w:tcBorders>
                  <w:noWrap w:val="0"/>
                  <w:vAlign w:val="center"/>
                </w:tcPr>
                <w:p>
                  <w:pPr>
                    <w:adjustRightInd w:val="0"/>
                    <w:snapToGrid w:val="0"/>
                    <w:jc w:val="center"/>
                    <w:rPr>
                      <w:rFonts w:hint="eastAsia" w:ascii="Times New Roman" w:hAnsi="Times New Roman" w:eastAsia="宋体" w:cs="Times New Roman"/>
                      <w:b w:val="0"/>
                      <w:bCs/>
                      <w:color w:val="auto"/>
                      <w:kern w:val="1"/>
                      <w:sz w:val="21"/>
                      <w:szCs w:val="21"/>
                      <w:highlight w:val="none"/>
                      <w:lang w:val="en-US" w:eastAsia="zh-CN" w:bidi="ar-SA"/>
                    </w:rPr>
                  </w:pPr>
                  <w:r>
                    <w:rPr>
                      <w:rFonts w:hint="eastAsia" w:cs="Times New Roman"/>
                      <w:b w:val="0"/>
                      <w:bCs/>
                      <w:color w:val="auto"/>
                      <w:kern w:val="1"/>
                      <w:szCs w:val="21"/>
                      <w:highlight w:val="none"/>
                      <w:lang w:val="en-US" w:eastAsia="zh-CN"/>
                    </w:rPr>
                    <w:t>供热点</w:t>
                  </w:r>
                </w:p>
              </w:tc>
              <w:tc>
                <w:tcPr>
                  <w:tcW w:w="404"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 w:val="21"/>
                      <w:szCs w:val="21"/>
                      <w:highlight w:val="none"/>
                      <w:lang w:val="en-US" w:eastAsia="zh-CN" w:bidi="ar-SA"/>
                    </w:rPr>
                  </w:pPr>
                  <w:r>
                    <w:rPr>
                      <w:rFonts w:hint="eastAsia" w:ascii="Times New Roman" w:hAnsi="Times New Roman" w:eastAsia="宋体" w:cs="Times New Roman"/>
                      <w:b w:val="0"/>
                      <w:bCs/>
                      <w:color w:val="auto"/>
                      <w:kern w:val="1"/>
                      <w:sz w:val="21"/>
                      <w:szCs w:val="21"/>
                      <w:highlight w:val="none"/>
                      <w:lang w:val="en-US" w:eastAsia="zh-CN" w:bidi="ar-SA"/>
                    </w:rPr>
                    <w:t>用水人数</w:t>
                  </w:r>
                </w:p>
              </w:tc>
              <w:tc>
                <w:tcPr>
                  <w:tcW w:w="702"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 w:val="21"/>
                      <w:szCs w:val="21"/>
                      <w:highlight w:val="none"/>
                      <w:lang w:val="en-US" w:eastAsia="zh-CN" w:bidi="ar-SA"/>
                    </w:rPr>
                  </w:pPr>
                  <w:r>
                    <w:rPr>
                      <w:rFonts w:hint="default" w:ascii="Times New Roman" w:hAnsi="Times New Roman" w:eastAsia="宋体" w:cs="Times New Roman"/>
                      <w:b w:val="0"/>
                      <w:bCs/>
                      <w:color w:val="auto"/>
                      <w:kern w:val="1"/>
                      <w:sz w:val="21"/>
                      <w:szCs w:val="21"/>
                      <w:highlight w:val="none"/>
                      <w:lang w:val="en-US" w:eastAsia="zh-CN" w:bidi="ar-SA"/>
                    </w:rPr>
                    <w:t>用水定额</w:t>
                  </w:r>
                </w:p>
              </w:tc>
              <w:tc>
                <w:tcPr>
                  <w:tcW w:w="501"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 w:val="21"/>
                      <w:szCs w:val="21"/>
                      <w:highlight w:val="none"/>
                      <w:lang w:val="en-US" w:eastAsia="zh-CN" w:bidi="ar-SA"/>
                    </w:rPr>
                  </w:pPr>
                  <w:r>
                    <w:rPr>
                      <w:rFonts w:hint="eastAsia" w:ascii="Times New Roman" w:hAnsi="Times New Roman" w:eastAsia="宋体" w:cs="Times New Roman"/>
                      <w:b w:val="0"/>
                      <w:bCs/>
                      <w:color w:val="auto"/>
                      <w:kern w:val="1"/>
                      <w:sz w:val="21"/>
                      <w:szCs w:val="21"/>
                      <w:highlight w:val="none"/>
                      <w:lang w:val="en-US" w:eastAsia="zh-CN" w:bidi="ar-SA"/>
                    </w:rPr>
                    <w:t>用水量</w:t>
                  </w:r>
                </w:p>
              </w:tc>
              <w:tc>
                <w:tcPr>
                  <w:tcW w:w="538"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排污系数</w:t>
                  </w:r>
                </w:p>
              </w:tc>
              <w:tc>
                <w:tcPr>
                  <w:tcW w:w="583"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 w:val="21"/>
                      <w:szCs w:val="21"/>
                      <w:highlight w:val="none"/>
                      <w:lang w:val="en-US" w:eastAsia="zh-CN" w:bidi="ar-SA"/>
                    </w:rPr>
                    <w:t>污水量</w:t>
                  </w:r>
                </w:p>
              </w:tc>
              <w:tc>
                <w:tcPr>
                  <w:tcW w:w="1587"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 w:val="21"/>
                      <w:szCs w:val="21"/>
                      <w:highlight w:val="none"/>
                      <w:lang w:val="en-US" w:eastAsia="zh-CN" w:bidi="ar-SA"/>
                    </w:rPr>
                  </w:pPr>
                  <w:r>
                    <w:rPr>
                      <w:rFonts w:hint="eastAsia" w:cs="Times New Roman"/>
                      <w:b w:val="0"/>
                      <w:bCs/>
                      <w:color w:val="auto"/>
                      <w:kern w:val="1"/>
                      <w:sz w:val="21"/>
                      <w:szCs w:val="21"/>
                      <w:highlight w:val="none"/>
                      <w:lang w:val="en-US" w:eastAsia="zh-CN" w:bidi="ar-SA"/>
                    </w:rPr>
                    <w:t>处置去向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81"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default" w:ascii="Times New Roman" w:hAnsi="Times New Roman" w:eastAsia="宋体" w:cs="Times New Roman"/>
                      <w:b w:val="0"/>
                      <w:bCs/>
                      <w:color w:val="auto"/>
                      <w:kern w:val="1"/>
                      <w:szCs w:val="21"/>
                      <w:highlight w:val="none"/>
                      <w:lang w:val="en-US" w:eastAsia="zh-CN"/>
                    </w:rPr>
                    <w:t>海大供热点</w:t>
                  </w:r>
                </w:p>
              </w:tc>
              <w:tc>
                <w:tcPr>
                  <w:tcW w:w="404"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4人</w:t>
                  </w:r>
                </w:p>
              </w:tc>
              <w:tc>
                <w:tcPr>
                  <w:tcW w:w="702" w:type="pct"/>
                  <w:tcBorders>
                    <w:tl2br w:val="nil"/>
                    <w:tr2bl w:val="nil"/>
                  </w:tcBorders>
                  <w:noWrap w:val="0"/>
                  <w:vAlign w:val="center"/>
                </w:tcPr>
                <w:p>
                  <w:pPr>
                    <w:adjustRightInd w:val="0"/>
                    <w:snapToGrid w:val="0"/>
                    <w:jc w:val="center"/>
                    <w:rPr>
                      <w:rFonts w:hint="default" w:ascii="Times New Roman" w:hAnsi="Times New Roman" w:cs="Times New Roman"/>
                      <w:b w:val="0"/>
                      <w:bCs/>
                      <w:color w:val="auto"/>
                      <w:kern w:val="1"/>
                      <w:szCs w:val="21"/>
                      <w:highlight w:val="none"/>
                      <w:lang w:val="en-US" w:eastAsia="zh-CN"/>
                    </w:rPr>
                  </w:pPr>
                  <w:r>
                    <w:rPr>
                      <w:rFonts w:hint="eastAsia" w:ascii="Times New Roman" w:hAnsi="Times New Roman" w:cs="Times New Roman"/>
                      <w:b w:val="0"/>
                      <w:bCs/>
                      <w:color w:val="auto"/>
                      <w:kern w:val="1"/>
                      <w:szCs w:val="21"/>
                      <w:highlight w:val="none"/>
                      <w:lang w:val="en-US" w:eastAsia="zh-CN"/>
                    </w:rPr>
                    <w:t>30L/（人·d）</w:t>
                  </w:r>
                </w:p>
              </w:tc>
              <w:tc>
                <w:tcPr>
                  <w:tcW w:w="501"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 w:val="21"/>
                      <w:szCs w:val="21"/>
                      <w:highlight w:val="none"/>
                      <w:lang w:val="en-US" w:eastAsia="zh-CN" w:bidi="ar-SA"/>
                    </w:rPr>
                    <w:t>39.6</w:t>
                  </w:r>
                  <w:r>
                    <w:rPr>
                      <w:rFonts w:hint="default" w:cs="Times New Roman"/>
                      <w:b w:val="0"/>
                      <w:bCs/>
                      <w:color w:val="auto"/>
                      <w:kern w:val="1"/>
                      <w:szCs w:val="21"/>
                      <w:highlight w:val="none"/>
                      <w:lang w:val="en-US" w:eastAsia="zh-CN"/>
                    </w:rPr>
                    <w:t>t/a</w:t>
                  </w:r>
                </w:p>
                <w:p>
                  <w:pPr>
                    <w:adjustRightInd w:val="0"/>
                    <w:snapToGrid w:val="0"/>
                    <w:jc w:val="center"/>
                    <w:rPr>
                      <w:rFonts w:hint="eastAsia" w:ascii="Times New Roman" w:hAnsi="Times New Roman" w:eastAsia="宋体" w:cs="Times New Roman"/>
                      <w:b w:val="0"/>
                      <w:bCs/>
                      <w:color w:val="auto"/>
                      <w:kern w:val="1"/>
                      <w:sz w:val="21"/>
                      <w:szCs w:val="21"/>
                      <w:highlight w:val="none"/>
                      <w:lang w:val="en-US" w:eastAsia="zh-CN" w:bidi="ar-SA"/>
                    </w:rPr>
                  </w:pPr>
                  <w:r>
                    <w:rPr>
                      <w:rFonts w:hint="eastAsia" w:ascii="Times New Roman" w:hAnsi="Times New Roman" w:cs="Times New Roman"/>
                      <w:b w:val="0"/>
                      <w:bCs/>
                      <w:color w:val="auto"/>
                      <w:kern w:val="1"/>
                      <w:szCs w:val="21"/>
                      <w:highlight w:val="none"/>
                      <w:lang w:val="en-US" w:eastAsia="zh-CN"/>
                    </w:rPr>
                    <w:t>0.12</w:t>
                  </w:r>
                  <w:r>
                    <w:rPr>
                      <w:rFonts w:hint="default" w:ascii="Times New Roman" w:hAnsi="Times New Roman" w:cs="Times New Roman"/>
                      <w:b w:val="0"/>
                      <w:bCs/>
                      <w:color w:val="auto"/>
                      <w:kern w:val="1"/>
                      <w:szCs w:val="21"/>
                      <w:highlight w:val="none"/>
                      <w:lang w:val="en-US" w:eastAsia="zh-CN"/>
                    </w:rPr>
                    <w:t>m³</w:t>
                  </w:r>
                  <w:r>
                    <w:rPr>
                      <w:rFonts w:hint="eastAsia" w:cs="Times New Roman"/>
                      <w:b w:val="0"/>
                      <w:bCs/>
                      <w:color w:val="auto"/>
                      <w:kern w:val="1"/>
                      <w:szCs w:val="21"/>
                      <w:highlight w:val="none"/>
                      <w:lang w:val="en-US" w:eastAsia="zh-CN"/>
                    </w:rPr>
                    <w:t>/d</w:t>
                  </w:r>
                </w:p>
              </w:tc>
              <w:tc>
                <w:tcPr>
                  <w:tcW w:w="538"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0.8</w:t>
                  </w:r>
                </w:p>
              </w:tc>
              <w:tc>
                <w:tcPr>
                  <w:tcW w:w="583"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 w:val="21"/>
                      <w:szCs w:val="21"/>
                      <w:highlight w:val="none"/>
                      <w:lang w:val="en-US" w:eastAsia="zh-CN" w:bidi="ar-SA"/>
                    </w:rPr>
                    <w:t>31.68</w:t>
                  </w:r>
                  <w:r>
                    <w:rPr>
                      <w:rFonts w:hint="default" w:cs="Times New Roman"/>
                      <w:b w:val="0"/>
                      <w:bCs/>
                      <w:color w:val="auto"/>
                      <w:kern w:val="1"/>
                      <w:szCs w:val="21"/>
                      <w:highlight w:val="none"/>
                      <w:lang w:val="en-US" w:eastAsia="zh-CN"/>
                    </w:rPr>
                    <w:t>t/a</w:t>
                  </w:r>
                </w:p>
                <w:p>
                  <w:pPr>
                    <w:adjustRightInd w:val="0"/>
                    <w:snapToGrid w:val="0"/>
                    <w:jc w:val="center"/>
                    <w:rPr>
                      <w:rFonts w:hint="default" w:cs="Times New Roman"/>
                      <w:b w:val="0"/>
                      <w:bCs/>
                      <w:color w:val="auto"/>
                      <w:kern w:val="1"/>
                      <w:szCs w:val="21"/>
                      <w:highlight w:val="none"/>
                      <w:lang w:val="en-US" w:eastAsia="zh-CN"/>
                    </w:rPr>
                  </w:pPr>
                  <w:r>
                    <w:rPr>
                      <w:rFonts w:hint="eastAsia" w:ascii="Times New Roman" w:hAnsi="Times New Roman" w:cs="Times New Roman"/>
                      <w:b w:val="0"/>
                      <w:bCs/>
                      <w:color w:val="auto"/>
                      <w:kern w:val="1"/>
                      <w:szCs w:val="21"/>
                      <w:highlight w:val="none"/>
                      <w:lang w:val="en-US" w:eastAsia="zh-CN"/>
                    </w:rPr>
                    <w:t>0.096</w:t>
                  </w:r>
                  <w:r>
                    <w:rPr>
                      <w:rFonts w:hint="default" w:ascii="Times New Roman" w:hAnsi="Times New Roman" w:cs="Times New Roman"/>
                      <w:b w:val="0"/>
                      <w:bCs/>
                      <w:color w:val="auto"/>
                      <w:kern w:val="1"/>
                      <w:szCs w:val="21"/>
                      <w:highlight w:val="none"/>
                      <w:lang w:val="en-US" w:eastAsia="zh-CN"/>
                    </w:rPr>
                    <w:t>m³</w:t>
                  </w:r>
                  <w:r>
                    <w:rPr>
                      <w:rFonts w:hint="eastAsia" w:cs="Times New Roman"/>
                      <w:b w:val="0"/>
                      <w:bCs/>
                      <w:color w:val="auto"/>
                      <w:kern w:val="1"/>
                      <w:szCs w:val="21"/>
                      <w:highlight w:val="none"/>
                      <w:lang w:val="en-US" w:eastAsia="zh-CN"/>
                    </w:rPr>
                    <w:t>/d</w:t>
                  </w:r>
                </w:p>
              </w:tc>
              <w:tc>
                <w:tcPr>
                  <w:tcW w:w="1587"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 w:val="21"/>
                      <w:szCs w:val="21"/>
                      <w:highlight w:val="none"/>
                      <w:lang w:val="en-US" w:eastAsia="zh-CN" w:bidi="ar-SA"/>
                    </w:rPr>
                  </w:pPr>
                  <w:r>
                    <w:rPr>
                      <w:rFonts w:hint="eastAsia" w:ascii="Times New Roman" w:hAnsi="Times New Roman" w:eastAsia="宋体" w:cs="Times New Roman"/>
                      <w:b w:val="0"/>
                      <w:bCs/>
                      <w:color w:val="auto"/>
                      <w:kern w:val="1"/>
                      <w:sz w:val="21"/>
                      <w:szCs w:val="21"/>
                      <w:highlight w:val="none"/>
                      <w:lang w:val="en-US" w:eastAsia="zh-CN" w:bidi="ar-SA"/>
                    </w:rPr>
                    <w:t>经</w:t>
                  </w:r>
                  <w:r>
                    <w:rPr>
                      <w:rFonts w:hint="default" w:ascii="Times New Roman" w:hAnsi="Times New Roman" w:eastAsia="宋体" w:cs="Times New Roman"/>
                      <w:b w:val="0"/>
                      <w:bCs/>
                      <w:color w:val="auto"/>
                      <w:kern w:val="1"/>
                      <w:sz w:val="21"/>
                      <w:szCs w:val="21"/>
                      <w:highlight w:val="none"/>
                      <w:lang w:val="en-US" w:eastAsia="zh-CN" w:bidi="ar-SA"/>
                    </w:rPr>
                    <w:t>昆明特驱饲料有限公司一体化生活</w:t>
                  </w:r>
                  <w:r>
                    <w:rPr>
                      <w:rFonts w:hint="eastAsia" w:ascii="Times New Roman" w:hAnsi="Times New Roman" w:eastAsia="宋体" w:cs="Times New Roman"/>
                      <w:b w:val="0"/>
                      <w:bCs/>
                      <w:color w:val="auto"/>
                      <w:kern w:val="1"/>
                      <w:sz w:val="21"/>
                      <w:szCs w:val="21"/>
                      <w:highlight w:val="none"/>
                      <w:lang w:val="en-US" w:eastAsia="zh-CN" w:bidi="ar-SA"/>
                    </w:rPr>
                    <w:t>污水处理</w:t>
                  </w:r>
                  <w:r>
                    <w:rPr>
                      <w:rFonts w:hint="default" w:ascii="Times New Roman" w:hAnsi="Times New Roman" w:eastAsia="宋体" w:cs="Times New Roman"/>
                      <w:b w:val="0"/>
                      <w:bCs/>
                      <w:color w:val="auto"/>
                      <w:kern w:val="1"/>
                      <w:sz w:val="21"/>
                      <w:szCs w:val="21"/>
                      <w:highlight w:val="none"/>
                      <w:lang w:val="en-US" w:eastAsia="zh-CN" w:bidi="ar-SA"/>
                    </w:rPr>
                    <w:t>设施</w:t>
                  </w:r>
                  <w:r>
                    <w:rPr>
                      <w:rFonts w:hint="eastAsia" w:ascii="Times New Roman" w:hAnsi="Times New Roman" w:eastAsia="宋体" w:cs="Times New Roman"/>
                      <w:b w:val="0"/>
                      <w:bCs/>
                      <w:color w:val="auto"/>
                      <w:kern w:val="1"/>
                      <w:sz w:val="21"/>
                      <w:szCs w:val="21"/>
                      <w:highlight w:val="none"/>
                      <w:lang w:val="en-US" w:eastAsia="zh-CN" w:bidi="ar-SA"/>
                    </w:rPr>
                    <w:t>处理后，达到《城镇污水处理厂污染物排放标准》GB18918-2002表1中一级A标准后外排至园区污水管网，进入园区160</w:t>
                  </w:r>
                  <w:r>
                    <w:rPr>
                      <w:rFonts w:hint="default" w:ascii="Times New Roman" w:hAnsi="Times New Roman" w:cs="Times New Roman"/>
                      <w:b w:val="0"/>
                      <w:bCs/>
                      <w:color w:val="auto"/>
                      <w:kern w:val="1"/>
                      <w:szCs w:val="21"/>
                      <w:highlight w:val="none"/>
                      <w:lang w:val="en-US" w:eastAsia="zh-CN"/>
                    </w:rPr>
                    <w:t>m³</w:t>
                  </w:r>
                  <w:r>
                    <w:rPr>
                      <w:rFonts w:hint="eastAsia" w:ascii="Times New Roman" w:hAnsi="Times New Roman" w:eastAsia="宋体" w:cs="Times New Roman"/>
                      <w:b w:val="0"/>
                      <w:bCs/>
                      <w:color w:val="auto"/>
                      <w:kern w:val="1"/>
                      <w:sz w:val="21"/>
                      <w:szCs w:val="21"/>
                      <w:highlight w:val="none"/>
                      <w:lang w:val="en-US" w:eastAsia="zh-CN" w:bidi="ar-SA"/>
                    </w:rPr>
                    <w:t>污水收集池，用于园区绿化。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81"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default" w:ascii="Times New Roman" w:hAnsi="Times New Roman" w:eastAsia="宋体" w:cs="Times New Roman"/>
                      <w:b w:val="0"/>
                      <w:bCs/>
                      <w:color w:val="auto"/>
                      <w:kern w:val="1"/>
                      <w:szCs w:val="21"/>
                      <w:highlight w:val="none"/>
                      <w:lang w:val="en-US" w:eastAsia="zh-CN"/>
                    </w:rPr>
                    <w:t>特驱供热点</w:t>
                  </w:r>
                </w:p>
              </w:tc>
              <w:tc>
                <w:tcPr>
                  <w:tcW w:w="404"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 w:val="21"/>
                      <w:szCs w:val="21"/>
                      <w:highlight w:val="none"/>
                      <w:lang w:val="en-US" w:eastAsia="zh-CN" w:bidi="ar-SA"/>
                    </w:rPr>
                  </w:pPr>
                  <w:r>
                    <w:rPr>
                      <w:rFonts w:hint="eastAsia" w:cs="Times New Roman"/>
                      <w:b w:val="0"/>
                      <w:bCs/>
                      <w:color w:val="auto"/>
                      <w:kern w:val="1"/>
                      <w:szCs w:val="21"/>
                      <w:highlight w:val="none"/>
                      <w:lang w:val="en-US" w:eastAsia="zh-CN"/>
                    </w:rPr>
                    <w:t>4人</w:t>
                  </w:r>
                </w:p>
              </w:tc>
              <w:tc>
                <w:tcPr>
                  <w:tcW w:w="702" w:type="pct"/>
                  <w:tcBorders>
                    <w:tl2br w:val="nil"/>
                    <w:tr2bl w:val="nil"/>
                  </w:tcBorders>
                  <w:noWrap w:val="0"/>
                  <w:vAlign w:val="center"/>
                </w:tcPr>
                <w:p>
                  <w:pPr>
                    <w:adjustRightInd w:val="0"/>
                    <w:snapToGrid w:val="0"/>
                    <w:jc w:val="center"/>
                    <w:rPr>
                      <w:rFonts w:hint="default" w:ascii="Times New Roman" w:hAnsi="Times New Roman" w:cs="Times New Roman"/>
                      <w:b w:val="0"/>
                      <w:bCs/>
                      <w:color w:val="auto"/>
                      <w:kern w:val="1"/>
                      <w:szCs w:val="21"/>
                      <w:highlight w:val="none"/>
                      <w:lang w:val="en-US" w:eastAsia="zh-CN"/>
                    </w:rPr>
                  </w:pPr>
                  <w:r>
                    <w:rPr>
                      <w:rFonts w:hint="eastAsia" w:ascii="Times New Roman" w:hAnsi="Times New Roman" w:cs="Times New Roman"/>
                      <w:b w:val="0"/>
                      <w:bCs/>
                      <w:color w:val="auto"/>
                      <w:kern w:val="1"/>
                      <w:szCs w:val="21"/>
                      <w:highlight w:val="none"/>
                      <w:lang w:val="en-US" w:eastAsia="zh-CN"/>
                    </w:rPr>
                    <w:t>30L/（人·d）</w:t>
                  </w:r>
                </w:p>
              </w:tc>
              <w:tc>
                <w:tcPr>
                  <w:tcW w:w="501"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 w:val="21"/>
                      <w:szCs w:val="21"/>
                      <w:highlight w:val="none"/>
                      <w:lang w:val="en-US" w:eastAsia="zh-CN" w:bidi="ar-SA"/>
                    </w:rPr>
                    <w:t>39.6</w:t>
                  </w:r>
                  <w:r>
                    <w:rPr>
                      <w:rFonts w:hint="default" w:cs="Times New Roman"/>
                      <w:b w:val="0"/>
                      <w:bCs/>
                      <w:color w:val="auto"/>
                      <w:kern w:val="1"/>
                      <w:szCs w:val="21"/>
                      <w:highlight w:val="none"/>
                      <w:lang w:val="en-US" w:eastAsia="zh-CN"/>
                    </w:rPr>
                    <w:t>t/a</w:t>
                  </w:r>
                </w:p>
                <w:p>
                  <w:pPr>
                    <w:adjustRightInd w:val="0"/>
                    <w:snapToGrid w:val="0"/>
                    <w:jc w:val="center"/>
                    <w:rPr>
                      <w:rFonts w:hint="eastAsia" w:ascii="Times New Roman" w:hAnsi="Times New Roman" w:eastAsia="宋体" w:cs="Times New Roman"/>
                      <w:b w:val="0"/>
                      <w:bCs/>
                      <w:color w:val="auto"/>
                      <w:kern w:val="1"/>
                      <w:sz w:val="21"/>
                      <w:szCs w:val="21"/>
                      <w:highlight w:val="none"/>
                      <w:lang w:val="en-US" w:eastAsia="zh-CN" w:bidi="ar-SA"/>
                    </w:rPr>
                  </w:pPr>
                  <w:r>
                    <w:rPr>
                      <w:rFonts w:hint="eastAsia" w:ascii="Times New Roman" w:hAnsi="Times New Roman" w:cs="Times New Roman"/>
                      <w:b w:val="0"/>
                      <w:bCs/>
                      <w:color w:val="auto"/>
                      <w:kern w:val="1"/>
                      <w:szCs w:val="21"/>
                      <w:highlight w:val="none"/>
                      <w:lang w:val="en-US" w:eastAsia="zh-CN"/>
                    </w:rPr>
                    <w:t>0.12</w:t>
                  </w:r>
                  <w:r>
                    <w:rPr>
                      <w:rFonts w:hint="default" w:ascii="Times New Roman" w:hAnsi="Times New Roman" w:cs="Times New Roman"/>
                      <w:b w:val="0"/>
                      <w:bCs/>
                      <w:color w:val="auto"/>
                      <w:kern w:val="1"/>
                      <w:szCs w:val="21"/>
                      <w:highlight w:val="none"/>
                      <w:lang w:val="en-US" w:eastAsia="zh-CN"/>
                    </w:rPr>
                    <w:t>m³</w:t>
                  </w:r>
                  <w:r>
                    <w:rPr>
                      <w:rFonts w:hint="eastAsia" w:cs="Times New Roman"/>
                      <w:b w:val="0"/>
                      <w:bCs/>
                      <w:color w:val="auto"/>
                      <w:kern w:val="1"/>
                      <w:szCs w:val="21"/>
                      <w:highlight w:val="none"/>
                      <w:lang w:val="en-US" w:eastAsia="zh-CN"/>
                    </w:rPr>
                    <w:t>/d</w:t>
                  </w:r>
                </w:p>
              </w:tc>
              <w:tc>
                <w:tcPr>
                  <w:tcW w:w="538" w:type="pct"/>
                  <w:tcBorders>
                    <w:tl2br w:val="nil"/>
                    <w:tr2bl w:val="nil"/>
                  </w:tcBorders>
                  <w:noWrap w:val="0"/>
                  <w:vAlign w:val="center"/>
                </w:tcPr>
                <w:p>
                  <w:pPr>
                    <w:adjustRightInd w:val="0"/>
                    <w:snapToGrid w:val="0"/>
                    <w:jc w:val="center"/>
                    <w:rPr>
                      <w:rFonts w:hint="eastAsia"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0.8</w:t>
                  </w:r>
                </w:p>
              </w:tc>
              <w:tc>
                <w:tcPr>
                  <w:tcW w:w="583"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 w:val="21"/>
                      <w:szCs w:val="21"/>
                      <w:highlight w:val="none"/>
                      <w:lang w:val="en-US" w:eastAsia="zh-CN" w:bidi="ar-SA"/>
                    </w:rPr>
                    <w:t>31.68</w:t>
                  </w:r>
                  <w:r>
                    <w:rPr>
                      <w:rFonts w:hint="default" w:cs="Times New Roman"/>
                      <w:b w:val="0"/>
                      <w:bCs/>
                      <w:color w:val="auto"/>
                      <w:kern w:val="1"/>
                      <w:szCs w:val="21"/>
                      <w:highlight w:val="none"/>
                      <w:lang w:val="en-US" w:eastAsia="zh-CN"/>
                    </w:rPr>
                    <w:t>t/a</w:t>
                  </w:r>
                </w:p>
                <w:p>
                  <w:pPr>
                    <w:adjustRightInd w:val="0"/>
                    <w:snapToGrid w:val="0"/>
                    <w:jc w:val="center"/>
                    <w:rPr>
                      <w:rFonts w:hint="default" w:cs="Times New Roman"/>
                      <w:b w:val="0"/>
                      <w:bCs/>
                      <w:color w:val="auto"/>
                      <w:kern w:val="1"/>
                      <w:szCs w:val="21"/>
                      <w:highlight w:val="none"/>
                      <w:lang w:val="en-US" w:eastAsia="zh-CN"/>
                    </w:rPr>
                  </w:pPr>
                  <w:r>
                    <w:rPr>
                      <w:rFonts w:hint="eastAsia" w:ascii="Times New Roman" w:hAnsi="Times New Roman" w:cs="Times New Roman"/>
                      <w:b w:val="0"/>
                      <w:bCs/>
                      <w:color w:val="auto"/>
                      <w:kern w:val="1"/>
                      <w:szCs w:val="21"/>
                      <w:highlight w:val="none"/>
                      <w:lang w:val="en-US" w:eastAsia="zh-CN"/>
                    </w:rPr>
                    <w:t>0.096</w:t>
                  </w:r>
                  <w:r>
                    <w:rPr>
                      <w:rFonts w:hint="default" w:ascii="Times New Roman" w:hAnsi="Times New Roman" w:cs="Times New Roman"/>
                      <w:b w:val="0"/>
                      <w:bCs/>
                      <w:color w:val="auto"/>
                      <w:kern w:val="1"/>
                      <w:szCs w:val="21"/>
                      <w:highlight w:val="none"/>
                      <w:lang w:val="en-US" w:eastAsia="zh-CN"/>
                    </w:rPr>
                    <w:t>m³</w:t>
                  </w:r>
                  <w:r>
                    <w:rPr>
                      <w:rFonts w:hint="eastAsia" w:cs="Times New Roman"/>
                      <w:b w:val="0"/>
                      <w:bCs/>
                      <w:color w:val="auto"/>
                      <w:kern w:val="1"/>
                      <w:szCs w:val="21"/>
                      <w:highlight w:val="none"/>
                      <w:lang w:val="en-US" w:eastAsia="zh-CN"/>
                    </w:rPr>
                    <w:t>/d</w:t>
                  </w:r>
                </w:p>
              </w:tc>
              <w:tc>
                <w:tcPr>
                  <w:tcW w:w="1587" w:type="pct"/>
                  <w:vMerge w:val="continue"/>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81"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default" w:ascii="Times New Roman" w:hAnsi="Times New Roman" w:eastAsia="宋体" w:cs="Times New Roman"/>
                      <w:b w:val="0"/>
                      <w:bCs/>
                      <w:color w:val="auto"/>
                      <w:kern w:val="1"/>
                      <w:szCs w:val="21"/>
                      <w:highlight w:val="none"/>
                      <w:lang w:val="en-US" w:eastAsia="zh-CN"/>
                    </w:rPr>
                    <w:t>漓源供热点</w:t>
                  </w:r>
                </w:p>
              </w:tc>
              <w:tc>
                <w:tcPr>
                  <w:tcW w:w="404"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 w:val="21"/>
                      <w:szCs w:val="21"/>
                      <w:highlight w:val="none"/>
                      <w:lang w:val="en-US" w:eastAsia="zh-CN" w:bidi="ar-SA"/>
                    </w:rPr>
                  </w:pPr>
                  <w:r>
                    <w:rPr>
                      <w:rFonts w:hint="eastAsia" w:cs="Times New Roman"/>
                      <w:b w:val="0"/>
                      <w:bCs/>
                      <w:color w:val="auto"/>
                      <w:kern w:val="1"/>
                      <w:szCs w:val="21"/>
                      <w:highlight w:val="none"/>
                      <w:lang w:val="en-US" w:eastAsia="zh-CN"/>
                    </w:rPr>
                    <w:t>2人</w:t>
                  </w:r>
                </w:p>
              </w:tc>
              <w:tc>
                <w:tcPr>
                  <w:tcW w:w="702" w:type="pct"/>
                  <w:tcBorders>
                    <w:tl2br w:val="nil"/>
                    <w:tr2bl w:val="nil"/>
                  </w:tcBorders>
                  <w:noWrap w:val="0"/>
                  <w:vAlign w:val="center"/>
                </w:tcPr>
                <w:p>
                  <w:pPr>
                    <w:adjustRightInd w:val="0"/>
                    <w:snapToGrid w:val="0"/>
                    <w:jc w:val="center"/>
                    <w:rPr>
                      <w:rFonts w:hint="default" w:ascii="Times New Roman" w:hAnsi="Times New Roman" w:cs="Times New Roman"/>
                      <w:b w:val="0"/>
                      <w:bCs/>
                      <w:color w:val="auto"/>
                      <w:kern w:val="1"/>
                      <w:szCs w:val="21"/>
                      <w:highlight w:val="none"/>
                      <w:lang w:val="en-US" w:eastAsia="zh-CN"/>
                    </w:rPr>
                  </w:pPr>
                  <w:r>
                    <w:rPr>
                      <w:rFonts w:hint="eastAsia" w:ascii="Times New Roman" w:hAnsi="Times New Roman" w:cs="Times New Roman"/>
                      <w:b w:val="0"/>
                      <w:bCs/>
                      <w:color w:val="auto"/>
                      <w:kern w:val="1"/>
                      <w:szCs w:val="21"/>
                      <w:highlight w:val="none"/>
                      <w:lang w:val="en-US" w:eastAsia="zh-CN"/>
                    </w:rPr>
                    <w:t>30L/（人·d）</w:t>
                  </w:r>
                </w:p>
              </w:tc>
              <w:tc>
                <w:tcPr>
                  <w:tcW w:w="501"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19.8</w:t>
                  </w:r>
                  <w:r>
                    <w:rPr>
                      <w:rFonts w:hint="default" w:cs="Times New Roman"/>
                      <w:b w:val="0"/>
                      <w:bCs/>
                      <w:color w:val="auto"/>
                      <w:kern w:val="1"/>
                      <w:szCs w:val="21"/>
                      <w:highlight w:val="none"/>
                      <w:lang w:val="en-US" w:eastAsia="zh-CN"/>
                    </w:rPr>
                    <w:t>t/a</w:t>
                  </w:r>
                </w:p>
                <w:p>
                  <w:pPr>
                    <w:adjustRightInd w:val="0"/>
                    <w:snapToGrid w:val="0"/>
                    <w:jc w:val="center"/>
                    <w:rPr>
                      <w:rFonts w:hint="eastAsia" w:ascii="Times New Roman" w:hAnsi="Times New Roman" w:eastAsia="宋体" w:cs="Times New Roman"/>
                      <w:b w:val="0"/>
                      <w:bCs/>
                      <w:color w:val="auto"/>
                      <w:kern w:val="1"/>
                      <w:sz w:val="21"/>
                      <w:szCs w:val="21"/>
                      <w:highlight w:val="none"/>
                      <w:lang w:val="en-US" w:eastAsia="zh-CN" w:bidi="ar-SA"/>
                    </w:rPr>
                  </w:pPr>
                  <w:r>
                    <w:rPr>
                      <w:rFonts w:hint="eastAsia" w:ascii="Times New Roman" w:hAnsi="Times New Roman" w:cs="Times New Roman"/>
                      <w:b w:val="0"/>
                      <w:bCs/>
                      <w:color w:val="auto"/>
                      <w:kern w:val="1"/>
                      <w:szCs w:val="21"/>
                      <w:highlight w:val="none"/>
                      <w:lang w:val="en-US" w:eastAsia="zh-CN"/>
                    </w:rPr>
                    <w:t>0.06</w:t>
                  </w:r>
                  <w:r>
                    <w:rPr>
                      <w:rFonts w:hint="default" w:ascii="Times New Roman" w:hAnsi="Times New Roman" w:cs="Times New Roman"/>
                      <w:b w:val="0"/>
                      <w:bCs/>
                      <w:color w:val="auto"/>
                      <w:kern w:val="1"/>
                      <w:szCs w:val="21"/>
                      <w:highlight w:val="none"/>
                      <w:lang w:val="en-US" w:eastAsia="zh-CN"/>
                    </w:rPr>
                    <w:t>m³</w:t>
                  </w:r>
                  <w:r>
                    <w:rPr>
                      <w:rFonts w:hint="eastAsia" w:cs="Times New Roman"/>
                      <w:b w:val="0"/>
                      <w:bCs/>
                      <w:color w:val="auto"/>
                      <w:kern w:val="1"/>
                      <w:szCs w:val="21"/>
                      <w:highlight w:val="none"/>
                      <w:lang w:val="en-US" w:eastAsia="zh-CN"/>
                    </w:rPr>
                    <w:t>/d</w:t>
                  </w:r>
                </w:p>
              </w:tc>
              <w:tc>
                <w:tcPr>
                  <w:tcW w:w="538" w:type="pct"/>
                  <w:tcBorders>
                    <w:tl2br w:val="nil"/>
                    <w:tr2bl w:val="nil"/>
                  </w:tcBorders>
                  <w:noWrap w:val="0"/>
                  <w:vAlign w:val="center"/>
                </w:tcPr>
                <w:p>
                  <w:pPr>
                    <w:adjustRightInd w:val="0"/>
                    <w:snapToGrid w:val="0"/>
                    <w:jc w:val="center"/>
                    <w:rPr>
                      <w:rFonts w:hint="eastAsia" w:ascii="Times New Roman" w:hAnsi="Times New Roman"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0.8</w:t>
                  </w:r>
                </w:p>
              </w:tc>
              <w:tc>
                <w:tcPr>
                  <w:tcW w:w="583"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15.84</w:t>
                  </w:r>
                  <w:r>
                    <w:rPr>
                      <w:rFonts w:hint="default" w:cs="Times New Roman"/>
                      <w:b w:val="0"/>
                      <w:bCs/>
                      <w:color w:val="auto"/>
                      <w:kern w:val="1"/>
                      <w:szCs w:val="21"/>
                      <w:highlight w:val="none"/>
                      <w:lang w:val="en-US" w:eastAsia="zh-CN"/>
                    </w:rPr>
                    <w:t>t/a</w:t>
                  </w:r>
                </w:p>
                <w:p>
                  <w:pPr>
                    <w:adjustRightInd w:val="0"/>
                    <w:snapToGrid w:val="0"/>
                    <w:jc w:val="center"/>
                    <w:rPr>
                      <w:rFonts w:hint="default" w:cs="Times New Roman"/>
                      <w:b w:val="0"/>
                      <w:bCs/>
                      <w:color w:val="auto"/>
                      <w:kern w:val="1"/>
                      <w:szCs w:val="21"/>
                      <w:highlight w:val="none"/>
                      <w:lang w:val="en-US" w:eastAsia="zh-CN"/>
                    </w:rPr>
                  </w:pPr>
                  <w:r>
                    <w:rPr>
                      <w:rFonts w:hint="eastAsia" w:ascii="Times New Roman" w:hAnsi="Times New Roman" w:cs="Times New Roman"/>
                      <w:b w:val="0"/>
                      <w:bCs/>
                      <w:color w:val="auto"/>
                      <w:kern w:val="1"/>
                      <w:szCs w:val="21"/>
                      <w:highlight w:val="none"/>
                      <w:lang w:val="en-US" w:eastAsia="zh-CN"/>
                    </w:rPr>
                    <w:t>0.048</w:t>
                  </w:r>
                  <w:r>
                    <w:rPr>
                      <w:rFonts w:hint="default" w:ascii="Times New Roman" w:hAnsi="Times New Roman" w:cs="Times New Roman"/>
                      <w:b w:val="0"/>
                      <w:bCs/>
                      <w:color w:val="auto"/>
                      <w:kern w:val="1"/>
                      <w:szCs w:val="21"/>
                      <w:highlight w:val="none"/>
                      <w:lang w:val="en-US" w:eastAsia="zh-CN"/>
                    </w:rPr>
                    <w:t>m³</w:t>
                  </w:r>
                  <w:r>
                    <w:rPr>
                      <w:rFonts w:hint="eastAsia" w:cs="Times New Roman"/>
                      <w:b w:val="0"/>
                      <w:bCs/>
                      <w:color w:val="auto"/>
                      <w:kern w:val="1"/>
                      <w:szCs w:val="21"/>
                      <w:highlight w:val="none"/>
                      <w:lang w:val="en-US" w:eastAsia="zh-CN"/>
                    </w:rPr>
                    <w:t>/d</w:t>
                  </w:r>
                </w:p>
              </w:tc>
              <w:tc>
                <w:tcPr>
                  <w:tcW w:w="1587"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经</w:t>
                  </w:r>
                  <w:r>
                    <w:rPr>
                      <w:rFonts w:hint="default" w:cs="Times New Roman"/>
                      <w:b w:val="0"/>
                      <w:bCs/>
                      <w:color w:val="auto"/>
                      <w:kern w:val="1"/>
                      <w:szCs w:val="21"/>
                      <w:highlight w:val="none"/>
                      <w:lang w:val="en-US" w:eastAsia="zh-CN"/>
                    </w:rPr>
                    <w:t>昆明漓源饲料有限公司一体化污水处理设施</w:t>
                  </w:r>
                  <w:r>
                    <w:rPr>
                      <w:rFonts w:hint="eastAsia" w:cs="Times New Roman"/>
                      <w:b w:val="0"/>
                      <w:bCs/>
                      <w:color w:val="auto"/>
                      <w:kern w:val="1"/>
                      <w:szCs w:val="21"/>
                      <w:highlight w:val="none"/>
                      <w:lang w:val="en-US" w:eastAsia="zh-CN"/>
                    </w:rPr>
                    <w:t>处理后，</w:t>
                  </w:r>
                  <w:r>
                    <w:rPr>
                      <w:rFonts w:hint="eastAsia" w:ascii="Times New Roman" w:hAnsi="Times New Roman" w:eastAsia="宋体" w:cs="Times New Roman"/>
                      <w:b w:val="0"/>
                      <w:bCs/>
                      <w:color w:val="auto"/>
                      <w:kern w:val="1"/>
                      <w:sz w:val="21"/>
                      <w:szCs w:val="21"/>
                      <w:highlight w:val="none"/>
                      <w:lang w:val="en-US" w:eastAsia="zh-CN" w:bidi="ar-SA"/>
                    </w:rPr>
                    <w:t>达到《城镇污水处理厂污染物排放标准》GB18918-2002表1中一级A标准后外排至园区污水管网，进入园区160</w:t>
                  </w:r>
                  <w:r>
                    <w:rPr>
                      <w:rFonts w:hint="default" w:ascii="Times New Roman" w:hAnsi="Times New Roman" w:cs="Times New Roman"/>
                      <w:b w:val="0"/>
                      <w:bCs/>
                      <w:color w:val="auto"/>
                      <w:kern w:val="1"/>
                      <w:szCs w:val="21"/>
                      <w:highlight w:val="none"/>
                      <w:lang w:val="en-US" w:eastAsia="zh-CN"/>
                    </w:rPr>
                    <w:t>m³</w:t>
                  </w:r>
                  <w:r>
                    <w:rPr>
                      <w:rFonts w:hint="eastAsia" w:ascii="Times New Roman" w:hAnsi="Times New Roman" w:eastAsia="宋体" w:cs="Times New Roman"/>
                      <w:b w:val="0"/>
                      <w:bCs/>
                      <w:color w:val="auto"/>
                      <w:kern w:val="1"/>
                      <w:sz w:val="21"/>
                      <w:szCs w:val="21"/>
                      <w:highlight w:val="none"/>
                      <w:lang w:val="en-US" w:eastAsia="zh-CN" w:bidi="ar-SA"/>
                    </w:rPr>
                    <w:t>污水收集池，用于园区绿化。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81"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合计</w:t>
                  </w:r>
                </w:p>
              </w:tc>
              <w:tc>
                <w:tcPr>
                  <w:tcW w:w="404"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w:t>
                  </w:r>
                </w:p>
              </w:tc>
              <w:tc>
                <w:tcPr>
                  <w:tcW w:w="702" w:type="pct"/>
                  <w:tcBorders>
                    <w:tl2br w:val="nil"/>
                    <w:tr2bl w:val="nil"/>
                  </w:tcBorders>
                  <w:noWrap w:val="0"/>
                  <w:vAlign w:val="center"/>
                </w:tcPr>
                <w:p>
                  <w:pPr>
                    <w:adjustRightInd w:val="0"/>
                    <w:snapToGrid w:val="0"/>
                    <w:jc w:val="center"/>
                    <w:rPr>
                      <w:rFonts w:hint="default" w:ascii="Times New Roman" w:hAnsi="Times New Roman" w:cs="Times New Roman"/>
                      <w:b w:val="0"/>
                      <w:bCs/>
                      <w:color w:val="auto"/>
                      <w:kern w:val="1"/>
                      <w:szCs w:val="21"/>
                      <w:highlight w:val="none"/>
                      <w:lang w:val="en-US" w:eastAsia="zh-CN"/>
                    </w:rPr>
                  </w:pPr>
                  <w:r>
                    <w:rPr>
                      <w:rFonts w:hint="eastAsia" w:ascii="Times New Roman" w:hAnsi="Times New Roman" w:cs="Times New Roman"/>
                      <w:b w:val="0"/>
                      <w:bCs/>
                      <w:color w:val="auto"/>
                      <w:kern w:val="1"/>
                      <w:szCs w:val="21"/>
                      <w:highlight w:val="none"/>
                      <w:lang w:val="en-US" w:eastAsia="zh-CN"/>
                    </w:rPr>
                    <w:t>/</w:t>
                  </w:r>
                </w:p>
              </w:tc>
              <w:tc>
                <w:tcPr>
                  <w:tcW w:w="501"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ascii="Times New Roman" w:hAnsi="Times New Roman" w:cs="Times New Roman"/>
                      <w:b w:val="0"/>
                      <w:bCs/>
                      <w:color w:val="auto"/>
                      <w:kern w:val="1"/>
                      <w:szCs w:val="21"/>
                      <w:highlight w:val="none"/>
                      <w:lang w:val="en-US" w:eastAsia="zh-CN"/>
                    </w:rPr>
                    <w:t>99</w:t>
                  </w:r>
                  <w:r>
                    <w:rPr>
                      <w:rFonts w:hint="default" w:cs="Times New Roman"/>
                      <w:b w:val="0"/>
                      <w:bCs/>
                      <w:color w:val="auto"/>
                      <w:kern w:val="1"/>
                      <w:szCs w:val="21"/>
                      <w:highlight w:val="none"/>
                      <w:lang w:val="en-US" w:eastAsia="zh-CN"/>
                    </w:rPr>
                    <w:t>t/a</w:t>
                  </w:r>
                </w:p>
                <w:p>
                  <w:pPr>
                    <w:adjustRightInd w:val="0"/>
                    <w:snapToGrid w:val="0"/>
                    <w:jc w:val="center"/>
                    <w:rPr>
                      <w:rFonts w:hint="default" w:ascii="Times New Roman" w:hAnsi="Times New Roman" w:cs="Times New Roman"/>
                      <w:b w:val="0"/>
                      <w:bCs/>
                      <w:color w:val="auto"/>
                      <w:kern w:val="1"/>
                      <w:szCs w:val="21"/>
                      <w:highlight w:val="none"/>
                      <w:lang w:val="en-US" w:eastAsia="zh-CN"/>
                    </w:rPr>
                  </w:pPr>
                  <w:r>
                    <w:rPr>
                      <w:rFonts w:hint="eastAsia" w:ascii="Times New Roman" w:hAnsi="Times New Roman" w:cs="Times New Roman"/>
                      <w:b w:val="0"/>
                      <w:bCs/>
                      <w:color w:val="auto"/>
                      <w:kern w:val="1"/>
                      <w:szCs w:val="21"/>
                      <w:highlight w:val="none"/>
                      <w:lang w:val="en-US" w:eastAsia="zh-CN"/>
                    </w:rPr>
                    <w:t>0.3</w:t>
                  </w:r>
                  <w:r>
                    <w:rPr>
                      <w:rFonts w:hint="default" w:ascii="Times New Roman" w:hAnsi="Times New Roman" w:cs="Times New Roman"/>
                      <w:b w:val="0"/>
                      <w:bCs/>
                      <w:color w:val="auto"/>
                      <w:kern w:val="1"/>
                      <w:szCs w:val="21"/>
                      <w:highlight w:val="none"/>
                      <w:lang w:val="en-US" w:eastAsia="zh-CN"/>
                    </w:rPr>
                    <w:t>m³</w:t>
                  </w:r>
                  <w:r>
                    <w:rPr>
                      <w:rFonts w:hint="eastAsia" w:cs="Times New Roman"/>
                      <w:b w:val="0"/>
                      <w:bCs/>
                      <w:color w:val="auto"/>
                      <w:kern w:val="1"/>
                      <w:szCs w:val="21"/>
                      <w:highlight w:val="none"/>
                      <w:lang w:val="en-US" w:eastAsia="zh-CN"/>
                    </w:rPr>
                    <w:t>/d</w:t>
                  </w:r>
                </w:p>
              </w:tc>
              <w:tc>
                <w:tcPr>
                  <w:tcW w:w="538" w:type="pct"/>
                  <w:tcBorders>
                    <w:tl2br w:val="nil"/>
                    <w:tr2bl w:val="nil"/>
                  </w:tcBorders>
                  <w:noWrap w:val="0"/>
                  <w:vAlign w:val="center"/>
                </w:tcPr>
                <w:p>
                  <w:pPr>
                    <w:adjustRightInd w:val="0"/>
                    <w:snapToGrid w:val="0"/>
                    <w:jc w:val="center"/>
                    <w:rPr>
                      <w:rFonts w:hint="default" w:ascii="Times New Roman" w:hAnsi="Times New Roman" w:cs="Times New Roman"/>
                      <w:b w:val="0"/>
                      <w:bCs/>
                      <w:color w:val="auto"/>
                      <w:kern w:val="1"/>
                      <w:szCs w:val="21"/>
                      <w:highlight w:val="none"/>
                      <w:lang w:val="en-US" w:eastAsia="zh-CN"/>
                    </w:rPr>
                  </w:pPr>
                  <w:r>
                    <w:rPr>
                      <w:rFonts w:hint="eastAsia" w:ascii="Times New Roman" w:hAnsi="Times New Roman" w:cs="Times New Roman"/>
                      <w:b w:val="0"/>
                      <w:bCs/>
                      <w:color w:val="auto"/>
                      <w:kern w:val="1"/>
                      <w:szCs w:val="21"/>
                      <w:highlight w:val="none"/>
                      <w:lang w:val="en-US" w:eastAsia="zh-CN"/>
                    </w:rPr>
                    <w:t>/</w:t>
                  </w:r>
                </w:p>
              </w:tc>
              <w:tc>
                <w:tcPr>
                  <w:tcW w:w="583" w:type="pct"/>
                  <w:tcBorders>
                    <w:tl2br w:val="nil"/>
                    <w:tr2bl w:val="nil"/>
                  </w:tcBorders>
                  <w:noWrap w:val="0"/>
                  <w:vAlign w:val="center"/>
                </w:tcPr>
                <w:p>
                  <w:pPr>
                    <w:adjustRightInd w:val="0"/>
                    <w:snapToGrid w:val="0"/>
                    <w:jc w:val="center"/>
                    <w:rPr>
                      <w:rFonts w:hint="default" w:cs="Times New Roman"/>
                      <w:b w:val="0"/>
                      <w:bCs/>
                      <w:color w:val="auto"/>
                      <w:kern w:val="1"/>
                      <w:szCs w:val="21"/>
                      <w:highlight w:val="none"/>
                      <w:lang w:val="en-US" w:eastAsia="zh-CN"/>
                    </w:rPr>
                  </w:pPr>
                  <w:r>
                    <w:rPr>
                      <w:rFonts w:hint="eastAsia" w:cs="Times New Roman"/>
                      <w:b w:val="0"/>
                      <w:bCs/>
                      <w:color w:val="auto"/>
                      <w:kern w:val="1"/>
                      <w:szCs w:val="21"/>
                      <w:highlight w:val="none"/>
                      <w:lang w:val="en-US" w:eastAsia="zh-CN"/>
                    </w:rPr>
                    <w:t>/</w:t>
                  </w:r>
                </w:p>
              </w:tc>
              <w:tc>
                <w:tcPr>
                  <w:tcW w:w="1587"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w:t>
                  </w:r>
                </w:p>
              </w:tc>
            </w:tr>
          </w:tbl>
          <w:p>
            <w:pPr>
              <w:pStyle w:val="74"/>
              <w:pageBreakBefore w:val="0"/>
              <w:widowControl w:val="0"/>
              <w:numPr>
                <w:ilvl w:val="0"/>
                <w:numId w:val="0"/>
              </w:numPr>
              <w:kinsoku/>
              <w:wordWrap/>
              <w:overflowPunct/>
              <w:topLinePunct w:val="0"/>
              <w:autoSpaceDE/>
              <w:autoSpaceDN/>
              <w:bidi w:val="0"/>
              <w:adjustRightInd/>
              <w:snapToGrid/>
              <w:spacing w:before="0" w:beforeLines="0" w:after="0" w:afterLines="0"/>
              <w:ind w:leftChars="200"/>
              <w:textAlignment w:val="auto"/>
              <w:rPr>
                <w:rFonts w:hint="eastAsia" w:ascii="Times New Roman" w:hAnsi="Times New Roman" w:eastAsia="宋体" w:cs="Times New Roman"/>
                <w:b/>
                <w:bCs/>
                <w:color w:val="auto"/>
                <w:highlight w:val="none"/>
                <w:lang w:val="en-US" w:eastAsia="zh-CN"/>
              </w:rPr>
            </w:pPr>
            <w:r>
              <w:rPr>
                <w:rFonts w:hint="eastAsia" w:eastAsia="宋体" w:cs="Times New Roman"/>
                <w:b/>
                <w:bCs/>
                <w:color w:val="auto"/>
                <w:highlight w:val="none"/>
                <w:lang w:val="en-US" w:eastAsia="zh-CN"/>
              </w:rPr>
              <w:t>2、废水治理措施及影响分析</w:t>
            </w:r>
          </w:p>
          <w:p>
            <w:pPr>
              <w:spacing w:line="360" w:lineRule="auto"/>
              <w:ind w:firstLine="481" w:firstLineChars="200"/>
              <w:rPr>
                <w:rFonts w:hint="default"/>
                <w:b/>
                <w:bCs/>
                <w:color w:val="auto"/>
                <w:sz w:val="24"/>
                <w:highlight w:val="none"/>
                <w:lang w:val="en-US" w:eastAsia="zh-CN"/>
              </w:rPr>
            </w:pPr>
            <w:r>
              <w:rPr>
                <w:rFonts w:hint="eastAsia"/>
                <w:b/>
                <w:bCs/>
                <w:color w:val="auto"/>
                <w:sz w:val="24"/>
                <w:highlight w:val="none"/>
                <w:lang w:val="en-US" w:eastAsia="zh-CN"/>
              </w:rPr>
              <w:t>（1）锅炉排污水、软化处理废水处置的可行性分析</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软化处理废水、锅炉排污水经过管道接入烟气蒸器用于烟气降温，随烟气蒸发，不外排。烟气蒸发器的工作原理为：废水通过管道进入烟气蒸发器后，通过水泵加压，形成雾化小水滴，小水滴和锅炉燃烧产生的高温烟气（约130℃）接触，废水吸热变成水蒸汽，生物质锅炉燃烧产生的高温烟气变成低温饱和烟气（约60℃），废水就成水蒸汽随烟气排出了，实现废水零排。</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根据锅炉厂家及业主提供的资料，锅炉烟气温度为130℃，喷淋降温至60℃饱和烟气后排放，1N</w:t>
            </w:r>
            <w:r>
              <w:rPr>
                <w:rFonts w:hint="default" w:ascii="Times New Roman" w:hAnsi="Times New Roman" w:cs="Times New Roman"/>
                <w:color w:val="auto"/>
                <w:sz w:val="24"/>
                <w:highlight w:val="none"/>
                <w:lang w:val="en-US" w:eastAsia="zh-CN"/>
              </w:rPr>
              <w:t>m³</w:t>
            </w:r>
            <w:r>
              <w:rPr>
                <w:rFonts w:hint="eastAsia" w:ascii="Times New Roman" w:hAnsi="Times New Roman" w:eastAsia="宋体" w:cs="Times New Roman"/>
                <w:color w:val="auto"/>
                <w:sz w:val="24"/>
                <w:highlight w:val="none"/>
                <w:lang w:val="en-US" w:eastAsia="zh-CN"/>
              </w:rPr>
              <w:t>烟气需要喷淋0.194kg水。经核算，海大供热点需要喷淋水量为157.2</w:t>
            </w:r>
            <w:r>
              <w:rPr>
                <w:rFonts w:hint="default" w:ascii="Times New Roman" w:hAnsi="Times New Roman" w:cs="Times New Roman"/>
                <w:color w:val="auto"/>
                <w:sz w:val="24"/>
                <w:highlight w:val="none"/>
                <w:lang w:val="en-US" w:eastAsia="zh-CN"/>
              </w:rPr>
              <w:t>m³</w:t>
            </w:r>
            <w:r>
              <w:rPr>
                <w:rFonts w:hint="eastAsia" w:ascii="Times New Roman" w:hAnsi="Times New Roman" w:eastAsia="宋体" w:cs="Times New Roman"/>
                <w:color w:val="auto"/>
                <w:sz w:val="24"/>
                <w:highlight w:val="none"/>
                <w:lang w:val="en-US" w:eastAsia="zh-CN"/>
              </w:rPr>
              <w:t>/d，漓源供热点需要喷淋水量为162.5</w:t>
            </w:r>
            <w:r>
              <w:rPr>
                <w:rFonts w:hint="default" w:ascii="Times New Roman" w:hAnsi="Times New Roman" w:cs="Times New Roman"/>
                <w:color w:val="auto"/>
                <w:sz w:val="24"/>
                <w:highlight w:val="none"/>
                <w:lang w:val="en-US" w:eastAsia="zh-CN"/>
              </w:rPr>
              <w:t>m³</w:t>
            </w:r>
            <w:r>
              <w:rPr>
                <w:rFonts w:hint="eastAsia" w:ascii="Times New Roman" w:hAnsi="Times New Roman" w:eastAsia="宋体" w:cs="Times New Roman"/>
                <w:color w:val="auto"/>
                <w:sz w:val="24"/>
                <w:highlight w:val="none"/>
                <w:lang w:val="en-US" w:eastAsia="zh-CN"/>
              </w:rPr>
              <w:t>/d，特驱供热点需要喷淋水量为24.8</w:t>
            </w:r>
            <w:r>
              <w:rPr>
                <w:rFonts w:hint="default" w:ascii="Times New Roman" w:hAnsi="Times New Roman" w:cs="Times New Roman"/>
                <w:color w:val="auto"/>
                <w:sz w:val="24"/>
                <w:highlight w:val="none"/>
                <w:lang w:val="en-US" w:eastAsia="zh-CN"/>
              </w:rPr>
              <w:t>m³</w:t>
            </w:r>
            <w:r>
              <w:rPr>
                <w:rFonts w:hint="eastAsia" w:ascii="Times New Roman" w:hAnsi="Times New Roman" w:eastAsia="宋体" w:cs="Times New Roman"/>
                <w:color w:val="auto"/>
                <w:sz w:val="24"/>
                <w:highlight w:val="none"/>
                <w:lang w:val="en-US" w:eastAsia="zh-CN"/>
              </w:rPr>
              <w:t>/d。</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根据上文废水源强核算：海大供热点软化处理废水、锅炉排污水产生量为46.2</w:t>
            </w:r>
            <w:r>
              <w:rPr>
                <w:rFonts w:hint="default" w:ascii="Times New Roman" w:hAnsi="Times New Roman" w:cs="Times New Roman"/>
                <w:color w:val="auto"/>
                <w:sz w:val="24"/>
                <w:highlight w:val="none"/>
                <w:lang w:val="en-US" w:eastAsia="zh-CN"/>
              </w:rPr>
              <w:t>m³</w:t>
            </w:r>
            <w:r>
              <w:rPr>
                <w:rFonts w:hint="eastAsia" w:ascii="Times New Roman" w:hAnsi="Times New Roman" w:eastAsia="宋体" w:cs="Times New Roman"/>
                <w:color w:val="auto"/>
                <w:sz w:val="24"/>
                <w:highlight w:val="none"/>
                <w:lang w:val="en-US" w:eastAsia="zh-CN"/>
              </w:rPr>
              <w:t>/d；特驱供热点软化处理废水、锅炉排污水产生量为47.8</w:t>
            </w:r>
            <w:r>
              <w:rPr>
                <w:rFonts w:hint="default" w:ascii="Times New Roman" w:hAnsi="Times New Roman" w:cs="Times New Roman"/>
                <w:color w:val="auto"/>
                <w:sz w:val="24"/>
                <w:highlight w:val="none"/>
                <w:lang w:val="en-US" w:eastAsia="zh-CN"/>
              </w:rPr>
              <w:t>m³</w:t>
            </w:r>
            <w:r>
              <w:rPr>
                <w:rFonts w:hint="eastAsia" w:ascii="Times New Roman" w:hAnsi="Times New Roman" w:eastAsia="宋体" w:cs="Times New Roman"/>
                <w:color w:val="auto"/>
                <w:sz w:val="24"/>
                <w:highlight w:val="none"/>
                <w:lang w:val="en-US" w:eastAsia="zh-CN"/>
              </w:rPr>
              <w:t>/d；漓源供热点软化处理废水、锅炉排污水产生量为3.6</w:t>
            </w:r>
            <w:r>
              <w:rPr>
                <w:rFonts w:hint="default" w:ascii="Times New Roman" w:hAnsi="Times New Roman" w:cs="Times New Roman"/>
                <w:color w:val="auto"/>
                <w:sz w:val="24"/>
                <w:highlight w:val="none"/>
                <w:lang w:val="en-US" w:eastAsia="zh-CN"/>
              </w:rPr>
              <w:t>m³</w:t>
            </w:r>
            <w:r>
              <w:rPr>
                <w:rFonts w:hint="eastAsia" w:ascii="Times New Roman" w:hAnsi="Times New Roman" w:eastAsia="宋体" w:cs="Times New Roman"/>
                <w:color w:val="auto"/>
                <w:sz w:val="24"/>
                <w:highlight w:val="none"/>
                <w:lang w:val="en-US" w:eastAsia="zh-CN"/>
              </w:rPr>
              <w:t>/d。项目各供热点排放的锅炉烟气从130℃喷淋至60℃需要的喷淋水量大于产生的软化处理废水及排污水量。</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综上，项目软化处理废水及锅炉排污水采用烟气蒸发器蒸发处理可以将软化处理废水、锅炉排污水全部消纳，处置方法是可行的。</w:t>
            </w:r>
          </w:p>
          <w:p>
            <w:pPr>
              <w:spacing w:line="360" w:lineRule="auto"/>
              <w:ind w:firstLine="481"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（2）生活污水处置的可行性分析</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区内不设生活设施，项目员工均不在项目区内食宿，员工吃饭住宿均自行解决，如厕依托服务企业现有卫生间，产生的生活污水主要为洗手废水及冲厕废水。海大供热点及特驱供热点生活设施依托昆明特驱饲料有限公司已建成的生活设施，产生的生活污水由昆明特驱饲料有限公司已建成并通过验收的一座5m³/d的一体化生活污水处理设施处理。漓源供热点员工生活设施依托昆明漓源饲料有限公司已建成的生活设施，产生的生活污水由昆明漓源饲料有限公司已建成并通过验收的一座15m³/d一体化污水处理设施处理。</w:t>
            </w:r>
          </w:p>
          <w:p>
            <w:pPr>
              <w:numPr>
                <w:ilvl w:val="0"/>
                <w:numId w:val="0"/>
              </w:numPr>
              <w:spacing w:line="360" w:lineRule="auto"/>
              <w:ind w:firstLine="481"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kern w:val="2"/>
                <w:sz w:val="24"/>
                <w:szCs w:val="21"/>
                <w:highlight w:val="none"/>
                <w:lang w:val="en-US" w:eastAsia="zh-CN" w:bidi="ar-SA"/>
              </w:rPr>
              <w:t>1）</w:t>
            </w:r>
            <w:r>
              <w:rPr>
                <w:rFonts w:hint="eastAsia" w:ascii="Times New Roman" w:hAnsi="Times New Roman" w:eastAsia="宋体" w:cs="Times New Roman"/>
                <w:b/>
                <w:bCs/>
                <w:color w:val="auto"/>
                <w:sz w:val="24"/>
                <w:highlight w:val="none"/>
                <w:lang w:val="en-US" w:eastAsia="zh-CN"/>
              </w:rPr>
              <w:t>海大供热点及特驱供热点生活污水处置的可行性分析</w:t>
            </w:r>
          </w:p>
          <w:p>
            <w:pPr>
              <w:numPr>
                <w:ilvl w:val="0"/>
                <w:numId w:val="0"/>
              </w:num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昆明特驱饲料有限公司饲料加工一期项目竣工环境保护验收监测表》，昆明特驱饲料有限公司建设有一座5m³/d的一体化生活污水处理设施（膜生物反应器），昆明特驱饲料有限公司废水量为4.6m³/d，经一体化生活污水处理设施处理后旱季部分达《城市污水再生利用城市杂用水水质》（GB/T18920-2020）后回用于厂区绿化，剩余部分达到《城镇污水处理厂污染物排放标准》（GB18918-2002）表1中一级A标准后外排至园区污水管网，进入园区160m³污水收集池，用于园区绿化；雨季全部达到《城镇污水处理厂污染物排放标准》GB18918-2002表1中一级A标准后外排至园区污水管网，进入园区160m³污水收集池，用于园区绿化。</w:t>
            </w:r>
          </w:p>
          <w:p>
            <w:pPr>
              <w:numPr>
                <w:ilvl w:val="0"/>
                <w:numId w:val="0"/>
              </w:num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上文核算，本项目海大供热点及特驱供热点生活污水排放量为0.192m³/d。因此，昆明特驱饲料有限公司的一体化生活污水处理设施尚有处理余量，能满足本项目海大供热点及特驱供热点生活污水处理水量需求。</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且根据《昆明特驱饲料有限公司饲料加工一期项目竣工环境保护验收监测表》及《昆明特驱饲料有限公司2022年年检检测报告》中对污水处理站废水总排口水质进行检测，检测结果为：化学需氧量：18mg/L、氨氮：0.582mg/L（均采用检测数据中最大值），经处理后的水质指标能够满足《城市污水再生利用城市杂用水水质》（GB/T18920-2020）绿化标准限值要求和《城镇污水处理厂污染物排放标准》GB18918-2002表1一级A标标准限值要求。</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综上，海大供热点及特驱供热点的生活设施依托昆明特驱饲料有限公司建成的生活设施，产生的污水由昆明特驱饲料有限公司已建成的污水处理设施处理是可行的。</w:t>
            </w:r>
          </w:p>
          <w:p>
            <w:pPr>
              <w:numPr>
                <w:ilvl w:val="0"/>
                <w:numId w:val="0"/>
              </w:numPr>
              <w:spacing w:line="360" w:lineRule="auto"/>
              <w:ind w:firstLine="481"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kern w:val="2"/>
                <w:sz w:val="24"/>
                <w:szCs w:val="21"/>
                <w:highlight w:val="none"/>
                <w:lang w:val="en-US" w:eastAsia="zh-CN" w:bidi="ar-SA"/>
              </w:rPr>
              <w:t>2）漓源供热点</w:t>
            </w:r>
            <w:r>
              <w:rPr>
                <w:rFonts w:hint="eastAsia" w:ascii="Times New Roman" w:hAnsi="Times New Roman" w:eastAsia="宋体" w:cs="Times New Roman"/>
                <w:b/>
                <w:bCs/>
                <w:color w:val="auto"/>
                <w:sz w:val="24"/>
                <w:highlight w:val="none"/>
                <w:lang w:val="en-US" w:eastAsia="zh-CN"/>
              </w:rPr>
              <w:t>生活污水处置的可行性分析</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昆明漓源饲料有限公司微生态禽畜配合饲料生产线项目一期竣工环境保护验收监测表》，昆明漓源饲料有限公司建设有一座5.52m³/d的污水处理站，2020年扩建了一体化污水处理设施并办理了环保手续，扩建后污水处理能力为15m³/d，昆明漓源饲料有限公司废水量为8m³/d，废水经处理后旱季达《城市污水再生利用城市杂用水水质》（GB/T18920-2020）后全部回用于厂区绿化，雨季达到《城镇污水处理厂污染物排放标准》（GB18918-2002）表1中一级A标准后外排至园区污水管网，进入园区160m³污水收集池，用于园区绿化。</w:t>
            </w:r>
          </w:p>
          <w:p>
            <w:pPr>
              <w:numPr>
                <w:ilvl w:val="0"/>
                <w:numId w:val="0"/>
              </w:num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根据上文核算，本项目漓源供热点生活污水排放量为0.048m³/d。因此，昆明漓源饲料有限公司的一体化生活污水处理设施尚有处理余量，能满足本项目漓源供热点生活污水处理水量需求。</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且根据《昆明漓源饲料有限公司自行监测检测报告》，污水处理站废水总排口水质检测结果为：pH：7.62、化学需氧量：42mg/L、悬浮物：8mg/L、磷酸盐：0.11mg/L、氨氮：2.46mg/L（均采用检测数据最大值），经处理后的水质指标能够满足《城市污水再生利用城市杂用水水质》（GB/T18920-2020）绿化标准限值要求和《城镇污水处理厂污染物排放标准》GB18918-2002表1一级A标标准限值要求。</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综上，漓源供热点生活设施依托昆明漓源饲料有限公司已建成的生活设施，产生的生活污水由</w:t>
            </w:r>
            <w:r>
              <w:rPr>
                <w:rFonts w:hint="eastAsia" w:ascii="Times New Roman" w:hAnsi="Times New Roman" w:eastAsia="宋体" w:cs="Times New Roman"/>
                <w:color w:val="auto"/>
                <w:sz w:val="24"/>
                <w:highlight w:val="none"/>
                <w:lang w:val="en-US" w:eastAsia="zh-CN"/>
              </w:rPr>
              <w:fldChar w:fldCharType="begin"/>
            </w:r>
            <w:r>
              <w:rPr>
                <w:rFonts w:hint="eastAsia" w:ascii="Times New Roman" w:hAnsi="Times New Roman" w:eastAsia="宋体" w:cs="Times New Roman"/>
                <w:color w:val="auto"/>
                <w:sz w:val="24"/>
                <w:highlight w:val="none"/>
                <w:lang w:val="en-US" w:eastAsia="zh-CN"/>
              </w:rPr>
              <w:instrText xml:space="preserve"> HYPERLINK "http://www.baidu.com/link?url=k38QrQiOpPhdnIoPfF-NRVdrrP4Rhg1-USYOQr1U9jApQjA8Vs5PJx58NJfeIweWVLfmUDdOT8BfCt1bzwbTe5t9EnIlnBBtpJciK0lHMvG" \t "_blank" </w:instrText>
            </w:r>
            <w:r>
              <w:rPr>
                <w:rFonts w:hint="eastAsia" w:ascii="Times New Roman" w:hAnsi="Times New Roman" w:eastAsia="宋体" w:cs="Times New Roman"/>
                <w:color w:val="auto"/>
                <w:sz w:val="24"/>
                <w:highlight w:val="none"/>
                <w:lang w:val="en-US" w:eastAsia="zh-CN"/>
              </w:rPr>
              <w:fldChar w:fldCharType="separate"/>
            </w:r>
            <w:r>
              <w:rPr>
                <w:rFonts w:hint="eastAsia" w:ascii="Times New Roman" w:hAnsi="Times New Roman" w:eastAsia="宋体" w:cs="Times New Roman"/>
                <w:color w:val="auto"/>
                <w:sz w:val="24"/>
                <w:highlight w:val="none"/>
                <w:lang w:val="en-US" w:eastAsia="zh-CN"/>
              </w:rPr>
              <w:t>昆明漓源饲料有限公司</w:t>
            </w:r>
            <w:r>
              <w:rPr>
                <w:rFonts w:hint="eastAsia" w:ascii="Times New Roman" w:hAnsi="Times New Roman" w:eastAsia="宋体" w:cs="Times New Roman"/>
                <w:color w:val="auto"/>
                <w:sz w:val="24"/>
                <w:highlight w:val="none"/>
                <w:lang w:val="en-US" w:eastAsia="zh-CN"/>
              </w:rPr>
              <w:fldChar w:fldCharType="end"/>
            </w:r>
            <w:r>
              <w:rPr>
                <w:rFonts w:hint="eastAsia" w:ascii="Times New Roman" w:hAnsi="Times New Roman" w:eastAsia="宋体" w:cs="Times New Roman"/>
                <w:color w:val="auto"/>
                <w:sz w:val="24"/>
                <w:highlight w:val="none"/>
                <w:lang w:val="en-US" w:eastAsia="zh-CN"/>
              </w:rPr>
              <w:t>已建成的生活污水处理设施处理是可行的。</w:t>
            </w:r>
          </w:p>
          <w:p>
            <w:pPr>
              <w:pStyle w:val="74"/>
              <w:pageBreakBefore w:val="0"/>
              <w:widowControl w:val="0"/>
              <w:numPr>
                <w:ilvl w:val="0"/>
                <w:numId w:val="0"/>
              </w:numPr>
              <w:kinsoku/>
              <w:wordWrap/>
              <w:overflowPunct/>
              <w:topLinePunct w:val="0"/>
              <w:autoSpaceDE/>
              <w:autoSpaceDN/>
              <w:bidi w:val="0"/>
              <w:adjustRightInd/>
              <w:snapToGrid/>
              <w:spacing w:before="0" w:beforeLines="0" w:after="0" w:afterLines="0"/>
              <w:ind w:leftChars="200"/>
              <w:textAlignment w:val="auto"/>
              <w:rPr>
                <w:rFonts w:hint="default" w:ascii="Times New Roman" w:hAnsi="Times New Roman" w:eastAsia="宋体" w:cs="Times New Roman"/>
                <w:b/>
                <w:bCs/>
                <w:color w:val="auto"/>
                <w:highlight w:val="none"/>
                <w:lang w:val="en-US" w:eastAsia="zh-CN"/>
              </w:rPr>
            </w:pPr>
            <w:r>
              <w:rPr>
                <w:rFonts w:hint="eastAsia" w:eastAsia="宋体" w:cs="Times New Roman"/>
                <w:b/>
                <w:bCs/>
                <w:color w:val="auto"/>
                <w:highlight w:val="none"/>
                <w:lang w:val="en-US" w:eastAsia="zh-CN"/>
              </w:rPr>
              <w:t>3、</w:t>
            </w:r>
            <w:r>
              <w:rPr>
                <w:rFonts w:hint="eastAsia" w:ascii="Times New Roman" w:hAnsi="Times New Roman" w:eastAsia="宋体" w:cs="Times New Roman"/>
                <w:b/>
                <w:bCs/>
                <w:color w:val="auto"/>
                <w:highlight w:val="none"/>
                <w:lang w:val="en-US" w:eastAsia="zh-CN"/>
              </w:rPr>
              <w:t>水环境影响分析</w:t>
            </w:r>
            <w:r>
              <w:rPr>
                <w:rFonts w:hint="eastAsia" w:eastAsia="宋体" w:cs="Times New Roman"/>
                <w:b/>
                <w:bCs/>
                <w:color w:val="auto"/>
                <w:highlight w:val="none"/>
                <w:lang w:val="en-US" w:eastAsia="zh-CN"/>
              </w:rPr>
              <w:t>结论</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采用雨污分流制。项目区内不设生活设施，项目员工均不在项目区内食宿，员工吃饭住宿均自行解决，如厕依托供汽企业现有卫生间，产生的洗手、冲厕废水依托供汽企业已建成的生活污水处理设施处理后用于厂区绿化或者排入园区污水收集池，用于园区绿化。项目产生的软化处理废水及锅炉排污水采用烟气蒸发器蒸发处理可以将软化处理废水、锅炉排污水全部消纳。</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因此，</w:t>
            </w:r>
            <w:r>
              <w:rPr>
                <w:rFonts w:hint="eastAsia" w:cs="Times New Roman"/>
                <w:b w:val="0"/>
                <w:bCs w:val="0"/>
                <w:color w:val="auto"/>
                <w:sz w:val="24"/>
                <w:highlight w:val="none"/>
                <w:lang w:val="en-US" w:eastAsia="zh-CN"/>
              </w:rPr>
              <w:t>项目运营期废水均不直接排入周边地表水体，</w:t>
            </w:r>
            <w:r>
              <w:rPr>
                <w:rFonts w:hint="eastAsia" w:cs="Times New Roman"/>
                <w:color w:val="auto"/>
                <w:sz w:val="24"/>
                <w:highlight w:val="none"/>
                <w:lang w:val="en-US" w:eastAsia="zh-CN"/>
              </w:rPr>
              <w:t>对周边地表水环境影响较小。</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1" w:firstLineChars="200"/>
              <w:jc w:val="both"/>
              <w:textAlignment w:val="auto"/>
              <w:rPr>
                <w:rFonts w:hint="default"/>
                <w:color w:val="auto"/>
                <w:highlight w:val="none"/>
                <w:lang w:val="en-US" w:eastAsia="zh-CN"/>
              </w:rPr>
            </w:pPr>
            <w:r>
              <w:rPr>
                <w:rFonts w:hint="eastAsia" w:cs="Times New Roman"/>
                <w:b/>
                <w:bCs/>
                <w:color w:val="auto"/>
                <w:sz w:val="24"/>
                <w:highlight w:val="none"/>
                <w:lang w:val="en-US" w:eastAsia="zh-CN"/>
              </w:rPr>
              <w:t>三、运营期声环境影响分析</w:t>
            </w:r>
          </w:p>
          <w:p>
            <w:pPr>
              <w:pStyle w:val="74"/>
              <w:pageBreakBefore w:val="0"/>
              <w:widowControl w:val="0"/>
              <w:numPr>
                <w:ilvl w:val="0"/>
                <w:numId w:val="0"/>
              </w:numPr>
              <w:kinsoku/>
              <w:wordWrap/>
              <w:overflowPunct/>
              <w:topLinePunct w:val="0"/>
              <w:autoSpaceDE/>
              <w:autoSpaceDN/>
              <w:bidi w:val="0"/>
              <w:adjustRightInd/>
              <w:snapToGrid/>
              <w:spacing w:before="0" w:beforeLines="0" w:after="0" w:afterLines="0"/>
              <w:ind w:leftChars="200"/>
              <w:textAlignment w:val="auto"/>
              <w:rPr>
                <w:rFonts w:hint="default" w:ascii="Times New Roman" w:hAnsi="Times New Roman" w:eastAsia="宋体" w:cs="Times New Roman"/>
                <w:b/>
                <w:bCs/>
                <w:color w:val="auto"/>
                <w:highlight w:val="none"/>
                <w:lang w:val="en-US" w:eastAsia="zh-CN"/>
              </w:rPr>
            </w:pPr>
            <w:r>
              <w:rPr>
                <w:rFonts w:hint="eastAsia" w:eastAsia="宋体" w:cs="Times New Roman"/>
                <w:b/>
                <w:bCs/>
                <w:color w:val="auto"/>
                <w:highlight w:val="none"/>
                <w:lang w:val="en-US" w:eastAsia="zh-CN"/>
              </w:rPr>
              <w:t>1、噪声源强分析</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本项目噪声源强主要为设备运行过程中产生的噪声，其噪声值约为65~</w:t>
            </w:r>
            <w:r>
              <w:rPr>
                <w:rFonts w:hint="eastAsia" w:cs="Times New Roman"/>
                <w:color w:val="auto"/>
                <w:sz w:val="24"/>
                <w:highlight w:val="none"/>
                <w:lang w:val="en-US" w:eastAsia="zh-CN"/>
              </w:rPr>
              <w:t>85</w:t>
            </w:r>
            <w:r>
              <w:rPr>
                <w:rFonts w:hint="eastAsia" w:ascii="Times New Roman" w:hAnsi="Times New Roman" w:eastAsia="宋体" w:cs="Times New Roman"/>
                <w:color w:val="auto"/>
                <w:sz w:val="24"/>
                <w:highlight w:val="none"/>
                <w:lang w:val="en-US" w:eastAsia="zh-CN"/>
              </w:rPr>
              <w:t>dB（A）之间。噪声污染源源强核算结果及相关参数见下表。</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p>
          <w:p>
            <w:pPr>
              <w:pStyle w:val="68"/>
              <w:ind w:left="0" w:leftChars="0" w:firstLine="0" w:firstLineChars="0"/>
              <w:rPr>
                <w:rFonts w:hint="default" w:ascii="Times New Roman" w:hAnsi="Times New Roman" w:eastAsia="宋体" w:cs="Times New Roman"/>
                <w:color w:val="auto"/>
                <w:sz w:val="24"/>
                <w:highlight w:val="none"/>
                <w:lang w:val="en-US" w:eastAsia="zh-CN"/>
              </w:rPr>
            </w:pPr>
          </w:p>
        </w:tc>
      </w:tr>
    </w:tbl>
    <w:p>
      <w:pPr>
        <w:pStyle w:val="68"/>
        <w:rPr>
          <w:rFonts w:hint="eastAsia" w:ascii="Times New Roman" w:hAnsi="Times New Roman" w:eastAsia="宋体" w:cs="Times New Roman"/>
          <w:color w:val="auto"/>
          <w:sz w:val="24"/>
          <w:highlight w:val="none"/>
          <w:lang w:val="en-US" w:eastAsia="zh-CN"/>
        </w:rPr>
        <w:sectPr>
          <w:pgSz w:w="11907" w:h="16840"/>
          <w:pgMar w:top="1304" w:right="1134" w:bottom="1304"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4"/>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表4-10海大供热点工业企业噪声源强调查清单（室内声源）</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5"/>
        <w:gridCol w:w="727"/>
        <w:gridCol w:w="695"/>
        <w:gridCol w:w="825"/>
        <w:gridCol w:w="747"/>
        <w:gridCol w:w="747"/>
        <w:gridCol w:w="769"/>
        <w:gridCol w:w="623"/>
        <w:gridCol w:w="623"/>
        <w:gridCol w:w="623"/>
        <w:gridCol w:w="636"/>
        <w:gridCol w:w="608"/>
        <w:gridCol w:w="608"/>
        <w:gridCol w:w="608"/>
        <w:gridCol w:w="652"/>
        <w:gridCol w:w="589"/>
        <w:gridCol w:w="589"/>
        <w:gridCol w:w="589"/>
        <w:gridCol w:w="617"/>
        <w:gridCol w:w="630"/>
        <w:gridCol w:w="630"/>
        <w:gridCol w:w="630"/>
        <w:gridCol w:w="630"/>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exact"/>
          <w:jc w:val="center"/>
        </w:trPr>
        <w:tc>
          <w:tcPr>
            <w:tcW w:w="160" w:type="pct"/>
            <w:vMerge w:val="restart"/>
            <w:vAlign w:val="center"/>
          </w:tcPr>
          <w:p>
            <w:pPr>
              <w:jc w:val="center"/>
              <w:rPr>
                <w:rFonts w:ascii="Times New Roman" w:hAnsi="Times New Roman" w:eastAsia="宋体" w:cs="Times New Roman"/>
                <w:b w:val="0"/>
                <w:bCs/>
                <w:color w:val="auto"/>
                <w:sz w:val="21"/>
                <w:szCs w:val="21"/>
                <w:highlight w:val="none"/>
              </w:rPr>
            </w:pPr>
            <w:bookmarkStart w:id="9" w:name="PT_6"/>
            <w:r>
              <w:rPr>
                <w:rFonts w:ascii="Times New Roman" w:hAnsi="Times New Roman" w:eastAsia="宋体" w:cs="Times New Roman"/>
                <w:b w:val="0"/>
                <w:bCs/>
                <w:color w:val="auto"/>
                <w:sz w:val="21"/>
                <w:szCs w:val="21"/>
                <w:highlight w:val="none"/>
              </w:rPr>
              <w:t>序号</w:t>
            </w:r>
          </w:p>
        </w:tc>
        <w:tc>
          <w:tcPr>
            <w:tcW w:w="230" w:type="pct"/>
            <w:vMerge w:val="restart"/>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建筑物名称</w:t>
            </w:r>
          </w:p>
        </w:tc>
        <w:tc>
          <w:tcPr>
            <w:tcW w:w="220" w:type="pct"/>
            <w:vMerge w:val="restart"/>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声源名称</w:t>
            </w:r>
          </w:p>
        </w:tc>
        <w:tc>
          <w:tcPr>
            <w:tcW w:w="261" w:type="pct"/>
            <w:vAlign w:val="center"/>
          </w:tcPr>
          <w:p>
            <w:pPr>
              <w:jc w:val="center"/>
              <w:rPr>
                <w:rFonts w:ascii="Times New Roman" w:hAnsi="Times New Roman" w:eastAsia="宋体" w:cs="Times New Roman"/>
                <w:b w:val="0"/>
                <w:bCs/>
                <w:color w:val="auto"/>
                <w:sz w:val="21"/>
                <w:szCs w:val="21"/>
                <w:highlight w:val="none"/>
                <w:lang w:eastAsia="zh-CN"/>
              </w:rPr>
            </w:pPr>
            <w:r>
              <w:rPr>
                <w:rFonts w:ascii="Times New Roman" w:hAnsi="Times New Roman" w:eastAsia="宋体" w:cs="Times New Roman"/>
                <w:b w:val="0"/>
                <w:bCs/>
                <w:color w:val="auto"/>
                <w:sz w:val="21"/>
                <w:szCs w:val="21"/>
                <w:highlight w:val="none"/>
                <w:lang w:eastAsia="zh-CN"/>
              </w:rPr>
              <w:t>声源源强</w:t>
            </w:r>
          </w:p>
        </w:tc>
        <w:tc>
          <w:tcPr>
            <w:tcW w:w="715" w:type="pct"/>
            <w:gridSpan w:val="3"/>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空间相对位置/m</w:t>
            </w:r>
          </w:p>
        </w:tc>
        <w:tc>
          <w:tcPr>
            <w:tcW w:w="792" w:type="pct"/>
            <w:gridSpan w:val="4"/>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距室内边界距离/m</w:t>
            </w:r>
          </w:p>
        </w:tc>
        <w:tc>
          <w:tcPr>
            <w:tcW w:w="782" w:type="pct"/>
            <w:gridSpan w:val="4"/>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室内边界声级/dB(A)</w:t>
            </w:r>
          </w:p>
        </w:tc>
        <w:tc>
          <w:tcPr>
            <w:tcW w:w="753" w:type="pct"/>
            <w:gridSpan w:val="4"/>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建筑物插入损失 / dB(A)</w:t>
            </w:r>
            <w:bookmarkStart w:id="10" w:name="PT_10"/>
            <w:bookmarkEnd w:id="10"/>
          </w:p>
        </w:tc>
        <w:tc>
          <w:tcPr>
            <w:tcW w:w="1081" w:type="pct"/>
            <w:gridSpan w:val="5"/>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建筑物外噪声声压级/dB(A)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0" w:type="pct"/>
            <w:vMerge w:val="continue"/>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b w:val="0"/>
                <w:bCs/>
                <w:color w:val="auto"/>
                <w:sz w:val="21"/>
                <w:szCs w:val="21"/>
                <w:highlight w:val="none"/>
                <w:lang w:val="en-US" w:eastAsia="zh-CN"/>
              </w:rPr>
            </w:pPr>
          </w:p>
        </w:tc>
        <w:tc>
          <w:tcPr>
            <w:tcW w:w="230" w:type="pct"/>
            <w:vMerge w:val="continue"/>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p>
        </w:tc>
        <w:tc>
          <w:tcPr>
            <w:tcW w:w="220" w:type="pct"/>
            <w:vMerge w:val="continue"/>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p>
        </w:tc>
        <w:tc>
          <w:tcPr>
            <w:tcW w:w="26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声功率级/dB(A)</w:t>
            </w:r>
          </w:p>
        </w:tc>
        <w:tc>
          <w:tcPr>
            <w:tcW w:w="23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X</w:t>
            </w:r>
          </w:p>
        </w:tc>
        <w:tc>
          <w:tcPr>
            <w:tcW w:w="23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Y</w:t>
            </w:r>
          </w:p>
        </w:tc>
        <w:tc>
          <w:tcPr>
            <w:tcW w:w="242"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Z</w:t>
            </w:r>
          </w:p>
        </w:tc>
        <w:tc>
          <w:tcPr>
            <w:tcW w:w="19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东</w:t>
            </w:r>
          </w:p>
        </w:tc>
        <w:tc>
          <w:tcPr>
            <w:tcW w:w="19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南</w:t>
            </w:r>
          </w:p>
        </w:tc>
        <w:tc>
          <w:tcPr>
            <w:tcW w:w="19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西</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北</w:t>
            </w:r>
          </w:p>
        </w:tc>
        <w:tc>
          <w:tcPr>
            <w:tcW w:w="192"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东</w:t>
            </w:r>
          </w:p>
        </w:tc>
        <w:tc>
          <w:tcPr>
            <w:tcW w:w="192"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南</w:t>
            </w:r>
          </w:p>
        </w:tc>
        <w:tc>
          <w:tcPr>
            <w:tcW w:w="192"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西</w:t>
            </w:r>
          </w:p>
        </w:tc>
        <w:tc>
          <w:tcPr>
            <w:tcW w:w="20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北</w:t>
            </w:r>
          </w:p>
        </w:tc>
        <w:tc>
          <w:tcPr>
            <w:tcW w:w="18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东</w:t>
            </w:r>
          </w:p>
        </w:tc>
        <w:tc>
          <w:tcPr>
            <w:tcW w:w="18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南</w:t>
            </w:r>
          </w:p>
        </w:tc>
        <w:tc>
          <w:tcPr>
            <w:tcW w:w="18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西</w:t>
            </w:r>
          </w:p>
        </w:tc>
        <w:tc>
          <w:tcPr>
            <w:tcW w:w="19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北</w:t>
            </w:r>
          </w:p>
        </w:tc>
        <w:tc>
          <w:tcPr>
            <w:tcW w:w="19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东</w:t>
            </w:r>
          </w:p>
        </w:tc>
        <w:tc>
          <w:tcPr>
            <w:tcW w:w="19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南</w:t>
            </w:r>
          </w:p>
        </w:tc>
        <w:tc>
          <w:tcPr>
            <w:tcW w:w="19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西</w:t>
            </w:r>
          </w:p>
        </w:tc>
        <w:tc>
          <w:tcPr>
            <w:tcW w:w="19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北</w:t>
            </w:r>
          </w:p>
        </w:tc>
        <w:tc>
          <w:tcPr>
            <w:tcW w:w="284"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w:t>
            </w:r>
          </w:p>
        </w:tc>
        <w:tc>
          <w:tcPr>
            <w:tcW w:w="23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锅炉房</w:t>
            </w:r>
          </w:p>
        </w:tc>
        <w:tc>
          <w:tcPr>
            <w:tcW w:w="22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锅炉</w:t>
            </w:r>
          </w:p>
        </w:tc>
        <w:tc>
          <w:tcPr>
            <w:tcW w:w="26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85</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-2.8</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-3.9</w:t>
            </w:r>
          </w:p>
        </w:tc>
        <w:tc>
          <w:tcPr>
            <w:tcW w:w="24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1.2</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18.1</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3.7</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6.5</w:t>
            </w:r>
          </w:p>
        </w:tc>
        <w:tc>
          <w:tcPr>
            <w:tcW w:w="20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14.6</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74.9</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75.2</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75.0</w:t>
            </w:r>
          </w:p>
        </w:tc>
        <w:tc>
          <w:tcPr>
            <w:tcW w:w="20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74.9</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48.9</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49.2</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49.0</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48.9</w:t>
            </w:r>
          </w:p>
        </w:tc>
        <w:tc>
          <w:tcPr>
            <w:tcW w:w="284"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w:t>
            </w:r>
          </w:p>
        </w:tc>
        <w:tc>
          <w:tcPr>
            <w:tcW w:w="23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锅炉房</w:t>
            </w:r>
          </w:p>
        </w:tc>
        <w:tc>
          <w:tcPr>
            <w:tcW w:w="22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锅炉</w:t>
            </w:r>
          </w:p>
        </w:tc>
        <w:tc>
          <w:tcPr>
            <w:tcW w:w="26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85</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1.5</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-7.2</w:t>
            </w:r>
          </w:p>
        </w:tc>
        <w:tc>
          <w:tcPr>
            <w:tcW w:w="24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1.2</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12.7</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2.7</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11.9</w:t>
            </w:r>
          </w:p>
        </w:tc>
        <w:tc>
          <w:tcPr>
            <w:tcW w:w="20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18.3</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74.9</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75.4</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74.9</w:t>
            </w:r>
          </w:p>
        </w:tc>
        <w:tc>
          <w:tcPr>
            <w:tcW w:w="20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74.9</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48.9</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49.4</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48.9</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48.9</w:t>
            </w:r>
          </w:p>
        </w:tc>
        <w:tc>
          <w:tcPr>
            <w:tcW w:w="284"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3</w:t>
            </w:r>
          </w:p>
        </w:tc>
        <w:tc>
          <w:tcPr>
            <w:tcW w:w="23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锅炉房</w:t>
            </w:r>
          </w:p>
        </w:tc>
        <w:tc>
          <w:tcPr>
            <w:tcW w:w="22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锅炉</w:t>
            </w:r>
          </w:p>
        </w:tc>
        <w:tc>
          <w:tcPr>
            <w:tcW w:w="26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85</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8.3</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-11</w:t>
            </w:r>
          </w:p>
        </w:tc>
        <w:tc>
          <w:tcPr>
            <w:tcW w:w="24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1.2</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5.0</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2.3</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19.5</w:t>
            </w:r>
          </w:p>
        </w:tc>
        <w:tc>
          <w:tcPr>
            <w:tcW w:w="20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17.7</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75.1</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75.5</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74.9</w:t>
            </w:r>
          </w:p>
        </w:tc>
        <w:tc>
          <w:tcPr>
            <w:tcW w:w="20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74.9</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49.1</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49.5</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48.9</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48.9</w:t>
            </w:r>
          </w:p>
        </w:tc>
        <w:tc>
          <w:tcPr>
            <w:tcW w:w="284"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w:t>
            </w:r>
          </w:p>
        </w:tc>
        <w:tc>
          <w:tcPr>
            <w:tcW w:w="23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锅炉房</w:t>
            </w:r>
          </w:p>
        </w:tc>
        <w:tc>
          <w:tcPr>
            <w:tcW w:w="22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风机</w:t>
            </w:r>
          </w:p>
        </w:tc>
        <w:tc>
          <w:tcPr>
            <w:tcW w:w="26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80</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-2.2</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-2.2</w:t>
            </w:r>
          </w:p>
        </w:tc>
        <w:tc>
          <w:tcPr>
            <w:tcW w:w="24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1.2</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18.7</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5.5</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5.9</w:t>
            </w:r>
          </w:p>
        </w:tc>
        <w:tc>
          <w:tcPr>
            <w:tcW w:w="20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13.9</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69.9</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70.0</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70.0</w:t>
            </w:r>
          </w:p>
        </w:tc>
        <w:tc>
          <w:tcPr>
            <w:tcW w:w="20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69.9</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43.9</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44.0</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44.0</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43.9</w:t>
            </w:r>
          </w:p>
        </w:tc>
        <w:tc>
          <w:tcPr>
            <w:tcW w:w="284"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5</w:t>
            </w:r>
          </w:p>
        </w:tc>
        <w:tc>
          <w:tcPr>
            <w:tcW w:w="23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锅炉房</w:t>
            </w:r>
          </w:p>
        </w:tc>
        <w:tc>
          <w:tcPr>
            <w:tcW w:w="22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风机</w:t>
            </w:r>
          </w:p>
        </w:tc>
        <w:tc>
          <w:tcPr>
            <w:tcW w:w="26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80</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-0.7</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-3.4</w:t>
            </w:r>
          </w:p>
        </w:tc>
        <w:tc>
          <w:tcPr>
            <w:tcW w:w="24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1.2</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16.8</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5.1</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7.8</w:t>
            </w:r>
          </w:p>
        </w:tc>
        <w:tc>
          <w:tcPr>
            <w:tcW w:w="20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15.8</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69.9</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70.0</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70.0</w:t>
            </w:r>
          </w:p>
        </w:tc>
        <w:tc>
          <w:tcPr>
            <w:tcW w:w="20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69.9</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43.9</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44.0</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44.0</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43.9</w:t>
            </w:r>
          </w:p>
        </w:tc>
        <w:tc>
          <w:tcPr>
            <w:tcW w:w="284"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w:t>
            </w:r>
          </w:p>
        </w:tc>
        <w:tc>
          <w:tcPr>
            <w:tcW w:w="23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锅炉房</w:t>
            </w:r>
          </w:p>
        </w:tc>
        <w:tc>
          <w:tcPr>
            <w:tcW w:w="22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风机</w:t>
            </w:r>
          </w:p>
        </w:tc>
        <w:tc>
          <w:tcPr>
            <w:tcW w:w="26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80</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1.9</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-5</w:t>
            </w:r>
          </w:p>
        </w:tc>
        <w:tc>
          <w:tcPr>
            <w:tcW w:w="24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1.2</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13.7</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4.8</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10.8</w:t>
            </w:r>
          </w:p>
        </w:tc>
        <w:tc>
          <w:tcPr>
            <w:tcW w:w="20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16.2</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69.9</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70.1</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69.9</w:t>
            </w:r>
          </w:p>
        </w:tc>
        <w:tc>
          <w:tcPr>
            <w:tcW w:w="20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69.9</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43.9</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44.1</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43.9</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43.9</w:t>
            </w:r>
          </w:p>
        </w:tc>
        <w:tc>
          <w:tcPr>
            <w:tcW w:w="284"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w:t>
            </w:r>
          </w:p>
        </w:tc>
        <w:tc>
          <w:tcPr>
            <w:tcW w:w="23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锅炉房</w:t>
            </w:r>
          </w:p>
        </w:tc>
        <w:tc>
          <w:tcPr>
            <w:tcW w:w="22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风机</w:t>
            </w:r>
          </w:p>
        </w:tc>
        <w:tc>
          <w:tcPr>
            <w:tcW w:w="26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80</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3.2</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-6.3</w:t>
            </w:r>
          </w:p>
        </w:tc>
        <w:tc>
          <w:tcPr>
            <w:tcW w:w="24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1.2</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11.9</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4.2</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12.6</w:t>
            </w:r>
          </w:p>
        </w:tc>
        <w:tc>
          <w:tcPr>
            <w:tcW w:w="20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16.6</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69.9</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70.1</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69.9</w:t>
            </w:r>
          </w:p>
        </w:tc>
        <w:tc>
          <w:tcPr>
            <w:tcW w:w="20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69.9</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43.9</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44.1</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43.9</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43.9</w:t>
            </w:r>
          </w:p>
        </w:tc>
        <w:tc>
          <w:tcPr>
            <w:tcW w:w="284"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8</w:t>
            </w:r>
          </w:p>
        </w:tc>
        <w:tc>
          <w:tcPr>
            <w:tcW w:w="23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锅炉房</w:t>
            </w:r>
          </w:p>
        </w:tc>
        <w:tc>
          <w:tcPr>
            <w:tcW w:w="22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风机</w:t>
            </w:r>
          </w:p>
        </w:tc>
        <w:tc>
          <w:tcPr>
            <w:tcW w:w="26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80</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8.3</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-8.3</w:t>
            </w:r>
          </w:p>
        </w:tc>
        <w:tc>
          <w:tcPr>
            <w:tcW w:w="24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1.2</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6.6</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4.8</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17.8</w:t>
            </w:r>
          </w:p>
        </w:tc>
        <w:tc>
          <w:tcPr>
            <w:tcW w:w="20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15.5</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70.0</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70.1</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69.9</w:t>
            </w:r>
          </w:p>
        </w:tc>
        <w:tc>
          <w:tcPr>
            <w:tcW w:w="20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69.9</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44.0</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44.1</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43.9</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43.9</w:t>
            </w:r>
          </w:p>
        </w:tc>
        <w:tc>
          <w:tcPr>
            <w:tcW w:w="284"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9</w:t>
            </w:r>
          </w:p>
        </w:tc>
        <w:tc>
          <w:tcPr>
            <w:tcW w:w="23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锅炉房</w:t>
            </w:r>
          </w:p>
        </w:tc>
        <w:tc>
          <w:tcPr>
            <w:tcW w:w="22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风机</w:t>
            </w:r>
          </w:p>
        </w:tc>
        <w:tc>
          <w:tcPr>
            <w:tcW w:w="26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80</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10.5</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-9.7</w:t>
            </w:r>
          </w:p>
        </w:tc>
        <w:tc>
          <w:tcPr>
            <w:tcW w:w="24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1.2</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4.0</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4.5</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20.4</w:t>
            </w:r>
          </w:p>
        </w:tc>
        <w:tc>
          <w:tcPr>
            <w:tcW w:w="20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15.4</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70.1</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70.1</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69.9</w:t>
            </w:r>
          </w:p>
        </w:tc>
        <w:tc>
          <w:tcPr>
            <w:tcW w:w="20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69.9</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44.1</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44.1</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43.9</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43.9</w:t>
            </w:r>
          </w:p>
        </w:tc>
        <w:tc>
          <w:tcPr>
            <w:tcW w:w="284"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10</w:t>
            </w:r>
          </w:p>
        </w:tc>
        <w:tc>
          <w:tcPr>
            <w:tcW w:w="23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锅炉房</w:t>
            </w:r>
          </w:p>
        </w:tc>
        <w:tc>
          <w:tcPr>
            <w:tcW w:w="22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水泵</w:t>
            </w:r>
          </w:p>
        </w:tc>
        <w:tc>
          <w:tcPr>
            <w:tcW w:w="26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80</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8</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0.9</w:t>
            </w:r>
          </w:p>
        </w:tc>
        <w:tc>
          <w:tcPr>
            <w:tcW w:w="24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1.2</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12.4</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12.8</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11.8</w:t>
            </w:r>
          </w:p>
        </w:tc>
        <w:tc>
          <w:tcPr>
            <w:tcW w:w="20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7.9</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69.9</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69.9</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69.9</w:t>
            </w:r>
          </w:p>
        </w:tc>
        <w:tc>
          <w:tcPr>
            <w:tcW w:w="20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70.0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43.9</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43.9</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43.9</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44.0</w:t>
            </w:r>
          </w:p>
        </w:tc>
        <w:tc>
          <w:tcPr>
            <w:tcW w:w="284"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11</w:t>
            </w:r>
          </w:p>
        </w:tc>
        <w:tc>
          <w:tcPr>
            <w:tcW w:w="23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锅炉房</w:t>
            </w:r>
          </w:p>
        </w:tc>
        <w:tc>
          <w:tcPr>
            <w:tcW w:w="22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水泵</w:t>
            </w:r>
          </w:p>
        </w:tc>
        <w:tc>
          <w:tcPr>
            <w:tcW w:w="26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80</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11.9</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-1.9</w:t>
            </w:r>
          </w:p>
        </w:tc>
        <w:tc>
          <w:tcPr>
            <w:tcW w:w="24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1.2</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7.6</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12.1</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16.6</w:t>
            </w:r>
          </w:p>
        </w:tc>
        <w:tc>
          <w:tcPr>
            <w:tcW w:w="20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8.1</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70.0</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69.9</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69.9</w:t>
            </w:r>
          </w:p>
        </w:tc>
        <w:tc>
          <w:tcPr>
            <w:tcW w:w="20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70.0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44.0</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43.9</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43.9</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44.0</w:t>
            </w:r>
          </w:p>
        </w:tc>
        <w:tc>
          <w:tcPr>
            <w:tcW w:w="284"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12</w:t>
            </w:r>
          </w:p>
        </w:tc>
        <w:tc>
          <w:tcPr>
            <w:tcW w:w="23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锅炉房</w:t>
            </w:r>
          </w:p>
        </w:tc>
        <w:tc>
          <w:tcPr>
            <w:tcW w:w="22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空压机</w:t>
            </w:r>
          </w:p>
        </w:tc>
        <w:tc>
          <w:tcPr>
            <w:tcW w:w="26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85</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-4.2</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-3.4</w:t>
            </w:r>
          </w:p>
        </w:tc>
        <w:tc>
          <w:tcPr>
            <w:tcW w:w="24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0.5</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19.5</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3.5</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5.1</w:t>
            </w:r>
          </w:p>
        </w:tc>
        <w:tc>
          <w:tcPr>
            <w:tcW w:w="20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13.3</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74.9</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75.2</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75.0</w:t>
            </w:r>
          </w:p>
        </w:tc>
        <w:tc>
          <w:tcPr>
            <w:tcW w:w="20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74.9</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48.9</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49.2</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49.0</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48.9</w:t>
            </w:r>
          </w:p>
        </w:tc>
        <w:tc>
          <w:tcPr>
            <w:tcW w:w="284"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13</w:t>
            </w:r>
          </w:p>
        </w:tc>
        <w:tc>
          <w:tcPr>
            <w:tcW w:w="23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锅炉房</w:t>
            </w:r>
          </w:p>
        </w:tc>
        <w:tc>
          <w:tcPr>
            <w:tcW w:w="22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空压机</w:t>
            </w:r>
          </w:p>
        </w:tc>
        <w:tc>
          <w:tcPr>
            <w:tcW w:w="26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85</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0.7</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-6.2</w:t>
            </w:r>
          </w:p>
        </w:tc>
        <w:tc>
          <w:tcPr>
            <w:tcW w:w="24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0.3</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14.0</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3.2</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10.6</w:t>
            </w:r>
          </w:p>
        </w:tc>
        <w:tc>
          <w:tcPr>
            <w:tcW w:w="20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17.9</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74.9</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75.2</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74.9</w:t>
            </w:r>
          </w:p>
        </w:tc>
        <w:tc>
          <w:tcPr>
            <w:tcW w:w="20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74.9</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48.9</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49.2</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48.9</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48.9</w:t>
            </w:r>
          </w:p>
        </w:tc>
        <w:tc>
          <w:tcPr>
            <w:tcW w:w="284"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14</w:t>
            </w:r>
          </w:p>
        </w:tc>
        <w:tc>
          <w:tcPr>
            <w:tcW w:w="23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锅炉房</w:t>
            </w:r>
          </w:p>
        </w:tc>
        <w:tc>
          <w:tcPr>
            <w:tcW w:w="220"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空压机</w:t>
            </w:r>
          </w:p>
        </w:tc>
        <w:tc>
          <w:tcPr>
            <w:tcW w:w="26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85</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7.5</w:t>
            </w:r>
          </w:p>
        </w:tc>
        <w:tc>
          <w:tcPr>
            <w:tcW w:w="23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-9.7</w:t>
            </w:r>
          </w:p>
        </w:tc>
        <w:tc>
          <w:tcPr>
            <w:tcW w:w="24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0.3</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6.4</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3.1</w:t>
            </w:r>
          </w:p>
        </w:tc>
        <w:tc>
          <w:tcPr>
            <w:tcW w:w="197"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18.1</w:t>
            </w:r>
          </w:p>
        </w:tc>
        <w:tc>
          <w:tcPr>
            <w:tcW w:w="201"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17.1</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75.0</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75.3</w:t>
            </w:r>
          </w:p>
        </w:tc>
        <w:tc>
          <w:tcPr>
            <w:tcW w:w="192"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74.9</w:t>
            </w:r>
          </w:p>
        </w:tc>
        <w:tc>
          <w:tcPr>
            <w:tcW w:w="20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74.9</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86"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5"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26.0</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49.0</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49.3</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48.9</w:t>
            </w:r>
          </w:p>
        </w:tc>
        <w:tc>
          <w:tcPr>
            <w:tcW w:w="199"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48.9</w:t>
            </w:r>
          </w:p>
        </w:tc>
        <w:tc>
          <w:tcPr>
            <w:tcW w:w="284" w:type="pct"/>
            <w:shd w:val="clear" w:color="auto" w:fill="FFFFFF"/>
            <w:tcMar>
              <w:top w:w="0" w:type="dxa"/>
              <w:left w:w="0" w:type="dxa"/>
              <w:bottom w:w="0" w:type="dxa"/>
              <w:right w:w="0" w:type="dxa"/>
            </w:tcMar>
            <w:vAlign w:val="center"/>
          </w:tcPr>
          <w:p>
            <w:pPr>
              <w:rPr>
                <w:rFonts w:ascii="Times New Roman" w:hAnsi="Times New Roman" w:eastAsia="宋体"/>
                <w:b w:val="0"/>
                <w:bCs/>
                <w:color w:val="auto"/>
                <w:sz w:val="21"/>
                <w:highlight w:val="none"/>
              </w:rPr>
            </w:pPr>
            <w:r>
              <w:rPr>
                <w:rFonts w:ascii="Times New Roman" w:hAnsi="Times New Roman" w:eastAsia="宋体" w:cs="Arial"/>
                <w:b w:val="0"/>
                <w:bCs/>
                <w:color w:val="auto"/>
                <w:sz w:val="21"/>
                <w:highlight w:val="none"/>
              </w:rPr>
              <w:t>1</w:t>
            </w:r>
          </w:p>
        </w:tc>
      </w:tr>
      <w:bookmarkEnd w:id="9"/>
    </w:tbl>
    <w:p>
      <w:pPr>
        <w:pStyle w:val="4"/>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p>
    <w:p>
      <w:pPr>
        <w:pStyle w:val="4"/>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表4-</w:t>
      </w:r>
      <w:r>
        <w:rPr>
          <w:rFonts w:hint="eastAsia" w:cs="Times New Roman"/>
          <w:b/>
          <w:bCs/>
          <w:color w:val="auto"/>
          <w:sz w:val="21"/>
          <w:szCs w:val="21"/>
          <w:highlight w:val="none"/>
          <w:lang w:val="en-US" w:eastAsia="zh-CN"/>
        </w:rPr>
        <w:t>11特驱</w:t>
      </w:r>
      <w:r>
        <w:rPr>
          <w:rFonts w:hint="eastAsia" w:ascii="Times New Roman" w:hAnsi="Times New Roman" w:eastAsia="宋体" w:cs="Times New Roman"/>
          <w:b/>
          <w:bCs/>
          <w:color w:val="auto"/>
          <w:sz w:val="21"/>
          <w:szCs w:val="21"/>
          <w:highlight w:val="none"/>
          <w:lang w:val="en-US" w:eastAsia="zh-CN"/>
        </w:rPr>
        <w:t>供热点工业企业噪声源强调查清单（室内声源）</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712"/>
        <w:gridCol w:w="680"/>
        <w:gridCol w:w="816"/>
        <w:gridCol w:w="750"/>
        <w:gridCol w:w="750"/>
        <w:gridCol w:w="772"/>
        <w:gridCol w:w="620"/>
        <w:gridCol w:w="620"/>
        <w:gridCol w:w="620"/>
        <w:gridCol w:w="658"/>
        <w:gridCol w:w="610"/>
        <w:gridCol w:w="610"/>
        <w:gridCol w:w="610"/>
        <w:gridCol w:w="648"/>
        <w:gridCol w:w="591"/>
        <w:gridCol w:w="591"/>
        <w:gridCol w:w="591"/>
        <w:gridCol w:w="623"/>
        <w:gridCol w:w="629"/>
        <w:gridCol w:w="633"/>
        <w:gridCol w:w="633"/>
        <w:gridCol w:w="633"/>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exact"/>
          <w:jc w:val="center"/>
        </w:trPr>
        <w:tc>
          <w:tcPr>
            <w:tcW w:w="155" w:type="pct"/>
            <w:vMerge w:val="restart"/>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序号</w:t>
            </w:r>
          </w:p>
        </w:tc>
        <w:tc>
          <w:tcPr>
            <w:tcW w:w="225" w:type="pct"/>
            <w:vMerge w:val="restart"/>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建筑物名称</w:t>
            </w:r>
          </w:p>
        </w:tc>
        <w:tc>
          <w:tcPr>
            <w:tcW w:w="215" w:type="pct"/>
            <w:vMerge w:val="restart"/>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声源名称</w:t>
            </w:r>
          </w:p>
        </w:tc>
        <w:tc>
          <w:tcPr>
            <w:tcW w:w="258" w:type="pct"/>
            <w:vAlign w:val="center"/>
          </w:tcPr>
          <w:p>
            <w:pPr>
              <w:jc w:val="center"/>
              <w:rPr>
                <w:rFonts w:ascii="Times New Roman" w:hAnsi="Times New Roman" w:eastAsia="宋体" w:cs="Times New Roman"/>
                <w:b w:val="0"/>
                <w:bCs/>
                <w:color w:val="auto"/>
                <w:sz w:val="21"/>
                <w:szCs w:val="21"/>
                <w:highlight w:val="none"/>
                <w:lang w:eastAsia="zh-CN"/>
              </w:rPr>
            </w:pPr>
            <w:r>
              <w:rPr>
                <w:rFonts w:ascii="Times New Roman" w:hAnsi="Times New Roman" w:eastAsia="宋体" w:cs="Times New Roman"/>
                <w:b w:val="0"/>
                <w:bCs/>
                <w:color w:val="auto"/>
                <w:sz w:val="21"/>
                <w:szCs w:val="21"/>
                <w:highlight w:val="none"/>
                <w:lang w:eastAsia="zh-CN"/>
              </w:rPr>
              <w:t>声源源强</w:t>
            </w:r>
          </w:p>
        </w:tc>
        <w:tc>
          <w:tcPr>
            <w:tcW w:w="718" w:type="pct"/>
            <w:gridSpan w:val="3"/>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空间相对位置/m</w:t>
            </w:r>
          </w:p>
        </w:tc>
        <w:tc>
          <w:tcPr>
            <w:tcW w:w="796" w:type="pct"/>
            <w:gridSpan w:val="4"/>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距室内边界距离/m</w:t>
            </w:r>
          </w:p>
        </w:tc>
        <w:tc>
          <w:tcPr>
            <w:tcW w:w="784" w:type="pct"/>
            <w:gridSpan w:val="4"/>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室内边界声级/dB(A)</w:t>
            </w:r>
          </w:p>
        </w:tc>
        <w:tc>
          <w:tcPr>
            <w:tcW w:w="758" w:type="pct"/>
            <w:gridSpan w:val="4"/>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建筑物插入损失 / dB(A)</w:t>
            </w:r>
          </w:p>
        </w:tc>
        <w:tc>
          <w:tcPr>
            <w:tcW w:w="1087" w:type="pct"/>
            <w:gridSpan w:val="5"/>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建筑物外噪声声压级/dB(A)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55" w:type="pct"/>
            <w:vMerge w:val="continue"/>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b w:val="0"/>
                <w:bCs/>
                <w:color w:val="auto"/>
                <w:sz w:val="21"/>
                <w:szCs w:val="21"/>
                <w:highlight w:val="none"/>
                <w:lang w:val="en-US" w:eastAsia="zh-CN"/>
              </w:rPr>
            </w:pPr>
          </w:p>
        </w:tc>
        <w:tc>
          <w:tcPr>
            <w:tcW w:w="225" w:type="pct"/>
            <w:vMerge w:val="continue"/>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p>
        </w:tc>
        <w:tc>
          <w:tcPr>
            <w:tcW w:w="215" w:type="pct"/>
            <w:vMerge w:val="continue"/>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p>
        </w:tc>
        <w:tc>
          <w:tcPr>
            <w:tcW w:w="25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声功率级/dB(A)</w:t>
            </w:r>
          </w:p>
        </w:tc>
        <w:tc>
          <w:tcPr>
            <w:tcW w:w="23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X</w:t>
            </w:r>
          </w:p>
        </w:tc>
        <w:tc>
          <w:tcPr>
            <w:tcW w:w="23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Y</w:t>
            </w:r>
          </w:p>
        </w:tc>
        <w:tc>
          <w:tcPr>
            <w:tcW w:w="242"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Z</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东</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南</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西</w:t>
            </w:r>
          </w:p>
        </w:tc>
        <w:tc>
          <w:tcPr>
            <w:tcW w:w="20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北</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东</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南</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西</w:t>
            </w:r>
          </w:p>
        </w:tc>
        <w:tc>
          <w:tcPr>
            <w:tcW w:w="202"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北</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东</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南</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西</w:t>
            </w:r>
          </w:p>
        </w:tc>
        <w:tc>
          <w:tcPr>
            <w:tcW w:w="194"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北</w:t>
            </w:r>
          </w:p>
        </w:tc>
        <w:tc>
          <w:tcPr>
            <w:tcW w:w="19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东</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南</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西</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北</w:t>
            </w:r>
          </w:p>
        </w:tc>
        <w:tc>
          <w:tcPr>
            <w:tcW w:w="28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5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w:t>
            </w:r>
          </w:p>
        </w:tc>
        <w:tc>
          <w:tcPr>
            <w:tcW w:w="22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锅炉房</w:t>
            </w:r>
          </w:p>
        </w:tc>
        <w:tc>
          <w:tcPr>
            <w:tcW w:w="21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锅炉</w:t>
            </w:r>
          </w:p>
        </w:tc>
        <w:tc>
          <w:tcPr>
            <w:tcW w:w="25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80</w:t>
            </w:r>
          </w:p>
        </w:tc>
        <w:tc>
          <w:tcPr>
            <w:tcW w:w="23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-0.6</w:t>
            </w:r>
          </w:p>
        </w:tc>
        <w:tc>
          <w:tcPr>
            <w:tcW w:w="23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w:t>
            </w:r>
          </w:p>
        </w:tc>
        <w:tc>
          <w:tcPr>
            <w:tcW w:w="242"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5.3</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4.9</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8.3</w:t>
            </w:r>
          </w:p>
        </w:tc>
        <w:tc>
          <w:tcPr>
            <w:tcW w:w="20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12.7</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73.1</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73.1</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73.0</w:t>
            </w:r>
          </w:p>
        </w:tc>
        <w:tc>
          <w:tcPr>
            <w:tcW w:w="202"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73.0</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94"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9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47.1</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47.1</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47.0</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47.0</w:t>
            </w:r>
          </w:p>
        </w:tc>
        <w:tc>
          <w:tcPr>
            <w:tcW w:w="28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5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w:t>
            </w:r>
          </w:p>
        </w:tc>
        <w:tc>
          <w:tcPr>
            <w:tcW w:w="22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锅炉房</w:t>
            </w:r>
          </w:p>
        </w:tc>
        <w:tc>
          <w:tcPr>
            <w:tcW w:w="21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锅炉</w:t>
            </w:r>
          </w:p>
        </w:tc>
        <w:tc>
          <w:tcPr>
            <w:tcW w:w="25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80</w:t>
            </w:r>
          </w:p>
        </w:tc>
        <w:tc>
          <w:tcPr>
            <w:tcW w:w="23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2.5</w:t>
            </w:r>
          </w:p>
        </w:tc>
        <w:tc>
          <w:tcPr>
            <w:tcW w:w="23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w:t>
            </w:r>
          </w:p>
        </w:tc>
        <w:tc>
          <w:tcPr>
            <w:tcW w:w="242"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5.1</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9.6</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8.7</w:t>
            </w:r>
          </w:p>
        </w:tc>
        <w:tc>
          <w:tcPr>
            <w:tcW w:w="20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8.0</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73.1</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73.0</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73.0</w:t>
            </w:r>
          </w:p>
        </w:tc>
        <w:tc>
          <w:tcPr>
            <w:tcW w:w="202"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73.0</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94"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9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47.1</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47.0</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47.0</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47.0</w:t>
            </w:r>
          </w:p>
        </w:tc>
        <w:tc>
          <w:tcPr>
            <w:tcW w:w="28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5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3</w:t>
            </w:r>
          </w:p>
        </w:tc>
        <w:tc>
          <w:tcPr>
            <w:tcW w:w="22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锅炉房</w:t>
            </w:r>
          </w:p>
        </w:tc>
        <w:tc>
          <w:tcPr>
            <w:tcW w:w="21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风机</w:t>
            </w:r>
          </w:p>
        </w:tc>
        <w:tc>
          <w:tcPr>
            <w:tcW w:w="25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80</w:t>
            </w:r>
          </w:p>
        </w:tc>
        <w:tc>
          <w:tcPr>
            <w:tcW w:w="23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-0.4</w:t>
            </w:r>
          </w:p>
        </w:tc>
        <w:tc>
          <w:tcPr>
            <w:tcW w:w="23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-1.8</w:t>
            </w:r>
          </w:p>
        </w:tc>
        <w:tc>
          <w:tcPr>
            <w:tcW w:w="242"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4.4</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8.9</w:t>
            </w:r>
          </w:p>
        </w:tc>
        <w:tc>
          <w:tcPr>
            <w:tcW w:w="20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13.3</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73.1</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73.1</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73.0</w:t>
            </w:r>
          </w:p>
        </w:tc>
        <w:tc>
          <w:tcPr>
            <w:tcW w:w="202"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73.0</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94"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9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47.1</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47.1</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47.0</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47.0</w:t>
            </w:r>
          </w:p>
        </w:tc>
        <w:tc>
          <w:tcPr>
            <w:tcW w:w="28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5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w:t>
            </w:r>
          </w:p>
        </w:tc>
        <w:tc>
          <w:tcPr>
            <w:tcW w:w="22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锅炉房</w:t>
            </w:r>
          </w:p>
        </w:tc>
        <w:tc>
          <w:tcPr>
            <w:tcW w:w="21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风机</w:t>
            </w:r>
          </w:p>
        </w:tc>
        <w:tc>
          <w:tcPr>
            <w:tcW w:w="25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80</w:t>
            </w:r>
          </w:p>
        </w:tc>
        <w:tc>
          <w:tcPr>
            <w:tcW w:w="23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2.3</w:t>
            </w:r>
          </w:p>
        </w:tc>
        <w:tc>
          <w:tcPr>
            <w:tcW w:w="23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1.6</w:t>
            </w:r>
          </w:p>
        </w:tc>
        <w:tc>
          <w:tcPr>
            <w:tcW w:w="242"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4.6</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8.7</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9.1</w:t>
            </w:r>
          </w:p>
        </w:tc>
        <w:tc>
          <w:tcPr>
            <w:tcW w:w="20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9.0</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73.1</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73.0</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73.0</w:t>
            </w:r>
          </w:p>
        </w:tc>
        <w:tc>
          <w:tcPr>
            <w:tcW w:w="202"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73.0</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94"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9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47.1</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47.0</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47.0</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47.0</w:t>
            </w:r>
          </w:p>
        </w:tc>
        <w:tc>
          <w:tcPr>
            <w:tcW w:w="28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5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w:t>
            </w:r>
          </w:p>
        </w:tc>
        <w:tc>
          <w:tcPr>
            <w:tcW w:w="22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锅炉房</w:t>
            </w:r>
          </w:p>
        </w:tc>
        <w:tc>
          <w:tcPr>
            <w:tcW w:w="21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水泵</w:t>
            </w:r>
          </w:p>
        </w:tc>
        <w:tc>
          <w:tcPr>
            <w:tcW w:w="25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80</w:t>
            </w:r>
          </w:p>
        </w:tc>
        <w:tc>
          <w:tcPr>
            <w:tcW w:w="23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3.1</w:t>
            </w:r>
          </w:p>
        </w:tc>
        <w:tc>
          <w:tcPr>
            <w:tcW w:w="23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3.9</w:t>
            </w:r>
          </w:p>
        </w:tc>
        <w:tc>
          <w:tcPr>
            <w:tcW w:w="242"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5.4</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11.0</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8.4</w:t>
            </w:r>
          </w:p>
        </w:tc>
        <w:tc>
          <w:tcPr>
            <w:tcW w:w="20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6.6</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73.1</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73.0</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73.0</w:t>
            </w:r>
          </w:p>
        </w:tc>
        <w:tc>
          <w:tcPr>
            <w:tcW w:w="202"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73.1</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94"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9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47.1</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47.0</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47.0</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47.1</w:t>
            </w:r>
          </w:p>
        </w:tc>
        <w:tc>
          <w:tcPr>
            <w:tcW w:w="28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5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6</w:t>
            </w:r>
          </w:p>
        </w:tc>
        <w:tc>
          <w:tcPr>
            <w:tcW w:w="22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锅炉房</w:t>
            </w:r>
          </w:p>
        </w:tc>
        <w:tc>
          <w:tcPr>
            <w:tcW w:w="21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水泵</w:t>
            </w:r>
          </w:p>
        </w:tc>
        <w:tc>
          <w:tcPr>
            <w:tcW w:w="25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80</w:t>
            </w:r>
          </w:p>
        </w:tc>
        <w:tc>
          <w:tcPr>
            <w:tcW w:w="23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1.9</w:t>
            </w:r>
          </w:p>
        </w:tc>
        <w:tc>
          <w:tcPr>
            <w:tcW w:w="23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w:t>
            </w:r>
          </w:p>
        </w:tc>
        <w:tc>
          <w:tcPr>
            <w:tcW w:w="242"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6.8</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10.9</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7.0</w:t>
            </w:r>
          </w:p>
        </w:tc>
        <w:tc>
          <w:tcPr>
            <w:tcW w:w="20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6.6</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73.1</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73.0</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73.1</w:t>
            </w:r>
          </w:p>
        </w:tc>
        <w:tc>
          <w:tcPr>
            <w:tcW w:w="202"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73.1</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94"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9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47.1</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47.0</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47.1</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47.1</w:t>
            </w:r>
          </w:p>
        </w:tc>
        <w:tc>
          <w:tcPr>
            <w:tcW w:w="28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5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w:t>
            </w:r>
          </w:p>
        </w:tc>
        <w:tc>
          <w:tcPr>
            <w:tcW w:w="22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锅炉房</w:t>
            </w:r>
          </w:p>
        </w:tc>
        <w:tc>
          <w:tcPr>
            <w:tcW w:w="21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空压机</w:t>
            </w:r>
          </w:p>
        </w:tc>
        <w:tc>
          <w:tcPr>
            <w:tcW w:w="25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85</w:t>
            </w:r>
          </w:p>
        </w:tc>
        <w:tc>
          <w:tcPr>
            <w:tcW w:w="23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-1.5</w:t>
            </w:r>
          </w:p>
        </w:tc>
        <w:tc>
          <w:tcPr>
            <w:tcW w:w="23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-1.4</w:t>
            </w:r>
          </w:p>
        </w:tc>
        <w:tc>
          <w:tcPr>
            <w:tcW w:w="242"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5.8</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4.0</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7.8</w:t>
            </w:r>
          </w:p>
        </w:tc>
        <w:tc>
          <w:tcPr>
            <w:tcW w:w="20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13.6</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78.1</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78.1</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78.0</w:t>
            </w:r>
          </w:p>
        </w:tc>
        <w:tc>
          <w:tcPr>
            <w:tcW w:w="202"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78.0</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94"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9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52.1</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52.1</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52.0</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52.0</w:t>
            </w:r>
          </w:p>
        </w:tc>
        <w:tc>
          <w:tcPr>
            <w:tcW w:w="28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5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w:t>
            </w:r>
          </w:p>
        </w:tc>
        <w:tc>
          <w:tcPr>
            <w:tcW w:w="22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锅炉房</w:t>
            </w:r>
          </w:p>
        </w:tc>
        <w:tc>
          <w:tcPr>
            <w:tcW w:w="21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空压机</w:t>
            </w:r>
          </w:p>
        </w:tc>
        <w:tc>
          <w:tcPr>
            <w:tcW w:w="25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85</w:t>
            </w:r>
          </w:p>
        </w:tc>
        <w:tc>
          <w:tcPr>
            <w:tcW w:w="23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1.4</w:t>
            </w:r>
          </w:p>
        </w:tc>
        <w:tc>
          <w:tcPr>
            <w:tcW w:w="23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2.3</w:t>
            </w:r>
          </w:p>
        </w:tc>
        <w:tc>
          <w:tcPr>
            <w:tcW w:w="242"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5.7</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8.7</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8.0</w:t>
            </w:r>
          </w:p>
        </w:tc>
        <w:tc>
          <w:tcPr>
            <w:tcW w:w="20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8.9</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78.1</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78.0</w:t>
            </w:r>
          </w:p>
        </w:tc>
        <w:tc>
          <w:tcPr>
            <w:tcW w:w="193"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78.0</w:t>
            </w:r>
          </w:p>
        </w:tc>
        <w:tc>
          <w:tcPr>
            <w:tcW w:w="202"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78.0</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94"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9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52.1</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52.0</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52.0</w:t>
            </w:r>
          </w:p>
        </w:tc>
        <w:tc>
          <w:tcPr>
            <w:tcW w:w="200"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52.0</w:t>
            </w:r>
          </w:p>
        </w:tc>
        <w:tc>
          <w:tcPr>
            <w:tcW w:w="28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w:t>
            </w:r>
          </w:p>
        </w:tc>
      </w:tr>
    </w:tbl>
    <w:p>
      <w:pPr>
        <w:pStyle w:val="4"/>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p>
    <w:p>
      <w:pPr>
        <w:pStyle w:val="4"/>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表4-</w:t>
      </w:r>
      <w:r>
        <w:rPr>
          <w:rFonts w:hint="eastAsia" w:cs="Times New Roman"/>
          <w:b/>
          <w:bCs/>
          <w:color w:val="auto"/>
          <w:sz w:val="21"/>
          <w:szCs w:val="21"/>
          <w:highlight w:val="none"/>
          <w:lang w:val="en-US" w:eastAsia="zh-CN"/>
        </w:rPr>
        <w:t>12漓源</w:t>
      </w:r>
      <w:r>
        <w:rPr>
          <w:rFonts w:hint="eastAsia" w:ascii="Times New Roman" w:hAnsi="Times New Roman" w:eastAsia="宋体" w:cs="Times New Roman"/>
          <w:b/>
          <w:bCs/>
          <w:color w:val="auto"/>
          <w:sz w:val="21"/>
          <w:szCs w:val="21"/>
          <w:highlight w:val="none"/>
          <w:lang w:val="en-US" w:eastAsia="zh-CN"/>
        </w:rPr>
        <w:t>供热点工业企业噪声源强调查清单（室内声源）</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4"/>
        <w:gridCol w:w="718"/>
        <w:gridCol w:w="683"/>
        <w:gridCol w:w="819"/>
        <w:gridCol w:w="756"/>
        <w:gridCol w:w="756"/>
        <w:gridCol w:w="759"/>
        <w:gridCol w:w="626"/>
        <w:gridCol w:w="626"/>
        <w:gridCol w:w="626"/>
        <w:gridCol w:w="636"/>
        <w:gridCol w:w="617"/>
        <w:gridCol w:w="617"/>
        <w:gridCol w:w="617"/>
        <w:gridCol w:w="630"/>
        <w:gridCol w:w="598"/>
        <w:gridCol w:w="598"/>
        <w:gridCol w:w="598"/>
        <w:gridCol w:w="598"/>
        <w:gridCol w:w="636"/>
        <w:gridCol w:w="636"/>
        <w:gridCol w:w="636"/>
        <w:gridCol w:w="636"/>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exact"/>
          <w:jc w:val="center"/>
        </w:trPr>
        <w:tc>
          <w:tcPr>
            <w:tcW w:w="156" w:type="pct"/>
            <w:vMerge w:val="restart"/>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序号</w:t>
            </w:r>
          </w:p>
        </w:tc>
        <w:tc>
          <w:tcPr>
            <w:tcW w:w="227" w:type="pct"/>
            <w:vMerge w:val="restart"/>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建筑物名称</w:t>
            </w:r>
          </w:p>
        </w:tc>
        <w:tc>
          <w:tcPr>
            <w:tcW w:w="216" w:type="pct"/>
            <w:vMerge w:val="restart"/>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声源名称</w:t>
            </w:r>
          </w:p>
        </w:tc>
        <w:tc>
          <w:tcPr>
            <w:tcW w:w="259" w:type="pct"/>
            <w:vAlign w:val="center"/>
          </w:tcPr>
          <w:p>
            <w:pPr>
              <w:jc w:val="center"/>
              <w:rPr>
                <w:rFonts w:ascii="Times New Roman" w:hAnsi="Times New Roman" w:eastAsia="宋体" w:cs="Times New Roman"/>
                <w:b w:val="0"/>
                <w:bCs/>
                <w:color w:val="auto"/>
                <w:sz w:val="21"/>
                <w:szCs w:val="21"/>
                <w:highlight w:val="none"/>
                <w:lang w:eastAsia="zh-CN"/>
              </w:rPr>
            </w:pPr>
            <w:r>
              <w:rPr>
                <w:rFonts w:ascii="Times New Roman" w:hAnsi="Times New Roman" w:eastAsia="宋体" w:cs="Times New Roman"/>
                <w:b w:val="0"/>
                <w:bCs/>
                <w:color w:val="auto"/>
                <w:sz w:val="21"/>
                <w:szCs w:val="21"/>
                <w:highlight w:val="none"/>
                <w:lang w:eastAsia="zh-CN"/>
              </w:rPr>
              <w:t>声源源强</w:t>
            </w:r>
          </w:p>
        </w:tc>
        <w:tc>
          <w:tcPr>
            <w:tcW w:w="718" w:type="pct"/>
            <w:gridSpan w:val="3"/>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空间相对位置/m</w:t>
            </w:r>
          </w:p>
        </w:tc>
        <w:tc>
          <w:tcPr>
            <w:tcW w:w="795" w:type="pct"/>
            <w:gridSpan w:val="4"/>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距室内边界距离/m</w:t>
            </w:r>
          </w:p>
        </w:tc>
        <w:tc>
          <w:tcPr>
            <w:tcW w:w="784" w:type="pct"/>
            <w:gridSpan w:val="4"/>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室内边界声级/dB(A)</w:t>
            </w:r>
          </w:p>
        </w:tc>
        <w:tc>
          <w:tcPr>
            <w:tcW w:w="756" w:type="pct"/>
            <w:gridSpan w:val="4"/>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建筑物插入损失 / dB(A)</w:t>
            </w:r>
          </w:p>
        </w:tc>
        <w:tc>
          <w:tcPr>
            <w:tcW w:w="1084" w:type="pct"/>
            <w:gridSpan w:val="5"/>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建筑物外噪声声压级/dB(A)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56" w:type="pct"/>
            <w:vMerge w:val="continue"/>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b w:val="0"/>
                <w:bCs/>
                <w:color w:val="auto"/>
                <w:sz w:val="21"/>
                <w:szCs w:val="21"/>
                <w:highlight w:val="none"/>
                <w:lang w:val="en-US" w:eastAsia="zh-CN"/>
              </w:rPr>
            </w:pPr>
          </w:p>
        </w:tc>
        <w:tc>
          <w:tcPr>
            <w:tcW w:w="227" w:type="pct"/>
            <w:vMerge w:val="continue"/>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p>
        </w:tc>
        <w:tc>
          <w:tcPr>
            <w:tcW w:w="216" w:type="pct"/>
            <w:vMerge w:val="continue"/>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p>
        </w:tc>
        <w:tc>
          <w:tcPr>
            <w:tcW w:w="25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声功率级/dB(A)</w:t>
            </w:r>
          </w:p>
        </w:tc>
        <w:tc>
          <w:tcPr>
            <w:tcW w:w="23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X</w:t>
            </w:r>
          </w:p>
        </w:tc>
        <w:tc>
          <w:tcPr>
            <w:tcW w:w="23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Y</w:t>
            </w:r>
          </w:p>
        </w:tc>
        <w:tc>
          <w:tcPr>
            <w:tcW w:w="23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Z</w:t>
            </w:r>
          </w:p>
        </w:tc>
        <w:tc>
          <w:tcPr>
            <w:tcW w:w="19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东</w:t>
            </w:r>
          </w:p>
        </w:tc>
        <w:tc>
          <w:tcPr>
            <w:tcW w:w="19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南</w:t>
            </w:r>
          </w:p>
        </w:tc>
        <w:tc>
          <w:tcPr>
            <w:tcW w:w="19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西</w:t>
            </w:r>
          </w:p>
        </w:tc>
        <w:tc>
          <w:tcPr>
            <w:tcW w:w="19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北</w:t>
            </w:r>
          </w:p>
        </w:tc>
        <w:tc>
          <w:tcPr>
            <w:tcW w:w="19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东</w:t>
            </w:r>
          </w:p>
        </w:tc>
        <w:tc>
          <w:tcPr>
            <w:tcW w:w="19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南</w:t>
            </w:r>
          </w:p>
        </w:tc>
        <w:tc>
          <w:tcPr>
            <w:tcW w:w="19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西</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北</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东</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南</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西</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北</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东</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南</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西</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北</w:t>
            </w:r>
          </w:p>
        </w:tc>
        <w:tc>
          <w:tcPr>
            <w:tcW w:w="27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5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w:t>
            </w:r>
          </w:p>
        </w:tc>
        <w:tc>
          <w:tcPr>
            <w:tcW w:w="22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锅炉房</w:t>
            </w:r>
          </w:p>
        </w:tc>
        <w:tc>
          <w:tcPr>
            <w:tcW w:w="21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锅炉</w:t>
            </w:r>
          </w:p>
        </w:tc>
        <w:tc>
          <w:tcPr>
            <w:tcW w:w="25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80</w:t>
            </w:r>
          </w:p>
        </w:tc>
        <w:tc>
          <w:tcPr>
            <w:tcW w:w="23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-2.8</w:t>
            </w:r>
          </w:p>
        </w:tc>
        <w:tc>
          <w:tcPr>
            <w:tcW w:w="23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-3.3</w:t>
            </w:r>
          </w:p>
        </w:tc>
        <w:tc>
          <w:tcPr>
            <w:tcW w:w="23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19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9.0</w:t>
            </w:r>
          </w:p>
        </w:tc>
        <w:tc>
          <w:tcPr>
            <w:tcW w:w="19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6.7</w:t>
            </w:r>
          </w:p>
        </w:tc>
        <w:tc>
          <w:tcPr>
            <w:tcW w:w="19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3.7</w:t>
            </w:r>
          </w:p>
        </w:tc>
        <w:tc>
          <w:tcPr>
            <w:tcW w:w="19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3.8</w:t>
            </w:r>
          </w:p>
        </w:tc>
        <w:tc>
          <w:tcPr>
            <w:tcW w:w="19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74.4</w:t>
            </w:r>
          </w:p>
        </w:tc>
        <w:tc>
          <w:tcPr>
            <w:tcW w:w="19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74.4</w:t>
            </w:r>
          </w:p>
        </w:tc>
        <w:tc>
          <w:tcPr>
            <w:tcW w:w="19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74.4</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74.4</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48.4</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48.4</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48.4</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48.4</w:t>
            </w:r>
          </w:p>
        </w:tc>
        <w:tc>
          <w:tcPr>
            <w:tcW w:w="27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5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w:t>
            </w:r>
          </w:p>
        </w:tc>
        <w:tc>
          <w:tcPr>
            <w:tcW w:w="22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锅炉房</w:t>
            </w:r>
          </w:p>
        </w:tc>
        <w:tc>
          <w:tcPr>
            <w:tcW w:w="21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风机</w:t>
            </w:r>
          </w:p>
        </w:tc>
        <w:tc>
          <w:tcPr>
            <w:tcW w:w="25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80</w:t>
            </w:r>
          </w:p>
        </w:tc>
        <w:tc>
          <w:tcPr>
            <w:tcW w:w="23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-2.2</w:t>
            </w:r>
          </w:p>
        </w:tc>
        <w:tc>
          <w:tcPr>
            <w:tcW w:w="23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-0.9</w:t>
            </w:r>
          </w:p>
        </w:tc>
        <w:tc>
          <w:tcPr>
            <w:tcW w:w="23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19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9.0</w:t>
            </w:r>
          </w:p>
        </w:tc>
        <w:tc>
          <w:tcPr>
            <w:tcW w:w="19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9.2</w:t>
            </w:r>
          </w:p>
        </w:tc>
        <w:tc>
          <w:tcPr>
            <w:tcW w:w="19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3.7</w:t>
            </w:r>
          </w:p>
        </w:tc>
        <w:tc>
          <w:tcPr>
            <w:tcW w:w="19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1.3</w:t>
            </w:r>
          </w:p>
        </w:tc>
        <w:tc>
          <w:tcPr>
            <w:tcW w:w="19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74.4</w:t>
            </w:r>
          </w:p>
        </w:tc>
        <w:tc>
          <w:tcPr>
            <w:tcW w:w="19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74.4</w:t>
            </w:r>
          </w:p>
        </w:tc>
        <w:tc>
          <w:tcPr>
            <w:tcW w:w="19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74.4</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75.0</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48.4</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48.4</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48.4</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49.0</w:t>
            </w:r>
          </w:p>
        </w:tc>
        <w:tc>
          <w:tcPr>
            <w:tcW w:w="27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5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3</w:t>
            </w:r>
          </w:p>
        </w:tc>
        <w:tc>
          <w:tcPr>
            <w:tcW w:w="22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锅炉房</w:t>
            </w:r>
          </w:p>
        </w:tc>
        <w:tc>
          <w:tcPr>
            <w:tcW w:w="21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风机</w:t>
            </w:r>
          </w:p>
        </w:tc>
        <w:tc>
          <w:tcPr>
            <w:tcW w:w="25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80</w:t>
            </w:r>
          </w:p>
        </w:tc>
        <w:tc>
          <w:tcPr>
            <w:tcW w:w="23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-1.6</w:t>
            </w:r>
          </w:p>
        </w:tc>
        <w:tc>
          <w:tcPr>
            <w:tcW w:w="23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-1.1</w:t>
            </w:r>
          </w:p>
        </w:tc>
        <w:tc>
          <w:tcPr>
            <w:tcW w:w="23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19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8.4</w:t>
            </w:r>
          </w:p>
        </w:tc>
        <w:tc>
          <w:tcPr>
            <w:tcW w:w="19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9.1</w:t>
            </w:r>
          </w:p>
        </w:tc>
        <w:tc>
          <w:tcPr>
            <w:tcW w:w="19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4.4</w:t>
            </w:r>
          </w:p>
        </w:tc>
        <w:tc>
          <w:tcPr>
            <w:tcW w:w="19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1.4</w:t>
            </w:r>
          </w:p>
        </w:tc>
        <w:tc>
          <w:tcPr>
            <w:tcW w:w="19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74.4</w:t>
            </w:r>
          </w:p>
        </w:tc>
        <w:tc>
          <w:tcPr>
            <w:tcW w:w="19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74.4</w:t>
            </w:r>
          </w:p>
        </w:tc>
        <w:tc>
          <w:tcPr>
            <w:tcW w:w="19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74.4</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75.0</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48.4</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48.4</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48.4</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49.0</w:t>
            </w:r>
          </w:p>
        </w:tc>
        <w:tc>
          <w:tcPr>
            <w:tcW w:w="27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5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w:t>
            </w:r>
          </w:p>
        </w:tc>
        <w:tc>
          <w:tcPr>
            <w:tcW w:w="22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锅炉房</w:t>
            </w:r>
          </w:p>
        </w:tc>
        <w:tc>
          <w:tcPr>
            <w:tcW w:w="21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水泵</w:t>
            </w:r>
          </w:p>
        </w:tc>
        <w:tc>
          <w:tcPr>
            <w:tcW w:w="25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80</w:t>
            </w:r>
          </w:p>
        </w:tc>
        <w:tc>
          <w:tcPr>
            <w:tcW w:w="23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-1.5</w:t>
            </w:r>
          </w:p>
        </w:tc>
        <w:tc>
          <w:tcPr>
            <w:tcW w:w="23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-1.8</w:t>
            </w:r>
          </w:p>
        </w:tc>
        <w:tc>
          <w:tcPr>
            <w:tcW w:w="23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19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8.1</w:t>
            </w:r>
          </w:p>
        </w:tc>
        <w:tc>
          <w:tcPr>
            <w:tcW w:w="19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8.4</w:t>
            </w:r>
          </w:p>
        </w:tc>
        <w:tc>
          <w:tcPr>
            <w:tcW w:w="19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4.6</w:t>
            </w:r>
          </w:p>
        </w:tc>
        <w:tc>
          <w:tcPr>
            <w:tcW w:w="19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2.1</w:t>
            </w:r>
          </w:p>
        </w:tc>
        <w:tc>
          <w:tcPr>
            <w:tcW w:w="19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74.4</w:t>
            </w:r>
          </w:p>
        </w:tc>
        <w:tc>
          <w:tcPr>
            <w:tcW w:w="19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74.4</w:t>
            </w:r>
          </w:p>
        </w:tc>
        <w:tc>
          <w:tcPr>
            <w:tcW w:w="19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74.4</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74.6</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48.4</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48.4</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48.4</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48.6</w:t>
            </w:r>
          </w:p>
        </w:tc>
        <w:tc>
          <w:tcPr>
            <w:tcW w:w="27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5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w:t>
            </w:r>
          </w:p>
        </w:tc>
        <w:tc>
          <w:tcPr>
            <w:tcW w:w="22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锅炉房</w:t>
            </w:r>
          </w:p>
        </w:tc>
        <w:tc>
          <w:tcPr>
            <w:tcW w:w="21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水泵</w:t>
            </w:r>
          </w:p>
        </w:tc>
        <w:tc>
          <w:tcPr>
            <w:tcW w:w="25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80</w:t>
            </w:r>
          </w:p>
        </w:tc>
        <w:tc>
          <w:tcPr>
            <w:tcW w:w="23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0</w:t>
            </w:r>
          </w:p>
        </w:tc>
        <w:tc>
          <w:tcPr>
            <w:tcW w:w="23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-1.3</w:t>
            </w:r>
          </w:p>
        </w:tc>
        <w:tc>
          <w:tcPr>
            <w:tcW w:w="23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19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6.8</w:t>
            </w:r>
          </w:p>
        </w:tc>
        <w:tc>
          <w:tcPr>
            <w:tcW w:w="19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9.2</w:t>
            </w:r>
          </w:p>
        </w:tc>
        <w:tc>
          <w:tcPr>
            <w:tcW w:w="19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6.0</w:t>
            </w:r>
          </w:p>
        </w:tc>
        <w:tc>
          <w:tcPr>
            <w:tcW w:w="19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1.3</w:t>
            </w:r>
          </w:p>
        </w:tc>
        <w:tc>
          <w:tcPr>
            <w:tcW w:w="19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74.4</w:t>
            </w:r>
          </w:p>
        </w:tc>
        <w:tc>
          <w:tcPr>
            <w:tcW w:w="19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74.4</w:t>
            </w:r>
          </w:p>
        </w:tc>
        <w:tc>
          <w:tcPr>
            <w:tcW w:w="19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74.4</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75.0</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48.4</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48.4</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48.4</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49.0</w:t>
            </w:r>
          </w:p>
        </w:tc>
        <w:tc>
          <w:tcPr>
            <w:tcW w:w="27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5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6</w:t>
            </w:r>
          </w:p>
        </w:tc>
        <w:tc>
          <w:tcPr>
            <w:tcW w:w="227"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锅炉房</w:t>
            </w:r>
          </w:p>
        </w:tc>
        <w:tc>
          <w:tcPr>
            <w:tcW w:w="21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空压机</w:t>
            </w:r>
          </w:p>
        </w:tc>
        <w:tc>
          <w:tcPr>
            <w:tcW w:w="25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85</w:t>
            </w:r>
          </w:p>
        </w:tc>
        <w:tc>
          <w:tcPr>
            <w:tcW w:w="23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-0.9</w:t>
            </w:r>
          </w:p>
        </w:tc>
        <w:tc>
          <w:tcPr>
            <w:tcW w:w="23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-1.1</w:t>
            </w:r>
          </w:p>
        </w:tc>
        <w:tc>
          <w:tcPr>
            <w:tcW w:w="23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19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7.7</w:t>
            </w:r>
          </w:p>
        </w:tc>
        <w:tc>
          <w:tcPr>
            <w:tcW w:w="19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9.2</w:t>
            </w:r>
          </w:p>
        </w:tc>
        <w:tc>
          <w:tcPr>
            <w:tcW w:w="19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5.1</w:t>
            </w:r>
          </w:p>
        </w:tc>
        <w:tc>
          <w:tcPr>
            <w:tcW w:w="19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1.3</w:t>
            </w:r>
          </w:p>
        </w:tc>
        <w:tc>
          <w:tcPr>
            <w:tcW w:w="19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79.4</w:t>
            </w:r>
          </w:p>
        </w:tc>
        <w:tc>
          <w:tcPr>
            <w:tcW w:w="19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79.4</w:t>
            </w:r>
          </w:p>
        </w:tc>
        <w:tc>
          <w:tcPr>
            <w:tcW w:w="195"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79.4</w:t>
            </w:r>
          </w:p>
        </w:tc>
        <w:tc>
          <w:tcPr>
            <w:tcW w:w="196"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80.0</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189"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26.0</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53.4</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53.4</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53.4</w:t>
            </w:r>
          </w:p>
        </w:tc>
        <w:tc>
          <w:tcPr>
            <w:tcW w:w="201"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54.0</w:t>
            </w:r>
          </w:p>
        </w:tc>
        <w:tc>
          <w:tcPr>
            <w:tcW w:w="278" w:type="pct"/>
            <w:shd w:val="clear" w:color="auto" w:fill="FFFFFF"/>
            <w:tcMar>
              <w:top w:w="0" w:type="dxa"/>
              <w:left w:w="0" w:type="dxa"/>
              <w:bottom w:w="0" w:type="dxa"/>
              <w:right w:w="0" w:type="dxa"/>
            </w:tcMar>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w:t>
            </w:r>
          </w:p>
        </w:tc>
      </w:tr>
    </w:tbl>
    <w:p>
      <w:pPr>
        <w:pStyle w:val="68"/>
        <w:rPr>
          <w:rFonts w:hint="eastAsia" w:ascii="Times New Roman" w:hAnsi="Times New Roman" w:eastAsia="宋体" w:cs="Times New Roman"/>
          <w:color w:val="auto"/>
          <w:sz w:val="24"/>
          <w:highlight w:val="none"/>
          <w:lang w:val="en-US" w:eastAsia="zh-CN"/>
        </w:rPr>
      </w:pPr>
    </w:p>
    <w:p>
      <w:pPr>
        <w:pStyle w:val="68"/>
        <w:rPr>
          <w:rFonts w:hint="eastAsia" w:ascii="Times New Roman" w:hAnsi="Times New Roman" w:eastAsia="宋体" w:cs="Times New Roman"/>
          <w:color w:val="auto"/>
          <w:sz w:val="24"/>
          <w:highlight w:val="none"/>
          <w:lang w:val="en-US" w:eastAsia="zh-CN"/>
        </w:rPr>
      </w:pPr>
    </w:p>
    <w:p>
      <w:pPr>
        <w:pStyle w:val="68"/>
        <w:rPr>
          <w:rFonts w:hint="eastAsia" w:ascii="Times New Roman" w:hAnsi="Times New Roman" w:eastAsia="宋体" w:cs="Times New Roman"/>
          <w:color w:val="auto"/>
          <w:sz w:val="24"/>
          <w:highlight w:val="none"/>
          <w:lang w:val="en-US" w:eastAsia="zh-CN"/>
        </w:rPr>
      </w:pPr>
    </w:p>
    <w:p>
      <w:pPr>
        <w:pStyle w:val="68"/>
        <w:rPr>
          <w:rFonts w:hint="eastAsia" w:ascii="Times New Roman" w:hAnsi="Times New Roman" w:eastAsia="宋体" w:cs="Times New Roman"/>
          <w:color w:val="auto"/>
          <w:sz w:val="24"/>
          <w:highlight w:val="none"/>
          <w:lang w:val="en-US" w:eastAsia="zh-CN"/>
        </w:rPr>
      </w:pPr>
    </w:p>
    <w:p>
      <w:pPr>
        <w:pStyle w:val="68"/>
        <w:rPr>
          <w:rFonts w:hint="eastAsia" w:ascii="Times New Roman" w:hAnsi="Times New Roman" w:eastAsia="宋体" w:cs="Times New Roman"/>
          <w:color w:val="auto"/>
          <w:sz w:val="24"/>
          <w:highlight w:val="none"/>
          <w:lang w:val="en-US" w:eastAsia="zh-CN"/>
        </w:rPr>
        <w:sectPr>
          <w:pgSz w:w="16840" w:h="11907" w:orient="landscape"/>
          <w:pgMar w:top="1531" w:right="624" w:bottom="1134" w:left="624"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9"/>
        <w:tblW w:w="961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14"/>
        <w:gridCol w:w="910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4" w:type="dxa"/>
            <w:tcBorders>
              <w:left w:val="single" w:color="auto" w:sz="4" w:space="0"/>
              <w:bottom w:val="single" w:color="auto" w:sz="4" w:space="0"/>
            </w:tcBorders>
            <w:noWrap w:val="0"/>
            <w:tcMar>
              <w:left w:w="28" w:type="dxa"/>
              <w:right w:w="28" w:type="dxa"/>
            </w:tcMar>
            <w:vAlign w:val="center"/>
          </w:tcPr>
          <w:p>
            <w:pPr>
              <w:adjustRightInd w:val="0"/>
              <w:snapToGrid w:val="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运营</w:t>
            </w:r>
          </w:p>
          <w:p>
            <w:pPr>
              <w:adjustRightInd w:val="0"/>
              <w:snapToGrid w:val="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期环</w:t>
            </w:r>
          </w:p>
          <w:p>
            <w:pPr>
              <w:adjustRightInd w:val="0"/>
              <w:snapToGrid w:val="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境影</w:t>
            </w:r>
          </w:p>
          <w:p>
            <w:pPr>
              <w:adjustRightInd w:val="0"/>
              <w:snapToGrid w:val="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响和</w:t>
            </w:r>
          </w:p>
          <w:p>
            <w:pPr>
              <w:adjustRightInd w:val="0"/>
              <w:snapToGrid w:val="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保护</w:t>
            </w:r>
          </w:p>
          <w:p>
            <w:pPr>
              <w:adjustRightInd w:val="0"/>
              <w:snapToGrid w:val="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措施</w:t>
            </w:r>
          </w:p>
        </w:tc>
        <w:tc>
          <w:tcPr>
            <w:tcW w:w="9102" w:type="dxa"/>
            <w:tcBorders>
              <w:bottom w:val="single" w:color="auto" w:sz="4" w:space="0"/>
              <w:right w:val="single" w:color="auto" w:sz="4" w:space="0"/>
            </w:tcBorders>
            <w:noWrap w:val="0"/>
            <w:vAlign w:val="center"/>
          </w:tcPr>
          <w:p>
            <w:pPr>
              <w:spacing w:line="360" w:lineRule="auto"/>
              <w:ind w:firstLine="481"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2、预测范围、点位与评价因子</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（1）噪声预测范围为：厂界外1m。</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（2）预测点位：厂界噪声，在东、南、西、北厂界各设置一个。</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（3）厂界噪声预测因子：昼夜等效连续A声级。</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（4）基础数据</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项目噪声环境影响预测基础数据见表4-</w:t>
            </w:r>
            <w:r>
              <w:rPr>
                <w:rFonts w:hint="eastAsia" w:cs="Times New Roman"/>
                <w:color w:val="auto"/>
                <w:sz w:val="24"/>
                <w:highlight w:val="none"/>
                <w:lang w:val="en-US" w:eastAsia="zh-CN"/>
              </w:rPr>
              <w:t>13</w:t>
            </w:r>
            <w:r>
              <w:rPr>
                <w:rFonts w:hint="eastAsia" w:ascii="Times New Roman" w:hAnsi="Times New Roman" w:eastAsia="宋体" w:cs="Times New Roman"/>
                <w:color w:val="auto"/>
                <w:sz w:val="24"/>
                <w:highlight w:val="none"/>
                <w:lang w:val="en-US" w:eastAsia="zh-CN"/>
              </w:rPr>
              <w:t>。</w:t>
            </w:r>
          </w:p>
          <w:p>
            <w:pPr>
              <w:pStyle w:val="4"/>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w:t>
            </w:r>
            <w:r>
              <w:rPr>
                <w:rFonts w:hint="eastAsia" w:cs="Times New Roman"/>
                <w:b/>
                <w:bCs/>
                <w:color w:val="auto"/>
                <w:sz w:val="21"/>
                <w:szCs w:val="21"/>
                <w:highlight w:val="none"/>
                <w:lang w:val="en-US" w:eastAsia="zh-CN"/>
              </w:rPr>
              <w:t>4-13</w:t>
            </w:r>
            <w:r>
              <w:rPr>
                <w:rFonts w:hint="eastAsia" w:ascii="Times New Roman" w:hAnsi="Times New Roman" w:eastAsia="宋体" w:cs="Times New Roman"/>
                <w:b/>
                <w:bCs/>
                <w:color w:val="auto"/>
                <w:sz w:val="21"/>
                <w:szCs w:val="21"/>
                <w:highlight w:val="none"/>
                <w:lang w:val="en-US" w:eastAsia="zh-CN"/>
              </w:rPr>
              <w:t>项目噪声环境影响预测基础数据表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2908"/>
              <w:gridCol w:w="2219"/>
              <w:gridCol w:w="2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59" w:type="pct"/>
                  <w:vAlign w:val="center"/>
                </w:tcPr>
                <w:p>
                  <w:pPr>
                    <w:jc w:val="center"/>
                    <w:rPr>
                      <w:rFonts w:ascii="Times New Roman" w:hAnsi="Times New Roman" w:eastAsia="宋体" w:cs="Times New Roman"/>
                      <w:b w:val="0"/>
                      <w:bCs/>
                      <w:color w:val="auto"/>
                      <w:sz w:val="21"/>
                      <w:szCs w:val="21"/>
                      <w:highlight w:val="none"/>
                    </w:rPr>
                  </w:pPr>
                  <w:bookmarkStart w:id="11" w:name="PT_4"/>
                  <w:r>
                    <w:rPr>
                      <w:rFonts w:ascii="Times New Roman" w:hAnsi="Times New Roman" w:eastAsia="宋体" w:cs="Times New Roman"/>
                      <w:b w:val="0"/>
                      <w:bCs/>
                      <w:color w:val="auto"/>
                      <w:sz w:val="21"/>
                      <w:szCs w:val="21"/>
                      <w:highlight w:val="none"/>
                    </w:rPr>
                    <w:t>序号</w:t>
                  </w:r>
                </w:p>
              </w:tc>
              <w:tc>
                <w:tcPr>
                  <w:tcW w:w="1638" w:type="pct"/>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名称</w:t>
                  </w:r>
                </w:p>
              </w:tc>
              <w:tc>
                <w:tcPr>
                  <w:tcW w:w="1250" w:type="pct"/>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单位</w:t>
                  </w:r>
                </w:p>
              </w:tc>
              <w:tc>
                <w:tcPr>
                  <w:tcW w:w="1250" w:type="pct"/>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数据</w:t>
                  </w:r>
                </w:p>
                <w:bookmarkEnd w:id="11"/>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exact"/>
                <w:jc w:val="center"/>
              </w:trPr>
              <w:tc>
                <w:tcPr>
                  <w:tcW w:w="859"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w:t>
                  </w:r>
                </w:p>
              </w:tc>
              <w:tc>
                <w:tcPr>
                  <w:tcW w:w="1638"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年平均风速</w:t>
                  </w:r>
                </w:p>
              </w:tc>
              <w:tc>
                <w:tcPr>
                  <w:tcW w:w="125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m/s</w:t>
                  </w:r>
                </w:p>
              </w:tc>
              <w:tc>
                <w:tcPr>
                  <w:tcW w:w="125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exact"/>
                <w:jc w:val="center"/>
              </w:trPr>
              <w:tc>
                <w:tcPr>
                  <w:tcW w:w="859"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w:t>
                  </w:r>
                </w:p>
              </w:tc>
              <w:tc>
                <w:tcPr>
                  <w:tcW w:w="1638"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主导风向</w:t>
                  </w:r>
                </w:p>
              </w:tc>
              <w:tc>
                <w:tcPr>
                  <w:tcW w:w="125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w:t>
                  </w:r>
                </w:p>
              </w:tc>
              <w:tc>
                <w:tcPr>
                  <w:tcW w:w="125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东北风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340" w:hRule="exact"/>
                <w:jc w:val="center"/>
              </w:trPr>
              <w:tc>
                <w:tcPr>
                  <w:tcW w:w="859"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3</w:t>
                  </w:r>
                </w:p>
              </w:tc>
              <w:tc>
                <w:tcPr>
                  <w:tcW w:w="1638"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年平均气温</w:t>
                  </w:r>
                </w:p>
              </w:tc>
              <w:tc>
                <w:tcPr>
                  <w:tcW w:w="125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w:t>
                  </w:r>
                </w:p>
              </w:tc>
              <w:tc>
                <w:tcPr>
                  <w:tcW w:w="125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exact"/>
                <w:jc w:val="center"/>
              </w:trPr>
              <w:tc>
                <w:tcPr>
                  <w:tcW w:w="859"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w:t>
                  </w:r>
                </w:p>
              </w:tc>
              <w:tc>
                <w:tcPr>
                  <w:tcW w:w="1638"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年平均相对湿度</w:t>
                  </w:r>
                </w:p>
              </w:tc>
              <w:tc>
                <w:tcPr>
                  <w:tcW w:w="125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w:t>
                  </w:r>
                </w:p>
              </w:tc>
              <w:tc>
                <w:tcPr>
                  <w:tcW w:w="125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exact"/>
                <w:jc w:val="center"/>
              </w:trPr>
              <w:tc>
                <w:tcPr>
                  <w:tcW w:w="859"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w:t>
                  </w:r>
                </w:p>
              </w:tc>
              <w:tc>
                <w:tcPr>
                  <w:tcW w:w="1638"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大气压强</w:t>
                  </w:r>
                </w:p>
              </w:tc>
              <w:tc>
                <w:tcPr>
                  <w:tcW w:w="125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atm</w:t>
                  </w:r>
                </w:p>
              </w:tc>
              <w:tc>
                <w:tcPr>
                  <w:tcW w:w="125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w:t>
                  </w:r>
                </w:p>
              </w:tc>
            </w:tr>
          </w:tbl>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声源和预测点间的地形、高差、障碍物、树林、灌木等的分布情况以及地面覆盖情况（如草地、水面、水泥地面、土质地面等）根据现场踏勘、项目总平图等，并结合卫星图片地理信息数据确定，数据精度为10m。</w:t>
            </w:r>
          </w:p>
          <w:p>
            <w:pPr>
              <w:spacing w:line="360" w:lineRule="auto"/>
              <w:ind w:firstLine="481"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3、声环境影响预测</w:t>
            </w:r>
          </w:p>
          <w:p>
            <w:pPr>
              <w:spacing w:line="360" w:lineRule="auto"/>
              <w:ind w:firstLine="481"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（1）预测方法</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噪声传播过程中有三个要素：即声源、传播途径和接受者。根据项目采取的治理措施及降噪效果，采用《环境影响评价技术导则 声环境》(HJ2.4-2021)推荐的工业噪声预测模式，本评价只考虑几何发散引起的衰减量来预测项目对厂界的贡献点的影响。</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预测方法为：依据各噪声源与各预测点的距离计算出各噪声设备产生的噪声对各预测点的影响值，并根据能量合成法叠加各噪声设备对各预测点的噪声贡献值，来预测分析本项目运营期对厂界及周围声环境的影响。</w:t>
            </w:r>
          </w:p>
          <w:p>
            <w:pPr>
              <w:spacing w:line="360" w:lineRule="auto"/>
              <w:ind w:firstLine="481"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（2）预测模式</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采用《环境影响评价技术 声环境》(HJ2.4-2021)中的噪声预测模式预测本项目的主要噪声设备对周围声环境的影响。预测模式如下：</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A、本项目只考虑几何发散衰减，公式按照：</w:t>
            </w:r>
          </w:p>
          <w:p>
            <w:pPr>
              <w:spacing w:line="360" w:lineRule="auto"/>
              <w:ind w:firstLine="480" w:firstLineChars="200"/>
              <w:jc w:val="center"/>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L</w:t>
            </w:r>
            <w:r>
              <w:rPr>
                <w:rFonts w:hint="eastAsia" w:ascii="Times New Roman" w:hAnsi="Times New Roman" w:eastAsia="宋体" w:cs="Times New Roman"/>
                <w:color w:val="auto"/>
                <w:sz w:val="24"/>
                <w:highlight w:val="none"/>
                <w:vertAlign w:val="subscript"/>
                <w:lang w:val="en-US" w:eastAsia="zh-CN"/>
              </w:rPr>
              <w:t>A</w:t>
            </w:r>
            <w:r>
              <w:rPr>
                <w:rFonts w:hint="eastAsia" w:ascii="Times New Roman" w:hAnsi="Times New Roman" w:eastAsia="宋体" w:cs="Times New Roman"/>
                <w:color w:val="auto"/>
                <w:sz w:val="24"/>
                <w:highlight w:val="none"/>
                <w:lang w:val="en-US" w:eastAsia="zh-CN"/>
              </w:rPr>
              <w:t>(r)=L</w:t>
            </w:r>
            <w:r>
              <w:rPr>
                <w:rFonts w:hint="eastAsia" w:ascii="Times New Roman" w:hAnsi="Times New Roman" w:eastAsia="宋体" w:cs="Times New Roman"/>
                <w:color w:val="auto"/>
                <w:sz w:val="24"/>
                <w:highlight w:val="none"/>
                <w:vertAlign w:val="subscript"/>
                <w:lang w:val="en-US" w:eastAsia="zh-CN"/>
              </w:rPr>
              <w:t>A</w:t>
            </w:r>
            <w:r>
              <w:rPr>
                <w:rFonts w:hint="eastAsia" w:ascii="Times New Roman" w:hAnsi="Times New Roman" w:eastAsia="宋体" w:cs="Times New Roman"/>
                <w:color w:val="auto"/>
                <w:sz w:val="24"/>
                <w:highlight w:val="none"/>
                <w:lang w:val="en-US" w:eastAsia="zh-CN"/>
              </w:rPr>
              <w:t>（r0）－A</w:t>
            </w:r>
            <w:r>
              <w:rPr>
                <w:rFonts w:hint="eastAsia" w:ascii="Times New Roman" w:hAnsi="Times New Roman" w:eastAsia="宋体" w:cs="Times New Roman"/>
                <w:color w:val="auto"/>
                <w:sz w:val="24"/>
                <w:highlight w:val="none"/>
                <w:vertAlign w:val="subscript"/>
                <w:lang w:val="en-US" w:eastAsia="zh-CN"/>
              </w:rPr>
              <w:t>div</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式中：L</w:t>
            </w:r>
            <w:r>
              <w:rPr>
                <w:rFonts w:hint="eastAsia" w:ascii="Times New Roman" w:hAnsi="Times New Roman" w:eastAsia="宋体" w:cs="Times New Roman"/>
                <w:color w:val="auto"/>
                <w:sz w:val="24"/>
                <w:highlight w:val="none"/>
                <w:vertAlign w:val="subscript"/>
                <w:lang w:val="en-US" w:eastAsia="zh-CN"/>
              </w:rPr>
              <w:t>A</w:t>
            </w:r>
            <w:r>
              <w:rPr>
                <w:rFonts w:hint="eastAsia" w:ascii="Times New Roman" w:hAnsi="Times New Roman" w:eastAsia="宋体" w:cs="Times New Roman"/>
                <w:color w:val="auto"/>
                <w:sz w:val="24"/>
                <w:highlight w:val="none"/>
                <w:lang w:val="en-US" w:eastAsia="zh-CN"/>
              </w:rPr>
              <w:t>(r)——距声源r处的A声级，dB（A）；</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L</w:t>
            </w:r>
            <w:r>
              <w:rPr>
                <w:rFonts w:hint="eastAsia" w:ascii="Times New Roman" w:hAnsi="Times New Roman" w:eastAsia="宋体" w:cs="Times New Roman"/>
                <w:color w:val="auto"/>
                <w:sz w:val="24"/>
                <w:highlight w:val="none"/>
                <w:vertAlign w:val="subscript"/>
                <w:lang w:val="en-US" w:eastAsia="zh-CN"/>
              </w:rPr>
              <w:t>A</w:t>
            </w:r>
            <w:r>
              <w:rPr>
                <w:rFonts w:hint="eastAsia" w:ascii="Times New Roman" w:hAnsi="Times New Roman" w:eastAsia="宋体" w:cs="Times New Roman"/>
                <w:color w:val="auto"/>
                <w:sz w:val="24"/>
                <w:highlight w:val="none"/>
                <w:lang w:val="en-US" w:eastAsia="zh-CN"/>
              </w:rPr>
              <w:t>(r0)——参考位置r0处的A声级，dB（A）；</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color w:val="auto"/>
                <w:sz w:val="24"/>
                <w:highlight w:val="none"/>
                <w:vertAlign w:val="subscript"/>
                <w:lang w:val="en-US" w:eastAsia="zh-CN"/>
              </w:rPr>
              <w:t>div</w:t>
            </w:r>
            <w:r>
              <w:rPr>
                <w:rFonts w:hint="eastAsia" w:ascii="Times New Roman" w:hAnsi="Times New Roman" w:eastAsia="宋体" w:cs="Times New Roman"/>
                <w:color w:val="auto"/>
                <w:sz w:val="24"/>
                <w:highlight w:val="none"/>
                <w:lang w:val="en-US" w:eastAsia="zh-CN"/>
              </w:rPr>
              <w:t>——几何发散引起的衰减，dB；</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B、声源的几何发散衰减公式：</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color w:val="auto"/>
                <w:sz w:val="24"/>
                <w:highlight w:val="none"/>
                <w:vertAlign w:val="subscript"/>
                <w:lang w:val="en-US" w:eastAsia="zh-CN"/>
              </w:rPr>
              <w:t>div</w:t>
            </w:r>
            <w:r>
              <w:rPr>
                <w:rFonts w:hint="eastAsia" w:ascii="Times New Roman" w:hAnsi="Times New Roman" w:eastAsia="宋体" w:cs="Times New Roman"/>
                <w:color w:val="auto"/>
                <w:sz w:val="24"/>
                <w:highlight w:val="none"/>
                <w:lang w:val="en-US" w:eastAsia="zh-CN"/>
              </w:rPr>
              <w:t>=20lg（r/r0）</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式中：A</w:t>
            </w:r>
            <w:r>
              <w:rPr>
                <w:rFonts w:hint="eastAsia" w:ascii="Times New Roman" w:hAnsi="Times New Roman" w:eastAsia="宋体" w:cs="Times New Roman"/>
                <w:color w:val="auto"/>
                <w:sz w:val="24"/>
                <w:highlight w:val="none"/>
                <w:vertAlign w:val="subscript"/>
                <w:lang w:val="en-US" w:eastAsia="zh-CN"/>
              </w:rPr>
              <w:t>div</w:t>
            </w:r>
            <w:r>
              <w:rPr>
                <w:rFonts w:hint="eastAsia" w:ascii="Times New Roman" w:hAnsi="Times New Roman" w:eastAsia="宋体" w:cs="Times New Roman"/>
                <w:color w:val="auto"/>
                <w:sz w:val="24"/>
                <w:highlight w:val="none"/>
                <w:lang w:val="en-US" w:eastAsia="zh-CN"/>
              </w:rPr>
              <w:t>——几何发散引起的衰减，dB；</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r——预测点距声源的距离；</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r0——参考位置距声源的距离；</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C、工业企业噪声计算公式：</w:t>
            </w:r>
          </w:p>
          <w:p>
            <w:pPr>
              <w:spacing w:line="360" w:lineRule="auto"/>
              <w:ind w:firstLine="480" w:firstLineChars="200"/>
              <w:jc w:val="center"/>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object>
                <v:shape id="_x0000_i1027" o:spt="75" type="#_x0000_t75" style="height:40pt;width:203pt;" o:ole="t" filled="f" o:preferrelative="t" stroked="f" coordsize="21600,21600">
                  <v:path/>
                  <v:fill on="f" focussize="0,0"/>
                  <v:stroke on="f"/>
                  <v:imagedata r:id="rId39" o:title=""/>
                  <o:lock v:ext="edit" aspectratio="t"/>
                  <w10:wrap type="none"/>
                  <w10:anchorlock/>
                </v:shape>
                <o:OLEObject Type="Embed" ProgID="Equation.KSEE3" ShapeID="_x0000_i1027" DrawAspect="Content" ObjectID="_1468075727" r:id="rId38">
                  <o:LockedField>false</o:LockedField>
                </o:OLEObject>
              </w:objec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式中：L</w:t>
            </w:r>
            <w:r>
              <w:rPr>
                <w:rFonts w:hint="eastAsia" w:ascii="Times New Roman" w:hAnsi="Times New Roman" w:eastAsia="宋体" w:cs="Times New Roman"/>
                <w:color w:val="auto"/>
                <w:sz w:val="24"/>
                <w:highlight w:val="none"/>
                <w:vertAlign w:val="subscript"/>
                <w:lang w:val="en-US" w:eastAsia="zh-CN"/>
              </w:rPr>
              <w:t>eqg</w:t>
            </w:r>
            <w:r>
              <w:rPr>
                <w:rFonts w:hint="eastAsia" w:ascii="Times New Roman" w:hAnsi="Times New Roman" w:eastAsia="宋体" w:cs="Times New Roman"/>
                <w:color w:val="auto"/>
                <w:sz w:val="24"/>
                <w:highlight w:val="none"/>
                <w:lang w:val="en-US" w:eastAsia="zh-CN"/>
              </w:rPr>
              <w:t>——建设项目声源在预测点产生的噪声贡献值，dB；</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T——用于计算等效声级的时间，s；</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N——室外声源个数；</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t</w:t>
            </w:r>
            <w:r>
              <w:rPr>
                <w:rFonts w:hint="eastAsia" w:ascii="Times New Roman" w:hAnsi="Times New Roman" w:eastAsia="宋体" w:cs="Times New Roman"/>
                <w:color w:val="auto"/>
                <w:sz w:val="24"/>
                <w:highlight w:val="none"/>
                <w:vertAlign w:val="subscript"/>
                <w:lang w:val="en-US" w:eastAsia="zh-CN"/>
              </w:rPr>
              <w:t>i</w:t>
            </w:r>
            <w:r>
              <w:rPr>
                <w:rFonts w:hint="eastAsia" w:ascii="Times New Roman" w:hAnsi="Times New Roman" w:eastAsia="宋体" w:cs="Times New Roman"/>
                <w:color w:val="auto"/>
                <w:sz w:val="24"/>
                <w:highlight w:val="none"/>
                <w:lang w:val="en-US" w:eastAsia="zh-CN"/>
              </w:rPr>
              <w:t>——在T时间内i声源工作时间，s；</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M——等效室外声源个数；</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t</w:t>
            </w:r>
            <w:r>
              <w:rPr>
                <w:rFonts w:hint="eastAsia" w:ascii="Times New Roman" w:hAnsi="Times New Roman" w:eastAsia="宋体" w:cs="Times New Roman"/>
                <w:color w:val="auto"/>
                <w:sz w:val="24"/>
                <w:highlight w:val="none"/>
                <w:vertAlign w:val="subscript"/>
                <w:lang w:val="en-US" w:eastAsia="zh-CN"/>
              </w:rPr>
              <w:t>j</w:t>
            </w:r>
            <w:r>
              <w:rPr>
                <w:rFonts w:hint="eastAsia" w:ascii="Times New Roman" w:hAnsi="Times New Roman" w:eastAsia="宋体" w:cs="Times New Roman"/>
                <w:color w:val="auto"/>
                <w:sz w:val="24"/>
                <w:highlight w:val="none"/>
                <w:lang w:val="en-US" w:eastAsia="zh-CN"/>
              </w:rPr>
              <w:t>——在T时间内j声源工作时间，s。</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（3）预测结果</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通过预测模型计算，项目厂界噪声预测结果与达标分析见</w:t>
            </w:r>
            <w:r>
              <w:rPr>
                <w:rFonts w:hint="eastAsia" w:cs="Times New Roman"/>
                <w:color w:val="auto"/>
                <w:sz w:val="24"/>
                <w:highlight w:val="none"/>
                <w:lang w:val="en-US" w:eastAsia="zh-CN"/>
              </w:rPr>
              <w:t>下表</w:t>
            </w:r>
            <w:r>
              <w:rPr>
                <w:rFonts w:hint="eastAsia" w:ascii="Times New Roman" w:hAnsi="Times New Roman" w:eastAsia="宋体" w:cs="Times New Roman"/>
                <w:color w:val="auto"/>
                <w:sz w:val="24"/>
                <w:highlight w:val="none"/>
                <w:lang w:val="en-US" w:eastAsia="zh-CN"/>
              </w:rPr>
              <w:t>。</w:t>
            </w:r>
          </w:p>
          <w:p>
            <w:pPr>
              <w:pStyle w:val="4"/>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w:t>
            </w:r>
            <w:r>
              <w:rPr>
                <w:rFonts w:hint="eastAsia" w:cs="Times New Roman"/>
                <w:b/>
                <w:bCs/>
                <w:color w:val="auto"/>
                <w:sz w:val="21"/>
                <w:szCs w:val="21"/>
                <w:highlight w:val="none"/>
                <w:lang w:val="en-US" w:eastAsia="zh-CN"/>
              </w:rPr>
              <w:t>4-14海大供热点</w:t>
            </w:r>
            <w:r>
              <w:rPr>
                <w:rFonts w:hint="eastAsia" w:ascii="Times New Roman" w:hAnsi="Times New Roman" w:eastAsia="宋体" w:cs="Times New Roman"/>
                <w:b/>
                <w:bCs/>
                <w:color w:val="auto"/>
                <w:sz w:val="21"/>
                <w:szCs w:val="21"/>
                <w:highlight w:val="none"/>
                <w:lang w:val="en-US" w:eastAsia="zh-CN"/>
              </w:rPr>
              <w:t>厂界噪声预测结果与达标分析表</w:t>
            </w:r>
            <w:bookmarkStart w:id="12" w:name="PT_7"/>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823"/>
              <w:gridCol w:w="823"/>
              <w:gridCol w:w="1035"/>
              <w:gridCol w:w="1190"/>
              <w:gridCol w:w="1174"/>
              <w:gridCol w:w="1465"/>
              <w:gridCol w:w="1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645" w:type="pct"/>
                  <w:vMerge w:val="restart"/>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预测方位</w:t>
                  </w:r>
                </w:p>
              </w:tc>
              <w:tc>
                <w:tcPr>
                  <w:tcW w:w="1529" w:type="pct"/>
                  <w:gridSpan w:val="3"/>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最大值点</w:t>
                  </w:r>
                  <w:r>
                    <w:rPr>
                      <w:rFonts w:ascii="Times New Roman" w:hAnsi="Times New Roman" w:eastAsia="宋体" w:cs="Times New Roman"/>
                      <w:b w:val="0"/>
                      <w:bCs/>
                      <w:color w:val="auto"/>
                      <w:sz w:val="21"/>
                      <w:szCs w:val="21"/>
                      <w:highlight w:val="none"/>
                    </w:rPr>
                    <w:t>空间相对位置/m</w:t>
                  </w:r>
                </w:p>
              </w:tc>
              <w:tc>
                <w:tcPr>
                  <w:tcW w:w="676" w:type="pct"/>
                  <w:vMerge w:val="restart"/>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时段</w:t>
                  </w:r>
                </w:p>
              </w:tc>
              <w:tc>
                <w:tcPr>
                  <w:tcW w:w="619" w:type="pct"/>
                  <w:vMerge w:val="restart"/>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rPr>
                    <w:t>贡献值</w:t>
                  </w:r>
                  <w:r>
                    <w:rPr>
                      <w:rFonts w:ascii="Times New Roman" w:hAnsi="Times New Roman" w:eastAsia="宋体" w:cs="Times New Roman"/>
                      <w:b w:val="0"/>
                      <w:bCs/>
                      <w:color w:val="auto"/>
                      <w:sz w:val="21"/>
                      <w:szCs w:val="21"/>
                      <w:highlight w:val="none"/>
                    </w:rPr>
                    <w:t>（dB(A)）</w:t>
                  </w:r>
                </w:p>
              </w:tc>
              <w:tc>
                <w:tcPr>
                  <w:tcW w:w="831" w:type="pct"/>
                  <w:vMerge w:val="restart"/>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标准限值（dB(A)）</w:t>
                  </w:r>
                </w:p>
              </w:tc>
              <w:tc>
                <w:tcPr>
                  <w:tcW w:w="697" w:type="pct"/>
                  <w:vMerge w:val="restart"/>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5"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X</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Y</w:t>
                  </w:r>
                </w:p>
              </w:tc>
              <w:tc>
                <w:tcPr>
                  <w:tcW w:w="589"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Z</w:t>
                  </w:r>
                </w:p>
              </w:tc>
              <w:tc>
                <w:tcPr>
                  <w:tcW w:w="676"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p>
              </w:tc>
              <w:tc>
                <w:tcPr>
                  <w:tcW w:w="619"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p>
              </w:tc>
              <w:tc>
                <w:tcPr>
                  <w:tcW w:w="831"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p>
                <w:bookmarkEnd w:id="12"/>
              </w:tc>
              <w:tc>
                <w:tcPr>
                  <w:tcW w:w="697"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645" w:type="pct"/>
                  <w:vMerge w:val="restar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东侧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19.2</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-19</w:t>
                  </w:r>
                </w:p>
              </w:tc>
              <w:tc>
                <w:tcPr>
                  <w:tcW w:w="589"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67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昼间</w:t>
                  </w:r>
                </w:p>
              </w:tc>
              <w:tc>
                <w:tcPr>
                  <w:tcW w:w="619"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48.4</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65</w:t>
                  </w:r>
                </w:p>
              </w:tc>
              <w:tc>
                <w:tcPr>
                  <w:tcW w:w="697"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645"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东侧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19.2</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-19</w:t>
                  </w:r>
                </w:p>
              </w:tc>
              <w:tc>
                <w:tcPr>
                  <w:tcW w:w="589"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67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夜间</w:t>
                  </w:r>
                </w:p>
              </w:tc>
              <w:tc>
                <w:tcPr>
                  <w:tcW w:w="619"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48.4</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55</w:t>
                  </w:r>
                </w:p>
              </w:tc>
              <w:tc>
                <w:tcPr>
                  <w:tcW w:w="697"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645" w:type="pct"/>
                  <w:vMerge w:val="restar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南侧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-6.6</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-27.6</w:t>
                  </w:r>
                </w:p>
              </w:tc>
              <w:tc>
                <w:tcPr>
                  <w:tcW w:w="589"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67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昼间</w:t>
                  </w:r>
                </w:p>
              </w:tc>
              <w:tc>
                <w:tcPr>
                  <w:tcW w:w="619"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52.5</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65</w:t>
                  </w:r>
                </w:p>
              </w:tc>
              <w:tc>
                <w:tcPr>
                  <w:tcW w:w="697"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645"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南侧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-6.6</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-27.6</w:t>
                  </w:r>
                </w:p>
              </w:tc>
              <w:tc>
                <w:tcPr>
                  <w:tcW w:w="589"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67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夜间</w:t>
                  </w:r>
                </w:p>
              </w:tc>
              <w:tc>
                <w:tcPr>
                  <w:tcW w:w="619"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52.5</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55</w:t>
                  </w:r>
                </w:p>
              </w:tc>
              <w:tc>
                <w:tcPr>
                  <w:tcW w:w="697"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645" w:type="pct"/>
                  <w:vMerge w:val="restar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西侧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-26.2</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5.4</w:t>
                  </w:r>
                </w:p>
              </w:tc>
              <w:tc>
                <w:tcPr>
                  <w:tcW w:w="589"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67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昼间</w:t>
                  </w:r>
                </w:p>
              </w:tc>
              <w:tc>
                <w:tcPr>
                  <w:tcW w:w="619"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51.3</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65</w:t>
                  </w:r>
                </w:p>
              </w:tc>
              <w:tc>
                <w:tcPr>
                  <w:tcW w:w="697"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645"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西侧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-26.2</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5.4</w:t>
                  </w:r>
                </w:p>
              </w:tc>
              <w:tc>
                <w:tcPr>
                  <w:tcW w:w="589"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67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夜间</w:t>
                  </w:r>
                </w:p>
              </w:tc>
              <w:tc>
                <w:tcPr>
                  <w:tcW w:w="619"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51.3</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55</w:t>
                  </w:r>
                </w:p>
              </w:tc>
              <w:tc>
                <w:tcPr>
                  <w:tcW w:w="697"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645" w:type="pct"/>
                  <w:vMerge w:val="restar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北侧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-15.8</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16.3</w:t>
                  </w:r>
                </w:p>
              </w:tc>
              <w:tc>
                <w:tcPr>
                  <w:tcW w:w="589"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67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昼间</w:t>
                  </w:r>
                </w:p>
              </w:tc>
              <w:tc>
                <w:tcPr>
                  <w:tcW w:w="619"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37.7</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65</w:t>
                  </w:r>
                </w:p>
              </w:tc>
              <w:tc>
                <w:tcPr>
                  <w:tcW w:w="697"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645"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北侧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-15.8</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16.3</w:t>
                  </w:r>
                </w:p>
              </w:tc>
              <w:tc>
                <w:tcPr>
                  <w:tcW w:w="589"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67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夜间</w:t>
                  </w:r>
                </w:p>
              </w:tc>
              <w:tc>
                <w:tcPr>
                  <w:tcW w:w="619"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37.7</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55</w:t>
                  </w:r>
                </w:p>
              </w:tc>
              <w:tc>
                <w:tcPr>
                  <w:tcW w:w="697"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bl>
          <w:p>
            <w:pPr>
              <w:pStyle w:val="4"/>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w:t>
            </w:r>
            <w:r>
              <w:rPr>
                <w:rFonts w:hint="eastAsia" w:cs="Times New Roman"/>
                <w:b/>
                <w:bCs/>
                <w:color w:val="auto"/>
                <w:sz w:val="21"/>
                <w:szCs w:val="21"/>
                <w:highlight w:val="none"/>
                <w:lang w:val="en-US" w:eastAsia="zh-CN"/>
              </w:rPr>
              <w:t>4-15特驱供热点</w:t>
            </w:r>
            <w:r>
              <w:rPr>
                <w:rFonts w:hint="eastAsia" w:ascii="Times New Roman" w:hAnsi="Times New Roman" w:eastAsia="宋体" w:cs="Times New Roman"/>
                <w:b/>
                <w:bCs/>
                <w:color w:val="auto"/>
                <w:sz w:val="21"/>
                <w:szCs w:val="21"/>
                <w:highlight w:val="none"/>
                <w:lang w:val="en-US" w:eastAsia="zh-CN"/>
              </w:rPr>
              <w:t>厂界噪声预测结果与达标分析表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4"/>
              <w:gridCol w:w="835"/>
              <w:gridCol w:w="835"/>
              <w:gridCol w:w="1134"/>
              <w:gridCol w:w="739"/>
              <w:gridCol w:w="1475"/>
              <w:gridCol w:w="1477"/>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644" w:type="pct"/>
                  <w:vMerge w:val="restart"/>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预测方位</w:t>
                  </w:r>
                </w:p>
              </w:tc>
              <w:tc>
                <w:tcPr>
                  <w:tcW w:w="1578" w:type="pct"/>
                  <w:gridSpan w:val="3"/>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最大值点</w:t>
                  </w:r>
                  <w:r>
                    <w:rPr>
                      <w:rFonts w:ascii="Times New Roman" w:hAnsi="Times New Roman" w:eastAsia="宋体" w:cs="Times New Roman"/>
                      <w:b w:val="0"/>
                      <w:bCs/>
                      <w:color w:val="auto"/>
                      <w:sz w:val="21"/>
                      <w:szCs w:val="21"/>
                      <w:highlight w:val="none"/>
                    </w:rPr>
                    <w:t>空间相对位置/m</w:t>
                  </w:r>
                </w:p>
              </w:tc>
              <w:tc>
                <w:tcPr>
                  <w:tcW w:w="416" w:type="pct"/>
                  <w:vMerge w:val="restart"/>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时段</w:t>
                  </w:r>
                </w:p>
              </w:tc>
              <w:tc>
                <w:tcPr>
                  <w:tcW w:w="830" w:type="pct"/>
                  <w:vMerge w:val="restart"/>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rPr>
                    <w:t>贡献值</w:t>
                  </w:r>
                  <w:r>
                    <w:rPr>
                      <w:rFonts w:ascii="Times New Roman" w:hAnsi="Times New Roman" w:eastAsia="宋体" w:cs="Times New Roman"/>
                      <w:b w:val="0"/>
                      <w:bCs/>
                      <w:color w:val="auto"/>
                      <w:sz w:val="21"/>
                      <w:szCs w:val="21"/>
                      <w:highlight w:val="none"/>
                    </w:rPr>
                    <w:t>（dB(A)）</w:t>
                  </w:r>
                </w:p>
              </w:tc>
              <w:tc>
                <w:tcPr>
                  <w:tcW w:w="831" w:type="pct"/>
                  <w:vMerge w:val="restart"/>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标准限值（dB(A)）</w:t>
                  </w:r>
                </w:p>
              </w:tc>
              <w:tc>
                <w:tcPr>
                  <w:tcW w:w="696" w:type="pct"/>
                  <w:vMerge w:val="restart"/>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4"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X</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Y</w:t>
                  </w:r>
                </w:p>
              </w:tc>
              <w:tc>
                <w:tcPr>
                  <w:tcW w:w="638"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Z</w:t>
                  </w:r>
                </w:p>
              </w:tc>
              <w:tc>
                <w:tcPr>
                  <w:tcW w:w="416"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p>
              </w:tc>
              <w:tc>
                <w:tcPr>
                  <w:tcW w:w="830"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p>
              </w:tc>
              <w:tc>
                <w:tcPr>
                  <w:tcW w:w="831"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p>
              </w:tc>
              <w:tc>
                <w:tcPr>
                  <w:tcW w:w="696"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644" w:type="pct"/>
                  <w:vMerge w:val="restar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东侧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18.6</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-9.9</w:t>
                  </w:r>
                </w:p>
              </w:tc>
              <w:tc>
                <w:tcPr>
                  <w:tcW w:w="638"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41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昼间</w:t>
                  </w:r>
                </w:p>
              </w:tc>
              <w:tc>
                <w:tcPr>
                  <w:tcW w:w="83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39.7</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65</w:t>
                  </w:r>
                </w:p>
              </w:tc>
              <w:tc>
                <w:tcPr>
                  <w:tcW w:w="69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644"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东侧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18.6</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-9.9</w:t>
                  </w:r>
                </w:p>
              </w:tc>
              <w:tc>
                <w:tcPr>
                  <w:tcW w:w="638"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41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夜间</w:t>
                  </w:r>
                </w:p>
              </w:tc>
              <w:tc>
                <w:tcPr>
                  <w:tcW w:w="83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39.7</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55</w:t>
                  </w:r>
                </w:p>
              </w:tc>
              <w:tc>
                <w:tcPr>
                  <w:tcW w:w="69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644" w:type="pct"/>
                  <w:vMerge w:val="restar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南侧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-12.9</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-21.6</w:t>
                  </w:r>
                </w:p>
              </w:tc>
              <w:tc>
                <w:tcPr>
                  <w:tcW w:w="638"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41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昼间</w:t>
                  </w:r>
                </w:p>
              </w:tc>
              <w:tc>
                <w:tcPr>
                  <w:tcW w:w="83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54.8</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65</w:t>
                  </w:r>
                </w:p>
              </w:tc>
              <w:tc>
                <w:tcPr>
                  <w:tcW w:w="69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644"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南侧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-12.9</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-21.6</w:t>
                  </w:r>
                </w:p>
              </w:tc>
              <w:tc>
                <w:tcPr>
                  <w:tcW w:w="638"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41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夜间</w:t>
                  </w:r>
                </w:p>
              </w:tc>
              <w:tc>
                <w:tcPr>
                  <w:tcW w:w="83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54.8</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55</w:t>
                  </w:r>
                </w:p>
              </w:tc>
              <w:tc>
                <w:tcPr>
                  <w:tcW w:w="69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644" w:type="pct"/>
                  <w:vMerge w:val="restar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西侧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-20.7</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-17.1</w:t>
                  </w:r>
                </w:p>
              </w:tc>
              <w:tc>
                <w:tcPr>
                  <w:tcW w:w="638"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41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昼间</w:t>
                  </w:r>
                </w:p>
              </w:tc>
              <w:tc>
                <w:tcPr>
                  <w:tcW w:w="83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53.5</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65</w:t>
                  </w:r>
                </w:p>
              </w:tc>
              <w:tc>
                <w:tcPr>
                  <w:tcW w:w="69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644"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西侧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-20.7</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-17.1</w:t>
                  </w:r>
                </w:p>
              </w:tc>
              <w:tc>
                <w:tcPr>
                  <w:tcW w:w="638"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41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夜间</w:t>
                  </w:r>
                </w:p>
              </w:tc>
              <w:tc>
                <w:tcPr>
                  <w:tcW w:w="83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53.5</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55</w:t>
                  </w:r>
                </w:p>
              </w:tc>
              <w:tc>
                <w:tcPr>
                  <w:tcW w:w="69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644" w:type="pct"/>
                  <w:vMerge w:val="restar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北侧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-14.3</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17.1</w:t>
                  </w:r>
                </w:p>
              </w:tc>
              <w:tc>
                <w:tcPr>
                  <w:tcW w:w="638"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41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昼间</w:t>
                  </w:r>
                </w:p>
              </w:tc>
              <w:tc>
                <w:tcPr>
                  <w:tcW w:w="83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38.6</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65</w:t>
                  </w:r>
                </w:p>
              </w:tc>
              <w:tc>
                <w:tcPr>
                  <w:tcW w:w="69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644"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北侧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-14.3</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17.1</w:t>
                  </w:r>
                </w:p>
              </w:tc>
              <w:tc>
                <w:tcPr>
                  <w:tcW w:w="638"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41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夜间</w:t>
                  </w:r>
                </w:p>
              </w:tc>
              <w:tc>
                <w:tcPr>
                  <w:tcW w:w="83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38.6</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55</w:t>
                  </w:r>
                </w:p>
              </w:tc>
              <w:tc>
                <w:tcPr>
                  <w:tcW w:w="69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bl>
          <w:p>
            <w:pPr>
              <w:pStyle w:val="4"/>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p>
          <w:p>
            <w:pPr>
              <w:pStyle w:val="4"/>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w:t>
            </w:r>
            <w:r>
              <w:rPr>
                <w:rFonts w:hint="eastAsia" w:cs="Times New Roman"/>
                <w:b/>
                <w:bCs/>
                <w:color w:val="auto"/>
                <w:sz w:val="21"/>
                <w:szCs w:val="21"/>
                <w:highlight w:val="none"/>
                <w:lang w:val="en-US" w:eastAsia="zh-CN"/>
              </w:rPr>
              <w:t>4-16漓源供热点</w:t>
            </w:r>
            <w:r>
              <w:rPr>
                <w:rFonts w:hint="eastAsia" w:ascii="Times New Roman" w:hAnsi="Times New Roman" w:eastAsia="宋体" w:cs="Times New Roman"/>
                <w:b/>
                <w:bCs/>
                <w:color w:val="auto"/>
                <w:sz w:val="21"/>
                <w:szCs w:val="21"/>
                <w:highlight w:val="none"/>
                <w:lang w:val="en-US" w:eastAsia="zh-CN"/>
              </w:rPr>
              <w:t>厂界噪声预测结果与达标分析表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4"/>
              <w:gridCol w:w="835"/>
              <w:gridCol w:w="835"/>
              <w:gridCol w:w="1034"/>
              <w:gridCol w:w="840"/>
              <w:gridCol w:w="1475"/>
              <w:gridCol w:w="1476"/>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644" w:type="pct"/>
                  <w:vMerge w:val="restart"/>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预测方位</w:t>
                  </w:r>
                </w:p>
              </w:tc>
              <w:tc>
                <w:tcPr>
                  <w:tcW w:w="1522" w:type="pct"/>
                  <w:gridSpan w:val="3"/>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最大值点</w:t>
                  </w:r>
                  <w:r>
                    <w:rPr>
                      <w:rFonts w:ascii="Times New Roman" w:hAnsi="Times New Roman" w:eastAsia="宋体" w:cs="Times New Roman"/>
                      <w:b w:val="0"/>
                      <w:bCs/>
                      <w:color w:val="auto"/>
                      <w:sz w:val="21"/>
                      <w:szCs w:val="21"/>
                      <w:highlight w:val="none"/>
                    </w:rPr>
                    <w:t>空间相对位置/m</w:t>
                  </w:r>
                </w:p>
              </w:tc>
              <w:tc>
                <w:tcPr>
                  <w:tcW w:w="473" w:type="pct"/>
                  <w:vMerge w:val="restart"/>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时段</w:t>
                  </w:r>
                </w:p>
              </w:tc>
              <w:tc>
                <w:tcPr>
                  <w:tcW w:w="830" w:type="pct"/>
                  <w:vMerge w:val="restart"/>
                  <w:vAlign w:val="center"/>
                </w:tcPr>
                <w:p>
                  <w:pPr>
                    <w:jc w:val="center"/>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rPr>
                    <w:t>贡献值</w:t>
                  </w:r>
                  <w:r>
                    <w:rPr>
                      <w:rFonts w:ascii="Times New Roman" w:hAnsi="Times New Roman" w:eastAsia="宋体" w:cs="Times New Roman"/>
                      <w:b w:val="0"/>
                      <w:bCs/>
                      <w:color w:val="auto"/>
                      <w:sz w:val="21"/>
                      <w:szCs w:val="21"/>
                      <w:highlight w:val="none"/>
                    </w:rPr>
                    <w:t>（dB(A)）</w:t>
                  </w:r>
                </w:p>
              </w:tc>
              <w:tc>
                <w:tcPr>
                  <w:tcW w:w="831" w:type="pct"/>
                  <w:vMerge w:val="restart"/>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标准限值（dB(A)）</w:t>
                  </w:r>
                </w:p>
              </w:tc>
              <w:tc>
                <w:tcPr>
                  <w:tcW w:w="696" w:type="pct"/>
                  <w:vMerge w:val="restart"/>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4"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X</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Y</w:t>
                  </w:r>
                </w:p>
              </w:tc>
              <w:tc>
                <w:tcPr>
                  <w:tcW w:w="58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Z</w:t>
                  </w:r>
                </w:p>
              </w:tc>
              <w:tc>
                <w:tcPr>
                  <w:tcW w:w="473"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p>
              </w:tc>
              <w:tc>
                <w:tcPr>
                  <w:tcW w:w="830"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p>
              </w:tc>
              <w:tc>
                <w:tcPr>
                  <w:tcW w:w="831"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p>
              </w:tc>
              <w:tc>
                <w:tcPr>
                  <w:tcW w:w="696"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644" w:type="pct"/>
                  <w:vMerge w:val="restar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东侧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17.1</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-3.2</w:t>
                  </w:r>
                </w:p>
              </w:tc>
              <w:tc>
                <w:tcPr>
                  <w:tcW w:w="58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473"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昼间</w:t>
                  </w:r>
                </w:p>
              </w:tc>
              <w:tc>
                <w:tcPr>
                  <w:tcW w:w="83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53.3</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65</w:t>
                  </w:r>
                </w:p>
              </w:tc>
              <w:tc>
                <w:tcPr>
                  <w:tcW w:w="69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644"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东侧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17.1</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-3.2</w:t>
                  </w:r>
                </w:p>
              </w:tc>
              <w:tc>
                <w:tcPr>
                  <w:tcW w:w="58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473"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夜间</w:t>
                  </w:r>
                </w:p>
              </w:tc>
              <w:tc>
                <w:tcPr>
                  <w:tcW w:w="83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53.3</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55</w:t>
                  </w:r>
                </w:p>
              </w:tc>
              <w:tc>
                <w:tcPr>
                  <w:tcW w:w="69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644" w:type="pct"/>
                  <w:vMerge w:val="restar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南侧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13.1</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-20.7</w:t>
                  </w:r>
                </w:p>
              </w:tc>
              <w:tc>
                <w:tcPr>
                  <w:tcW w:w="58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473"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昼间</w:t>
                  </w:r>
                </w:p>
              </w:tc>
              <w:tc>
                <w:tcPr>
                  <w:tcW w:w="83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35.7</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65</w:t>
                  </w:r>
                </w:p>
              </w:tc>
              <w:tc>
                <w:tcPr>
                  <w:tcW w:w="69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644"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南侧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13.1</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-20.7</w:t>
                  </w:r>
                </w:p>
              </w:tc>
              <w:tc>
                <w:tcPr>
                  <w:tcW w:w="58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473"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夜间</w:t>
                  </w:r>
                </w:p>
              </w:tc>
              <w:tc>
                <w:tcPr>
                  <w:tcW w:w="83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35.7</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55</w:t>
                  </w:r>
                </w:p>
              </w:tc>
              <w:tc>
                <w:tcPr>
                  <w:tcW w:w="69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644" w:type="pct"/>
                  <w:vMerge w:val="restar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西侧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-22.9</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4.2</w:t>
                  </w:r>
                </w:p>
              </w:tc>
              <w:tc>
                <w:tcPr>
                  <w:tcW w:w="58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473"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昼间</w:t>
                  </w:r>
                </w:p>
              </w:tc>
              <w:tc>
                <w:tcPr>
                  <w:tcW w:w="83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54.6</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65</w:t>
                  </w:r>
                </w:p>
              </w:tc>
              <w:tc>
                <w:tcPr>
                  <w:tcW w:w="69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644"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西侧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-22.9</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4.2</w:t>
                  </w:r>
                </w:p>
              </w:tc>
              <w:tc>
                <w:tcPr>
                  <w:tcW w:w="58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473"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夜间</w:t>
                  </w:r>
                </w:p>
              </w:tc>
              <w:tc>
                <w:tcPr>
                  <w:tcW w:w="83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54.6</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55</w:t>
                  </w:r>
                </w:p>
              </w:tc>
              <w:tc>
                <w:tcPr>
                  <w:tcW w:w="69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644" w:type="pct"/>
                  <w:vMerge w:val="restar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北侧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-20.5</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19</w:t>
                  </w:r>
                </w:p>
              </w:tc>
              <w:tc>
                <w:tcPr>
                  <w:tcW w:w="58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473"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昼间</w:t>
                  </w:r>
                </w:p>
              </w:tc>
              <w:tc>
                <w:tcPr>
                  <w:tcW w:w="83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51.2</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65</w:t>
                  </w:r>
                </w:p>
              </w:tc>
              <w:tc>
                <w:tcPr>
                  <w:tcW w:w="69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644" w:type="pct"/>
                  <w:vMerge w:val="continue"/>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北侧</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-20.5</w:t>
                  </w:r>
                </w:p>
              </w:tc>
              <w:tc>
                <w:tcPr>
                  <w:tcW w:w="47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19</w:t>
                  </w:r>
                </w:p>
              </w:tc>
              <w:tc>
                <w:tcPr>
                  <w:tcW w:w="58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1.2</w:t>
                  </w:r>
                </w:p>
              </w:tc>
              <w:tc>
                <w:tcPr>
                  <w:tcW w:w="473"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夜间</w:t>
                  </w:r>
                </w:p>
              </w:tc>
              <w:tc>
                <w:tcPr>
                  <w:tcW w:w="830"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51.2</w:t>
                  </w:r>
                </w:p>
              </w:tc>
              <w:tc>
                <w:tcPr>
                  <w:tcW w:w="831"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55</w:t>
                  </w:r>
                </w:p>
              </w:tc>
              <w:tc>
                <w:tcPr>
                  <w:tcW w:w="696" w:type="pct"/>
                  <w:shd w:val="clear" w:color="auto" w:fill="FFFFFF"/>
                  <w:vAlign w:val="center"/>
                </w:tcPr>
                <w:p>
                  <w:pPr>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达标</w:t>
                  </w:r>
                </w:p>
              </w:tc>
            </w:tr>
          </w:tbl>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根据预测，各个供热点四周厂界处昼间、夜间噪声能达到《工业企业厂界环境噪声排放标准》（GB12348-2008）中3类标准。项目周围50m范围内</w:t>
            </w:r>
            <w:r>
              <w:rPr>
                <w:rFonts w:hint="eastAsia" w:cs="Times New Roman"/>
                <w:color w:val="auto"/>
                <w:sz w:val="24"/>
                <w:highlight w:val="none"/>
                <w:lang w:val="en-US" w:eastAsia="zh-CN"/>
              </w:rPr>
              <w:t>无</w:t>
            </w:r>
            <w:r>
              <w:rPr>
                <w:rFonts w:hint="eastAsia" w:ascii="Times New Roman" w:hAnsi="Times New Roman" w:eastAsia="宋体" w:cs="Times New Roman"/>
                <w:color w:val="auto"/>
                <w:sz w:val="24"/>
                <w:highlight w:val="none"/>
                <w:lang w:val="en-US" w:eastAsia="zh-CN"/>
              </w:rPr>
              <w:t>声环境保护目标</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项目建设后</w:t>
            </w:r>
            <w:r>
              <w:rPr>
                <w:rFonts w:hint="eastAsia" w:cs="Times New Roman"/>
                <w:color w:val="auto"/>
                <w:sz w:val="24"/>
                <w:highlight w:val="none"/>
                <w:lang w:val="en-US" w:eastAsia="zh-CN"/>
              </w:rPr>
              <w:t>运营期产生</w:t>
            </w:r>
            <w:r>
              <w:rPr>
                <w:rFonts w:hint="eastAsia" w:ascii="Times New Roman" w:hAnsi="Times New Roman" w:eastAsia="宋体" w:cs="Times New Roman"/>
                <w:color w:val="auto"/>
                <w:sz w:val="24"/>
                <w:highlight w:val="none"/>
                <w:lang w:val="en-US" w:eastAsia="zh-CN"/>
              </w:rPr>
              <w:t>的噪声对</w:t>
            </w:r>
            <w:r>
              <w:rPr>
                <w:rFonts w:hint="eastAsia" w:cs="Times New Roman"/>
                <w:color w:val="auto"/>
                <w:sz w:val="24"/>
                <w:highlight w:val="none"/>
                <w:lang w:val="en-US" w:eastAsia="zh-CN"/>
              </w:rPr>
              <w:t>周边</w:t>
            </w:r>
            <w:r>
              <w:rPr>
                <w:rFonts w:hint="eastAsia" w:ascii="Times New Roman" w:hAnsi="Times New Roman" w:eastAsia="宋体" w:cs="Times New Roman"/>
                <w:color w:val="auto"/>
                <w:sz w:val="24"/>
                <w:highlight w:val="none"/>
                <w:lang w:val="en-US" w:eastAsia="zh-CN"/>
              </w:rPr>
              <w:t>环境的影响不大。</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jc w:val="both"/>
              <w:textAlignment w:val="auto"/>
              <w:rPr>
                <w:rFonts w:hint="default" w:ascii="Times New Roman" w:hAnsi="Times New Roman" w:eastAsia="宋体" w:cs="Times New Roman"/>
                <w:color w:val="auto"/>
                <w:sz w:val="24"/>
                <w:highlight w:val="none"/>
                <w:lang w:val="en-US" w:eastAsia="zh-CN"/>
              </w:rPr>
            </w:pPr>
            <w:r>
              <w:rPr>
                <w:rFonts w:hint="eastAsia" w:cs="Times New Roman"/>
                <w:b/>
                <w:bCs/>
                <w:color w:val="auto"/>
                <w:sz w:val="24"/>
                <w:highlight w:val="none"/>
                <w:lang w:val="en-US" w:eastAsia="zh-CN"/>
              </w:rPr>
              <w:t>4、项目噪声污染防治措施</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项目运营期采取以下措施，以减少对周围环境的影响：</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①通过合理布置生产设备、采取设备减振，经距离衰减、墙体隔声减小噪声对外环境的影响；</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②选用性能良好的低噪声设备，加强生产设备的维修、管理，保证生产设备处于低噪声、高效率的良好工作状态。</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jc w:val="both"/>
              <w:textAlignment w:val="auto"/>
              <w:rPr>
                <w:rFonts w:hint="eastAsia"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5、</w:t>
            </w:r>
            <w:r>
              <w:rPr>
                <w:rFonts w:hint="eastAsia" w:ascii="Times New Roman" w:hAnsi="Times New Roman" w:eastAsia="宋体" w:cs="Times New Roman"/>
                <w:b/>
                <w:bCs/>
                <w:color w:val="auto"/>
                <w:sz w:val="24"/>
                <w:highlight w:val="none"/>
                <w:lang w:val="en-US" w:eastAsia="zh-CN"/>
              </w:rPr>
              <w:t>监测计划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olor w:val="auto"/>
                <w:sz w:val="24"/>
                <w:szCs w:val="22"/>
                <w:highlight w:val="none"/>
                <w:lang w:val="en-US" w:eastAsia="zh-CN"/>
              </w:rPr>
            </w:pPr>
            <w:r>
              <w:rPr>
                <w:rFonts w:hint="eastAsia" w:hAnsi="宋体"/>
                <w:color w:val="auto"/>
                <w:sz w:val="24"/>
                <w:szCs w:val="22"/>
                <w:highlight w:val="none"/>
                <w:lang w:val="en-US" w:eastAsia="zh-CN"/>
              </w:rPr>
              <w:t>监测点位：海大供热点厂界四周、特驱供热点厂界四周、漓源供热点厂界四周；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olor w:val="auto"/>
                <w:sz w:val="24"/>
                <w:szCs w:val="22"/>
                <w:highlight w:val="none"/>
                <w:lang w:val="en-US" w:eastAsia="zh-CN"/>
              </w:rPr>
            </w:pPr>
            <w:r>
              <w:rPr>
                <w:rFonts w:hint="eastAsia" w:hAnsi="宋体"/>
                <w:color w:val="auto"/>
                <w:sz w:val="24"/>
                <w:szCs w:val="22"/>
                <w:highlight w:val="none"/>
                <w:lang w:val="en-US" w:eastAsia="zh-CN"/>
              </w:rPr>
              <w:t>监测因子：连续等效A声级；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olor w:val="auto"/>
                <w:sz w:val="24"/>
                <w:szCs w:val="22"/>
                <w:highlight w:val="none"/>
                <w:lang w:val="en-US" w:eastAsia="zh-CN"/>
              </w:rPr>
            </w:pPr>
            <w:r>
              <w:rPr>
                <w:rFonts w:hint="eastAsia" w:hAnsi="宋体"/>
                <w:color w:val="auto"/>
                <w:sz w:val="24"/>
                <w:szCs w:val="22"/>
                <w:highlight w:val="none"/>
                <w:lang w:val="en-US" w:eastAsia="zh-CN"/>
              </w:rPr>
              <w:t>监测频次：验收时监测一次，监测两天，昼间夜间各测1次，以后每季度监测1次。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hAnsi="宋体"/>
                <w:color w:val="auto"/>
                <w:sz w:val="24"/>
                <w:szCs w:val="22"/>
                <w:highlight w:val="none"/>
                <w:lang w:val="en-US" w:eastAsia="zh-CN"/>
              </w:rPr>
            </w:pPr>
            <w:r>
              <w:rPr>
                <w:rFonts w:hint="eastAsia" w:hAnsi="宋体"/>
                <w:color w:val="auto"/>
                <w:sz w:val="24"/>
                <w:szCs w:val="22"/>
                <w:highlight w:val="none"/>
                <w:lang w:val="en-US" w:eastAsia="zh-CN"/>
              </w:rPr>
              <w:t>执行标准：《工业企业厂界环境噪声排放标准》（GB12348-2008）3类标准。</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1" w:firstLineChars="200"/>
              <w:jc w:val="both"/>
              <w:textAlignment w:val="auto"/>
              <w:rPr>
                <w:rFonts w:hint="default"/>
                <w:color w:val="auto"/>
                <w:highlight w:val="none"/>
                <w:lang w:val="en-US" w:eastAsia="zh-CN"/>
              </w:rPr>
            </w:pPr>
            <w:r>
              <w:rPr>
                <w:rFonts w:hint="eastAsia" w:cs="Times New Roman"/>
                <w:b/>
                <w:bCs/>
                <w:color w:val="auto"/>
                <w:sz w:val="24"/>
                <w:highlight w:val="none"/>
                <w:lang w:val="en-US" w:eastAsia="zh-CN"/>
              </w:rPr>
              <w:t>四、运营期</w:t>
            </w:r>
            <w:r>
              <w:rPr>
                <w:rFonts w:hint="eastAsia" w:ascii="Times New Roman" w:hAnsi="Times New Roman" w:cs="Times New Roman"/>
                <w:b/>
                <w:bCs/>
                <w:color w:val="auto"/>
                <w:sz w:val="24"/>
                <w:highlight w:val="none"/>
                <w:lang w:val="en-US" w:eastAsia="zh-CN"/>
              </w:rPr>
              <w:t>固体废物</w:t>
            </w:r>
            <w:r>
              <w:rPr>
                <w:rFonts w:hint="eastAsia" w:cs="Times New Roman"/>
                <w:b/>
                <w:bCs/>
                <w:color w:val="auto"/>
                <w:sz w:val="24"/>
                <w:highlight w:val="none"/>
                <w:lang w:val="en-US" w:eastAsia="zh-CN"/>
              </w:rPr>
              <w:t>影响和处置措施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hAnsi="宋体" w:cs="Times New Roman"/>
                <w:b w:val="0"/>
                <w:bCs w:val="0"/>
                <w:color w:val="auto"/>
                <w:sz w:val="24"/>
                <w:szCs w:val="22"/>
                <w:highlight w:val="none"/>
                <w:lang w:val="en-US" w:eastAsia="zh-CN"/>
              </w:rPr>
            </w:pPr>
            <w:r>
              <w:rPr>
                <w:rFonts w:hint="default" w:hAnsi="宋体" w:cs="Times New Roman"/>
                <w:b w:val="0"/>
                <w:bCs w:val="0"/>
                <w:color w:val="auto"/>
                <w:sz w:val="24"/>
                <w:szCs w:val="22"/>
                <w:highlight w:val="none"/>
                <w:lang w:val="en-US" w:eastAsia="zh-CN"/>
              </w:rPr>
              <w:t>本项目运营期产生的固体废物为生物质燃烧灰渣、废离子交换树脂、除尘器收集的粉尘、工作人员生活垃圾以及设备维修废机油。</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default" w:ascii="Times New Roman" w:hAnsi="宋体" w:eastAsia="宋体" w:cs="Times New Roman"/>
                <w:b/>
                <w:bCs/>
                <w:color w:val="auto"/>
                <w:sz w:val="24"/>
                <w:szCs w:val="22"/>
                <w:highlight w:val="none"/>
                <w:lang w:val="en-US" w:eastAsia="zh-CN"/>
              </w:rPr>
            </w:pPr>
            <w:r>
              <w:rPr>
                <w:rFonts w:hint="eastAsia" w:hAnsi="宋体" w:cs="Times New Roman"/>
                <w:b/>
                <w:bCs/>
                <w:color w:val="auto"/>
                <w:sz w:val="24"/>
                <w:szCs w:val="22"/>
                <w:highlight w:val="none"/>
                <w:lang w:val="en-US" w:eastAsia="zh-CN"/>
              </w:rPr>
              <w:t>1、锅炉灰渣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s="Times New Roman"/>
                <w:color w:val="auto"/>
                <w:sz w:val="24"/>
                <w:szCs w:val="22"/>
                <w:highlight w:val="none"/>
                <w:lang w:val="en-US" w:eastAsia="zh-CN"/>
              </w:rPr>
            </w:pPr>
            <w:r>
              <w:rPr>
                <w:rFonts w:hint="eastAsia" w:hAnsi="宋体" w:cs="Times New Roman"/>
                <w:color w:val="auto"/>
                <w:sz w:val="24"/>
                <w:szCs w:val="22"/>
                <w:highlight w:val="none"/>
                <w:lang w:val="en-US" w:eastAsia="zh-CN"/>
              </w:rPr>
              <w:t>根据《污染源源强核算技术指南锅炉》（HJ991-2018）中固体废物源强核算方法，生物质锅炉灰渣产生量可根据灰渣平衡计算公式计算：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hAnsi="宋体" w:cs="Times New Roman"/>
                <w:color w:val="auto"/>
                <w:sz w:val="24"/>
                <w:szCs w:val="22"/>
                <w:highlight w:val="none"/>
                <w:lang w:val="en-US" w:eastAsia="zh-CN"/>
              </w:rPr>
            </w:pPr>
            <w:r>
              <w:rPr>
                <w:rFonts w:hint="eastAsia" w:hAnsi="宋体" w:cs="Times New Roman"/>
                <w:color w:val="auto"/>
                <w:sz w:val="24"/>
                <w:szCs w:val="22"/>
                <w:highlight w:val="none"/>
                <w:lang w:val="en-US" w:eastAsia="zh-CN"/>
              </w:rPr>
              <w:drawing>
                <wp:inline distT="0" distB="0" distL="0" distR="0">
                  <wp:extent cx="2362200" cy="542925"/>
                  <wp:effectExtent l="0" t="0" r="0" b="9525"/>
                  <wp:docPr id="3" name="图片 81" descr="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81" descr="1"/>
                          <pic:cNvPicPr>
                            <a:picLocks noChangeAspect="true" noChangeArrowheads="true"/>
                          </pic:cNvPicPr>
                        </pic:nvPicPr>
                        <pic:blipFill>
                          <a:blip r:embed="rId40"/>
                          <a:srcRect/>
                          <a:stretch>
                            <a:fillRect/>
                          </a:stretch>
                        </pic:blipFill>
                        <pic:spPr>
                          <a:xfrm>
                            <a:off x="0" y="0"/>
                            <a:ext cx="2362200" cy="542925"/>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s="Times New Roman"/>
                <w:color w:val="auto"/>
                <w:sz w:val="24"/>
                <w:szCs w:val="22"/>
                <w:highlight w:val="none"/>
                <w:lang w:val="en-US" w:eastAsia="zh-CN"/>
              </w:rPr>
            </w:pPr>
            <w:r>
              <w:rPr>
                <w:rFonts w:hint="eastAsia" w:hAnsi="宋体" w:cs="Times New Roman"/>
                <w:color w:val="auto"/>
                <w:sz w:val="24"/>
                <w:szCs w:val="22"/>
                <w:highlight w:val="none"/>
                <w:lang w:val="en-US" w:eastAsia="zh-CN"/>
              </w:rPr>
              <w:t>式中：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s="Times New Roman"/>
                <w:color w:val="auto"/>
                <w:sz w:val="24"/>
                <w:szCs w:val="22"/>
                <w:highlight w:val="none"/>
                <w:lang w:val="en-US" w:eastAsia="zh-CN"/>
              </w:rPr>
            </w:pPr>
            <w:r>
              <w:rPr>
                <w:rFonts w:hint="eastAsia" w:hAnsi="宋体" w:cs="Times New Roman"/>
                <w:color w:val="auto"/>
                <w:sz w:val="24"/>
                <w:szCs w:val="22"/>
                <w:highlight w:val="none"/>
                <w:lang w:val="en-US" w:eastAsia="zh-CN"/>
              </w:rPr>
              <w:t>E</w:t>
            </w:r>
            <w:r>
              <w:rPr>
                <w:rFonts w:hint="eastAsia" w:hAnsi="宋体" w:cs="Times New Roman"/>
                <w:color w:val="auto"/>
                <w:sz w:val="24"/>
                <w:szCs w:val="22"/>
                <w:highlight w:val="none"/>
                <w:vertAlign w:val="subscript"/>
                <w:lang w:val="en-US" w:eastAsia="zh-CN"/>
              </w:rPr>
              <w:t>hz</w:t>
            </w:r>
            <w:r>
              <w:rPr>
                <w:rFonts w:hint="eastAsia" w:hAnsi="宋体" w:cs="Times New Roman"/>
                <w:color w:val="auto"/>
                <w:sz w:val="24"/>
                <w:szCs w:val="22"/>
                <w:highlight w:val="none"/>
                <w:lang w:val="en-US" w:eastAsia="zh-CN"/>
              </w:rPr>
              <w:t>—核算时段内灰渣产生量，t；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s="Times New Roman"/>
                <w:color w:val="auto"/>
                <w:sz w:val="24"/>
                <w:szCs w:val="22"/>
                <w:highlight w:val="none"/>
                <w:lang w:val="en-US" w:eastAsia="zh-CN"/>
              </w:rPr>
            </w:pPr>
            <w:r>
              <w:rPr>
                <w:rFonts w:hint="eastAsia" w:hAnsi="宋体" w:cs="Times New Roman"/>
                <w:color w:val="auto"/>
                <w:sz w:val="24"/>
                <w:szCs w:val="22"/>
                <w:highlight w:val="none"/>
                <w:lang w:val="en-US" w:eastAsia="zh-CN"/>
              </w:rPr>
              <w:t>R—核算时段内锅炉燃料耗量，t；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s="Times New Roman"/>
                <w:color w:val="auto"/>
                <w:sz w:val="24"/>
                <w:szCs w:val="22"/>
                <w:highlight w:val="none"/>
                <w:lang w:val="en-US" w:eastAsia="zh-CN"/>
              </w:rPr>
            </w:pPr>
            <w:r>
              <w:rPr>
                <w:rFonts w:hint="eastAsia" w:hAnsi="宋体" w:cs="Times New Roman"/>
                <w:color w:val="auto"/>
                <w:sz w:val="24"/>
                <w:szCs w:val="22"/>
                <w:highlight w:val="none"/>
                <w:lang w:val="en-US" w:eastAsia="zh-CN"/>
              </w:rPr>
              <w:t>A</w:t>
            </w:r>
            <w:r>
              <w:rPr>
                <w:rFonts w:hint="eastAsia" w:hAnsi="宋体" w:cs="Times New Roman"/>
                <w:color w:val="auto"/>
                <w:sz w:val="24"/>
                <w:szCs w:val="22"/>
                <w:highlight w:val="none"/>
                <w:vertAlign w:val="subscript"/>
                <w:lang w:val="en-US" w:eastAsia="zh-CN"/>
              </w:rPr>
              <w:t>ar</w:t>
            </w:r>
            <w:r>
              <w:rPr>
                <w:rFonts w:hint="eastAsia" w:hAnsi="宋体" w:cs="Times New Roman"/>
                <w:color w:val="auto"/>
                <w:sz w:val="24"/>
                <w:szCs w:val="22"/>
                <w:highlight w:val="none"/>
                <w:lang w:val="en-US" w:eastAsia="zh-CN"/>
              </w:rPr>
              <w:t>—收到基灰分的质量分数，%，本项目使用燃料为1.73%；</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s="Times New Roman"/>
                <w:color w:val="auto"/>
                <w:sz w:val="24"/>
                <w:szCs w:val="22"/>
                <w:highlight w:val="none"/>
                <w:lang w:val="en-US" w:eastAsia="zh-CN"/>
              </w:rPr>
            </w:pPr>
            <w:r>
              <w:rPr>
                <w:rFonts w:hint="eastAsia" w:hAnsi="宋体" w:cs="Times New Roman"/>
                <w:color w:val="auto"/>
                <w:sz w:val="24"/>
                <w:szCs w:val="22"/>
                <w:highlight w:val="none"/>
                <w:lang w:val="en-US" w:eastAsia="zh-CN"/>
              </w:rPr>
              <w:t>q</w:t>
            </w:r>
            <w:r>
              <w:rPr>
                <w:rFonts w:hint="eastAsia" w:hAnsi="宋体" w:cs="Times New Roman"/>
                <w:color w:val="auto"/>
                <w:sz w:val="24"/>
                <w:szCs w:val="22"/>
                <w:highlight w:val="none"/>
                <w:vertAlign w:val="subscript"/>
                <w:lang w:val="en-US" w:eastAsia="zh-CN"/>
              </w:rPr>
              <w:t>4</w:t>
            </w:r>
            <w:r>
              <w:rPr>
                <w:rFonts w:hint="eastAsia" w:hAnsi="宋体" w:cs="Times New Roman"/>
                <w:color w:val="auto"/>
                <w:sz w:val="24"/>
                <w:szCs w:val="22"/>
                <w:highlight w:val="none"/>
                <w:lang w:val="en-US" w:eastAsia="zh-CN"/>
              </w:rPr>
              <w:t>—锅炉机械不完全燃烧热损失，%，取2%；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s="Times New Roman"/>
                <w:color w:val="auto"/>
                <w:sz w:val="24"/>
                <w:szCs w:val="22"/>
                <w:highlight w:val="none"/>
                <w:lang w:val="en-US" w:eastAsia="zh-CN"/>
              </w:rPr>
            </w:pPr>
            <w:r>
              <w:rPr>
                <w:rFonts w:hint="eastAsia" w:hAnsi="宋体" w:cs="Times New Roman"/>
                <w:color w:val="auto"/>
                <w:sz w:val="24"/>
                <w:szCs w:val="22"/>
                <w:highlight w:val="none"/>
                <w:lang w:val="en-US" w:eastAsia="zh-CN"/>
              </w:rPr>
              <w:t>Q</w:t>
            </w:r>
            <w:r>
              <w:rPr>
                <w:rFonts w:hint="eastAsia" w:hAnsi="宋体" w:cs="Times New Roman"/>
                <w:color w:val="auto"/>
                <w:sz w:val="24"/>
                <w:szCs w:val="22"/>
                <w:highlight w:val="none"/>
                <w:vertAlign w:val="subscript"/>
                <w:lang w:val="en-US" w:eastAsia="zh-CN"/>
              </w:rPr>
              <w:t>net,ar</w:t>
            </w:r>
            <w:r>
              <w:rPr>
                <w:rFonts w:hint="eastAsia" w:hAnsi="宋体" w:cs="Times New Roman"/>
                <w:color w:val="auto"/>
                <w:sz w:val="24"/>
                <w:szCs w:val="22"/>
                <w:highlight w:val="none"/>
                <w:lang w:val="en-US" w:eastAsia="zh-CN"/>
              </w:rPr>
              <w:t>—收到基低位发热量（MJ/kg），本项目使用燃料为17.108MJ/kg。</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s="Times New Roman"/>
                <w:color w:val="auto"/>
                <w:sz w:val="24"/>
                <w:szCs w:val="22"/>
                <w:highlight w:val="none"/>
                <w:lang w:val="en-US" w:eastAsia="zh-CN"/>
              </w:rPr>
            </w:pPr>
            <w:r>
              <w:rPr>
                <w:rFonts w:hint="eastAsia" w:hAnsi="宋体" w:cs="Times New Roman"/>
                <w:color w:val="auto"/>
                <w:sz w:val="24"/>
                <w:szCs w:val="22"/>
                <w:highlight w:val="none"/>
                <w:lang w:val="en-US" w:eastAsia="zh-CN"/>
              </w:rPr>
              <w:t>经计算，海大供热点产生的灰渣约为：741.7t/a；特驱供热点产生的灰渣约为766.6t/a；漓源供热点产生的灰渣约为117.1t/a。项目灰渣合计产生量为1625.4t/a。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宋体" w:eastAsia="宋体" w:cs="Times New Roman"/>
                <w:color w:val="auto"/>
                <w:sz w:val="24"/>
                <w:szCs w:val="22"/>
                <w:highlight w:val="none"/>
                <w:lang w:val="en-US" w:eastAsia="zh-CN"/>
              </w:rPr>
            </w:pPr>
            <w:r>
              <w:rPr>
                <w:rFonts w:hint="eastAsia" w:ascii="Times New Roman" w:hAnsi="宋体" w:eastAsia="宋体" w:cs="Times New Roman"/>
                <w:color w:val="auto"/>
                <w:sz w:val="24"/>
                <w:szCs w:val="22"/>
                <w:highlight w:val="none"/>
                <w:lang w:val="en-US" w:eastAsia="zh-CN"/>
              </w:rPr>
              <w:t>项目运营期产生的灰渣集中收集暂存堆渣间，外售用于农业生产有机肥。</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default" w:ascii="Times New Roman" w:hAnsi="宋体" w:eastAsia="宋体" w:cs="Times New Roman"/>
                <w:b/>
                <w:bCs/>
                <w:color w:val="auto"/>
                <w:sz w:val="24"/>
                <w:szCs w:val="22"/>
                <w:highlight w:val="none"/>
                <w:lang w:val="en-US" w:eastAsia="zh-CN"/>
              </w:rPr>
            </w:pPr>
            <w:r>
              <w:rPr>
                <w:rFonts w:hint="eastAsia" w:hAnsi="宋体" w:cs="Times New Roman"/>
                <w:b/>
                <w:bCs/>
                <w:color w:val="auto"/>
                <w:sz w:val="24"/>
                <w:szCs w:val="22"/>
                <w:highlight w:val="none"/>
                <w:lang w:val="en-US" w:eastAsia="zh-CN"/>
              </w:rPr>
              <w:t>2、废弃离子交换树脂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宋体" w:eastAsia="宋体" w:cs="Times New Roman"/>
                <w:color w:val="auto"/>
                <w:sz w:val="24"/>
                <w:szCs w:val="22"/>
                <w:highlight w:val="none"/>
                <w:lang w:val="en-US" w:eastAsia="zh-CN"/>
              </w:rPr>
            </w:pPr>
            <w:r>
              <w:rPr>
                <w:rFonts w:hint="eastAsia" w:ascii="Times New Roman" w:hAnsi="宋体" w:eastAsia="宋体" w:cs="Times New Roman"/>
                <w:color w:val="auto"/>
                <w:sz w:val="24"/>
                <w:szCs w:val="22"/>
                <w:highlight w:val="none"/>
                <w:lang w:val="en-US" w:eastAsia="zh-CN"/>
              </w:rPr>
              <w:t>锅炉所需的软水在制备过程中，所使用的树脂交换位置均被水中的钙和镁占据后，会产生饱和离子交换树脂，属一般固废。海大供热点约为：0.5t/a，特驱供热点约为</w:t>
            </w:r>
            <w:r>
              <w:rPr>
                <w:rFonts w:hint="eastAsia" w:hAnsi="宋体" w:cs="Times New Roman"/>
                <w:color w:val="auto"/>
                <w:sz w:val="24"/>
                <w:szCs w:val="22"/>
                <w:highlight w:val="none"/>
                <w:lang w:val="en-US" w:eastAsia="zh-CN"/>
              </w:rPr>
              <w:t>0.5</w:t>
            </w:r>
            <w:r>
              <w:rPr>
                <w:rFonts w:hint="eastAsia" w:ascii="Times New Roman" w:hAnsi="宋体" w:eastAsia="宋体" w:cs="Times New Roman"/>
                <w:color w:val="auto"/>
                <w:sz w:val="24"/>
                <w:szCs w:val="22"/>
                <w:highlight w:val="none"/>
                <w:lang w:val="en-US" w:eastAsia="zh-CN"/>
              </w:rPr>
              <w:t>t/a，漓源供热点约为0.1t/a，合计</w:t>
            </w:r>
            <w:r>
              <w:rPr>
                <w:rFonts w:hint="eastAsia" w:hAnsi="宋体" w:cs="Times New Roman"/>
                <w:color w:val="auto"/>
                <w:sz w:val="24"/>
                <w:szCs w:val="22"/>
                <w:highlight w:val="none"/>
                <w:lang w:val="en-US" w:eastAsia="zh-CN"/>
              </w:rPr>
              <w:t>1.1</w:t>
            </w:r>
            <w:r>
              <w:rPr>
                <w:rFonts w:hint="eastAsia" w:ascii="Times New Roman" w:hAnsi="宋体" w:eastAsia="宋体" w:cs="Times New Roman"/>
                <w:color w:val="auto"/>
                <w:sz w:val="24"/>
                <w:szCs w:val="22"/>
                <w:highlight w:val="none"/>
                <w:lang w:val="en-US" w:eastAsia="zh-CN"/>
              </w:rPr>
              <w:t>t/a。该部分饱和离子交换树脂由厂家来更换，更换后直接由厂家回收，不在项目区内暂存。</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eastAsia" w:ascii="Times New Roman" w:hAnsi="宋体" w:eastAsia="宋体" w:cs="Times New Roman"/>
                <w:b/>
                <w:bCs/>
                <w:color w:val="auto"/>
                <w:sz w:val="24"/>
                <w:szCs w:val="22"/>
                <w:highlight w:val="none"/>
                <w:lang w:val="en-US" w:eastAsia="zh-CN"/>
              </w:rPr>
            </w:pPr>
            <w:r>
              <w:rPr>
                <w:rFonts w:hint="eastAsia" w:ascii="Times New Roman" w:hAnsi="宋体" w:eastAsia="宋体" w:cs="Times New Roman"/>
                <w:b/>
                <w:bCs/>
                <w:color w:val="auto"/>
                <w:sz w:val="24"/>
                <w:szCs w:val="22"/>
                <w:highlight w:val="none"/>
                <w:lang w:val="en-US" w:eastAsia="zh-CN"/>
              </w:rPr>
              <w:t>3、除尘器收集的粉尘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宋体" w:eastAsia="宋体" w:cs="Times New Roman"/>
                <w:color w:val="auto"/>
                <w:sz w:val="24"/>
                <w:szCs w:val="22"/>
                <w:highlight w:val="none"/>
                <w:lang w:val="en-US" w:eastAsia="zh-CN"/>
              </w:rPr>
            </w:pPr>
            <w:r>
              <w:rPr>
                <w:rFonts w:hint="eastAsia" w:ascii="Times New Roman" w:hAnsi="宋体" w:eastAsia="宋体" w:cs="Times New Roman"/>
                <w:color w:val="auto"/>
                <w:sz w:val="24"/>
                <w:szCs w:val="22"/>
                <w:highlight w:val="none"/>
                <w:lang w:val="en-US" w:eastAsia="zh-CN"/>
              </w:rPr>
              <w:t>锅炉烟气采用多管旋风除尘器+布袋除尘器处理后排放，大部分烟尘被除尘器收集，形成灰渣，除尘器收集的除尘灰量为：海大供热点约为：1598.7t/a，特驱供热点约为1652.4t/a，漓源供热点约为252.5t/a，合计3503.6t/a。除尘灰为生物质燃料中未燃尽部分与燃料在高温下气化的杂质，主要成分为农林废弃物灰烬，含有碳、钠、硅、钾、镁等元素，为一般工业固废，可用于制作有机肥，因此，本项目产生的除尘灰经袋装收集后外售有机肥制作单位制作有机肥。</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eastAsia" w:ascii="Times New Roman" w:hAnsi="宋体" w:eastAsia="宋体" w:cs="Times New Roman"/>
                <w:b/>
                <w:bCs/>
                <w:color w:val="auto"/>
                <w:sz w:val="24"/>
                <w:szCs w:val="22"/>
                <w:highlight w:val="none"/>
                <w:lang w:val="en-US" w:eastAsia="zh-CN"/>
              </w:rPr>
            </w:pPr>
            <w:r>
              <w:rPr>
                <w:rFonts w:hint="eastAsia" w:ascii="Times New Roman" w:hAnsi="宋体" w:eastAsia="宋体" w:cs="Times New Roman"/>
                <w:b/>
                <w:bCs/>
                <w:color w:val="auto"/>
                <w:sz w:val="24"/>
                <w:szCs w:val="22"/>
                <w:highlight w:val="none"/>
                <w:lang w:val="en-US" w:eastAsia="zh-CN"/>
              </w:rPr>
              <w:t>4、生活垃圾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宋体" w:eastAsia="宋体" w:cs="Times New Roman"/>
                <w:color w:val="auto"/>
                <w:sz w:val="24"/>
                <w:szCs w:val="22"/>
                <w:highlight w:val="none"/>
                <w:lang w:val="en-US" w:eastAsia="zh-CN"/>
              </w:rPr>
            </w:pPr>
            <w:r>
              <w:rPr>
                <w:rFonts w:hint="eastAsia" w:ascii="Times New Roman" w:hAnsi="宋体" w:eastAsia="宋体" w:cs="Times New Roman"/>
                <w:color w:val="auto"/>
                <w:sz w:val="24"/>
                <w:szCs w:val="22"/>
                <w:highlight w:val="none"/>
                <w:lang w:val="en-US" w:eastAsia="zh-CN"/>
              </w:rPr>
              <w:t>项目配备锅炉工10人，海大供热点4人，特驱供热点4人，漓源供热点2人，生活垃圾的产生量按照0.5kg/人*d计算，则生活垃圾的产生量为海大供热点0.66t/a，特驱供热点0.66t/a，漓源供热点0.33t/a，项目合计共产生1.65t/a。生活垃圾统一收集后，送至园区指定地点，由园区统一处置。</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eastAsia" w:ascii="Times New Roman" w:hAnsi="宋体" w:eastAsia="宋体" w:cs="Times New Roman"/>
                <w:b/>
                <w:bCs/>
                <w:color w:val="auto"/>
                <w:sz w:val="24"/>
                <w:szCs w:val="22"/>
                <w:highlight w:val="none"/>
                <w:lang w:val="en-US" w:eastAsia="zh-CN"/>
              </w:rPr>
            </w:pPr>
            <w:r>
              <w:rPr>
                <w:rFonts w:hint="eastAsia" w:ascii="Times New Roman" w:hAnsi="宋体" w:eastAsia="宋体" w:cs="Times New Roman"/>
                <w:b/>
                <w:bCs/>
                <w:color w:val="auto"/>
                <w:sz w:val="24"/>
                <w:szCs w:val="22"/>
                <w:highlight w:val="none"/>
                <w:lang w:val="en-US" w:eastAsia="zh-CN"/>
              </w:rPr>
              <w:t>5、废机油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宋体" w:eastAsia="宋体" w:cs="Times New Roman"/>
                <w:color w:val="auto"/>
                <w:sz w:val="24"/>
                <w:szCs w:val="22"/>
                <w:highlight w:val="none"/>
                <w:lang w:val="en-US" w:eastAsia="zh-CN"/>
              </w:rPr>
            </w:pPr>
            <w:r>
              <w:rPr>
                <w:rFonts w:hint="eastAsia" w:ascii="Times New Roman" w:hAnsi="宋体" w:eastAsia="宋体" w:cs="Times New Roman"/>
                <w:color w:val="auto"/>
                <w:sz w:val="24"/>
                <w:szCs w:val="22"/>
                <w:highlight w:val="none"/>
                <w:lang w:val="en-US" w:eastAsia="zh-CN"/>
              </w:rPr>
              <w:t>项目设备维修会产生一定量的废机油，根据《国家危险废物名录（2021年版）》，废机油属于危险废物，废物类别为：HW08废矿物油与含矿物油废物，废物代码为：900-249-08。项目机修废物产生量约为：海大供热点约为：0.13t/a，特驱供热点约为0.14t/a，漓源供热点约为0.03t/a，项目合计产生废机油0.3t/a。各供热点产生的废机油收集后暂存于危险废物贮存库，委托有资质单位清运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宋体" w:eastAsia="宋体" w:cs="Times New Roman"/>
                <w:color w:val="auto"/>
                <w:sz w:val="24"/>
                <w:szCs w:val="22"/>
                <w:highlight w:val="none"/>
                <w:lang w:val="en-US" w:eastAsia="zh-CN"/>
              </w:rPr>
            </w:pPr>
            <w:r>
              <w:rPr>
                <w:rFonts w:hint="eastAsia" w:ascii="Times New Roman" w:hAnsi="宋体" w:eastAsia="宋体" w:cs="Times New Roman"/>
                <w:color w:val="auto"/>
                <w:sz w:val="24"/>
                <w:szCs w:val="22"/>
                <w:highlight w:val="none"/>
                <w:lang w:val="en-US" w:eastAsia="zh-CN"/>
              </w:rPr>
              <w:t>本项目运营期固体废物产排情况见下表：</w:t>
            </w:r>
          </w:p>
          <w:p>
            <w:pPr>
              <w:pStyle w:val="4"/>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4-</w:t>
            </w:r>
            <w:r>
              <w:rPr>
                <w:rFonts w:hint="eastAsia" w:cs="Times New Roman"/>
                <w:b/>
                <w:bCs/>
                <w:color w:val="auto"/>
                <w:sz w:val="21"/>
                <w:szCs w:val="21"/>
                <w:highlight w:val="none"/>
                <w:lang w:val="en-US" w:eastAsia="zh-CN"/>
              </w:rPr>
              <w:t>17项目固体废物产排情况一览表</w:t>
            </w:r>
          </w:p>
          <w:tbl>
            <w:tblPr>
              <w:tblStyle w:val="2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2"/>
              <w:gridCol w:w="822"/>
              <w:gridCol w:w="1028"/>
              <w:gridCol w:w="800"/>
              <w:gridCol w:w="800"/>
              <w:gridCol w:w="1134"/>
              <w:gridCol w:w="806"/>
              <w:gridCol w:w="1601"/>
              <w:gridCol w:w="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3" w:type="pct"/>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产生环节</w:t>
                  </w:r>
                </w:p>
              </w:tc>
              <w:tc>
                <w:tcPr>
                  <w:tcW w:w="463"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名称</w:t>
                  </w:r>
                </w:p>
              </w:tc>
              <w:tc>
                <w:tcPr>
                  <w:tcW w:w="579"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属性</w:t>
                  </w:r>
                </w:p>
              </w:tc>
              <w:tc>
                <w:tcPr>
                  <w:tcW w:w="451"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物理性状</w:t>
                  </w:r>
                </w:p>
              </w:tc>
              <w:tc>
                <w:tcPr>
                  <w:tcW w:w="451"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环境危险特性</w:t>
                  </w:r>
                </w:p>
              </w:tc>
              <w:tc>
                <w:tcPr>
                  <w:tcW w:w="639"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年度产生量</w:t>
                  </w:r>
                </w:p>
              </w:tc>
              <w:tc>
                <w:tcPr>
                  <w:tcW w:w="454"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贮存方式</w:t>
                  </w:r>
                </w:p>
              </w:tc>
              <w:tc>
                <w:tcPr>
                  <w:tcW w:w="902"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利用处置方式和去向</w:t>
                  </w:r>
                </w:p>
              </w:tc>
              <w:tc>
                <w:tcPr>
                  <w:tcW w:w="465"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环境管理要求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3"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default" w:ascii="Times New Roman" w:hAnsi="Times New Roman" w:eastAsia="宋体" w:cs="Times New Roman"/>
                      <w:b w:val="0"/>
                      <w:bCs/>
                      <w:color w:val="auto"/>
                      <w:kern w:val="1"/>
                      <w:szCs w:val="21"/>
                      <w:highlight w:val="none"/>
                      <w:lang w:val="en-US" w:eastAsia="zh-CN"/>
                    </w:rPr>
                    <w:t>烟气除尘设施</w:t>
                  </w:r>
                </w:p>
              </w:tc>
              <w:tc>
                <w:tcPr>
                  <w:tcW w:w="463"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除尘灰</w:t>
                  </w:r>
                </w:p>
              </w:tc>
              <w:tc>
                <w:tcPr>
                  <w:tcW w:w="579"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一般工业固废</w:t>
                  </w:r>
                </w:p>
              </w:tc>
              <w:tc>
                <w:tcPr>
                  <w:tcW w:w="451"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固态</w:t>
                  </w:r>
                </w:p>
              </w:tc>
              <w:tc>
                <w:tcPr>
                  <w:tcW w:w="451" w:type="pct"/>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w:t>
                  </w:r>
                </w:p>
              </w:tc>
              <w:tc>
                <w:tcPr>
                  <w:tcW w:w="639"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3503.6t/a</w:t>
                  </w:r>
                </w:p>
              </w:tc>
              <w:tc>
                <w:tcPr>
                  <w:tcW w:w="454"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w:t>
                  </w:r>
                </w:p>
              </w:tc>
              <w:tc>
                <w:tcPr>
                  <w:tcW w:w="902"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经袋装收集后外售有机肥制作单位制作有机肥</w:t>
                  </w:r>
                </w:p>
              </w:tc>
              <w:tc>
                <w:tcPr>
                  <w:tcW w:w="465" w:type="pct"/>
                  <w:vMerge w:val="restar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100%处置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3"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生物质锅炉</w:t>
                  </w:r>
                </w:p>
              </w:tc>
              <w:tc>
                <w:tcPr>
                  <w:tcW w:w="463"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炉渣</w:t>
                  </w:r>
                </w:p>
              </w:tc>
              <w:tc>
                <w:tcPr>
                  <w:tcW w:w="579" w:type="pct"/>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一般工业固废</w:t>
                  </w:r>
                </w:p>
              </w:tc>
              <w:tc>
                <w:tcPr>
                  <w:tcW w:w="451" w:type="pct"/>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固态</w:t>
                  </w:r>
                </w:p>
              </w:tc>
              <w:tc>
                <w:tcPr>
                  <w:tcW w:w="451" w:type="pct"/>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w:t>
                  </w:r>
                </w:p>
              </w:tc>
              <w:tc>
                <w:tcPr>
                  <w:tcW w:w="639" w:type="pct"/>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1625.4t/a</w:t>
                  </w:r>
                </w:p>
              </w:tc>
              <w:tc>
                <w:tcPr>
                  <w:tcW w:w="454" w:type="pct"/>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w:t>
                  </w:r>
                </w:p>
              </w:tc>
              <w:tc>
                <w:tcPr>
                  <w:tcW w:w="902" w:type="pct"/>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经袋装收集后外售有机肥制作单位制作有机肥</w:t>
                  </w:r>
                </w:p>
              </w:tc>
              <w:tc>
                <w:tcPr>
                  <w:tcW w:w="465" w:type="pct"/>
                  <w:vMerge w:val="continue"/>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3"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软水制备系统</w:t>
                  </w:r>
                </w:p>
              </w:tc>
              <w:tc>
                <w:tcPr>
                  <w:tcW w:w="463" w:type="pct"/>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饱和离子交换树脂</w:t>
                  </w:r>
                </w:p>
              </w:tc>
              <w:tc>
                <w:tcPr>
                  <w:tcW w:w="579" w:type="pct"/>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一般工业固废</w:t>
                  </w:r>
                </w:p>
              </w:tc>
              <w:tc>
                <w:tcPr>
                  <w:tcW w:w="451" w:type="pct"/>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固态</w:t>
                  </w:r>
                </w:p>
              </w:tc>
              <w:tc>
                <w:tcPr>
                  <w:tcW w:w="451" w:type="pct"/>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w:t>
                  </w:r>
                </w:p>
              </w:tc>
              <w:tc>
                <w:tcPr>
                  <w:tcW w:w="639" w:type="pct"/>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1.1t/a</w:t>
                  </w:r>
                </w:p>
              </w:tc>
              <w:tc>
                <w:tcPr>
                  <w:tcW w:w="454" w:type="pct"/>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w:t>
                  </w:r>
                </w:p>
              </w:tc>
              <w:tc>
                <w:tcPr>
                  <w:tcW w:w="902" w:type="pct"/>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更换后直接由厂家回收</w:t>
                  </w:r>
                </w:p>
              </w:tc>
              <w:tc>
                <w:tcPr>
                  <w:tcW w:w="465" w:type="pct"/>
                  <w:vMerge w:val="continue"/>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3"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员工</w:t>
                  </w:r>
                </w:p>
              </w:tc>
              <w:tc>
                <w:tcPr>
                  <w:tcW w:w="463"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生活垃圾</w:t>
                  </w:r>
                </w:p>
              </w:tc>
              <w:tc>
                <w:tcPr>
                  <w:tcW w:w="579"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一般固废</w:t>
                  </w:r>
                </w:p>
              </w:tc>
              <w:tc>
                <w:tcPr>
                  <w:tcW w:w="451" w:type="pct"/>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固态</w:t>
                  </w:r>
                </w:p>
              </w:tc>
              <w:tc>
                <w:tcPr>
                  <w:tcW w:w="451" w:type="pct"/>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w:t>
                  </w:r>
                </w:p>
              </w:tc>
              <w:tc>
                <w:tcPr>
                  <w:tcW w:w="639" w:type="pct"/>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1.65t/a</w:t>
                  </w:r>
                </w:p>
              </w:tc>
              <w:tc>
                <w:tcPr>
                  <w:tcW w:w="454" w:type="pct"/>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w:t>
                  </w:r>
                </w:p>
              </w:tc>
              <w:tc>
                <w:tcPr>
                  <w:tcW w:w="902" w:type="pct"/>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统一收集后由环卫部门统一清运</w:t>
                  </w:r>
                </w:p>
              </w:tc>
              <w:tc>
                <w:tcPr>
                  <w:tcW w:w="465" w:type="pct"/>
                  <w:vMerge w:val="continue"/>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3"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废机油</w:t>
                  </w:r>
                </w:p>
              </w:tc>
              <w:tc>
                <w:tcPr>
                  <w:tcW w:w="463"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设备维修</w:t>
                  </w:r>
                </w:p>
              </w:tc>
              <w:tc>
                <w:tcPr>
                  <w:tcW w:w="579"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危险废物</w:t>
                  </w:r>
                </w:p>
              </w:tc>
              <w:tc>
                <w:tcPr>
                  <w:tcW w:w="451"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液态</w:t>
                  </w:r>
                </w:p>
              </w:tc>
              <w:tc>
                <w:tcPr>
                  <w:tcW w:w="451"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T，I</w:t>
                  </w:r>
                </w:p>
              </w:tc>
              <w:tc>
                <w:tcPr>
                  <w:tcW w:w="639"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0.3t/a</w:t>
                  </w:r>
                </w:p>
              </w:tc>
              <w:tc>
                <w:tcPr>
                  <w:tcW w:w="454" w:type="pct"/>
                  <w:noWrap w:val="0"/>
                  <w:vAlign w:val="center"/>
                </w:tcPr>
                <w:p>
                  <w:pPr>
                    <w:adjustRightInd w:val="0"/>
                    <w:snapToGrid w:val="0"/>
                    <w:jc w:val="center"/>
                    <w:rPr>
                      <w:rFonts w:hint="default"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暂存于危险废物贮存库</w:t>
                  </w:r>
                </w:p>
              </w:tc>
              <w:tc>
                <w:tcPr>
                  <w:tcW w:w="902" w:type="pct"/>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r>
                    <w:rPr>
                      <w:rFonts w:hint="eastAsia" w:ascii="Times New Roman" w:hAnsi="Times New Roman" w:eastAsia="宋体" w:cs="Times New Roman"/>
                      <w:b w:val="0"/>
                      <w:bCs/>
                      <w:color w:val="auto"/>
                      <w:kern w:val="1"/>
                      <w:szCs w:val="21"/>
                      <w:highlight w:val="none"/>
                      <w:lang w:val="en-US" w:eastAsia="zh-CN"/>
                    </w:rPr>
                    <w:t>委托有资质单位清运处置</w:t>
                  </w:r>
                </w:p>
              </w:tc>
              <w:tc>
                <w:tcPr>
                  <w:tcW w:w="465" w:type="pct"/>
                  <w:vMerge w:val="continue"/>
                  <w:noWrap w:val="0"/>
                  <w:vAlign w:val="center"/>
                </w:tcPr>
                <w:p>
                  <w:pPr>
                    <w:adjustRightInd w:val="0"/>
                    <w:snapToGrid w:val="0"/>
                    <w:jc w:val="center"/>
                    <w:rPr>
                      <w:rFonts w:hint="eastAsia" w:ascii="Times New Roman" w:hAnsi="Times New Roman" w:eastAsia="宋体" w:cs="Times New Roman"/>
                      <w:b w:val="0"/>
                      <w:bCs/>
                      <w:color w:val="auto"/>
                      <w:kern w:val="1"/>
                      <w:szCs w:val="21"/>
                      <w:highlight w:val="none"/>
                      <w:lang w:val="en-US" w:eastAsia="zh-CN"/>
                    </w:rPr>
                  </w:pPr>
                </w:p>
              </w:tc>
            </w:tr>
          </w:tbl>
          <w:p>
            <w:pPr>
              <w:pStyle w:val="74"/>
              <w:pageBreakBefore w:val="0"/>
              <w:widowControl w:val="0"/>
              <w:numPr>
                <w:ilvl w:val="0"/>
                <w:numId w:val="0"/>
              </w:numPr>
              <w:kinsoku/>
              <w:wordWrap/>
              <w:overflowPunct/>
              <w:topLinePunct w:val="0"/>
              <w:autoSpaceDE/>
              <w:autoSpaceDN/>
              <w:bidi w:val="0"/>
              <w:adjustRightInd/>
              <w:snapToGrid/>
              <w:spacing w:before="0" w:beforeLines="0" w:after="0" w:afterLines="0"/>
              <w:ind w:leftChars="200"/>
              <w:textAlignment w:val="auto"/>
              <w:rPr>
                <w:rFonts w:hint="eastAsia" w:eastAsia="宋体" w:cs="Times New Roman"/>
                <w:b/>
                <w:bCs/>
                <w:color w:val="auto"/>
                <w:highlight w:val="none"/>
                <w:lang w:val="en-US" w:eastAsia="zh-CN"/>
              </w:rPr>
            </w:pPr>
            <w:r>
              <w:rPr>
                <w:rFonts w:hint="eastAsia" w:eastAsia="宋体" w:cs="Times New Roman"/>
                <w:b/>
                <w:bCs/>
                <w:color w:val="auto"/>
                <w:highlight w:val="none"/>
                <w:lang w:val="en-US" w:eastAsia="zh-CN"/>
              </w:rPr>
              <w:t>5、危险废物贮存库建设及管理要求</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①废物贮存库应采取必要的防风、防晒、防雨、防漏、防渗、防腐等环境污染防治措施，不应露天堆放危险废物。</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②库区内地面、墙面裙脚、堵截泄漏的围堰、接触危险废物的隔板和墙体等应采用坚固的材料建造，表面无裂缝。</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③所贮存的危险废物不得直接接触地面，库内地面与裙脚应采取表面防渗措施，可采用抗渗混凝土、高密度聚乙烯膜、钠基膨润土防水毯或其他防渗性能等效的材料。贮存的危险废物直接接触地面的，还应进行基础防渗，防渗层为至少1m厚黏土层（渗透系数不大于10</w:t>
            </w:r>
            <w:r>
              <w:rPr>
                <w:rFonts w:hint="eastAsia" w:ascii="Times New Roman" w:hAnsi="Times New Roman" w:eastAsia="宋体" w:cs="Times New Roman"/>
                <w:color w:val="auto"/>
                <w:sz w:val="24"/>
                <w:highlight w:val="none"/>
                <w:vertAlign w:val="superscript"/>
                <w:lang w:val="en-US" w:eastAsia="zh-CN"/>
              </w:rPr>
              <w:t>-7</w:t>
            </w:r>
            <w:r>
              <w:rPr>
                <w:rFonts w:hint="eastAsia" w:ascii="Times New Roman" w:hAnsi="Times New Roman" w:eastAsia="宋体" w:cs="Times New Roman"/>
                <w:color w:val="auto"/>
                <w:sz w:val="24"/>
                <w:highlight w:val="none"/>
                <w:lang w:val="en-US" w:eastAsia="zh-CN"/>
              </w:rPr>
              <w:t>cm/s），或至少2mm厚高密度聚乙烯膜等人工防渗材料（渗透系数不大于10</w:t>
            </w:r>
            <w:r>
              <w:rPr>
                <w:rFonts w:hint="eastAsia" w:ascii="Times New Roman" w:hAnsi="Times New Roman" w:eastAsia="宋体" w:cs="Times New Roman"/>
                <w:color w:val="auto"/>
                <w:sz w:val="24"/>
                <w:highlight w:val="none"/>
                <w:vertAlign w:val="superscript"/>
                <w:lang w:val="en-US" w:eastAsia="zh-CN"/>
              </w:rPr>
              <w:t>-10</w:t>
            </w:r>
            <w:r>
              <w:rPr>
                <w:rFonts w:hint="eastAsia" w:ascii="Times New Roman" w:hAnsi="Times New Roman" w:eastAsia="宋体" w:cs="Times New Roman"/>
                <w:color w:val="auto"/>
                <w:sz w:val="24"/>
                <w:highlight w:val="none"/>
                <w:lang w:val="en-US" w:eastAsia="zh-CN"/>
              </w:rPr>
              <w:t>cm/s），或其他防渗性能等效的材料。</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④贮存设施应采取技术（日常关闭）和管理措施防止无关人员进入。</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⑤不同贮存分区之间应采取隔离措施。</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⑥设置收集池、托盘等液体泄漏堵截设施，堵截设施最小容积不应低于液态废物总储量1/10。</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⑦在常温常压下不易水解、不易挥发的固态危险废物可分类堆放贮存，其他固态危险废物应装入容器或包装物内贮存。液态危险废物应装入容器内贮存，半固态危险废物应装入容器或包装袋内贮存，具有热塑性的危险废物应装入容器或包装袋内进行贮存。易产生刺激性气味气体的危险废物应装入闭口容器或包装物内贮存。</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⑧</w:t>
            </w:r>
            <w:r>
              <w:rPr>
                <w:rFonts w:hint="eastAsia" w:ascii="Times New Roman" w:hAnsi="Times New Roman" w:eastAsia="宋体" w:cs="Times New Roman"/>
                <w:color w:val="auto"/>
                <w:sz w:val="24"/>
                <w:highlight w:val="none"/>
                <w:lang w:val="en-US" w:eastAsia="zh-CN"/>
              </w:rPr>
              <w:t>贮存设施运行环境管理要求</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规范化管理</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按照《危险废物识别标志设置技术规范》（HJ1276-2022）要求设置危险废物标签、危险废物贮存设施、危险废物分区标志等危险废物识别标识，制定的危险废物管理制度并上墙，落实危险废物申报、危险废物管理计划、危险废物转移联单等制度，按要求在云南省固体废物和化学品管理信息系统申报危废废物产生、处置情况。</w:t>
            </w:r>
          </w:p>
          <w:p>
            <w:pPr>
              <w:pStyle w:val="74"/>
              <w:pageBreakBefore w:val="0"/>
              <w:widowControl w:val="0"/>
              <w:numPr>
                <w:ilvl w:val="0"/>
                <w:numId w:val="0"/>
              </w:numPr>
              <w:kinsoku/>
              <w:wordWrap/>
              <w:overflowPunct/>
              <w:topLinePunct w:val="0"/>
              <w:autoSpaceDE/>
              <w:autoSpaceDN/>
              <w:bidi w:val="0"/>
              <w:adjustRightInd/>
              <w:snapToGrid/>
              <w:spacing w:before="0" w:beforeLines="0" w:after="0" w:afterLines="0"/>
              <w:ind w:leftChars="200"/>
              <w:textAlignment w:val="auto"/>
              <w:rPr>
                <w:rFonts w:hint="default" w:ascii="Times New Roman" w:hAnsi="Times New Roman" w:eastAsia="宋体" w:cs="Times New Roman"/>
                <w:b/>
                <w:bCs/>
                <w:color w:val="auto"/>
                <w:highlight w:val="none"/>
                <w:lang w:val="en-US" w:eastAsia="zh-CN"/>
              </w:rPr>
            </w:pPr>
            <w:r>
              <w:rPr>
                <w:rFonts w:hint="eastAsia" w:eastAsia="宋体" w:cs="Times New Roman"/>
                <w:b/>
                <w:bCs/>
                <w:color w:val="auto"/>
                <w:highlight w:val="none"/>
                <w:lang w:val="en-US" w:eastAsia="zh-CN"/>
              </w:rPr>
              <w:t>6、除尘灰、炉渣一般工业固体废物环境管理要求</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为降低固体废物收集、贮存、处置、转移过程中对周围环境的影响，本次评价要求建设单位做好以下防治措施：</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①一般工业固体废物贮存场所设置应符合《一般工业固体废物贮存和填埋污染控制标准》（GB18599-2020）中的相关要求；为加强监督管理，贮存场所应按照《环境保护图形标志固体废物贮存（处置）场》(GB15562.2-1995)修改单的要求设置环保图形标志；</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②除尘灰不得直接卸落到地面，卸灰区域密闭，采用密闭方式运输等。</w:t>
            </w:r>
          </w:p>
          <w:p>
            <w:pPr>
              <w:pStyle w:val="74"/>
              <w:pageBreakBefore w:val="0"/>
              <w:widowControl w:val="0"/>
              <w:numPr>
                <w:ilvl w:val="0"/>
                <w:numId w:val="0"/>
              </w:numPr>
              <w:kinsoku/>
              <w:wordWrap/>
              <w:overflowPunct/>
              <w:topLinePunct w:val="0"/>
              <w:autoSpaceDE/>
              <w:autoSpaceDN/>
              <w:bidi w:val="0"/>
              <w:adjustRightInd/>
              <w:snapToGrid/>
              <w:spacing w:before="0" w:beforeLines="0" w:after="0" w:afterLines="0"/>
              <w:ind w:leftChars="200"/>
              <w:textAlignment w:val="auto"/>
              <w:rPr>
                <w:rFonts w:hint="default" w:ascii="Times New Roman" w:hAnsi="Times New Roman" w:eastAsia="宋体" w:cs="Times New Roman"/>
                <w:b/>
                <w:bCs/>
                <w:color w:val="auto"/>
                <w:highlight w:val="none"/>
                <w:lang w:val="en-US" w:eastAsia="zh-CN"/>
              </w:rPr>
            </w:pPr>
            <w:r>
              <w:rPr>
                <w:rFonts w:hint="eastAsia" w:eastAsia="宋体" w:cs="Times New Roman"/>
                <w:b/>
                <w:bCs/>
                <w:color w:val="auto"/>
                <w:highlight w:val="none"/>
                <w:lang w:val="en-US" w:eastAsia="zh-CN"/>
              </w:rPr>
              <w:t>7、固体废物</w:t>
            </w:r>
            <w:r>
              <w:rPr>
                <w:rFonts w:hint="eastAsia" w:ascii="Times New Roman" w:hAnsi="Times New Roman" w:eastAsia="宋体" w:cs="Times New Roman"/>
                <w:b/>
                <w:bCs/>
                <w:color w:val="auto"/>
                <w:highlight w:val="none"/>
                <w:lang w:val="en-US" w:eastAsia="zh-CN"/>
              </w:rPr>
              <w:t>环境影响分析</w:t>
            </w:r>
            <w:r>
              <w:rPr>
                <w:rFonts w:hint="eastAsia" w:eastAsia="宋体" w:cs="Times New Roman"/>
                <w:b/>
                <w:bCs/>
                <w:color w:val="auto"/>
                <w:highlight w:val="none"/>
                <w:lang w:val="en-US" w:eastAsia="zh-CN"/>
              </w:rPr>
              <w:t>结论</w:t>
            </w:r>
          </w:p>
          <w:p>
            <w:pPr>
              <w:spacing w:line="360" w:lineRule="auto"/>
              <w:ind w:firstLine="476" w:firstLineChars="200"/>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pacing w:val="-1"/>
                <w:kern w:val="2"/>
                <w:sz w:val="24"/>
                <w:szCs w:val="24"/>
                <w:highlight w:val="none"/>
                <w:lang w:val="en-US" w:eastAsia="zh-CN" w:bidi="ar-SA"/>
              </w:rPr>
              <w:t>本项目</w:t>
            </w:r>
            <w:r>
              <w:rPr>
                <w:rFonts w:hint="eastAsia" w:cs="Times New Roman"/>
                <w:color w:val="auto"/>
                <w:spacing w:val="-1"/>
                <w:kern w:val="2"/>
                <w:sz w:val="24"/>
                <w:szCs w:val="24"/>
                <w:highlight w:val="none"/>
                <w:lang w:val="en-US" w:eastAsia="zh-CN" w:bidi="ar-SA"/>
              </w:rPr>
              <w:t>运营期间</w:t>
            </w:r>
            <w:r>
              <w:rPr>
                <w:rFonts w:hint="default" w:ascii="Times New Roman" w:hAnsi="Times New Roman" w:eastAsia="宋体" w:cs="Times New Roman"/>
                <w:color w:val="auto"/>
                <w:spacing w:val="-1"/>
                <w:kern w:val="2"/>
                <w:sz w:val="24"/>
                <w:szCs w:val="24"/>
                <w:highlight w:val="none"/>
                <w:lang w:val="en-US" w:eastAsia="zh-CN" w:bidi="ar-SA"/>
              </w:rPr>
              <w:t>产生的固</w:t>
            </w:r>
            <w:r>
              <w:rPr>
                <w:rFonts w:hint="eastAsia" w:cs="Times New Roman"/>
                <w:color w:val="auto"/>
                <w:spacing w:val="-1"/>
                <w:kern w:val="2"/>
                <w:sz w:val="24"/>
                <w:szCs w:val="24"/>
                <w:highlight w:val="none"/>
                <w:lang w:val="en-US" w:eastAsia="zh-CN" w:bidi="ar-SA"/>
              </w:rPr>
              <w:t>体废物</w:t>
            </w:r>
            <w:r>
              <w:rPr>
                <w:rFonts w:hint="default" w:ascii="Times New Roman" w:hAnsi="Times New Roman" w:eastAsia="宋体" w:cs="Times New Roman"/>
                <w:color w:val="auto"/>
                <w:spacing w:val="-1"/>
                <w:kern w:val="2"/>
                <w:sz w:val="24"/>
                <w:szCs w:val="24"/>
                <w:highlight w:val="none"/>
                <w:lang w:val="en-US" w:eastAsia="zh-CN" w:bidi="ar-SA"/>
              </w:rPr>
              <w:t>均得到合理有效处置，处置方式均可行，对周边环境影响较小</w:t>
            </w:r>
            <w:r>
              <w:rPr>
                <w:rFonts w:hint="eastAsia" w:cs="Times New Roman"/>
                <w:color w:val="auto"/>
                <w:spacing w:val="-1"/>
                <w:kern w:val="2"/>
                <w:sz w:val="24"/>
                <w:szCs w:val="24"/>
                <w:highlight w:val="none"/>
                <w:lang w:val="en-US" w:eastAsia="zh-CN" w:bidi="ar-SA"/>
              </w:rPr>
              <w:t>。</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1" w:firstLineChars="200"/>
              <w:jc w:val="both"/>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五</w:t>
            </w:r>
            <w:r>
              <w:rPr>
                <w:rFonts w:hint="default" w:ascii="Times New Roman" w:hAnsi="Times New Roman" w:eastAsia="宋体" w:cs="Times New Roman"/>
                <w:b/>
                <w:bCs/>
                <w:color w:val="auto"/>
                <w:sz w:val="24"/>
                <w:highlight w:val="none"/>
                <w:lang w:val="en-US" w:eastAsia="zh-CN"/>
              </w:rPr>
              <w:t>、地下水</w:t>
            </w:r>
            <w:r>
              <w:rPr>
                <w:rFonts w:hint="eastAsia" w:ascii="Times New Roman" w:hAnsi="Times New Roman" w:eastAsia="宋体" w:cs="Times New Roman"/>
                <w:b/>
                <w:bCs/>
                <w:color w:val="auto"/>
                <w:sz w:val="24"/>
                <w:highlight w:val="none"/>
                <w:lang w:val="en-US" w:eastAsia="zh-CN"/>
              </w:rPr>
              <w:t>、土壤环境</w:t>
            </w:r>
            <w:r>
              <w:rPr>
                <w:rFonts w:hint="default" w:ascii="Times New Roman" w:hAnsi="Times New Roman" w:eastAsia="宋体" w:cs="Times New Roman"/>
                <w:b/>
                <w:bCs/>
                <w:color w:val="auto"/>
                <w:sz w:val="24"/>
                <w:highlight w:val="none"/>
                <w:lang w:val="en-US" w:eastAsia="zh-CN"/>
              </w:rPr>
              <w:t>影响分析</w:t>
            </w:r>
          </w:p>
          <w:p>
            <w:pPr>
              <w:spacing w:line="360" w:lineRule="auto"/>
              <w:ind w:firstLine="480" w:firstLineChars="200"/>
              <w:rPr>
                <w:rFonts w:hint="default" w:ascii="Times New Roman" w:hAnsi="Times New Roman" w:eastAsia="宋体" w:cs="Times New Roman"/>
                <w:color w:val="auto"/>
                <w:spacing w:val="-1"/>
                <w:kern w:val="2"/>
                <w:sz w:val="24"/>
                <w:szCs w:val="24"/>
                <w:highlight w:val="none"/>
                <w:lang w:val="en-US" w:eastAsia="zh-CN" w:bidi="ar-SA"/>
              </w:rPr>
            </w:pPr>
            <w:r>
              <w:rPr>
                <w:rFonts w:hint="eastAsia"/>
                <w:color w:val="auto"/>
                <w:sz w:val="24"/>
                <w:highlight w:val="none"/>
                <w:lang w:val="en-US" w:eastAsia="zh-CN"/>
              </w:rPr>
              <w:t>根</w:t>
            </w:r>
            <w:r>
              <w:rPr>
                <w:rFonts w:hint="eastAsia" w:ascii="Times New Roman" w:hAnsi="Times New Roman" w:eastAsia="宋体" w:cs="Times New Roman"/>
                <w:color w:val="auto"/>
                <w:spacing w:val="-1"/>
                <w:kern w:val="2"/>
                <w:sz w:val="24"/>
                <w:szCs w:val="24"/>
                <w:highlight w:val="none"/>
                <w:lang w:val="en-US" w:eastAsia="zh-CN" w:bidi="ar-SA"/>
              </w:rPr>
              <w:t>据《环境影响技术导则地下水环境》（HJ610-2016），并结合《建设项目环境影响评价分类管理名录》将建设项目分为四类，</w:t>
            </w:r>
            <w:r>
              <w:rPr>
                <w:rFonts w:hint="default" w:ascii="Times New Roman" w:hAnsi="Times New Roman" w:eastAsia="宋体" w:cs="Times New Roman"/>
                <w:color w:val="auto"/>
                <w:spacing w:val="-1"/>
                <w:kern w:val="2"/>
                <w:sz w:val="24"/>
                <w:szCs w:val="24"/>
                <w:highlight w:val="none"/>
                <w:lang w:val="en-US" w:eastAsia="zh-CN" w:bidi="ar-SA"/>
              </w:rPr>
              <w:t>Ⅰ类、Ⅱ类、Ⅲ类</w:t>
            </w:r>
            <w:r>
              <w:rPr>
                <w:rFonts w:hint="eastAsia" w:ascii="Times New Roman" w:hAnsi="Times New Roman" w:eastAsia="宋体" w:cs="Times New Roman"/>
                <w:color w:val="auto"/>
                <w:spacing w:val="-1"/>
                <w:kern w:val="2"/>
                <w:sz w:val="24"/>
                <w:szCs w:val="24"/>
                <w:highlight w:val="none"/>
                <w:lang w:val="en-US" w:eastAsia="zh-CN" w:bidi="ar-SA"/>
              </w:rPr>
              <w:t>建设项目的地下水环境影响评价应执行本标准，</w:t>
            </w:r>
            <w:r>
              <w:rPr>
                <w:rFonts w:hint="default" w:ascii="Times New Roman" w:hAnsi="Times New Roman" w:eastAsia="宋体" w:cs="Times New Roman"/>
                <w:color w:val="auto"/>
                <w:spacing w:val="-1"/>
                <w:kern w:val="2"/>
                <w:sz w:val="24"/>
                <w:szCs w:val="24"/>
                <w:highlight w:val="none"/>
                <w:lang w:val="en-US" w:eastAsia="zh-CN" w:bidi="ar-SA"/>
              </w:rPr>
              <w:t>Ⅳ类</w:t>
            </w:r>
            <w:r>
              <w:rPr>
                <w:rFonts w:hint="eastAsia" w:ascii="Times New Roman" w:hAnsi="Times New Roman" w:eastAsia="宋体" w:cs="Times New Roman"/>
                <w:color w:val="auto"/>
                <w:spacing w:val="-1"/>
                <w:kern w:val="2"/>
                <w:sz w:val="24"/>
                <w:szCs w:val="24"/>
                <w:highlight w:val="none"/>
                <w:lang w:val="en-US" w:eastAsia="zh-CN" w:bidi="ar-SA"/>
              </w:rPr>
              <w:t>建设项目不开展地下水环境影响评价。根据《环境影响技术导则 地下水环境》（HJ61</w:t>
            </w:r>
            <w:r>
              <w:rPr>
                <w:rFonts w:hint="default" w:ascii="Times New Roman" w:hAnsi="Times New Roman" w:eastAsia="宋体" w:cs="Times New Roman"/>
                <w:color w:val="auto"/>
                <w:spacing w:val="-1"/>
                <w:kern w:val="2"/>
                <w:sz w:val="24"/>
                <w:szCs w:val="24"/>
                <w:highlight w:val="none"/>
                <w:lang w:val="en-US" w:eastAsia="zh-CN" w:bidi="ar-SA"/>
              </w:rPr>
              <w:t>0-2016）附录A</w:t>
            </w:r>
            <w:r>
              <w:rPr>
                <w:rFonts w:hint="eastAsia" w:ascii="Times New Roman" w:hAnsi="Times New Roman" w:eastAsia="宋体" w:cs="Times New Roman"/>
                <w:color w:val="auto"/>
                <w:spacing w:val="-1"/>
                <w:kern w:val="2"/>
                <w:sz w:val="24"/>
                <w:szCs w:val="24"/>
                <w:highlight w:val="none"/>
                <w:lang w:val="en-US" w:eastAsia="zh-CN" w:bidi="ar-SA"/>
              </w:rPr>
              <w:t>“</w:t>
            </w:r>
            <w:r>
              <w:rPr>
                <w:rFonts w:hint="default" w:ascii="Times New Roman" w:hAnsi="Times New Roman" w:eastAsia="宋体" w:cs="Times New Roman"/>
                <w:color w:val="auto"/>
                <w:spacing w:val="-1"/>
                <w:kern w:val="2"/>
                <w:sz w:val="24"/>
                <w:szCs w:val="24"/>
                <w:highlight w:val="none"/>
                <w:lang w:val="en-US" w:eastAsia="zh-CN" w:bidi="ar-SA"/>
              </w:rPr>
              <w:t>地下水环境影响评价分类表</w:t>
            </w:r>
            <w:r>
              <w:rPr>
                <w:rFonts w:hint="eastAsia" w:ascii="Times New Roman" w:hAnsi="Times New Roman" w:eastAsia="宋体" w:cs="Times New Roman"/>
                <w:color w:val="auto"/>
                <w:spacing w:val="-1"/>
                <w:kern w:val="2"/>
                <w:sz w:val="24"/>
                <w:szCs w:val="24"/>
                <w:highlight w:val="none"/>
                <w:lang w:val="en-US" w:eastAsia="zh-CN" w:bidi="ar-SA"/>
              </w:rPr>
              <w:t>”</w:t>
            </w:r>
            <w:r>
              <w:rPr>
                <w:rFonts w:hint="default" w:ascii="Times New Roman" w:hAnsi="Times New Roman" w:eastAsia="宋体" w:cs="Times New Roman"/>
                <w:color w:val="auto"/>
                <w:spacing w:val="-1"/>
                <w:kern w:val="2"/>
                <w:sz w:val="24"/>
                <w:szCs w:val="24"/>
                <w:highlight w:val="none"/>
                <w:lang w:val="en-US" w:eastAsia="zh-CN" w:bidi="ar-SA"/>
              </w:rPr>
              <w:t>，本项目属于</w:t>
            </w:r>
            <w:r>
              <w:rPr>
                <w:rFonts w:hint="eastAsia" w:ascii="Times New Roman" w:hAnsi="Times New Roman" w:eastAsia="宋体" w:cs="Times New Roman"/>
                <w:color w:val="auto"/>
                <w:spacing w:val="-1"/>
                <w:kern w:val="2"/>
                <w:sz w:val="24"/>
                <w:szCs w:val="24"/>
                <w:highlight w:val="none"/>
                <w:lang w:val="en-US" w:eastAsia="zh-CN" w:bidi="ar-SA"/>
              </w:rPr>
              <w:t>“</w:t>
            </w:r>
            <w:r>
              <w:rPr>
                <w:rFonts w:hint="default" w:ascii="Times New Roman" w:hAnsi="Times New Roman" w:eastAsia="宋体" w:cs="Times New Roman"/>
                <w:color w:val="auto"/>
                <w:spacing w:val="-1"/>
                <w:kern w:val="2"/>
                <w:sz w:val="24"/>
                <w:szCs w:val="24"/>
                <w:highlight w:val="none"/>
                <w:lang w:val="en-US" w:eastAsia="zh-CN" w:bidi="ar-SA"/>
              </w:rPr>
              <w:t>U城镇基础设施及房地产</w:t>
            </w:r>
            <w:r>
              <w:rPr>
                <w:rFonts w:hint="eastAsia" w:ascii="Times New Roman" w:hAnsi="Times New Roman" w:eastAsia="宋体" w:cs="Times New Roman"/>
                <w:color w:val="auto"/>
                <w:spacing w:val="-1"/>
                <w:kern w:val="2"/>
                <w:sz w:val="24"/>
                <w:szCs w:val="24"/>
                <w:highlight w:val="none"/>
                <w:lang w:val="en-US" w:eastAsia="zh-CN" w:bidi="ar-SA"/>
              </w:rPr>
              <w:t>”“</w:t>
            </w:r>
            <w:r>
              <w:rPr>
                <w:rFonts w:hint="default" w:ascii="Times New Roman" w:hAnsi="Times New Roman" w:eastAsia="宋体" w:cs="Times New Roman"/>
                <w:color w:val="auto"/>
                <w:spacing w:val="-1"/>
                <w:kern w:val="2"/>
                <w:sz w:val="24"/>
                <w:szCs w:val="24"/>
                <w:highlight w:val="none"/>
                <w:lang w:val="en-US" w:eastAsia="zh-CN" w:bidi="ar-SA"/>
              </w:rPr>
              <w:t>142、热力生产和供应工程</w:t>
            </w:r>
            <w:r>
              <w:rPr>
                <w:rFonts w:hint="eastAsia" w:ascii="Times New Roman" w:hAnsi="Times New Roman" w:eastAsia="宋体" w:cs="Times New Roman"/>
                <w:color w:val="auto"/>
                <w:spacing w:val="-1"/>
                <w:kern w:val="2"/>
                <w:sz w:val="24"/>
                <w:szCs w:val="24"/>
                <w:highlight w:val="none"/>
                <w:lang w:val="en-US" w:eastAsia="zh-CN" w:bidi="ar-SA"/>
              </w:rPr>
              <w:t>”</w:t>
            </w:r>
            <w:r>
              <w:rPr>
                <w:rFonts w:hint="default" w:ascii="Times New Roman" w:hAnsi="Times New Roman" w:eastAsia="宋体" w:cs="Times New Roman"/>
                <w:color w:val="auto"/>
                <w:spacing w:val="-1"/>
                <w:kern w:val="2"/>
                <w:sz w:val="24"/>
                <w:szCs w:val="24"/>
                <w:highlight w:val="none"/>
                <w:lang w:val="en-US" w:eastAsia="zh-CN" w:bidi="ar-SA"/>
              </w:rPr>
              <w:t>，环评类别均为报告表，故地下水环境影响评价项目类别为Ⅳ类，故本项目不开展地下水环境影响评价。</w:t>
            </w:r>
          </w:p>
          <w:p>
            <w:pPr>
              <w:spacing w:line="360" w:lineRule="auto"/>
              <w:ind w:firstLine="476" w:firstLineChars="200"/>
              <w:rPr>
                <w:rFonts w:hint="default" w:ascii="Times New Roman" w:hAnsi="Times New Roman" w:eastAsia="宋体" w:cs="Times New Roman"/>
                <w:color w:val="auto"/>
                <w:spacing w:val="-1"/>
                <w:kern w:val="2"/>
                <w:sz w:val="24"/>
                <w:szCs w:val="24"/>
                <w:highlight w:val="none"/>
                <w:lang w:val="en-US" w:eastAsia="zh-CN" w:bidi="ar-SA"/>
              </w:rPr>
            </w:pPr>
            <w:r>
              <w:rPr>
                <w:rFonts w:hint="default" w:ascii="Times New Roman" w:hAnsi="Times New Roman" w:eastAsia="宋体" w:cs="Times New Roman"/>
                <w:color w:val="auto"/>
                <w:spacing w:val="-1"/>
                <w:kern w:val="2"/>
                <w:sz w:val="24"/>
                <w:szCs w:val="24"/>
                <w:highlight w:val="none"/>
                <w:lang w:val="en-US" w:eastAsia="zh-CN" w:bidi="ar-SA"/>
              </w:rPr>
              <w:t>根据《环境影响评价技术导则土壤环境（试行）》（HJ964-2018）附录A</w:t>
            </w:r>
            <w:r>
              <w:rPr>
                <w:rFonts w:hint="eastAsia" w:ascii="Times New Roman" w:hAnsi="Times New Roman" w:eastAsia="宋体" w:cs="Times New Roman"/>
                <w:color w:val="auto"/>
                <w:spacing w:val="-1"/>
                <w:kern w:val="2"/>
                <w:sz w:val="24"/>
                <w:szCs w:val="24"/>
                <w:highlight w:val="none"/>
                <w:lang w:val="en-US" w:eastAsia="zh-CN" w:bidi="ar-SA"/>
              </w:rPr>
              <w:t>“</w:t>
            </w:r>
            <w:r>
              <w:rPr>
                <w:rFonts w:hint="default" w:ascii="Times New Roman" w:hAnsi="Times New Roman" w:eastAsia="宋体" w:cs="Times New Roman"/>
                <w:color w:val="auto"/>
                <w:spacing w:val="-1"/>
                <w:kern w:val="2"/>
                <w:sz w:val="24"/>
                <w:szCs w:val="24"/>
                <w:highlight w:val="none"/>
                <w:lang w:val="en-US" w:eastAsia="zh-CN" w:bidi="ar-SA"/>
              </w:rPr>
              <w:t>土壤环境影响评价项目类别</w:t>
            </w:r>
            <w:r>
              <w:rPr>
                <w:rFonts w:hint="eastAsia" w:ascii="Times New Roman" w:hAnsi="Times New Roman" w:eastAsia="宋体" w:cs="Times New Roman"/>
                <w:color w:val="auto"/>
                <w:spacing w:val="-1"/>
                <w:kern w:val="2"/>
                <w:sz w:val="24"/>
                <w:szCs w:val="24"/>
                <w:highlight w:val="none"/>
                <w:lang w:val="en-US" w:eastAsia="zh-CN" w:bidi="ar-SA"/>
              </w:rPr>
              <w:t>”</w:t>
            </w:r>
            <w:r>
              <w:rPr>
                <w:rFonts w:hint="default" w:ascii="Times New Roman" w:hAnsi="Times New Roman" w:eastAsia="宋体" w:cs="Times New Roman"/>
                <w:color w:val="auto"/>
                <w:spacing w:val="-1"/>
                <w:kern w:val="2"/>
                <w:sz w:val="24"/>
                <w:szCs w:val="24"/>
                <w:highlight w:val="none"/>
                <w:lang w:val="en-US" w:eastAsia="zh-CN" w:bidi="ar-SA"/>
              </w:rPr>
              <w:t>，本项目属于</w:t>
            </w:r>
            <w:r>
              <w:rPr>
                <w:rFonts w:hint="eastAsia" w:ascii="Times New Roman" w:hAnsi="Times New Roman" w:eastAsia="宋体" w:cs="Times New Roman"/>
                <w:color w:val="auto"/>
                <w:spacing w:val="-1"/>
                <w:kern w:val="2"/>
                <w:sz w:val="24"/>
                <w:szCs w:val="24"/>
                <w:highlight w:val="none"/>
                <w:lang w:val="en-US" w:eastAsia="zh-CN" w:bidi="ar-SA"/>
              </w:rPr>
              <w:t>“</w:t>
            </w:r>
            <w:r>
              <w:rPr>
                <w:rFonts w:hint="default" w:ascii="Times New Roman" w:hAnsi="Times New Roman" w:eastAsia="宋体" w:cs="Times New Roman"/>
                <w:color w:val="auto"/>
                <w:spacing w:val="-1"/>
                <w:kern w:val="2"/>
                <w:sz w:val="24"/>
                <w:szCs w:val="24"/>
                <w:highlight w:val="none"/>
                <w:lang w:val="en-US" w:eastAsia="zh-CN" w:bidi="ar-SA"/>
              </w:rPr>
              <w:t>电力热力燃气及水生产和供应业</w:t>
            </w:r>
            <w:r>
              <w:rPr>
                <w:rFonts w:hint="eastAsia" w:ascii="Times New Roman" w:hAnsi="Times New Roman" w:eastAsia="宋体" w:cs="Times New Roman"/>
                <w:color w:val="auto"/>
                <w:spacing w:val="-1"/>
                <w:kern w:val="2"/>
                <w:sz w:val="24"/>
                <w:szCs w:val="24"/>
                <w:highlight w:val="none"/>
                <w:lang w:val="en-US" w:eastAsia="zh-CN" w:bidi="ar-SA"/>
              </w:rPr>
              <w:t>”“</w:t>
            </w:r>
            <w:r>
              <w:rPr>
                <w:rFonts w:hint="default" w:ascii="Times New Roman" w:hAnsi="Times New Roman" w:eastAsia="宋体" w:cs="Times New Roman"/>
                <w:color w:val="auto"/>
                <w:spacing w:val="-1"/>
                <w:kern w:val="2"/>
                <w:sz w:val="24"/>
                <w:szCs w:val="24"/>
                <w:highlight w:val="none"/>
                <w:lang w:val="en-US" w:eastAsia="zh-CN" w:bidi="ar-SA"/>
              </w:rPr>
              <w:t>其他类</w:t>
            </w:r>
            <w:r>
              <w:rPr>
                <w:rFonts w:hint="eastAsia" w:ascii="Times New Roman" w:hAnsi="Times New Roman" w:eastAsia="宋体" w:cs="Times New Roman"/>
                <w:color w:val="auto"/>
                <w:spacing w:val="-1"/>
                <w:kern w:val="2"/>
                <w:sz w:val="24"/>
                <w:szCs w:val="24"/>
                <w:highlight w:val="none"/>
                <w:lang w:val="en-US" w:eastAsia="zh-CN" w:bidi="ar-SA"/>
              </w:rPr>
              <w:t>”</w:t>
            </w:r>
            <w:r>
              <w:rPr>
                <w:rFonts w:hint="default" w:ascii="Times New Roman" w:hAnsi="Times New Roman" w:eastAsia="宋体" w:cs="Times New Roman"/>
                <w:color w:val="auto"/>
                <w:spacing w:val="-1"/>
                <w:kern w:val="2"/>
                <w:sz w:val="24"/>
                <w:szCs w:val="24"/>
                <w:highlight w:val="none"/>
                <w:lang w:val="en-US" w:eastAsia="zh-CN" w:bidi="ar-SA"/>
              </w:rPr>
              <w:t>，本项目土壤环境影响评价项目类别为Ⅳ类项目，根据要求可不开展土壤环境影响评价。</w:t>
            </w:r>
          </w:p>
          <w:p>
            <w:pPr>
              <w:numPr>
                <w:ilvl w:val="0"/>
                <w:numId w:val="0"/>
              </w:numPr>
              <w:adjustRightInd w:val="0"/>
              <w:snapToGrid w:val="0"/>
              <w:spacing w:line="360" w:lineRule="auto"/>
              <w:ind w:firstLine="441" w:firstLineChars="200"/>
              <w:rPr>
                <w:rFonts w:hint="default" w:ascii="Times New Roman" w:hAnsi="Times New Roman" w:cs="Times New Roman"/>
                <w:b/>
                <w:bCs w:val="0"/>
                <w:color w:val="auto"/>
                <w:spacing w:val="-10"/>
                <w:sz w:val="24"/>
                <w:szCs w:val="24"/>
                <w:highlight w:val="none"/>
                <w:lang w:val="en-US" w:eastAsia="zh-CN"/>
              </w:rPr>
            </w:pPr>
            <w:r>
              <w:rPr>
                <w:rFonts w:hint="eastAsia" w:cs="Times New Roman"/>
                <w:b/>
                <w:bCs w:val="0"/>
                <w:color w:val="auto"/>
                <w:spacing w:val="-10"/>
                <w:sz w:val="24"/>
                <w:szCs w:val="24"/>
                <w:highlight w:val="none"/>
                <w:lang w:val="en-US" w:eastAsia="zh-CN"/>
              </w:rPr>
              <w:t>六、环境</w:t>
            </w:r>
            <w:r>
              <w:rPr>
                <w:rFonts w:hint="default" w:ascii="Times New Roman" w:hAnsi="Times New Roman" w:cs="Times New Roman"/>
                <w:b/>
                <w:bCs w:val="0"/>
                <w:color w:val="auto"/>
                <w:spacing w:val="-10"/>
                <w:sz w:val="24"/>
                <w:szCs w:val="24"/>
                <w:highlight w:val="none"/>
                <w:lang w:val="en-US" w:eastAsia="zh-CN"/>
              </w:rPr>
              <w:t>风险</w:t>
            </w:r>
            <w:r>
              <w:rPr>
                <w:rFonts w:hint="eastAsia" w:cs="Times New Roman"/>
                <w:b/>
                <w:bCs w:val="0"/>
                <w:color w:val="auto"/>
                <w:spacing w:val="-10"/>
                <w:sz w:val="24"/>
                <w:szCs w:val="24"/>
                <w:highlight w:val="none"/>
                <w:lang w:val="en-US" w:eastAsia="zh-CN"/>
              </w:rPr>
              <w:t>分析</w:t>
            </w:r>
          </w:p>
          <w:p>
            <w:pPr>
              <w:pStyle w:val="68"/>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1、评价依据</w:t>
            </w:r>
          </w:p>
          <w:p>
            <w:pPr>
              <w:pStyle w:val="68"/>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（1）评价目的</w:t>
            </w:r>
          </w:p>
          <w:p>
            <w:pPr>
              <w:pStyle w:val="68"/>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pPr>
              <w:pStyle w:val="68"/>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建设项目环境风险评价技术导则》（HJ169-2018）的要求，对于涉及有毒有害和易燃易爆物质的生产、使用、储存的建设项目可能发生突发性事故的应进行环境风险评价。本次环境风险评价的目的在于识别、分析、评估项目生产运行及物料储运中的风险所造成对人身安全与环境的影响和损害，并针对潜在的环境风险，提出相应的预防措施，力求将项目建设中潜在的风险危害程度降至最低。</w:t>
            </w:r>
          </w:p>
          <w:p>
            <w:pPr>
              <w:pStyle w:val="68"/>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（2）风险调查</w:t>
            </w:r>
          </w:p>
          <w:p>
            <w:pPr>
              <w:pStyle w:val="68"/>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本项目燃料为生物质燃料，不属于风险物质，不存在重大危险源。项目生产设施风险主要为生物质燃料燃烧意外发生火灾，锅炉爆炸，蒸汽管道泄漏。</w:t>
            </w:r>
          </w:p>
          <w:p>
            <w:pPr>
              <w:pStyle w:val="68"/>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（3）评价等级</w:t>
            </w:r>
          </w:p>
          <w:p>
            <w:pPr>
              <w:pStyle w:val="68"/>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生物质燃料不属于有毒、易燃、爆炸和危险化学品物质。因此，本项目非重大危险源。按照《建设项目环境风险评价技术导则》（HJ169-2018），环境风险潜势为Ⅰ。根据风险潜势判定，确定项目环境风险评价等级为简单分析。项目环境风险评价等级划分如表4-</w:t>
            </w:r>
            <w:r>
              <w:rPr>
                <w:rFonts w:hint="eastAsia" w:cs="Times New Roman"/>
                <w:color w:val="auto"/>
                <w:sz w:val="24"/>
                <w:highlight w:val="none"/>
                <w:lang w:val="en-US" w:eastAsia="zh-CN"/>
              </w:rPr>
              <w:t>18</w:t>
            </w:r>
            <w:r>
              <w:rPr>
                <w:rFonts w:hint="eastAsia" w:ascii="Times New Roman" w:hAnsi="Times New Roman" w:eastAsia="宋体" w:cs="Times New Roman"/>
                <w:color w:val="auto"/>
                <w:sz w:val="24"/>
                <w:highlight w:val="none"/>
                <w:lang w:val="en-US" w:eastAsia="zh-CN"/>
              </w:rPr>
              <w:t>所示：</w:t>
            </w:r>
          </w:p>
          <w:p>
            <w:pPr>
              <w:pStyle w:val="4"/>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4-</w:t>
            </w:r>
            <w:r>
              <w:rPr>
                <w:rFonts w:hint="eastAsia" w:cs="Times New Roman"/>
                <w:b/>
                <w:bCs/>
                <w:color w:val="auto"/>
                <w:sz w:val="21"/>
                <w:szCs w:val="21"/>
                <w:highlight w:val="none"/>
                <w:lang w:val="en-US" w:eastAsia="zh-CN"/>
              </w:rPr>
              <w:t>18</w:t>
            </w:r>
            <w:r>
              <w:rPr>
                <w:rFonts w:hint="default" w:ascii="Times New Roman" w:hAnsi="Times New Roman" w:eastAsia="宋体" w:cs="Times New Roman"/>
                <w:b/>
                <w:bCs/>
                <w:color w:val="auto"/>
                <w:sz w:val="21"/>
                <w:szCs w:val="21"/>
                <w:highlight w:val="none"/>
                <w:lang w:val="en-US" w:eastAsia="zh-CN"/>
              </w:rPr>
              <w:t>环境风险评价等级划分表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5"/>
              <w:gridCol w:w="1955"/>
              <w:gridCol w:w="1804"/>
              <w:gridCol w:w="1646"/>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202" w:type="pct"/>
                  <w:shd w:val="clear" w:color="auto" w:fill="D9D9D9"/>
                  <w:noWrap w:val="0"/>
                  <w:vAlign w:val="center"/>
                </w:tcPr>
                <w:p>
                  <w:pPr>
                    <w:snapToGrid w:val="0"/>
                    <w:jc w:val="center"/>
                    <w:rPr>
                      <w:b w:val="0"/>
                      <w:bCs/>
                      <w:color w:val="auto"/>
                      <w:szCs w:val="21"/>
                      <w:highlight w:val="none"/>
                    </w:rPr>
                  </w:pPr>
                  <w:r>
                    <w:rPr>
                      <w:b w:val="0"/>
                      <w:bCs/>
                      <w:color w:val="auto"/>
                      <w:szCs w:val="21"/>
                      <w:highlight w:val="none"/>
                    </w:rPr>
                    <w:t>环境风险潜势</w:t>
                  </w:r>
                </w:p>
              </w:tc>
              <w:tc>
                <w:tcPr>
                  <w:tcW w:w="1101" w:type="pct"/>
                  <w:shd w:val="clear" w:color="auto" w:fill="D9D9D9"/>
                  <w:noWrap w:val="0"/>
                  <w:vAlign w:val="center"/>
                </w:tcPr>
                <w:p>
                  <w:pPr>
                    <w:snapToGrid w:val="0"/>
                    <w:jc w:val="center"/>
                    <w:rPr>
                      <w:b w:val="0"/>
                      <w:bCs/>
                      <w:color w:val="auto"/>
                      <w:szCs w:val="21"/>
                      <w:highlight w:val="none"/>
                    </w:rPr>
                  </w:pPr>
                  <w:r>
                    <w:rPr>
                      <w:rFonts w:hint="eastAsia" w:ascii="宋体" w:hAnsi="宋体" w:cs="宋体"/>
                      <w:b w:val="0"/>
                      <w:bCs/>
                      <w:color w:val="auto"/>
                      <w:szCs w:val="21"/>
                      <w:highlight w:val="none"/>
                    </w:rPr>
                    <w:t>Ⅳ</w:t>
                  </w:r>
                  <w:r>
                    <w:rPr>
                      <w:b w:val="0"/>
                      <w:bCs/>
                      <w:color w:val="auto"/>
                      <w:szCs w:val="21"/>
                      <w:highlight w:val="none"/>
                    </w:rPr>
                    <w:t>、</w:t>
                  </w:r>
                  <w:r>
                    <w:rPr>
                      <w:rFonts w:hint="eastAsia" w:ascii="宋体" w:hAnsi="宋体" w:cs="宋体"/>
                      <w:b w:val="0"/>
                      <w:bCs/>
                      <w:color w:val="auto"/>
                      <w:szCs w:val="21"/>
                      <w:highlight w:val="none"/>
                    </w:rPr>
                    <w:t>Ⅳ</w:t>
                  </w:r>
                  <w:r>
                    <w:rPr>
                      <w:b w:val="0"/>
                      <w:bCs/>
                      <w:color w:val="auto"/>
                      <w:szCs w:val="21"/>
                      <w:highlight w:val="none"/>
                      <w:vertAlign w:val="superscript"/>
                    </w:rPr>
                    <w:t>+</w:t>
                  </w:r>
                </w:p>
              </w:tc>
              <w:tc>
                <w:tcPr>
                  <w:tcW w:w="1016" w:type="pct"/>
                  <w:shd w:val="clear" w:color="auto" w:fill="D9D9D9"/>
                  <w:noWrap w:val="0"/>
                  <w:vAlign w:val="center"/>
                </w:tcPr>
                <w:p>
                  <w:pPr>
                    <w:snapToGrid w:val="0"/>
                    <w:jc w:val="center"/>
                    <w:rPr>
                      <w:b w:val="0"/>
                      <w:bCs/>
                      <w:color w:val="auto"/>
                      <w:szCs w:val="21"/>
                      <w:highlight w:val="none"/>
                    </w:rPr>
                  </w:pPr>
                  <w:r>
                    <w:rPr>
                      <w:rFonts w:hint="eastAsia" w:ascii="宋体" w:hAnsi="宋体" w:cs="宋体"/>
                      <w:b w:val="0"/>
                      <w:bCs/>
                      <w:color w:val="auto"/>
                      <w:szCs w:val="21"/>
                      <w:highlight w:val="none"/>
                    </w:rPr>
                    <w:t>Ⅲ</w:t>
                  </w:r>
                </w:p>
              </w:tc>
              <w:tc>
                <w:tcPr>
                  <w:tcW w:w="927" w:type="pct"/>
                  <w:shd w:val="clear" w:color="auto" w:fill="D9D9D9"/>
                  <w:noWrap w:val="0"/>
                  <w:vAlign w:val="center"/>
                </w:tcPr>
                <w:p>
                  <w:pPr>
                    <w:snapToGrid w:val="0"/>
                    <w:jc w:val="center"/>
                    <w:rPr>
                      <w:b w:val="0"/>
                      <w:bCs/>
                      <w:color w:val="auto"/>
                      <w:szCs w:val="21"/>
                      <w:highlight w:val="none"/>
                    </w:rPr>
                  </w:pPr>
                  <w:r>
                    <w:rPr>
                      <w:rFonts w:hint="eastAsia" w:ascii="宋体" w:hAnsi="宋体" w:cs="宋体"/>
                      <w:b w:val="0"/>
                      <w:bCs/>
                      <w:color w:val="auto"/>
                      <w:szCs w:val="21"/>
                      <w:highlight w:val="none"/>
                    </w:rPr>
                    <w:t>Ⅱ</w:t>
                  </w:r>
                </w:p>
              </w:tc>
              <w:tc>
                <w:tcPr>
                  <w:tcW w:w="752" w:type="pct"/>
                  <w:shd w:val="clear" w:color="auto" w:fill="D9D9D9"/>
                  <w:noWrap w:val="0"/>
                  <w:vAlign w:val="center"/>
                </w:tcPr>
                <w:p>
                  <w:pPr>
                    <w:snapToGrid w:val="0"/>
                    <w:jc w:val="center"/>
                    <w:rPr>
                      <w:b w:val="0"/>
                      <w:bCs/>
                      <w:color w:val="auto"/>
                      <w:szCs w:val="21"/>
                      <w:highlight w:val="none"/>
                    </w:rPr>
                  </w:pPr>
                  <w:r>
                    <w:rPr>
                      <w:rFonts w:hint="eastAsia" w:ascii="宋体" w:hAnsi="宋体" w:cs="宋体"/>
                      <w:b w:val="0"/>
                      <w:bCs/>
                      <w:color w:val="auto"/>
                      <w:szCs w:val="21"/>
                      <w:highlight w:val="none"/>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202" w:type="pct"/>
                  <w:shd w:val="clear" w:color="auto" w:fill="auto"/>
                  <w:noWrap w:val="0"/>
                  <w:vAlign w:val="center"/>
                </w:tcPr>
                <w:p>
                  <w:pPr>
                    <w:snapToGrid w:val="0"/>
                    <w:jc w:val="center"/>
                    <w:rPr>
                      <w:b w:val="0"/>
                      <w:bCs/>
                      <w:color w:val="auto"/>
                      <w:szCs w:val="21"/>
                      <w:highlight w:val="none"/>
                    </w:rPr>
                  </w:pPr>
                  <w:r>
                    <w:rPr>
                      <w:b w:val="0"/>
                      <w:bCs/>
                      <w:color w:val="auto"/>
                      <w:szCs w:val="21"/>
                      <w:highlight w:val="none"/>
                    </w:rPr>
                    <w:t>评价工作等级</w:t>
                  </w:r>
                </w:p>
              </w:tc>
              <w:tc>
                <w:tcPr>
                  <w:tcW w:w="1101" w:type="pct"/>
                  <w:shd w:val="clear" w:color="auto" w:fill="auto"/>
                  <w:noWrap w:val="0"/>
                  <w:vAlign w:val="center"/>
                </w:tcPr>
                <w:p>
                  <w:pPr>
                    <w:snapToGrid w:val="0"/>
                    <w:jc w:val="center"/>
                    <w:rPr>
                      <w:b w:val="0"/>
                      <w:bCs/>
                      <w:color w:val="auto"/>
                      <w:szCs w:val="21"/>
                      <w:highlight w:val="none"/>
                    </w:rPr>
                  </w:pPr>
                  <w:r>
                    <w:rPr>
                      <w:b w:val="0"/>
                      <w:bCs/>
                      <w:color w:val="auto"/>
                      <w:szCs w:val="21"/>
                      <w:highlight w:val="none"/>
                    </w:rPr>
                    <w:t>一</w:t>
                  </w:r>
                </w:p>
              </w:tc>
              <w:tc>
                <w:tcPr>
                  <w:tcW w:w="1016" w:type="pct"/>
                  <w:shd w:val="clear" w:color="auto" w:fill="auto"/>
                  <w:noWrap w:val="0"/>
                  <w:vAlign w:val="center"/>
                </w:tcPr>
                <w:p>
                  <w:pPr>
                    <w:snapToGrid w:val="0"/>
                    <w:jc w:val="center"/>
                    <w:rPr>
                      <w:b w:val="0"/>
                      <w:bCs/>
                      <w:color w:val="auto"/>
                      <w:szCs w:val="21"/>
                      <w:highlight w:val="none"/>
                    </w:rPr>
                  </w:pPr>
                  <w:r>
                    <w:rPr>
                      <w:b w:val="0"/>
                      <w:bCs/>
                      <w:color w:val="auto"/>
                      <w:szCs w:val="21"/>
                      <w:highlight w:val="none"/>
                    </w:rPr>
                    <w:t>二</w:t>
                  </w:r>
                </w:p>
              </w:tc>
              <w:tc>
                <w:tcPr>
                  <w:tcW w:w="927" w:type="pct"/>
                  <w:shd w:val="clear" w:color="auto" w:fill="auto"/>
                  <w:noWrap w:val="0"/>
                  <w:vAlign w:val="center"/>
                </w:tcPr>
                <w:p>
                  <w:pPr>
                    <w:snapToGrid w:val="0"/>
                    <w:jc w:val="center"/>
                    <w:rPr>
                      <w:b w:val="0"/>
                      <w:bCs/>
                      <w:color w:val="auto"/>
                      <w:szCs w:val="21"/>
                      <w:highlight w:val="none"/>
                    </w:rPr>
                  </w:pPr>
                  <w:r>
                    <w:rPr>
                      <w:b w:val="0"/>
                      <w:bCs/>
                      <w:color w:val="auto"/>
                      <w:szCs w:val="21"/>
                      <w:highlight w:val="none"/>
                    </w:rPr>
                    <w:t>三</w:t>
                  </w:r>
                </w:p>
              </w:tc>
              <w:tc>
                <w:tcPr>
                  <w:tcW w:w="752" w:type="pct"/>
                  <w:shd w:val="clear" w:color="auto" w:fill="A6A6A6"/>
                  <w:noWrap w:val="0"/>
                  <w:vAlign w:val="center"/>
                </w:tcPr>
                <w:p>
                  <w:pPr>
                    <w:snapToGrid w:val="0"/>
                    <w:jc w:val="center"/>
                    <w:rPr>
                      <w:b w:val="0"/>
                      <w:bCs/>
                      <w:color w:val="auto"/>
                      <w:szCs w:val="21"/>
                      <w:highlight w:val="none"/>
                    </w:rPr>
                  </w:pPr>
                  <w:r>
                    <w:rPr>
                      <w:b w:val="0"/>
                      <w:bCs/>
                      <w:color w:val="auto"/>
                      <w:szCs w:val="21"/>
                      <w:highlight w:val="none"/>
                    </w:rPr>
                    <w:t>简单分析</w:t>
                  </w:r>
                </w:p>
              </w:tc>
            </w:tr>
          </w:tbl>
          <w:p>
            <w:pPr>
              <w:pStyle w:val="68"/>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2、环境风险识别及分析</w:t>
            </w:r>
          </w:p>
          <w:p>
            <w:pPr>
              <w:pStyle w:val="68"/>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生物质燃料锅炉燃烧过程如发生误操作，设备故障，工艺失控等原因发生火灾、爆炸，发生火灾爆炸时产生的环境危害主要是震荡作用、冲击波、碎片冲击和造成火灾等影响，不仅会造成财产损失、停产等，而且有可能造成人员伤亡。爆炸起火后将通过热辐射方式影响周围环境，在近距离范围内将对建筑物和人员造成严重伤害。</w:t>
            </w:r>
          </w:p>
          <w:p>
            <w:pPr>
              <w:pStyle w:val="68"/>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本项目涉及到生物质燃料燃烧过程操作失误或工艺失控就可引发火灾、爆炸。</w:t>
            </w:r>
          </w:p>
          <w:p>
            <w:pPr>
              <w:pStyle w:val="68"/>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通过提高装置和库区的本质安全度，落实各项安全措施后，可使火灾、爆炸危险性下降。但值得注意的是，一旦某设备或装置发生火灾、爆炸，很可能会造成“多米诺效应”。因此，要强化管理、措施到位，要防微杜渐。</w:t>
            </w:r>
          </w:p>
          <w:p>
            <w:pPr>
              <w:pStyle w:val="68"/>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蒸汽管道发生泄漏时，有大量的白色蒸汽冒出，伴随有强烈的噪音，管道阀门、弯头由于压力过大会导致发生崩裂。管道蒸汽发生泄漏产生的环境危害主要是人员烫伤，不仅会造成财产损失、停产等，而且有可能造成人员伤亡而且有可能造成人员伤亡，在近距离范围内将对建筑物和人员造成严重伤害。</w:t>
            </w:r>
          </w:p>
          <w:p>
            <w:pPr>
              <w:pStyle w:val="4"/>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4-</w:t>
            </w:r>
            <w:r>
              <w:rPr>
                <w:rFonts w:hint="eastAsia" w:cs="Times New Roman"/>
                <w:b/>
                <w:bCs/>
                <w:color w:val="auto"/>
                <w:sz w:val="21"/>
                <w:szCs w:val="21"/>
                <w:highlight w:val="none"/>
                <w:lang w:val="en-US" w:eastAsia="zh-CN"/>
              </w:rPr>
              <w:t>19</w:t>
            </w:r>
            <w:r>
              <w:rPr>
                <w:rFonts w:hint="default" w:ascii="Times New Roman" w:hAnsi="Times New Roman" w:eastAsia="宋体" w:cs="Times New Roman"/>
                <w:b/>
                <w:bCs/>
                <w:color w:val="auto"/>
                <w:sz w:val="21"/>
                <w:szCs w:val="21"/>
                <w:highlight w:val="none"/>
                <w:lang w:val="en-US" w:eastAsia="zh-CN"/>
              </w:rPr>
              <w:t>建设项目环境风险简单分析内容表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9"/>
              <w:gridCol w:w="791"/>
              <w:gridCol w:w="2314"/>
              <w:gridCol w:w="874"/>
              <w:gridCol w:w="3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36" w:type="pct"/>
                  <w:noWrap w:val="0"/>
                  <w:vAlign w:val="center"/>
                </w:tcPr>
                <w:p>
                  <w:pPr>
                    <w:adjustRightInd w:val="0"/>
                    <w:snapToGrid w:val="0"/>
                    <w:jc w:val="center"/>
                    <w:textAlignment w:val="baseline"/>
                    <w:rPr>
                      <w:b w:val="0"/>
                      <w:bCs/>
                      <w:color w:val="auto"/>
                      <w:kern w:val="0"/>
                      <w:szCs w:val="21"/>
                      <w:highlight w:val="none"/>
                    </w:rPr>
                  </w:pPr>
                  <w:r>
                    <w:rPr>
                      <w:b w:val="0"/>
                      <w:bCs/>
                      <w:color w:val="auto"/>
                      <w:kern w:val="0"/>
                      <w:szCs w:val="21"/>
                      <w:highlight w:val="none"/>
                    </w:rPr>
                    <w:t>建设项目名称</w:t>
                  </w:r>
                </w:p>
              </w:tc>
              <w:tc>
                <w:tcPr>
                  <w:tcW w:w="3963" w:type="pct"/>
                  <w:gridSpan w:val="4"/>
                  <w:noWrap w:val="0"/>
                  <w:vAlign w:val="center"/>
                </w:tcPr>
                <w:p>
                  <w:pPr>
                    <w:adjustRightInd w:val="0"/>
                    <w:snapToGrid w:val="0"/>
                    <w:jc w:val="center"/>
                    <w:textAlignment w:val="baseline"/>
                    <w:rPr>
                      <w:b w:val="0"/>
                      <w:bCs/>
                      <w:color w:val="auto"/>
                      <w:kern w:val="0"/>
                      <w:szCs w:val="21"/>
                      <w:highlight w:val="none"/>
                    </w:rPr>
                  </w:pPr>
                  <w:r>
                    <w:rPr>
                      <w:rFonts w:hint="eastAsia"/>
                      <w:b w:val="0"/>
                      <w:bCs/>
                      <w:color w:val="auto"/>
                      <w:kern w:val="0"/>
                      <w:szCs w:val="21"/>
                      <w:highlight w:val="none"/>
                      <w:lang w:eastAsia="zh-CN"/>
                    </w:rPr>
                    <w:t>宜良工业园区生物质绿色可再生能源分布式集中供热项目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36" w:type="pct"/>
                  <w:noWrap w:val="0"/>
                  <w:vAlign w:val="center"/>
                </w:tcPr>
                <w:p>
                  <w:pPr>
                    <w:adjustRightInd w:val="0"/>
                    <w:snapToGrid w:val="0"/>
                    <w:jc w:val="center"/>
                    <w:textAlignment w:val="baseline"/>
                    <w:rPr>
                      <w:b w:val="0"/>
                      <w:bCs/>
                      <w:color w:val="auto"/>
                      <w:kern w:val="0"/>
                      <w:szCs w:val="21"/>
                      <w:highlight w:val="none"/>
                    </w:rPr>
                  </w:pPr>
                  <w:r>
                    <w:rPr>
                      <w:b w:val="0"/>
                      <w:bCs/>
                      <w:color w:val="auto"/>
                      <w:kern w:val="0"/>
                      <w:szCs w:val="21"/>
                      <w:highlight w:val="none"/>
                    </w:rPr>
                    <w:t>建设地点</w:t>
                  </w:r>
                </w:p>
              </w:tc>
              <w:tc>
                <w:tcPr>
                  <w:tcW w:w="3963" w:type="pct"/>
                  <w:gridSpan w:val="4"/>
                  <w:noWrap w:val="0"/>
                  <w:vAlign w:val="center"/>
                </w:tcPr>
                <w:p>
                  <w:pPr>
                    <w:adjustRightInd w:val="0"/>
                    <w:snapToGrid w:val="0"/>
                    <w:jc w:val="center"/>
                    <w:textAlignment w:val="baseline"/>
                    <w:rPr>
                      <w:b w:val="0"/>
                      <w:bCs/>
                      <w:color w:val="auto"/>
                      <w:kern w:val="0"/>
                      <w:szCs w:val="21"/>
                      <w:highlight w:val="none"/>
                    </w:rPr>
                  </w:pPr>
                  <w:r>
                    <w:rPr>
                      <w:rFonts w:hint="eastAsia"/>
                      <w:b w:val="0"/>
                      <w:bCs/>
                      <w:color w:val="auto"/>
                      <w:kern w:val="0"/>
                      <w:szCs w:val="21"/>
                      <w:highlight w:val="none"/>
                      <w:lang w:val="en-US" w:eastAsia="zh-CN"/>
                    </w:rPr>
                    <w:t>宜良工业园北古城片区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36" w:type="pct"/>
                  <w:noWrap w:val="0"/>
                  <w:vAlign w:val="center"/>
                </w:tcPr>
                <w:p>
                  <w:pPr>
                    <w:adjustRightInd w:val="0"/>
                    <w:snapToGrid w:val="0"/>
                    <w:jc w:val="center"/>
                    <w:textAlignment w:val="baseline"/>
                    <w:rPr>
                      <w:b w:val="0"/>
                      <w:bCs/>
                      <w:color w:val="auto"/>
                      <w:kern w:val="0"/>
                      <w:szCs w:val="21"/>
                      <w:highlight w:val="none"/>
                    </w:rPr>
                  </w:pPr>
                  <w:r>
                    <w:rPr>
                      <w:rFonts w:hint="default"/>
                      <w:b w:val="0"/>
                      <w:bCs/>
                      <w:color w:val="auto"/>
                      <w:kern w:val="0"/>
                      <w:szCs w:val="21"/>
                      <w:highlight w:val="none"/>
                      <w:lang w:val="en-US" w:eastAsia="zh-CN"/>
                    </w:rPr>
                    <w:t>海大供热点</w:t>
                  </w:r>
                  <w:r>
                    <w:rPr>
                      <w:b w:val="0"/>
                      <w:bCs/>
                      <w:color w:val="auto"/>
                      <w:kern w:val="0"/>
                      <w:szCs w:val="21"/>
                      <w:highlight w:val="none"/>
                    </w:rPr>
                    <w:t>地理坐标</w:t>
                  </w:r>
                </w:p>
              </w:tc>
              <w:tc>
                <w:tcPr>
                  <w:tcW w:w="446" w:type="pct"/>
                  <w:noWrap w:val="0"/>
                  <w:vAlign w:val="center"/>
                </w:tcPr>
                <w:p>
                  <w:pPr>
                    <w:adjustRightInd w:val="0"/>
                    <w:snapToGrid w:val="0"/>
                    <w:jc w:val="center"/>
                    <w:textAlignment w:val="baseline"/>
                    <w:rPr>
                      <w:b w:val="0"/>
                      <w:bCs/>
                      <w:color w:val="auto"/>
                      <w:kern w:val="0"/>
                      <w:szCs w:val="21"/>
                      <w:highlight w:val="none"/>
                    </w:rPr>
                  </w:pPr>
                  <w:r>
                    <w:rPr>
                      <w:b w:val="0"/>
                      <w:bCs/>
                      <w:color w:val="auto"/>
                      <w:kern w:val="0"/>
                      <w:szCs w:val="21"/>
                      <w:highlight w:val="none"/>
                    </w:rPr>
                    <w:t>经度</w:t>
                  </w:r>
                </w:p>
              </w:tc>
              <w:tc>
                <w:tcPr>
                  <w:tcW w:w="1303" w:type="pct"/>
                  <w:noWrap w:val="0"/>
                  <w:vAlign w:val="center"/>
                </w:tcPr>
                <w:p>
                  <w:pPr>
                    <w:adjustRightInd w:val="0"/>
                    <w:snapToGrid w:val="0"/>
                    <w:jc w:val="center"/>
                    <w:textAlignment w:val="baseline"/>
                    <w:rPr>
                      <w:b w:val="0"/>
                      <w:bCs/>
                      <w:color w:val="auto"/>
                      <w:kern w:val="0"/>
                      <w:szCs w:val="21"/>
                      <w:highlight w:val="none"/>
                    </w:rPr>
                  </w:pPr>
                  <w:r>
                    <w:rPr>
                      <w:b w:val="0"/>
                      <w:bCs/>
                      <w:color w:val="auto"/>
                      <w:szCs w:val="21"/>
                      <w:highlight w:val="none"/>
                    </w:rPr>
                    <w:t>东经</w:t>
                  </w:r>
                  <w:r>
                    <w:rPr>
                      <w:rFonts w:hint="default"/>
                      <w:b w:val="0"/>
                      <w:bCs/>
                      <w:color w:val="auto"/>
                      <w:szCs w:val="21"/>
                      <w:highlight w:val="none"/>
                      <w:lang w:val="en-US" w:eastAsia="zh-CN"/>
                    </w:rPr>
                    <w:t>103°11′46.937″</w:t>
                  </w:r>
                </w:p>
              </w:tc>
              <w:tc>
                <w:tcPr>
                  <w:tcW w:w="492" w:type="pct"/>
                  <w:noWrap w:val="0"/>
                  <w:vAlign w:val="center"/>
                </w:tcPr>
                <w:p>
                  <w:pPr>
                    <w:adjustRightInd w:val="0"/>
                    <w:snapToGrid w:val="0"/>
                    <w:jc w:val="center"/>
                    <w:textAlignment w:val="baseline"/>
                    <w:rPr>
                      <w:b w:val="0"/>
                      <w:bCs/>
                      <w:color w:val="auto"/>
                      <w:kern w:val="0"/>
                      <w:szCs w:val="21"/>
                      <w:highlight w:val="none"/>
                    </w:rPr>
                  </w:pPr>
                  <w:r>
                    <w:rPr>
                      <w:b w:val="0"/>
                      <w:bCs/>
                      <w:color w:val="auto"/>
                      <w:kern w:val="0"/>
                      <w:szCs w:val="21"/>
                      <w:highlight w:val="none"/>
                    </w:rPr>
                    <w:t>纬度</w:t>
                  </w:r>
                </w:p>
              </w:tc>
              <w:tc>
                <w:tcPr>
                  <w:tcW w:w="1722" w:type="pct"/>
                  <w:noWrap w:val="0"/>
                  <w:vAlign w:val="center"/>
                </w:tcPr>
                <w:p>
                  <w:pPr>
                    <w:adjustRightInd w:val="0"/>
                    <w:snapToGrid w:val="0"/>
                    <w:jc w:val="center"/>
                    <w:textAlignment w:val="baseline"/>
                    <w:rPr>
                      <w:b w:val="0"/>
                      <w:bCs/>
                      <w:color w:val="auto"/>
                      <w:kern w:val="0"/>
                      <w:szCs w:val="21"/>
                      <w:highlight w:val="none"/>
                    </w:rPr>
                  </w:pPr>
                  <w:r>
                    <w:rPr>
                      <w:b w:val="0"/>
                      <w:bCs/>
                      <w:color w:val="auto"/>
                      <w:szCs w:val="21"/>
                      <w:highlight w:val="none"/>
                    </w:rPr>
                    <w:t>北纬</w:t>
                  </w:r>
                  <w:r>
                    <w:rPr>
                      <w:rFonts w:hint="default"/>
                      <w:b w:val="0"/>
                      <w:bCs/>
                      <w:color w:val="auto"/>
                      <w:szCs w:val="21"/>
                      <w:highlight w:val="none"/>
                      <w:lang w:val="en-US" w:eastAsia="zh-CN"/>
                    </w:rPr>
                    <w:t>24°59′56.640″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36" w:type="pct"/>
                  <w:noWrap w:val="0"/>
                  <w:vAlign w:val="center"/>
                </w:tcPr>
                <w:p>
                  <w:pPr>
                    <w:adjustRightInd w:val="0"/>
                    <w:snapToGrid w:val="0"/>
                    <w:jc w:val="center"/>
                    <w:textAlignment w:val="baseline"/>
                    <w:rPr>
                      <w:b w:val="0"/>
                      <w:bCs/>
                      <w:color w:val="auto"/>
                      <w:kern w:val="0"/>
                      <w:szCs w:val="21"/>
                      <w:highlight w:val="none"/>
                    </w:rPr>
                  </w:pPr>
                  <w:r>
                    <w:rPr>
                      <w:rFonts w:hint="default"/>
                      <w:b w:val="0"/>
                      <w:bCs/>
                      <w:color w:val="auto"/>
                      <w:kern w:val="0"/>
                      <w:szCs w:val="21"/>
                      <w:highlight w:val="none"/>
                      <w:lang w:val="en-US" w:eastAsia="zh-CN"/>
                    </w:rPr>
                    <w:t>特驱供热点</w:t>
                  </w:r>
                  <w:r>
                    <w:rPr>
                      <w:b w:val="0"/>
                      <w:bCs/>
                      <w:color w:val="auto"/>
                      <w:kern w:val="0"/>
                      <w:szCs w:val="21"/>
                      <w:highlight w:val="none"/>
                    </w:rPr>
                    <w:t>地理坐标</w:t>
                  </w:r>
                </w:p>
              </w:tc>
              <w:tc>
                <w:tcPr>
                  <w:tcW w:w="446" w:type="pct"/>
                  <w:noWrap w:val="0"/>
                  <w:vAlign w:val="center"/>
                </w:tcPr>
                <w:p>
                  <w:pPr>
                    <w:adjustRightInd w:val="0"/>
                    <w:snapToGrid w:val="0"/>
                    <w:jc w:val="center"/>
                    <w:textAlignment w:val="baseline"/>
                    <w:rPr>
                      <w:b w:val="0"/>
                      <w:bCs/>
                      <w:color w:val="auto"/>
                      <w:kern w:val="0"/>
                      <w:szCs w:val="21"/>
                      <w:highlight w:val="none"/>
                    </w:rPr>
                  </w:pPr>
                  <w:r>
                    <w:rPr>
                      <w:b w:val="0"/>
                      <w:bCs/>
                      <w:color w:val="auto"/>
                      <w:kern w:val="0"/>
                      <w:szCs w:val="21"/>
                      <w:highlight w:val="none"/>
                    </w:rPr>
                    <w:t>经度</w:t>
                  </w:r>
                </w:p>
              </w:tc>
              <w:tc>
                <w:tcPr>
                  <w:tcW w:w="1303" w:type="pct"/>
                  <w:noWrap w:val="0"/>
                  <w:vAlign w:val="center"/>
                </w:tcPr>
                <w:p>
                  <w:pPr>
                    <w:adjustRightInd w:val="0"/>
                    <w:snapToGrid w:val="0"/>
                    <w:jc w:val="center"/>
                    <w:textAlignment w:val="baseline"/>
                    <w:rPr>
                      <w:b w:val="0"/>
                      <w:bCs/>
                      <w:color w:val="auto"/>
                      <w:szCs w:val="21"/>
                      <w:highlight w:val="none"/>
                    </w:rPr>
                  </w:pPr>
                  <w:r>
                    <w:rPr>
                      <w:b w:val="0"/>
                      <w:bCs/>
                      <w:color w:val="auto"/>
                      <w:szCs w:val="21"/>
                      <w:highlight w:val="none"/>
                    </w:rPr>
                    <w:t>东经</w:t>
                  </w:r>
                  <w:r>
                    <w:rPr>
                      <w:rFonts w:hint="default"/>
                      <w:b w:val="0"/>
                      <w:bCs/>
                      <w:color w:val="auto"/>
                      <w:szCs w:val="21"/>
                      <w:highlight w:val="none"/>
                      <w:lang w:val="en-US" w:eastAsia="zh-CN"/>
                    </w:rPr>
                    <w:t>103°11′50.490″</w:t>
                  </w:r>
                </w:p>
              </w:tc>
              <w:tc>
                <w:tcPr>
                  <w:tcW w:w="492" w:type="pct"/>
                  <w:noWrap w:val="0"/>
                  <w:vAlign w:val="center"/>
                </w:tcPr>
                <w:p>
                  <w:pPr>
                    <w:adjustRightInd w:val="0"/>
                    <w:snapToGrid w:val="0"/>
                    <w:jc w:val="center"/>
                    <w:textAlignment w:val="baseline"/>
                    <w:rPr>
                      <w:b w:val="0"/>
                      <w:bCs/>
                      <w:color w:val="auto"/>
                      <w:kern w:val="0"/>
                      <w:szCs w:val="21"/>
                      <w:highlight w:val="none"/>
                    </w:rPr>
                  </w:pPr>
                  <w:r>
                    <w:rPr>
                      <w:b w:val="0"/>
                      <w:bCs/>
                      <w:color w:val="auto"/>
                      <w:kern w:val="0"/>
                      <w:szCs w:val="21"/>
                      <w:highlight w:val="none"/>
                    </w:rPr>
                    <w:t>纬度</w:t>
                  </w:r>
                </w:p>
              </w:tc>
              <w:tc>
                <w:tcPr>
                  <w:tcW w:w="1722" w:type="pct"/>
                  <w:noWrap w:val="0"/>
                  <w:vAlign w:val="center"/>
                </w:tcPr>
                <w:p>
                  <w:pPr>
                    <w:adjustRightInd w:val="0"/>
                    <w:snapToGrid w:val="0"/>
                    <w:jc w:val="center"/>
                    <w:textAlignment w:val="baseline"/>
                    <w:rPr>
                      <w:b w:val="0"/>
                      <w:bCs/>
                      <w:color w:val="auto"/>
                      <w:szCs w:val="21"/>
                      <w:highlight w:val="none"/>
                    </w:rPr>
                  </w:pPr>
                  <w:r>
                    <w:rPr>
                      <w:b w:val="0"/>
                      <w:bCs/>
                      <w:color w:val="auto"/>
                      <w:szCs w:val="21"/>
                      <w:highlight w:val="none"/>
                    </w:rPr>
                    <w:t>北纬</w:t>
                  </w:r>
                  <w:r>
                    <w:rPr>
                      <w:rFonts w:hint="default"/>
                      <w:b w:val="0"/>
                      <w:bCs/>
                      <w:color w:val="auto"/>
                      <w:szCs w:val="21"/>
                      <w:highlight w:val="none"/>
                      <w:lang w:val="en-US" w:eastAsia="zh-CN"/>
                    </w:rPr>
                    <w:t>25°0′7.358″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36" w:type="pct"/>
                  <w:noWrap w:val="0"/>
                  <w:vAlign w:val="center"/>
                </w:tcPr>
                <w:p>
                  <w:pPr>
                    <w:adjustRightInd w:val="0"/>
                    <w:snapToGrid w:val="0"/>
                    <w:jc w:val="center"/>
                    <w:textAlignment w:val="baseline"/>
                    <w:rPr>
                      <w:b w:val="0"/>
                      <w:bCs/>
                      <w:color w:val="auto"/>
                      <w:kern w:val="0"/>
                      <w:szCs w:val="21"/>
                      <w:highlight w:val="none"/>
                    </w:rPr>
                  </w:pPr>
                  <w:r>
                    <w:rPr>
                      <w:rFonts w:hint="default"/>
                      <w:b w:val="0"/>
                      <w:bCs/>
                      <w:color w:val="auto"/>
                      <w:kern w:val="0"/>
                      <w:szCs w:val="21"/>
                      <w:highlight w:val="none"/>
                      <w:lang w:val="en-US" w:eastAsia="zh-CN"/>
                    </w:rPr>
                    <w:t>漓源供热点</w:t>
                  </w:r>
                  <w:r>
                    <w:rPr>
                      <w:b w:val="0"/>
                      <w:bCs/>
                      <w:color w:val="auto"/>
                      <w:kern w:val="0"/>
                      <w:szCs w:val="21"/>
                      <w:highlight w:val="none"/>
                    </w:rPr>
                    <w:t>地理坐标</w:t>
                  </w:r>
                </w:p>
              </w:tc>
              <w:tc>
                <w:tcPr>
                  <w:tcW w:w="446" w:type="pct"/>
                  <w:noWrap w:val="0"/>
                  <w:vAlign w:val="center"/>
                </w:tcPr>
                <w:p>
                  <w:pPr>
                    <w:adjustRightInd w:val="0"/>
                    <w:snapToGrid w:val="0"/>
                    <w:jc w:val="center"/>
                    <w:textAlignment w:val="baseline"/>
                    <w:rPr>
                      <w:b w:val="0"/>
                      <w:bCs/>
                      <w:color w:val="auto"/>
                      <w:kern w:val="0"/>
                      <w:szCs w:val="21"/>
                      <w:highlight w:val="none"/>
                    </w:rPr>
                  </w:pPr>
                  <w:r>
                    <w:rPr>
                      <w:b w:val="0"/>
                      <w:bCs/>
                      <w:color w:val="auto"/>
                      <w:kern w:val="0"/>
                      <w:szCs w:val="21"/>
                      <w:highlight w:val="none"/>
                    </w:rPr>
                    <w:t>经度</w:t>
                  </w:r>
                </w:p>
              </w:tc>
              <w:tc>
                <w:tcPr>
                  <w:tcW w:w="1303" w:type="pct"/>
                  <w:noWrap w:val="0"/>
                  <w:vAlign w:val="center"/>
                </w:tcPr>
                <w:p>
                  <w:pPr>
                    <w:adjustRightInd w:val="0"/>
                    <w:snapToGrid w:val="0"/>
                    <w:jc w:val="center"/>
                    <w:textAlignment w:val="baseline"/>
                    <w:rPr>
                      <w:b w:val="0"/>
                      <w:bCs/>
                      <w:color w:val="auto"/>
                      <w:szCs w:val="21"/>
                      <w:highlight w:val="none"/>
                    </w:rPr>
                  </w:pPr>
                  <w:r>
                    <w:rPr>
                      <w:b w:val="0"/>
                      <w:bCs/>
                      <w:color w:val="auto"/>
                      <w:szCs w:val="21"/>
                      <w:highlight w:val="none"/>
                    </w:rPr>
                    <w:t>东经</w:t>
                  </w:r>
                  <w:r>
                    <w:rPr>
                      <w:rFonts w:hint="default"/>
                      <w:b w:val="0"/>
                      <w:bCs/>
                      <w:color w:val="auto"/>
                      <w:szCs w:val="21"/>
                      <w:highlight w:val="none"/>
                      <w:lang w:val="en-US" w:eastAsia="zh-CN"/>
                    </w:rPr>
                    <w:t>103°11′32.897″</w:t>
                  </w:r>
                </w:p>
              </w:tc>
              <w:tc>
                <w:tcPr>
                  <w:tcW w:w="492" w:type="pct"/>
                  <w:noWrap w:val="0"/>
                  <w:vAlign w:val="center"/>
                </w:tcPr>
                <w:p>
                  <w:pPr>
                    <w:adjustRightInd w:val="0"/>
                    <w:snapToGrid w:val="0"/>
                    <w:jc w:val="center"/>
                    <w:textAlignment w:val="baseline"/>
                    <w:rPr>
                      <w:b w:val="0"/>
                      <w:bCs/>
                      <w:color w:val="auto"/>
                      <w:kern w:val="0"/>
                      <w:szCs w:val="21"/>
                      <w:highlight w:val="none"/>
                    </w:rPr>
                  </w:pPr>
                  <w:r>
                    <w:rPr>
                      <w:b w:val="0"/>
                      <w:bCs/>
                      <w:color w:val="auto"/>
                      <w:kern w:val="0"/>
                      <w:szCs w:val="21"/>
                      <w:highlight w:val="none"/>
                    </w:rPr>
                    <w:t>纬度</w:t>
                  </w:r>
                </w:p>
              </w:tc>
              <w:tc>
                <w:tcPr>
                  <w:tcW w:w="1722" w:type="pct"/>
                  <w:noWrap w:val="0"/>
                  <w:vAlign w:val="center"/>
                </w:tcPr>
                <w:p>
                  <w:pPr>
                    <w:adjustRightInd w:val="0"/>
                    <w:snapToGrid w:val="0"/>
                    <w:jc w:val="center"/>
                    <w:textAlignment w:val="baseline"/>
                    <w:rPr>
                      <w:b w:val="0"/>
                      <w:bCs/>
                      <w:color w:val="auto"/>
                      <w:szCs w:val="21"/>
                      <w:highlight w:val="none"/>
                    </w:rPr>
                  </w:pPr>
                  <w:r>
                    <w:rPr>
                      <w:b w:val="0"/>
                      <w:bCs/>
                      <w:color w:val="auto"/>
                      <w:szCs w:val="21"/>
                      <w:highlight w:val="none"/>
                    </w:rPr>
                    <w:t>北纬</w:t>
                  </w:r>
                  <w:r>
                    <w:rPr>
                      <w:rFonts w:hint="default"/>
                      <w:b w:val="0"/>
                      <w:bCs/>
                      <w:color w:val="auto"/>
                      <w:szCs w:val="21"/>
                      <w:highlight w:val="none"/>
                      <w:lang w:val="en-US" w:eastAsia="zh-CN"/>
                    </w:rPr>
                    <w:t>25°0′12.746″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36" w:type="pct"/>
                  <w:noWrap w:val="0"/>
                  <w:vAlign w:val="center"/>
                </w:tcPr>
                <w:p>
                  <w:pPr>
                    <w:adjustRightInd w:val="0"/>
                    <w:snapToGrid w:val="0"/>
                    <w:jc w:val="center"/>
                    <w:textAlignment w:val="baseline"/>
                    <w:rPr>
                      <w:b w:val="0"/>
                      <w:bCs/>
                      <w:color w:val="auto"/>
                      <w:kern w:val="0"/>
                      <w:szCs w:val="21"/>
                      <w:highlight w:val="none"/>
                    </w:rPr>
                  </w:pPr>
                  <w:r>
                    <w:rPr>
                      <w:b w:val="0"/>
                      <w:bCs/>
                      <w:color w:val="auto"/>
                      <w:kern w:val="0"/>
                      <w:szCs w:val="21"/>
                      <w:highlight w:val="none"/>
                    </w:rPr>
                    <w:t>主要危险物质分布</w:t>
                  </w:r>
                </w:p>
              </w:tc>
              <w:tc>
                <w:tcPr>
                  <w:tcW w:w="3963" w:type="pct"/>
                  <w:gridSpan w:val="4"/>
                  <w:noWrap w:val="0"/>
                  <w:vAlign w:val="center"/>
                </w:tcPr>
                <w:p>
                  <w:pPr>
                    <w:adjustRightInd w:val="0"/>
                    <w:snapToGrid w:val="0"/>
                    <w:jc w:val="center"/>
                    <w:textAlignment w:val="baseline"/>
                    <w:rPr>
                      <w:b w:val="0"/>
                      <w:bCs/>
                      <w:color w:val="auto"/>
                      <w:kern w:val="0"/>
                      <w:szCs w:val="21"/>
                      <w:highlight w:val="none"/>
                    </w:rPr>
                  </w:pPr>
                  <w:r>
                    <w:rPr>
                      <w:rFonts w:hint="eastAsia"/>
                      <w:b w:val="0"/>
                      <w:bCs/>
                      <w:color w:val="auto"/>
                      <w:kern w:val="0"/>
                      <w:szCs w:val="21"/>
                      <w:highlight w:val="none"/>
                    </w:rPr>
                    <w:t>本项目燃料为生物质燃料，不属于风险物质，不存在重大危险源。项目生产设施风险主要为生物质燃料燃烧意外发生火灾，锅炉爆炸，蒸汽管道泄漏。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36" w:type="pct"/>
                  <w:noWrap w:val="0"/>
                  <w:vAlign w:val="center"/>
                </w:tcPr>
                <w:p>
                  <w:pPr>
                    <w:adjustRightInd w:val="0"/>
                    <w:snapToGrid w:val="0"/>
                    <w:jc w:val="center"/>
                    <w:textAlignment w:val="baseline"/>
                    <w:rPr>
                      <w:b w:val="0"/>
                      <w:bCs/>
                      <w:color w:val="auto"/>
                      <w:kern w:val="0"/>
                      <w:szCs w:val="21"/>
                      <w:highlight w:val="none"/>
                    </w:rPr>
                  </w:pPr>
                  <w:r>
                    <w:rPr>
                      <w:b w:val="0"/>
                      <w:bCs/>
                      <w:color w:val="auto"/>
                      <w:kern w:val="0"/>
                      <w:szCs w:val="21"/>
                      <w:highlight w:val="none"/>
                    </w:rPr>
                    <w:t>环境影响途径及危害后果（大气、地表水、地下水等）</w:t>
                  </w:r>
                </w:p>
              </w:tc>
              <w:tc>
                <w:tcPr>
                  <w:tcW w:w="3963" w:type="pct"/>
                  <w:gridSpan w:val="4"/>
                  <w:noWrap w:val="0"/>
                  <w:vAlign w:val="center"/>
                </w:tcPr>
                <w:p>
                  <w:pPr>
                    <w:adjustRightInd w:val="0"/>
                    <w:snapToGrid w:val="0"/>
                    <w:jc w:val="center"/>
                    <w:textAlignment w:val="baseline"/>
                    <w:rPr>
                      <w:b w:val="0"/>
                      <w:bCs/>
                      <w:color w:val="auto"/>
                      <w:kern w:val="0"/>
                      <w:szCs w:val="21"/>
                      <w:highlight w:val="none"/>
                    </w:rPr>
                  </w:pPr>
                  <w:r>
                    <w:rPr>
                      <w:b w:val="0"/>
                      <w:bCs/>
                      <w:color w:val="auto"/>
                      <w:kern w:val="0"/>
                      <w:szCs w:val="21"/>
                      <w:highlight w:val="none"/>
                    </w:rPr>
                    <w:t>生物质燃料燃烧意外发生火灾，锅炉爆炸，蒸汽管道泄漏引发的伴生/次生污染物排放对大气、地表水、地下水的影响。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8" w:hRule="atLeast"/>
                <w:jc w:val="center"/>
              </w:trPr>
              <w:tc>
                <w:tcPr>
                  <w:tcW w:w="1036" w:type="pct"/>
                  <w:vMerge w:val="restart"/>
                  <w:noWrap w:val="0"/>
                  <w:vAlign w:val="center"/>
                </w:tcPr>
                <w:p>
                  <w:pPr>
                    <w:adjustRightInd w:val="0"/>
                    <w:snapToGrid w:val="0"/>
                    <w:jc w:val="center"/>
                    <w:textAlignment w:val="baseline"/>
                    <w:rPr>
                      <w:b w:val="0"/>
                      <w:bCs/>
                      <w:color w:val="auto"/>
                      <w:kern w:val="0"/>
                      <w:szCs w:val="21"/>
                      <w:highlight w:val="none"/>
                    </w:rPr>
                  </w:pPr>
                  <w:r>
                    <w:rPr>
                      <w:b w:val="0"/>
                      <w:bCs/>
                      <w:color w:val="auto"/>
                      <w:kern w:val="0"/>
                      <w:szCs w:val="21"/>
                      <w:highlight w:val="none"/>
                    </w:rPr>
                    <w:t>风险防范措施要求</w:t>
                  </w:r>
                </w:p>
              </w:tc>
              <w:tc>
                <w:tcPr>
                  <w:tcW w:w="3963" w:type="pct"/>
                  <w:gridSpan w:val="4"/>
                  <w:noWrap w:val="0"/>
                  <w:vAlign w:val="center"/>
                </w:tcPr>
                <w:p>
                  <w:pPr>
                    <w:adjustRightInd w:val="0"/>
                    <w:snapToGrid w:val="0"/>
                    <w:jc w:val="left"/>
                    <w:textAlignment w:val="baseline"/>
                    <w:rPr>
                      <w:b w:val="0"/>
                      <w:bCs/>
                      <w:color w:val="auto"/>
                      <w:kern w:val="0"/>
                      <w:szCs w:val="21"/>
                      <w:highlight w:val="none"/>
                    </w:rPr>
                  </w:pPr>
                  <w:r>
                    <w:rPr>
                      <w:b w:val="0"/>
                      <w:bCs/>
                      <w:color w:val="auto"/>
                      <w:kern w:val="0"/>
                      <w:szCs w:val="21"/>
                      <w:highlight w:val="none"/>
                    </w:rPr>
                    <w:t>工艺技术设计安全防范措施：厂内设计中严格执行国家、行业有关劳动安全卫生的法规和标准规范；定期对蒸汽锅炉设备进行检查、维修、更换，防止因腐蚀、磨损、密封不严导致生产过程中蒸汽泄漏；锅炉房配</w:t>
                  </w:r>
                  <w:r>
                    <w:rPr>
                      <w:rFonts w:hint="eastAsia"/>
                      <w:b w:val="0"/>
                      <w:bCs/>
                      <w:color w:val="auto"/>
                      <w:kern w:val="0"/>
                      <w:szCs w:val="21"/>
                      <w:highlight w:val="none"/>
                    </w:rPr>
                    <w:t>1</w:t>
                  </w:r>
                  <w:r>
                    <w:rPr>
                      <w:b w:val="0"/>
                      <w:bCs/>
                      <w:color w:val="auto"/>
                      <w:kern w:val="0"/>
                      <w:szCs w:val="21"/>
                      <w:highlight w:val="none"/>
                    </w:rPr>
                    <w:t>套废气处理装置，实时掌控废气治理措施运作情况，一旦出现事故性排放应及时停止生产操作，待修复后再进行生产。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36" w:type="pct"/>
                  <w:vMerge w:val="continue"/>
                  <w:noWrap w:val="0"/>
                  <w:vAlign w:val="center"/>
                </w:tcPr>
                <w:p>
                  <w:pPr>
                    <w:adjustRightInd w:val="0"/>
                    <w:snapToGrid w:val="0"/>
                    <w:jc w:val="center"/>
                    <w:textAlignment w:val="baseline"/>
                    <w:rPr>
                      <w:b w:val="0"/>
                      <w:bCs/>
                      <w:color w:val="auto"/>
                      <w:kern w:val="0"/>
                      <w:szCs w:val="21"/>
                      <w:highlight w:val="none"/>
                    </w:rPr>
                  </w:pPr>
                </w:p>
              </w:tc>
              <w:tc>
                <w:tcPr>
                  <w:tcW w:w="3963" w:type="pct"/>
                  <w:gridSpan w:val="4"/>
                  <w:noWrap w:val="0"/>
                  <w:vAlign w:val="center"/>
                </w:tcPr>
                <w:p>
                  <w:pPr>
                    <w:autoSpaceDE w:val="0"/>
                    <w:autoSpaceDN w:val="0"/>
                    <w:adjustRightInd w:val="0"/>
                    <w:snapToGrid w:val="0"/>
                    <w:jc w:val="left"/>
                    <w:textAlignment w:val="baseline"/>
                    <w:rPr>
                      <w:b w:val="0"/>
                      <w:bCs/>
                      <w:color w:val="auto"/>
                      <w:kern w:val="0"/>
                      <w:szCs w:val="21"/>
                      <w:highlight w:val="none"/>
                    </w:rPr>
                  </w:pPr>
                  <w:r>
                    <w:rPr>
                      <w:b w:val="0"/>
                      <w:bCs/>
                      <w:color w:val="auto"/>
                      <w:kern w:val="0"/>
                      <w:szCs w:val="21"/>
                      <w:highlight w:val="none"/>
                    </w:rPr>
                    <w:t>加强对工程建设的管理，强化监理对工程质量的监督，切实做好压力管道及设备安装、焊接等环节的规范管理，确保安全生产运行。加强对高、中、低压管道的巡检，发现有泄漏情况及时处理，防止漏点扩大，导致事故发生。对蒸汽管网所有弯头处进行测厚，对材质、壁厚不合格的弯头进行更换，消除缺陷、隐患。加强运行设备的管理，严格按规程要求规范操作，严禁超温、超压、超负荷运行</w:t>
                  </w:r>
                  <w:r>
                    <w:rPr>
                      <w:b w:val="0"/>
                      <w:bCs/>
                      <w:color w:val="auto"/>
                      <w:kern w:val="24"/>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36" w:type="pct"/>
                  <w:vMerge w:val="continue"/>
                  <w:noWrap w:val="0"/>
                  <w:vAlign w:val="center"/>
                </w:tcPr>
                <w:p>
                  <w:pPr>
                    <w:adjustRightInd w:val="0"/>
                    <w:snapToGrid w:val="0"/>
                    <w:jc w:val="center"/>
                    <w:textAlignment w:val="baseline"/>
                    <w:rPr>
                      <w:b w:val="0"/>
                      <w:bCs/>
                      <w:color w:val="auto"/>
                      <w:kern w:val="0"/>
                      <w:szCs w:val="21"/>
                      <w:highlight w:val="none"/>
                    </w:rPr>
                  </w:pPr>
                </w:p>
              </w:tc>
              <w:tc>
                <w:tcPr>
                  <w:tcW w:w="3963" w:type="pct"/>
                  <w:gridSpan w:val="4"/>
                  <w:noWrap w:val="0"/>
                  <w:vAlign w:val="center"/>
                </w:tcPr>
                <w:p>
                  <w:pPr>
                    <w:adjustRightInd w:val="0"/>
                    <w:snapToGrid w:val="0"/>
                    <w:jc w:val="left"/>
                    <w:textAlignment w:val="baseline"/>
                    <w:rPr>
                      <w:b w:val="0"/>
                      <w:bCs/>
                      <w:color w:val="auto"/>
                      <w:kern w:val="0"/>
                      <w:szCs w:val="21"/>
                      <w:highlight w:val="none"/>
                    </w:rPr>
                  </w:pPr>
                  <w:r>
                    <w:rPr>
                      <w:b w:val="0"/>
                      <w:bCs/>
                      <w:color w:val="auto"/>
                      <w:kern w:val="0"/>
                      <w:szCs w:val="21"/>
                      <w:highlight w:val="none"/>
                    </w:rPr>
                    <w:t>企业应按消防部门要求在场内安装灭火器、消防栓等消防设施，定期对灭火器材、设施进行检查，如有损坏或压力不足应及时维修更新；保持消防器材的完整齐备，严禁将消防器材挪做它用，特殊情况必须经领导同意；实施消防培训计划，对公司内消防员进行培训，加强专业知识及消防知识的学习。同时定期进行消防演练（不少于2次/年），加强员工的消防应急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36" w:type="pct"/>
                  <w:vMerge w:val="continue"/>
                  <w:noWrap w:val="0"/>
                  <w:vAlign w:val="center"/>
                </w:tcPr>
                <w:p>
                  <w:pPr>
                    <w:adjustRightInd w:val="0"/>
                    <w:snapToGrid w:val="0"/>
                    <w:jc w:val="center"/>
                    <w:textAlignment w:val="baseline"/>
                    <w:rPr>
                      <w:b w:val="0"/>
                      <w:bCs/>
                      <w:color w:val="auto"/>
                      <w:kern w:val="0"/>
                      <w:szCs w:val="21"/>
                      <w:highlight w:val="none"/>
                    </w:rPr>
                  </w:pPr>
                </w:p>
              </w:tc>
              <w:tc>
                <w:tcPr>
                  <w:tcW w:w="3963" w:type="pct"/>
                  <w:gridSpan w:val="4"/>
                  <w:noWrap w:val="0"/>
                  <w:vAlign w:val="center"/>
                </w:tcPr>
                <w:p>
                  <w:pPr>
                    <w:adjustRightInd w:val="0"/>
                    <w:snapToGrid w:val="0"/>
                    <w:jc w:val="left"/>
                    <w:textAlignment w:val="baseline"/>
                    <w:rPr>
                      <w:rFonts w:hint="eastAsia"/>
                      <w:b w:val="0"/>
                      <w:bCs/>
                      <w:color w:val="auto"/>
                      <w:kern w:val="0"/>
                      <w:szCs w:val="21"/>
                      <w:highlight w:val="none"/>
                    </w:rPr>
                  </w:pPr>
                  <w:r>
                    <w:rPr>
                      <w:b w:val="0"/>
                      <w:bCs/>
                      <w:color w:val="auto"/>
                      <w:kern w:val="0"/>
                      <w:szCs w:val="21"/>
                      <w:highlight w:val="none"/>
                    </w:rPr>
                    <w:t>编制突发环境事件应急预案</w:t>
                  </w:r>
                  <w:r>
                    <w:rPr>
                      <w:rFonts w:hint="eastAsia"/>
                      <w:b w:val="0"/>
                      <w:bCs/>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36" w:type="pct"/>
                  <w:noWrap w:val="0"/>
                  <w:vAlign w:val="center"/>
                </w:tcPr>
                <w:p>
                  <w:pPr>
                    <w:adjustRightInd w:val="0"/>
                    <w:snapToGrid w:val="0"/>
                    <w:jc w:val="center"/>
                    <w:textAlignment w:val="baseline"/>
                    <w:rPr>
                      <w:b w:val="0"/>
                      <w:bCs/>
                      <w:color w:val="auto"/>
                      <w:kern w:val="0"/>
                      <w:szCs w:val="21"/>
                      <w:highlight w:val="none"/>
                    </w:rPr>
                  </w:pPr>
                  <w:r>
                    <w:rPr>
                      <w:b w:val="0"/>
                      <w:bCs/>
                      <w:color w:val="auto"/>
                      <w:kern w:val="0"/>
                      <w:szCs w:val="21"/>
                      <w:highlight w:val="none"/>
                    </w:rPr>
                    <w:t>填表说明</w:t>
                  </w:r>
                </w:p>
              </w:tc>
              <w:tc>
                <w:tcPr>
                  <w:tcW w:w="3963" w:type="pct"/>
                  <w:gridSpan w:val="4"/>
                  <w:noWrap w:val="0"/>
                  <w:vAlign w:val="center"/>
                </w:tcPr>
                <w:p>
                  <w:pPr>
                    <w:adjustRightInd w:val="0"/>
                    <w:snapToGrid w:val="0"/>
                    <w:jc w:val="center"/>
                    <w:textAlignment w:val="baseline"/>
                    <w:rPr>
                      <w:rFonts w:hint="eastAsia"/>
                      <w:b w:val="0"/>
                      <w:bCs/>
                      <w:color w:val="auto"/>
                      <w:kern w:val="0"/>
                      <w:szCs w:val="21"/>
                      <w:highlight w:val="none"/>
                    </w:rPr>
                  </w:pPr>
                  <w:r>
                    <w:rPr>
                      <w:rFonts w:hint="eastAsia"/>
                      <w:b w:val="0"/>
                      <w:bCs/>
                      <w:color w:val="auto"/>
                      <w:kern w:val="0"/>
                      <w:szCs w:val="21"/>
                      <w:highlight w:val="none"/>
                    </w:rPr>
                    <w:t>/</w:t>
                  </w:r>
                </w:p>
              </w:tc>
            </w:tr>
          </w:tbl>
          <w:p>
            <w:pPr>
              <w:pStyle w:val="68"/>
              <w:ind w:left="0" w:leftChars="0" w:firstLine="0" w:firstLineChars="0"/>
              <w:rPr>
                <w:rFonts w:hint="default" w:ascii="Times New Roman" w:hAnsi="Times New Roman" w:eastAsia="宋体" w:cs="Times New Roman"/>
                <w:color w:val="auto"/>
                <w:sz w:val="24"/>
                <w:highlight w:val="none"/>
                <w:lang w:val="en-US" w:eastAsia="zh-CN"/>
              </w:rPr>
            </w:pPr>
          </w:p>
        </w:tc>
      </w:tr>
    </w:tbl>
    <w:p>
      <w:pPr>
        <w:pStyle w:val="68"/>
        <w:rPr>
          <w:rFonts w:hint="eastAsia" w:ascii="Times New Roman" w:hAnsi="Times New Roman" w:eastAsia="宋体" w:cs="Times New Roman"/>
          <w:color w:val="auto"/>
          <w:sz w:val="24"/>
          <w:highlight w:val="none"/>
          <w:lang w:val="en-US" w:eastAsia="zh-CN"/>
        </w:rPr>
      </w:pPr>
    </w:p>
    <w:p>
      <w:pPr>
        <w:pStyle w:val="68"/>
        <w:rPr>
          <w:rFonts w:hint="eastAsia" w:ascii="Times New Roman" w:hAnsi="Times New Roman" w:eastAsia="宋体" w:cs="Times New Roman"/>
          <w:color w:val="auto"/>
          <w:sz w:val="24"/>
          <w:highlight w:val="none"/>
          <w:lang w:val="en-US" w:eastAsia="zh-CN"/>
        </w:rPr>
        <w:sectPr>
          <w:pgSz w:w="11907" w:h="16840"/>
          <w:pgMar w:top="1304" w:right="1134" w:bottom="1304"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7"/>
        <w:jc w:val="center"/>
        <w:outlineLvl w:val="0"/>
        <w:rPr>
          <w:rFonts w:hint="default" w:ascii="Times New Roman" w:hAnsi="Times New Roman" w:eastAsia="黑体" w:cs="Times New Roman"/>
          <w:b/>
          <w:bCs/>
          <w:color w:val="auto"/>
          <w:kern w:val="44"/>
          <w:sz w:val="30"/>
          <w:szCs w:val="30"/>
          <w:highlight w:val="none"/>
          <w:lang w:val="en-US" w:eastAsia="zh-CN" w:bidi="ar-SA"/>
        </w:rPr>
      </w:pPr>
      <w:bookmarkStart w:id="13" w:name="_Toc31068"/>
      <w:r>
        <w:rPr>
          <w:rFonts w:hint="default" w:ascii="Times New Roman" w:hAnsi="Times New Roman" w:eastAsia="黑体" w:cs="Times New Roman"/>
          <w:b/>
          <w:bCs/>
          <w:color w:val="auto"/>
          <w:kern w:val="44"/>
          <w:sz w:val="30"/>
          <w:szCs w:val="30"/>
          <w:highlight w:val="none"/>
          <w:lang w:val="en-US" w:eastAsia="zh-CN" w:bidi="ar-SA"/>
        </w:rPr>
        <w:t>五、</w:t>
      </w:r>
      <w:bookmarkStart w:id="14" w:name="_Hlk54167917"/>
      <w:r>
        <w:rPr>
          <w:rFonts w:hint="default" w:ascii="Times New Roman" w:hAnsi="Times New Roman" w:eastAsia="黑体" w:cs="Times New Roman"/>
          <w:b/>
          <w:bCs/>
          <w:color w:val="auto"/>
          <w:kern w:val="44"/>
          <w:sz w:val="30"/>
          <w:szCs w:val="30"/>
          <w:highlight w:val="none"/>
          <w:lang w:val="en-US" w:eastAsia="zh-CN" w:bidi="ar-SA"/>
        </w:rPr>
        <w:t>环境保护措施监督检查清单</w:t>
      </w:r>
      <w:bookmarkEnd w:id="13"/>
      <w:bookmarkEnd w:id="14"/>
    </w:p>
    <w:tbl>
      <w:tblPr>
        <w:tblStyle w:val="29"/>
        <w:tblW w:w="944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82"/>
        <w:gridCol w:w="1353"/>
        <w:gridCol w:w="1458"/>
        <w:gridCol w:w="2740"/>
        <w:gridCol w:w="31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31" w:type="dxa"/>
            <w:tcBorders>
              <w:tl2br w:val="single" w:color="auto" w:sz="4" w:space="0"/>
            </w:tcBorders>
            <w:noWrap w:val="0"/>
            <w:vAlign w:val="top"/>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内容</w:t>
            </w:r>
          </w:p>
          <w:p>
            <w:pPr>
              <w:adjustRightInd w:val="0"/>
              <w:snapToGrid w:val="0"/>
              <w:jc w:val="center"/>
              <w:rPr>
                <w:rFonts w:hint="default" w:ascii="Times New Roman" w:hAnsi="Times New Roman" w:eastAsia="宋体" w:cs="Times New Roman"/>
                <w:color w:val="auto"/>
                <w:sz w:val="24"/>
                <w:szCs w:val="24"/>
                <w:highlight w:val="none"/>
                <w:lang w:val="en-US" w:eastAsia="zh-CN"/>
              </w:rPr>
            </w:pPr>
          </w:p>
          <w:p>
            <w:pPr>
              <w:adjustRightInd w:val="0"/>
              <w:snapToGrid w:val="0"/>
              <w:jc w:val="center"/>
              <w:rPr>
                <w:rFonts w:hint="default" w:ascii="Times New Roman" w:hAnsi="Times New Roman" w:eastAsia="宋体" w:cs="Times New Roman"/>
                <w:color w:val="auto"/>
                <w:sz w:val="24"/>
                <w:szCs w:val="24"/>
                <w:highlight w:val="none"/>
                <w:lang w:val="en-US" w:eastAsia="zh-CN"/>
              </w:rPr>
            </w:pPr>
          </w:p>
          <w:p>
            <w:pPr>
              <w:adjustRightInd w:val="0"/>
              <w:snapToGrid w:val="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要素</w:t>
            </w:r>
          </w:p>
        </w:tc>
        <w:tc>
          <w:tcPr>
            <w:tcW w:w="1395"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排放口</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编号、名称</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/污染源</w:t>
            </w:r>
          </w:p>
        </w:tc>
        <w:tc>
          <w:tcPr>
            <w:tcW w:w="1378"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污染物项目</w:t>
            </w:r>
          </w:p>
        </w:tc>
        <w:tc>
          <w:tcPr>
            <w:tcW w:w="2762"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环境保护措施</w:t>
            </w:r>
          </w:p>
        </w:tc>
        <w:tc>
          <w:tcPr>
            <w:tcW w:w="2982"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931" w:type="dxa"/>
            <w:vMerge w:val="restart"/>
            <w:noWrap w:val="0"/>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大气环境</w:t>
            </w:r>
          </w:p>
        </w:tc>
        <w:tc>
          <w:tcPr>
            <w:tcW w:w="1395"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海大供热点锅炉废气</w:t>
            </w:r>
          </w:p>
        </w:tc>
        <w:tc>
          <w:tcPr>
            <w:tcW w:w="1378"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颗粒物、SO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、NO</w:t>
            </w:r>
            <w:r>
              <w:rPr>
                <w:rFonts w:hint="eastAsia" w:cs="Times New Roman"/>
                <w:color w:val="auto"/>
                <w:sz w:val="24"/>
                <w:szCs w:val="24"/>
                <w:highlight w:val="none"/>
                <w:vertAlign w:val="baseline"/>
                <w:lang w:val="en-US" w:eastAsia="zh-CN"/>
              </w:rPr>
              <w:t>x、烟气黑度</w:t>
            </w:r>
          </w:p>
        </w:tc>
        <w:tc>
          <w:tcPr>
            <w:tcW w:w="2762"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旋风除尘器+布袋除尘器</w:t>
            </w:r>
            <w:r>
              <w:rPr>
                <w:rFonts w:hint="default" w:ascii="Times New Roman" w:hAnsi="Times New Roman" w:eastAsia="宋体" w:cs="Times New Roman"/>
                <w:color w:val="auto"/>
                <w:sz w:val="24"/>
                <w:szCs w:val="24"/>
                <w:highlight w:val="none"/>
                <w:lang w:val="en-US" w:eastAsia="zh-CN"/>
              </w:rPr>
              <w:t>处理后经</w:t>
            </w:r>
            <w:r>
              <w:rPr>
                <w:rFonts w:hint="eastAsia" w:cs="Times New Roman"/>
                <w:color w:val="auto"/>
                <w:sz w:val="24"/>
                <w:szCs w:val="24"/>
                <w:highlight w:val="none"/>
                <w:lang w:val="en-US" w:eastAsia="zh-CN"/>
              </w:rPr>
              <w:t>45m烟囱（DA001）</w:t>
            </w:r>
            <w:r>
              <w:rPr>
                <w:rFonts w:hint="default" w:ascii="Times New Roman" w:hAnsi="Times New Roman" w:eastAsia="宋体" w:cs="Times New Roman"/>
                <w:color w:val="auto"/>
                <w:sz w:val="24"/>
                <w:szCs w:val="24"/>
                <w:highlight w:val="none"/>
                <w:lang w:val="en-US" w:eastAsia="zh-CN"/>
              </w:rPr>
              <w:t>排放</w:t>
            </w:r>
          </w:p>
        </w:tc>
        <w:tc>
          <w:tcPr>
            <w:tcW w:w="2982" w:type="dxa"/>
            <w:vMerge w:val="restart"/>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《锅炉大气污染物排放标准》（GB13271-2014）表2新建锅炉大气污染物排放浓度限值中燃煤锅炉排放要求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931" w:type="dxa"/>
            <w:vMerge w:val="continue"/>
            <w:noWrap w:val="0"/>
            <w:vAlign w:val="center"/>
          </w:tcPr>
          <w:p>
            <w:pPr>
              <w:adjustRightInd w:val="0"/>
              <w:snapToGrid w:val="0"/>
              <w:jc w:val="center"/>
              <w:rPr>
                <w:color w:val="auto"/>
                <w:highlight w:val="none"/>
              </w:rPr>
            </w:pPr>
          </w:p>
        </w:tc>
        <w:tc>
          <w:tcPr>
            <w:tcW w:w="1395" w:type="dxa"/>
            <w:noWrap w:val="0"/>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特驱供热点锅炉废气</w:t>
            </w:r>
          </w:p>
        </w:tc>
        <w:tc>
          <w:tcPr>
            <w:tcW w:w="1378" w:type="dxa"/>
            <w:noWrap w:val="0"/>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颗粒物、SO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、NO</w:t>
            </w:r>
            <w:r>
              <w:rPr>
                <w:rFonts w:hint="eastAsia" w:cs="Times New Roman"/>
                <w:color w:val="auto"/>
                <w:sz w:val="24"/>
                <w:szCs w:val="24"/>
                <w:highlight w:val="none"/>
                <w:vertAlign w:val="baseline"/>
                <w:lang w:val="en-US" w:eastAsia="zh-CN"/>
              </w:rPr>
              <w:t>x、烟气黑度</w:t>
            </w:r>
          </w:p>
        </w:tc>
        <w:tc>
          <w:tcPr>
            <w:tcW w:w="2762" w:type="dxa"/>
            <w:noWrap w:val="0"/>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旋风除尘器+布袋除尘器</w:t>
            </w:r>
            <w:r>
              <w:rPr>
                <w:rFonts w:hint="default" w:ascii="Times New Roman" w:hAnsi="Times New Roman" w:eastAsia="宋体" w:cs="Times New Roman"/>
                <w:color w:val="auto"/>
                <w:sz w:val="24"/>
                <w:szCs w:val="24"/>
                <w:highlight w:val="none"/>
                <w:lang w:val="en-US" w:eastAsia="zh-CN"/>
              </w:rPr>
              <w:t>处理后经</w:t>
            </w:r>
            <w:r>
              <w:rPr>
                <w:rFonts w:hint="eastAsia" w:cs="Times New Roman"/>
                <w:color w:val="auto"/>
                <w:sz w:val="24"/>
                <w:szCs w:val="24"/>
                <w:highlight w:val="none"/>
                <w:lang w:val="en-US" w:eastAsia="zh-CN"/>
              </w:rPr>
              <w:t>45m烟囱（DA002）</w:t>
            </w:r>
            <w:r>
              <w:rPr>
                <w:rFonts w:hint="default" w:ascii="Times New Roman" w:hAnsi="Times New Roman" w:eastAsia="宋体" w:cs="Times New Roman"/>
                <w:color w:val="auto"/>
                <w:sz w:val="24"/>
                <w:szCs w:val="24"/>
                <w:highlight w:val="none"/>
                <w:lang w:val="en-US" w:eastAsia="zh-CN"/>
              </w:rPr>
              <w:t>排放</w:t>
            </w:r>
          </w:p>
        </w:tc>
        <w:tc>
          <w:tcPr>
            <w:tcW w:w="2982" w:type="dxa"/>
            <w:vMerge w:val="continue"/>
            <w:noWrap w:val="0"/>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931" w:type="dxa"/>
            <w:vMerge w:val="continue"/>
            <w:noWrap w:val="0"/>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p>
        </w:tc>
        <w:tc>
          <w:tcPr>
            <w:tcW w:w="1395" w:type="dxa"/>
            <w:noWrap w:val="0"/>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漓源供热点锅炉废气</w:t>
            </w:r>
          </w:p>
        </w:tc>
        <w:tc>
          <w:tcPr>
            <w:tcW w:w="1378" w:type="dxa"/>
            <w:noWrap w:val="0"/>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颗粒物、SO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、NO</w:t>
            </w:r>
            <w:r>
              <w:rPr>
                <w:rFonts w:hint="eastAsia" w:cs="Times New Roman"/>
                <w:color w:val="auto"/>
                <w:sz w:val="24"/>
                <w:szCs w:val="24"/>
                <w:highlight w:val="none"/>
                <w:vertAlign w:val="baseline"/>
                <w:lang w:val="en-US" w:eastAsia="zh-CN"/>
              </w:rPr>
              <w:t>x、烟气黑度</w:t>
            </w:r>
          </w:p>
        </w:tc>
        <w:tc>
          <w:tcPr>
            <w:tcW w:w="2762" w:type="dxa"/>
            <w:noWrap w:val="0"/>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旋风除尘器+布袋除尘器</w:t>
            </w:r>
            <w:r>
              <w:rPr>
                <w:rFonts w:hint="default" w:ascii="Times New Roman" w:hAnsi="Times New Roman" w:eastAsia="宋体" w:cs="Times New Roman"/>
                <w:color w:val="auto"/>
                <w:sz w:val="24"/>
                <w:szCs w:val="24"/>
                <w:highlight w:val="none"/>
                <w:lang w:val="en-US" w:eastAsia="zh-CN"/>
              </w:rPr>
              <w:t>处理后经</w:t>
            </w:r>
            <w:r>
              <w:rPr>
                <w:rFonts w:hint="eastAsia" w:cs="Times New Roman"/>
                <w:color w:val="auto"/>
                <w:sz w:val="24"/>
                <w:szCs w:val="24"/>
                <w:highlight w:val="none"/>
                <w:lang w:val="en-US" w:eastAsia="zh-CN"/>
              </w:rPr>
              <w:t>35m烟囱（DA003）</w:t>
            </w:r>
            <w:r>
              <w:rPr>
                <w:rFonts w:hint="default" w:ascii="Times New Roman" w:hAnsi="Times New Roman" w:eastAsia="宋体" w:cs="Times New Roman"/>
                <w:color w:val="auto"/>
                <w:sz w:val="24"/>
                <w:szCs w:val="24"/>
                <w:highlight w:val="none"/>
                <w:lang w:val="en-US" w:eastAsia="zh-CN"/>
              </w:rPr>
              <w:t>排放</w:t>
            </w:r>
          </w:p>
        </w:tc>
        <w:tc>
          <w:tcPr>
            <w:tcW w:w="2982" w:type="dxa"/>
            <w:vMerge w:val="continue"/>
            <w:noWrap w:val="0"/>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31" w:type="dxa"/>
            <w:vMerge w:val="continue"/>
            <w:noWrap w:val="0"/>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p>
        </w:tc>
        <w:tc>
          <w:tcPr>
            <w:tcW w:w="1395" w:type="dxa"/>
            <w:noWrap w:val="0"/>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val="en-US" w:eastAsia="zh-CN"/>
              </w:rPr>
              <w:t>粉尘</w:t>
            </w:r>
          </w:p>
        </w:tc>
        <w:tc>
          <w:tcPr>
            <w:tcW w:w="1378" w:type="dxa"/>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val="en-US" w:eastAsia="zh-CN"/>
              </w:rPr>
              <w:t>TSP</w:t>
            </w:r>
          </w:p>
        </w:tc>
        <w:tc>
          <w:tcPr>
            <w:tcW w:w="2762" w:type="dxa"/>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袋装存放于密闭料仓</w:t>
            </w:r>
          </w:p>
        </w:tc>
        <w:tc>
          <w:tcPr>
            <w:tcW w:w="2982" w:type="dxa"/>
            <w:noWrap w:val="0"/>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《大气污染物综合排放标准》（GB16297-1996）表2无组织排放监控浓度限值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31" w:type="dxa"/>
            <w:vMerge w:val="restart"/>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地表水环境</w:t>
            </w:r>
          </w:p>
        </w:tc>
        <w:tc>
          <w:tcPr>
            <w:tcW w:w="1395"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锅炉排</w:t>
            </w:r>
            <w:r>
              <w:rPr>
                <w:rFonts w:hint="eastAsia" w:ascii="Times New Roman" w:hAnsi="Times New Roman" w:eastAsia="宋体" w:cs="Times New Roman"/>
                <w:color w:val="auto"/>
                <w:sz w:val="24"/>
                <w:szCs w:val="24"/>
                <w:highlight w:val="none"/>
                <w:lang w:val="en-US" w:eastAsia="zh-CN"/>
              </w:rPr>
              <w:t>污</w:t>
            </w:r>
            <w:r>
              <w:rPr>
                <w:rFonts w:hint="default" w:ascii="Times New Roman" w:hAnsi="Times New Roman" w:eastAsia="宋体" w:cs="Times New Roman"/>
                <w:color w:val="auto"/>
                <w:sz w:val="24"/>
                <w:szCs w:val="24"/>
                <w:highlight w:val="none"/>
                <w:lang w:val="en-US" w:eastAsia="zh-CN"/>
              </w:rPr>
              <w:t>水</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软</w:t>
            </w:r>
            <w:r>
              <w:rPr>
                <w:rFonts w:hint="eastAsia" w:ascii="Times New Roman" w:hAnsi="Times New Roman" w:eastAsia="宋体" w:cs="Times New Roman"/>
                <w:color w:val="auto"/>
                <w:sz w:val="24"/>
                <w:szCs w:val="24"/>
                <w:highlight w:val="none"/>
                <w:lang w:val="en-US" w:eastAsia="zh-CN"/>
              </w:rPr>
              <w:t>化</w:t>
            </w:r>
            <w:r>
              <w:rPr>
                <w:rFonts w:hint="default" w:ascii="Times New Roman" w:hAnsi="Times New Roman" w:eastAsia="宋体" w:cs="Times New Roman"/>
                <w:color w:val="auto"/>
                <w:sz w:val="24"/>
                <w:szCs w:val="24"/>
                <w:highlight w:val="none"/>
                <w:lang w:val="en-US" w:eastAsia="zh-CN"/>
              </w:rPr>
              <w:t>处理废水</w:t>
            </w:r>
          </w:p>
        </w:tc>
        <w:tc>
          <w:tcPr>
            <w:tcW w:w="1378"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pH、COD、</w:t>
            </w:r>
            <w:r>
              <w:rPr>
                <w:rFonts w:hint="default" w:ascii="Times New Roman" w:hAnsi="Times New Roman" w:eastAsia="宋体" w:cs="Times New Roman"/>
                <w:color w:val="auto"/>
                <w:sz w:val="24"/>
                <w:szCs w:val="24"/>
                <w:highlight w:val="none"/>
                <w:lang w:val="en-US" w:eastAsia="zh-CN"/>
              </w:rPr>
              <w:t>溶解性总固体（全盐量）</w:t>
            </w:r>
          </w:p>
        </w:tc>
        <w:tc>
          <w:tcPr>
            <w:tcW w:w="2762"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接入烟气蒸器蒸发，</w:t>
            </w:r>
            <w:r>
              <w:rPr>
                <w:rFonts w:hint="eastAsia" w:cs="Times New Roman"/>
                <w:color w:val="auto"/>
                <w:sz w:val="24"/>
                <w:szCs w:val="24"/>
                <w:highlight w:val="none"/>
                <w:lang w:val="en-US" w:eastAsia="zh-CN"/>
              </w:rPr>
              <w:t>用于烟气降温</w:t>
            </w:r>
            <w:r>
              <w:rPr>
                <w:rFonts w:hint="default" w:ascii="Times New Roman" w:hAnsi="Times New Roman" w:eastAsia="宋体" w:cs="Times New Roman"/>
                <w:color w:val="auto"/>
                <w:sz w:val="24"/>
                <w:szCs w:val="24"/>
                <w:highlight w:val="none"/>
                <w:lang w:val="en-US" w:eastAsia="zh-CN"/>
              </w:rPr>
              <w:t>。</w:t>
            </w:r>
          </w:p>
        </w:tc>
        <w:tc>
          <w:tcPr>
            <w:tcW w:w="2982"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31" w:type="dxa"/>
            <w:vMerge w:val="continue"/>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p>
        </w:tc>
        <w:tc>
          <w:tcPr>
            <w:tcW w:w="1395"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海大供热点及特驱供热点生活污水</w:t>
            </w:r>
          </w:p>
        </w:tc>
        <w:tc>
          <w:tcPr>
            <w:tcW w:w="1378" w:type="dxa"/>
            <w:vMerge w:val="restart"/>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pH值、COD、BOD</w:t>
            </w:r>
            <w:r>
              <w:rPr>
                <w:rFonts w:hint="default" w:ascii="Times New Roman" w:hAnsi="Times New Roman" w:eastAsia="宋体" w:cs="Times New Roman"/>
                <w:color w:val="auto"/>
                <w:sz w:val="24"/>
                <w:szCs w:val="24"/>
                <w:highlight w:val="none"/>
                <w:vertAlign w:val="subscript"/>
                <w:lang w:val="en-US" w:eastAsia="zh-CN"/>
              </w:rPr>
              <w:t>5</w:t>
            </w:r>
            <w:r>
              <w:rPr>
                <w:rFonts w:hint="default" w:ascii="Times New Roman" w:hAnsi="Times New Roman" w:eastAsia="宋体" w:cs="Times New Roman"/>
                <w:color w:val="auto"/>
                <w:sz w:val="24"/>
                <w:szCs w:val="24"/>
                <w:highlight w:val="none"/>
                <w:lang w:val="en-US" w:eastAsia="zh-CN"/>
              </w:rPr>
              <w:t>、氨氮、总氮、SS、总磷、动植物油</w:t>
            </w:r>
          </w:p>
        </w:tc>
        <w:tc>
          <w:tcPr>
            <w:tcW w:w="2762"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经昆明特驱饲料有限公司一体化生活污水处理设施处理后，达到《城镇污水处理厂污染物排放标准》GB18918-2002表1中一级A标准后外排至园区污水管网，进入园区160m³污水收集池，用于园区绿化。</w:t>
            </w:r>
          </w:p>
        </w:tc>
        <w:tc>
          <w:tcPr>
            <w:tcW w:w="2982" w:type="dxa"/>
            <w:vMerge w:val="restart"/>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31" w:type="dxa"/>
            <w:vMerge w:val="continue"/>
            <w:noWrap w:val="0"/>
            <w:vAlign w:val="center"/>
          </w:tcPr>
          <w:p>
            <w:pPr>
              <w:adjustRightInd w:val="0"/>
              <w:snapToGrid w:val="0"/>
              <w:jc w:val="center"/>
              <w:rPr>
                <w:color w:val="auto"/>
                <w:highlight w:val="none"/>
              </w:rPr>
            </w:pPr>
          </w:p>
        </w:tc>
        <w:tc>
          <w:tcPr>
            <w:tcW w:w="1395"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漓源供热点生活污水</w:t>
            </w:r>
          </w:p>
        </w:tc>
        <w:tc>
          <w:tcPr>
            <w:tcW w:w="1378" w:type="dxa"/>
            <w:vMerge w:val="continue"/>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p>
        </w:tc>
        <w:tc>
          <w:tcPr>
            <w:tcW w:w="2762"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经昆明漓源饲料有限公司一体化污水处理设施处理后，达到《城镇污水处理厂污染物排放标准》GB18918-2002表1中一级A标准后外排至园区污水管网，进入园区160m³污水收集池，用于园区绿化</w:t>
            </w:r>
          </w:p>
        </w:tc>
        <w:tc>
          <w:tcPr>
            <w:tcW w:w="2982" w:type="dxa"/>
            <w:vMerge w:val="continue"/>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31"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声环境</w:t>
            </w:r>
          </w:p>
        </w:tc>
        <w:tc>
          <w:tcPr>
            <w:tcW w:w="1395"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运行设备</w:t>
            </w:r>
          </w:p>
        </w:tc>
        <w:tc>
          <w:tcPr>
            <w:tcW w:w="1378"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噪声</w:t>
            </w:r>
          </w:p>
        </w:tc>
        <w:tc>
          <w:tcPr>
            <w:tcW w:w="2762"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选用低噪音设备、噪声设备</w:t>
            </w:r>
            <w:r>
              <w:rPr>
                <w:rFonts w:hint="eastAsia" w:cs="Times New Roman"/>
                <w:color w:val="auto"/>
                <w:sz w:val="24"/>
                <w:szCs w:val="24"/>
                <w:highlight w:val="none"/>
                <w:lang w:val="en-US" w:eastAsia="zh-CN"/>
              </w:rPr>
              <w:t>置于室内</w:t>
            </w:r>
            <w:r>
              <w:rPr>
                <w:rFonts w:hint="default" w:ascii="Times New Roman" w:hAnsi="Times New Roman" w:eastAsia="宋体" w:cs="Times New Roman"/>
                <w:color w:val="auto"/>
                <w:sz w:val="24"/>
                <w:szCs w:val="24"/>
                <w:highlight w:val="none"/>
                <w:lang w:val="en-US" w:eastAsia="zh-CN"/>
              </w:rPr>
              <w:t>，加强维护、定期检修</w:t>
            </w:r>
          </w:p>
        </w:tc>
        <w:tc>
          <w:tcPr>
            <w:tcW w:w="2982"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《工业企业厂界环境噪声排放标准》（GB12348-2008）中</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931"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固体废物</w:t>
            </w:r>
          </w:p>
        </w:tc>
        <w:tc>
          <w:tcPr>
            <w:tcW w:w="8517" w:type="dxa"/>
            <w:gridSpan w:val="4"/>
            <w:noWrap w:val="0"/>
            <w:vAlign w:val="center"/>
          </w:tcPr>
          <w:p>
            <w:pPr>
              <w:pStyle w:val="68"/>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烟尘处理设施产生的除尘灰经袋装收集后外售有机肥制作单位制作有机肥；锅炉炉渣经袋装收集后外售有机肥制作单位制作有机肥；软化水制备系统产生的饱和离子交换树脂由厂家来更换，更换后直接由厂家回收；员工生活垃圾通过垃圾桶收集后委托环卫部门定期清运</w:t>
            </w:r>
            <w:r>
              <w:rPr>
                <w:rFonts w:hint="eastAsia" w:cs="Times New Roman"/>
                <w:color w:val="auto"/>
                <w:sz w:val="24"/>
                <w:szCs w:val="24"/>
                <w:highlight w:val="none"/>
                <w:lang w:val="en-US" w:eastAsia="zh-CN"/>
              </w:rPr>
              <w:t>；废机油暂存于危险废物贮存库，委托有资质的单位清运。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1" w:hRule="atLeast"/>
          <w:jc w:val="center"/>
        </w:trPr>
        <w:tc>
          <w:tcPr>
            <w:tcW w:w="931"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土壤及地下水污染防治措施</w:t>
            </w:r>
          </w:p>
        </w:tc>
        <w:tc>
          <w:tcPr>
            <w:tcW w:w="8517" w:type="dxa"/>
            <w:gridSpan w:val="4"/>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931"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生态保护措施</w:t>
            </w:r>
          </w:p>
        </w:tc>
        <w:tc>
          <w:tcPr>
            <w:tcW w:w="8517" w:type="dxa"/>
            <w:gridSpan w:val="4"/>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1"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环境风险防范措施</w:t>
            </w:r>
          </w:p>
        </w:tc>
        <w:tc>
          <w:tcPr>
            <w:tcW w:w="8517" w:type="dxa"/>
            <w:gridSpan w:val="4"/>
            <w:noWrap w:val="0"/>
            <w:vAlign w:val="center"/>
          </w:tcPr>
          <w:p>
            <w:pPr>
              <w:pStyle w:val="68"/>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后期及时编制突发环境事件应急预案并完成备案；开展相应应急演练。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931"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其他环境管理要求</w:t>
            </w:r>
          </w:p>
        </w:tc>
        <w:tc>
          <w:tcPr>
            <w:tcW w:w="8517"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1" w:firstLineChars="200"/>
              <w:jc w:val="both"/>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1、环境管理制度</w:t>
            </w:r>
          </w:p>
          <w:p>
            <w:pPr>
              <w:pStyle w:val="68"/>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建立了相关的环境管理制度</w:t>
            </w:r>
            <w:r>
              <w:rPr>
                <w:rFonts w:hint="eastAsia" w:ascii="Times New Roman" w:hAnsi="Times New Roman" w:eastAsia="宋体" w:cs="Times New Roman"/>
                <w:color w:val="auto"/>
                <w:sz w:val="24"/>
                <w:highlight w:val="none"/>
                <w:lang w:val="en-US" w:eastAsia="zh-CN"/>
              </w:rPr>
              <w:t>，明确企业内部环境管理体系的设置、相关规章制度、人员保障、设施配备；明确企业环境保护规划的制定和实施情况、相关规章制度及相关责任的落实情况等。</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jc w:val="both"/>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2、环境管理台账要求</w:t>
            </w:r>
          </w:p>
          <w:p>
            <w:pPr>
              <w:pStyle w:val="68"/>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建立环境管理台账制度，设置专职人员进行台账的记录、整理、维护和管理，并对台账记录结果的真实性、准确性、完整性负责</w:t>
            </w:r>
            <w:r>
              <w:rPr>
                <w:rFonts w:hint="eastAsia" w:ascii="Times New Roman" w:hAnsi="Times New Roman" w:eastAsia="宋体" w:cs="Times New Roman"/>
                <w:color w:val="auto"/>
                <w:sz w:val="24"/>
                <w:highlight w:val="none"/>
                <w:lang w:val="en-US" w:eastAsia="zh-CN"/>
              </w:rPr>
              <w:t>，台账记录主要包括基本信息台账、污染治理设施台账、其他环境管理信息台账等，记录频次和记录内容要满足排污许可证等各项环境管理要求。其中，基本信息台站主要包括生产设施、治理设施的名称、工艺等实际情况及与污染物排放相关的主要运行参数；污染治理设施台账主要包括污染物排放监测数据记录以及污染治理设施运行管理信息。监测记录信息按照自行监测管理要求及相关监测规范实施；污染治理设施运行管理信息应当包括能充分反映生产设施及治理设施运行管理情况的设备运行校验关键参数等。</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jc w:val="both"/>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3、排污口规范化设置</w:t>
            </w:r>
          </w:p>
          <w:p>
            <w:pPr>
              <w:pStyle w:val="68"/>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根据国家环保部《环境保护图形标志实施细则（试行）》、《排污口规范化整治技术要求（试行）》以及《云南省排污口管理办法》的要求，企业废水、废气排放口，必须按照</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符合污染物集中排放，便于采集样品，便于计量监测，便于日常现场监督检查的要求</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的原则进行规范化设置。并设置环境保护图形标志牌，排污口的规范化符合当地环境管理部门的有关要求。</w:t>
            </w:r>
          </w:p>
          <w:p>
            <w:pPr>
              <w:pStyle w:val="68"/>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排放口规范化图标示意图如下</w:t>
            </w:r>
            <w:r>
              <w:rPr>
                <w:rFonts w:hint="eastAsia" w:cs="Times New Roman"/>
                <w:color w:val="auto"/>
                <w:sz w:val="24"/>
                <w:highlight w:val="none"/>
                <w:lang w:val="en-US" w:eastAsia="zh-CN"/>
              </w:rPr>
              <w:t>：</w:t>
            </w:r>
          </w:p>
          <w:p>
            <w:pPr>
              <w:keepNext w:val="0"/>
              <w:keepLines w:val="0"/>
              <w:widowControl/>
              <w:suppressLineNumbers w:val="0"/>
              <w:jc w:val="center"/>
              <w:rPr>
                <w:color w:val="auto"/>
                <w:highlight w:val="none"/>
              </w:rPr>
            </w:pPr>
            <w:r>
              <w:rPr>
                <w:rFonts w:ascii="宋体" w:hAnsi="宋体" w:eastAsia="宋体" w:cs="宋体"/>
                <w:color w:val="auto"/>
                <w:kern w:val="0"/>
                <w:sz w:val="24"/>
                <w:szCs w:val="24"/>
                <w:highlight w:val="none"/>
                <w:lang w:val="en-US" w:eastAsia="zh-CN" w:bidi="ar"/>
              </w:rPr>
              <w:drawing>
                <wp:inline distT="0" distB="0" distL="114300" distR="114300">
                  <wp:extent cx="5259070" cy="3165475"/>
                  <wp:effectExtent l="0" t="0" r="17780" b="15875"/>
                  <wp:docPr id="9" name="图片 6"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6" descr="IMG_256"/>
                          <pic:cNvPicPr>
                            <a:picLocks noChangeAspect="true"/>
                          </pic:cNvPicPr>
                        </pic:nvPicPr>
                        <pic:blipFill>
                          <a:blip r:embed="rId41"/>
                          <a:stretch>
                            <a:fillRect/>
                          </a:stretch>
                        </pic:blipFill>
                        <pic:spPr>
                          <a:xfrm>
                            <a:off x="0" y="0"/>
                            <a:ext cx="5259070" cy="3165475"/>
                          </a:xfrm>
                          <a:prstGeom prst="rect">
                            <a:avLst/>
                          </a:prstGeom>
                          <a:noFill/>
                          <a:ln w="9525">
                            <a:noFill/>
                          </a:ln>
                        </pic:spPr>
                      </pic:pic>
                    </a:graphicData>
                  </a:graphic>
                </wp:inline>
              </w:drawing>
            </w:r>
          </w:p>
          <w:p>
            <w:pPr>
              <w:numPr>
                <w:ilvl w:val="0"/>
                <w:numId w:val="0"/>
              </w:numPr>
              <w:adjustRightInd w:val="0"/>
              <w:snapToGrid w:val="0"/>
              <w:spacing w:line="360" w:lineRule="auto"/>
              <w:ind w:firstLine="441" w:firstLineChars="200"/>
              <w:rPr>
                <w:rFonts w:hint="default" w:ascii="Times New Roman" w:hAnsi="Times New Roman" w:cs="Times New Roman"/>
                <w:b/>
                <w:bCs w:val="0"/>
                <w:color w:val="auto"/>
                <w:spacing w:val="-10"/>
                <w:sz w:val="24"/>
                <w:szCs w:val="24"/>
                <w:highlight w:val="none"/>
                <w:lang w:val="en-US" w:eastAsia="zh-CN"/>
              </w:rPr>
            </w:pPr>
            <w:r>
              <w:rPr>
                <w:rFonts w:hint="eastAsia" w:cs="Times New Roman"/>
                <w:b/>
                <w:bCs w:val="0"/>
                <w:color w:val="auto"/>
                <w:spacing w:val="-10"/>
                <w:sz w:val="24"/>
                <w:szCs w:val="24"/>
                <w:highlight w:val="none"/>
                <w:lang w:val="en-US" w:eastAsia="zh-CN"/>
              </w:rPr>
              <w:t>4、排污许可管理要求</w:t>
            </w:r>
          </w:p>
          <w:p>
            <w:pPr>
              <w:pStyle w:val="68"/>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根据《固定污染源排污许可分类管理名录（2019版）》，</w:t>
            </w:r>
            <w:r>
              <w:rPr>
                <w:rFonts w:hint="eastAsia" w:cs="Times New Roman"/>
                <w:color w:val="auto"/>
                <w:sz w:val="24"/>
                <w:highlight w:val="none"/>
                <w:lang w:val="en-US" w:eastAsia="zh-CN"/>
              </w:rPr>
              <w:t>本项目</w:t>
            </w:r>
            <w:r>
              <w:rPr>
                <w:rFonts w:hint="eastAsia" w:ascii="Times New Roman" w:hAnsi="Times New Roman" w:eastAsia="宋体" w:cs="Times New Roman"/>
                <w:color w:val="auto"/>
                <w:sz w:val="24"/>
                <w:highlight w:val="none"/>
                <w:lang w:val="en-US" w:eastAsia="zh-CN"/>
              </w:rPr>
              <w:t>锅炉的总</w:t>
            </w:r>
            <w:r>
              <w:rPr>
                <w:rFonts w:hint="eastAsia" w:cs="Times New Roman"/>
                <w:color w:val="auto"/>
                <w:sz w:val="24"/>
                <w:highlight w:val="none"/>
                <w:lang w:val="en-US" w:eastAsia="zh-CN"/>
              </w:rPr>
              <w:t>装机容量</w:t>
            </w:r>
            <w:r>
              <w:rPr>
                <w:rFonts w:hint="eastAsia" w:ascii="Times New Roman" w:hAnsi="Times New Roman" w:eastAsia="宋体" w:cs="Times New Roman"/>
                <w:color w:val="auto"/>
                <w:sz w:val="24"/>
                <w:highlight w:val="none"/>
                <w:lang w:val="en-US" w:eastAsia="zh-CN"/>
              </w:rPr>
              <w:t>属于名录中第三十九、电力、热力生产和供应业44——96、热力生产和供应443</w:t>
            </w:r>
            <w:r>
              <w:rPr>
                <w:rFonts w:hint="eastAsia" w:cs="Times New Roman"/>
                <w:color w:val="auto"/>
                <w:sz w:val="24"/>
                <w:highlight w:val="none"/>
                <w:lang w:val="en-US" w:eastAsia="zh-CN"/>
              </w:rPr>
              <w:t>——单台或者合计出力20吨/小时（14兆瓦）及以上的锅炉（不含电热锅炉）</w:t>
            </w:r>
            <w:r>
              <w:rPr>
                <w:rFonts w:hint="eastAsia" w:ascii="Times New Roman" w:hAnsi="Times New Roman" w:eastAsia="宋体" w:cs="Times New Roman"/>
                <w:color w:val="auto"/>
                <w:sz w:val="24"/>
                <w:highlight w:val="none"/>
                <w:lang w:val="en-US" w:eastAsia="zh-CN"/>
              </w:rPr>
              <w:t>，执行</w:t>
            </w:r>
            <w:r>
              <w:rPr>
                <w:rFonts w:hint="eastAsia" w:cs="Times New Roman"/>
                <w:color w:val="auto"/>
                <w:sz w:val="24"/>
                <w:highlight w:val="none"/>
                <w:lang w:val="en-US" w:eastAsia="zh-CN"/>
              </w:rPr>
              <w:t>重点</w:t>
            </w:r>
            <w:r>
              <w:rPr>
                <w:rFonts w:hint="eastAsia" w:ascii="Times New Roman" w:hAnsi="Times New Roman" w:eastAsia="宋体" w:cs="Times New Roman"/>
                <w:color w:val="auto"/>
                <w:sz w:val="24"/>
                <w:highlight w:val="none"/>
                <w:lang w:val="en-US" w:eastAsia="zh-CN"/>
              </w:rPr>
              <w:t>管理。</w:t>
            </w:r>
          </w:p>
          <w:p>
            <w:pPr>
              <w:numPr>
                <w:ilvl w:val="0"/>
                <w:numId w:val="0"/>
              </w:numPr>
              <w:adjustRightInd w:val="0"/>
              <w:snapToGrid w:val="0"/>
              <w:spacing w:line="360" w:lineRule="auto"/>
              <w:ind w:firstLine="441" w:firstLineChars="200"/>
              <w:rPr>
                <w:rFonts w:hint="default" w:ascii="Times New Roman" w:hAnsi="Times New Roman" w:cs="Times New Roman"/>
                <w:b/>
                <w:bCs w:val="0"/>
                <w:color w:val="auto"/>
                <w:spacing w:val="-10"/>
                <w:sz w:val="24"/>
                <w:szCs w:val="24"/>
                <w:highlight w:val="none"/>
                <w:lang w:val="en-US" w:eastAsia="zh-CN"/>
              </w:rPr>
            </w:pPr>
            <w:r>
              <w:rPr>
                <w:rFonts w:hint="eastAsia" w:cs="Times New Roman"/>
                <w:b/>
                <w:bCs w:val="0"/>
                <w:color w:val="auto"/>
                <w:spacing w:val="-10"/>
                <w:sz w:val="24"/>
                <w:szCs w:val="24"/>
                <w:highlight w:val="none"/>
                <w:lang w:val="en-US" w:eastAsia="zh-CN"/>
              </w:rPr>
              <w:t>5、</w:t>
            </w:r>
            <w:r>
              <w:rPr>
                <w:rFonts w:hint="eastAsia" w:ascii="Times New Roman" w:hAnsi="Times New Roman" w:cs="Times New Roman"/>
                <w:b/>
                <w:bCs w:val="0"/>
                <w:color w:val="auto"/>
                <w:spacing w:val="-10"/>
                <w:sz w:val="24"/>
                <w:szCs w:val="24"/>
                <w:highlight w:val="none"/>
                <w:lang w:val="en-US" w:eastAsia="zh-CN"/>
              </w:rPr>
              <w:t>环境保护设施</w:t>
            </w:r>
            <w:r>
              <w:rPr>
                <w:rFonts w:hint="eastAsia" w:cs="Times New Roman"/>
                <w:b/>
                <w:bCs w:val="0"/>
                <w:color w:val="auto"/>
                <w:spacing w:val="-10"/>
                <w:sz w:val="24"/>
                <w:szCs w:val="24"/>
                <w:highlight w:val="none"/>
                <w:lang w:val="en-US" w:eastAsia="zh-CN"/>
              </w:rPr>
              <w:t>“</w:t>
            </w:r>
            <w:r>
              <w:rPr>
                <w:rFonts w:hint="eastAsia" w:ascii="Times New Roman" w:hAnsi="Times New Roman" w:cs="Times New Roman"/>
                <w:b/>
                <w:bCs w:val="0"/>
                <w:color w:val="auto"/>
                <w:spacing w:val="-10"/>
                <w:sz w:val="24"/>
                <w:szCs w:val="24"/>
                <w:highlight w:val="none"/>
                <w:lang w:val="en-US" w:eastAsia="zh-CN"/>
              </w:rPr>
              <w:t>三同时</w:t>
            </w:r>
            <w:r>
              <w:rPr>
                <w:rFonts w:hint="eastAsia" w:cs="Times New Roman"/>
                <w:b/>
                <w:bCs w:val="0"/>
                <w:color w:val="auto"/>
                <w:spacing w:val="-10"/>
                <w:sz w:val="24"/>
                <w:szCs w:val="24"/>
                <w:highlight w:val="none"/>
                <w:lang w:val="en-US" w:eastAsia="zh-CN"/>
              </w:rPr>
              <w:t>”</w:t>
            </w:r>
            <w:r>
              <w:rPr>
                <w:rFonts w:hint="eastAsia" w:ascii="Times New Roman" w:hAnsi="Times New Roman" w:cs="Times New Roman"/>
                <w:b/>
                <w:bCs w:val="0"/>
                <w:color w:val="auto"/>
                <w:spacing w:val="-10"/>
                <w:sz w:val="24"/>
                <w:szCs w:val="24"/>
                <w:highlight w:val="none"/>
                <w:lang w:val="en-US" w:eastAsia="zh-CN"/>
              </w:rPr>
              <w:t>验收</w:t>
            </w:r>
          </w:p>
          <w:p>
            <w:pPr>
              <w:pStyle w:val="68"/>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项目竣工后，建设单位应当按照国务院环境保护行政主管部门规定的标准和程序，对配套建设的环境保护设施进行验收，自行或委托中介机构编制验收报告。项目</w:t>
            </w:r>
            <w:r>
              <w:rPr>
                <w:rFonts w:hint="eastAsia" w:cs="Times New Roman"/>
                <w:color w:val="auto"/>
                <w:sz w:val="24"/>
                <w:highlight w:val="none"/>
                <w:lang w:val="en-US" w:eastAsia="zh-CN"/>
              </w:rPr>
              <w:t>竣工环境保护验收一览表</w:t>
            </w:r>
            <w:r>
              <w:rPr>
                <w:rFonts w:hint="eastAsia" w:ascii="Times New Roman" w:hAnsi="Times New Roman" w:eastAsia="宋体" w:cs="Times New Roman"/>
                <w:color w:val="auto"/>
                <w:sz w:val="24"/>
                <w:highlight w:val="none"/>
                <w:lang w:val="en-US" w:eastAsia="zh-CN"/>
              </w:rPr>
              <w:t>见</w:t>
            </w:r>
            <w:r>
              <w:rPr>
                <w:rFonts w:hint="eastAsia" w:cs="Times New Roman"/>
                <w:color w:val="auto"/>
                <w:sz w:val="24"/>
                <w:highlight w:val="none"/>
                <w:lang w:val="en-US" w:eastAsia="zh-CN"/>
              </w:rPr>
              <w:t>下表</w:t>
            </w:r>
            <w:r>
              <w:rPr>
                <w:rFonts w:hint="eastAsia" w:ascii="Times New Roman" w:hAnsi="Times New Roman" w:eastAsia="宋体" w:cs="Times New Roman"/>
                <w:color w:val="auto"/>
                <w:sz w:val="24"/>
                <w:highlight w:val="none"/>
                <w:lang w:val="en-US" w:eastAsia="zh-CN"/>
              </w:rPr>
              <w:t>。</w:t>
            </w:r>
          </w:p>
          <w:p>
            <w:pPr>
              <w:pStyle w:val="4"/>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cs="Times New Roman"/>
                <w:b/>
                <w:bCs/>
                <w:color w:val="auto"/>
                <w:sz w:val="21"/>
                <w:szCs w:val="21"/>
                <w:highlight w:val="none"/>
                <w:lang w:val="en-US" w:eastAsia="zh-CN"/>
              </w:rPr>
              <w:t>5-1项目</w:t>
            </w:r>
            <w:r>
              <w:rPr>
                <w:rFonts w:hint="default" w:ascii="Times New Roman" w:hAnsi="Times New Roman" w:eastAsia="宋体" w:cs="Times New Roman"/>
                <w:b/>
                <w:bCs/>
                <w:color w:val="auto"/>
                <w:sz w:val="21"/>
                <w:szCs w:val="21"/>
                <w:highlight w:val="none"/>
                <w:lang w:val="en-US" w:eastAsia="zh-CN"/>
              </w:rPr>
              <w:t>竣工环境保护验收一览表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1396"/>
              <w:gridCol w:w="3970"/>
              <w:gridCol w:w="2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项目</w:t>
                  </w:r>
                </w:p>
              </w:tc>
              <w:tc>
                <w:tcPr>
                  <w:tcW w:w="827"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处理对象</w:t>
                  </w:r>
                </w:p>
              </w:tc>
              <w:tc>
                <w:tcPr>
                  <w:tcW w:w="2351"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处理措施</w:t>
                  </w:r>
                </w:p>
              </w:tc>
              <w:tc>
                <w:tcPr>
                  <w:tcW w:w="1398"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处理效果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422" w:type="pct"/>
                  <w:vMerge w:val="restar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废气</w:t>
                  </w:r>
                </w:p>
              </w:tc>
              <w:tc>
                <w:tcPr>
                  <w:tcW w:w="827" w:type="pct"/>
                  <w:vMerge w:val="restar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生物质锅炉废气</w:t>
                  </w:r>
                </w:p>
              </w:tc>
              <w:tc>
                <w:tcPr>
                  <w:tcW w:w="2351"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海大供热点：多管旋风除尘器+布袋除尘器，+45m的烟囱</w:t>
                  </w:r>
                </w:p>
              </w:tc>
              <w:tc>
                <w:tcPr>
                  <w:tcW w:w="1398" w:type="pct"/>
                  <w:vMerge w:val="restar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《锅炉大气污染物排放标准》（GB13271-2014）表2新建锅炉大气污染物排放浓度限值中燃煤锅炉排放要求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422" w:type="pct"/>
                  <w:vMerge w:val="continue"/>
                  <w:vAlign w:val="center"/>
                </w:tcPr>
                <w:p>
                  <w:pPr>
                    <w:pStyle w:val="49"/>
                    <w:bidi w:val="0"/>
                    <w:ind w:left="0" w:leftChars="0" w:firstLine="0" w:firstLineChars="0"/>
                    <w:jc w:val="center"/>
                    <w:rPr>
                      <w:color w:val="auto"/>
                      <w:highlight w:val="none"/>
                    </w:rPr>
                  </w:pPr>
                </w:p>
              </w:tc>
              <w:tc>
                <w:tcPr>
                  <w:tcW w:w="827" w:type="pct"/>
                  <w:vMerge w:val="continue"/>
                  <w:vAlign w:val="center"/>
                </w:tcPr>
                <w:p>
                  <w:pPr>
                    <w:pStyle w:val="49"/>
                    <w:bidi w:val="0"/>
                    <w:ind w:left="0" w:leftChars="0" w:firstLine="0" w:firstLineChars="0"/>
                    <w:jc w:val="center"/>
                    <w:rPr>
                      <w:color w:val="auto"/>
                      <w:highlight w:val="none"/>
                    </w:rPr>
                  </w:pPr>
                </w:p>
              </w:tc>
              <w:tc>
                <w:tcPr>
                  <w:tcW w:w="2351"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特驱供热点：多管旋风除尘器+布袋除尘器，+45m的烟囱</w:t>
                  </w:r>
                </w:p>
              </w:tc>
              <w:tc>
                <w:tcPr>
                  <w:tcW w:w="1398" w:type="pct"/>
                  <w:vMerge w:val="continue"/>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422" w:type="pct"/>
                  <w:vMerge w:val="continue"/>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c>
                <w:tcPr>
                  <w:tcW w:w="827" w:type="pct"/>
                  <w:vMerge w:val="continue"/>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c>
                <w:tcPr>
                  <w:tcW w:w="2351"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漓源供热点：多管旋风除尘器+布袋除尘器，+35m的烟囱</w:t>
                  </w:r>
                </w:p>
              </w:tc>
              <w:tc>
                <w:tcPr>
                  <w:tcW w:w="1398" w:type="pct"/>
                  <w:vMerge w:val="continue"/>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c>
                <w:tcPr>
                  <w:tcW w:w="827"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灰渣间、生物质燃料间粉尘</w:t>
                  </w:r>
                </w:p>
              </w:tc>
              <w:tc>
                <w:tcPr>
                  <w:tcW w:w="2351"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袋装堆放于密闭料仓</w:t>
                  </w:r>
                </w:p>
              </w:tc>
              <w:tc>
                <w:tcPr>
                  <w:tcW w:w="1398"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执行《大气污染物综合排放标准》（GB16297-1996）表2无组织排放标准限值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噪声</w:t>
                  </w:r>
                </w:p>
              </w:tc>
              <w:tc>
                <w:tcPr>
                  <w:tcW w:w="827"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设备噪声</w:t>
                  </w:r>
                </w:p>
              </w:tc>
              <w:tc>
                <w:tcPr>
                  <w:tcW w:w="2351" w:type="pct"/>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厂房隔声、减震</w:t>
                  </w:r>
                </w:p>
              </w:tc>
              <w:tc>
                <w:tcPr>
                  <w:tcW w:w="1398"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厂界达到《工业企业厂界环境噪声排放标准》（GB12348-2008）3类标准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restar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废水</w:t>
                  </w:r>
                </w:p>
              </w:tc>
              <w:tc>
                <w:tcPr>
                  <w:tcW w:w="827" w:type="pct"/>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锅炉排污水、软化处理废水</w:t>
                  </w:r>
                </w:p>
              </w:tc>
              <w:tc>
                <w:tcPr>
                  <w:tcW w:w="2351"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接入烟气蒸发器用于烟气降温，随烟气蒸发</w:t>
                  </w:r>
                </w:p>
              </w:tc>
              <w:tc>
                <w:tcPr>
                  <w:tcW w:w="1398"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c>
                <w:tcPr>
                  <w:tcW w:w="827"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生活污水</w:t>
                  </w:r>
                </w:p>
              </w:tc>
              <w:tc>
                <w:tcPr>
                  <w:tcW w:w="2351"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项目区内不设生活设施。海大供热点及特驱供热点生活设施依托昆明特驱饲料有限公司建成的生活设施，产生生活污水也由明特驱饲料有限公司建成并验收的污水处理设施处理。漓源供热点生活设施依托</w:t>
                  </w:r>
                  <w:r>
                    <w:rPr>
                      <w:rFonts w:hint="eastAsia" w:ascii="Times New Roman" w:hAnsi="Times New Roman" w:eastAsia="宋体" w:cs="Times New Roman"/>
                      <w:color w:val="auto"/>
                      <w:highlight w:val="none"/>
                      <w:lang w:val="en-US" w:eastAsia="zh-CN"/>
                    </w:rPr>
                    <w:fldChar w:fldCharType="begin"/>
                  </w:r>
                  <w:r>
                    <w:rPr>
                      <w:rFonts w:hint="eastAsia" w:ascii="Times New Roman" w:hAnsi="Times New Roman" w:eastAsia="宋体" w:cs="Times New Roman"/>
                      <w:color w:val="auto"/>
                      <w:highlight w:val="none"/>
                      <w:lang w:val="en-US" w:eastAsia="zh-CN"/>
                    </w:rPr>
                    <w:instrText xml:space="preserve"> HYPERLINK "http://www.baidu.com/link?url=k38QrQiOpPhdnIoPfF-NRVdrrP4Rhg1-USYOQr1U9jApQjA8Vs5PJx58NJfeIweWVLfmUDdOT8BfCt1bzwbTe5t9EnIlnBBtpJciK0lHMvG" \t "_blank" </w:instrText>
                  </w:r>
                  <w:r>
                    <w:rPr>
                      <w:rFonts w:hint="eastAsia" w:ascii="Times New Roman" w:hAnsi="Times New Roman" w:eastAsia="宋体" w:cs="Times New Roman"/>
                      <w:color w:val="auto"/>
                      <w:highlight w:val="none"/>
                      <w:lang w:val="en-US" w:eastAsia="zh-CN"/>
                    </w:rPr>
                    <w:fldChar w:fldCharType="separate"/>
                  </w:r>
                  <w:r>
                    <w:rPr>
                      <w:rFonts w:hint="eastAsia" w:ascii="Times New Roman" w:hAnsi="Times New Roman" w:eastAsia="宋体" w:cs="Times New Roman"/>
                      <w:color w:val="auto"/>
                      <w:highlight w:val="none"/>
                      <w:lang w:val="en-US" w:eastAsia="zh-CN"/>
                    </w:rPr>
                    <w:t>昆明漓源饲料有限公司</w:t>
                  </w:r>
                  <w:r>
                    <w:rPr>
                      <w:rFonts w:hint="eastAsia" w:ascii="Times New Roman" w:hAnsi="Times New Roman" w:eastAsia="宋体" w:cs="Times New Roman"/>
                      <w:color w:val="auto"/>
                      <w:highlight w:val="none"/>
                      <w:lang w:val="en-US" w:eastAsia="zh-CN"/>
                    </w:rPr>
                    <w:fldChar w:fldCharType="end"/>
                  </w:r>
                  <w:r>
                    <w:rPr>
                      <w:rFonts w:hint="eastAsia" w:ascii="Times New Roman" w:hAnsi="Times New Roman" w:eastAsia="宋体" w:cs="Times New Roman"/>
                      <w:color w:val="auto"/>
                      <w:highlight w:val="none"/>
                      <w:lang w:val="en-US" w:eastAsia="zh-CN"/>
                    </w:rPr>
                    <w:t>建成的生活设施，产生的生活污水由</w:t>
                  </w:r>
                  <w:r>
                    <w:rPr>
                      <w:rFonts w:hint="eastAsia" w:ascii="Times New Roman" w:hAnsi="Times New Roman" w:eastAsia="宋体" w:cs="Times New Roman"/>
                      <w:color w:val="auto"/>
                      <w:highlight w:val="none"/>
                      <w:lang w:val="en-US" w:eastAsia="zh-CN"/>
                    </w:rPr>
                    <w:fldChar w:fldCharType="begin"/>
                  </w:r>
                  <w:r>
                    <w:rPr>
                      <w:rFonts w:hint="eastAsia" w:ascii="Times New Roman" w:hAnsi="Times New Roman" w:eastAsia="宋体" w:cs="Times New Roman"/>
                      <w:color w:val="auto"/>
                      <w:highlight w:val="none"/>
                      <w:lang w:val="en-US" w:eastAsia="zh-CN"/>
                    </w:rPr>
                    <w:instrText xml:space="preserve"> HYPERLINK "http://www.baidu.com/link?url=k38QrQiOpPhdnIoPfF-NRVdrrP4Rhg1-USYOQr1U9jApQjA8Vs5PJx58NJfeIweWVLfmUDdOT8BfCt1bzwbTe5t9EnIlnBBtpJciK0lHMvG" \t "_blank" </w:instrText>
                  </w:r>
                  <w:r>
                    <w:rPr>
                      <w:rFonts w:hint="eastAsia" w:ascii="Times New Roman" w:hAnsi="Times New Roman" w:eastAsia="宋体" w:cs="Times New Roman"/>
                      <w:color w:val="auto"/>
                      <w:highlight w:val="none"/>
                      <w:lang w:val="en-US" w:eastAsia="zh-CN"/>
                    </w:rPr>
                    <w:fldChar w:fldCharType="separate"/>
                  </w:r>
                  <w:r>
                    <w:rPr>
                      <w:rFonts w:hint="eastAsia" w:ascii="Times New Roman" w:hAnsi="Times New Roman" w:eastAsia="宋体" w:cs="Times New Roman"/>
                      <w:color w:val="auto"/>
                      <w:highlight w:val="none"/>
                      <w:lang w:val="en-US" w:eastAsia="zh-CN"/>
                    </w:rPr>
                    <w:t>昆明漓源饲料有限公司</w:t>
                  </w:r>
                  <w:r>
                    <w:rPr>
                      <w:rFonts w:hint="eastAsia" w:ascii="Times New Roman" w:hAnsi="Times New Roman" w:eastAsia="宋体" w:cs="Times New Roman"/>
                      <w:color w:val="auto"/>
                      <w:highlight w:val="none"/>
                      <w:lang w:val="en-US" w:eastAsia="zh-CN"/>
                    </w:rPr>
                    <w:fldChar w:fldCharType="end"/>
                  </w:r>
                  <w:r>
                    <w:rPr>
                      <w:rFonts w:hint="eastAsia" w:ascii="Times New Roman" w:hAnsi="Times New Roman" w:eastAsia="宋体" w:cs="Times New Roman"/>
                      <w:color w:val="auto"/>
                      <w:highlight w:val="none"/>
                      <w:lang w:val="en-US" w:eastAsia="zh-CN"/>
                    </w:rPr>
                    <w:t>已建成并验收的生活污水处理设施处理。</w:t>
                  </w:r>
                </w:p>
              </w:tc>
              <w:tc>
                <w:tcPr>
                  <w:tcW w:w="1398"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restar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固体</w:t>
                  </w:r>
                </w:p>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废物</w:t>
                  </w:r>
                </w:p>
              </w:tc>
              <w:tc>
                <w:tcPr>
                  <w:tcW w:w="827"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灰渣、除尘器收集灰渣</w:t>
                  </w:r>
                </w:p>
              </w:tc>
              <w:tc>
                <w:tcPr>
                  <w:tcW w:w="2351"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采用袋装后堆存于堆渣间，收集后外售用作肥料</w:t>
                  </w:r>
                </w:p>
              </w:tc>
              <w:tc>
                <w:tcPr>
                  <w:tcW w:w="1398" w:type="pct"/>
                  <w:vMerge w:val="restar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处置率100%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c>
                <w:tcPr>
                  <w:tcW w:w="827"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废离子交换树脂</w:t>
                  </w:r>
                </w:p>
              </w:tc>
              <w:tc>
                <w:tcPr>
                  <w:tcW w:w="2351"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由供应商更换回收处理</w:t>
                  </w:r>
                </w:p>
              </w:tc>
              <w:tc>
                <w:tcPr>
                  <w:tcW w:w="1398" w:type="pct"/>
                  <w:vMerge w:val="continue"/>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c>
                <w:tcPr>
                  <w:tcW w:w="827" w:type="pct"/>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highlight w:val="none"/>
                      <w:lang w:val="en-US" w:eastAsia="zh-CN"/>
                    </w:rPr>
                    <w:t>生活垃圾</w:t>
                  </w:r>
                </w:p>
              </w:tc>
              <w:tc>
                <w:tcPr>
                  <w:tcW w:w="2351" w:type="pct"/>
                  <w:vAlign w:val="center"/>
                </w:tcPr>
                <w:p>
                  <w:pPr>
                    <w:pStyle w:val="49"/>
                    <w:bidi w:val="0"/>
                    <w:ind w:left="0" w:leftChars="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highlight w:val="none"/>
                      <w:lang w:val="en-US" w:eastAsia="zh-CN"/>
                    </w:rPr>
                    <w:t>统一收集后，送至工业园区指定地点</w:t>
                  </w:r>
                </w:p>
              </w:tc>
              <w:tc>
                <w:tcPr>
                  <w:tcW w:w="1398" w:type="pct"/>
                  <w:vMerge w:val="continue"/>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c>
                <w:tcPr>
                  <w:tcW w:w="827"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废机油</w:t>
                  </w:r>
                </w:p>
              </w:tc>
              <w:tc>
                <w:tcPr>
                  <w:tcW w:w="2351" w:type="pct"/>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各供热点产生的废机油收集后</w:t>
                  </w:r>
                  <w:r>
                    <w:rPr>
                      <w:rFonts w:hint="eastAsia" w:ascii="Times New Roman" w:cs="Times New Roman"/>
                      <w:color w:val="auto"/>
                      <w:highlight w:val="none"/>
                      <w:lang w:val="en-US" w:eastAsia="zh-CN"/>
                    </w:rPr>
                    <w:t>暂存于危险废物贮存库</w:t>
                  </w:r>
                  <w:r>
                    <w:rPr>
                      <w:rFonts w:hint="eastAsia" w:ascii="Times New Roman" w:hAnsi="Times New Roman" w:eastAsia="宋体" w:cs="Times New Roman"/>
                      <w:color w:val="auto"/>
                      <w:highlight w:val="none"/>
                      <w:lang w:val="en-US" w:eastAsia="zh-CN"/>
                    </w:rPr>
                    <w:t>，委托有资质单位清运处置</w:t>
                  </w:r>
                </w:p>
              </w:tc>
              <w:tc>
                <w:tcPr>
                  <w:tcW w:w="1398" w:type="pct"/>
                  <w:vMerge w:val="continue"/>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p>
              </w:tc>
            </w:tr>
          </w:tbl>
          <w:p>
            <w:pPr>
              <w:pStyle w:val="68"/>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环境监测是企业搞好环境管理，促进污染治理设施正常运行的主要保障。通过定期的环境监测，可以及时发现问题、解决问题，从而有利于监督各项环保措施的落实。根据《排污单位自行监测技术 总则》（HJ819-2017）及《排污单位自行监测技术指南 火力发电及锅炉》（HJ820-2017），项目竣工环保验收监测</w:t>
            </w:r>
            <w:r>
              <w:rPr>
                <w:rFonts w:hint="eastAsia" w:cs="Times New Roman"/>
                <w:color w:val="auto"/>
                <w:sz w:val="24"/>
                <w:highlight w:val="none"/>
                <w:lang w:val="en-US" w:eastAsia="zh-CN"/>
              </w:rPr>
              <w:t>计划</w:t>
            </w:r>
            <w:r>
              <w:rPr>
                <w:rFonts w:hint="default" w:ascii="Times New Roman" w:hAnsi="Times New Roman" w:eastAsia="宋体" w:cs="Times New Roman"/>
                <w:color w:val="auto"/>
                <w:sz w:val="24"/>
                <w:highlight w:val="none"/>
                <w:lang w:val="en-US" w:eastAsia="zh-CN"/>
              </w:rPr>
              <w:t>一览表见下表5-2</w:t>
            </w:r>
            <w:r>
              <w:rPr>
                <w:rFonts w:hint="eastAsia" w:ascii="Times New Roman" w:hAnsi="Times New Roman" w:eastAsia="宋体" w:cs="Times New Roman"/>
                <w:color w:val="auto"/>
                <w:sz w:val="24"/>
                <w:highlight w:val="none"/>
                <w:lang w:val="en-US" w:eastAsia="zh-CN"/>
              </w:rPr>
              <w:t>。</w:t>
            </w:r>
          </w:p>
          <w:p>
            <w:pPr>
              <w:pStyle w:val="4"/>
              <w:keepNext w:val="0"/>
              <w:keepLines w:val="0"/>
              <w:pageBreakBefore w:val="0"/>
              <w:widowControl w:val="0"/>
              <w:kinsoku/>
              <w:wordWrap/>
              <w:overflowPunct/>
              <w:topLinePunct w:val="0"/>
              <w:autoSpaceDE/>
              <w:autoSpaceDN/>
              <w:bidi w:val="0"/>
              <w:adjustRightInd/>
              <w:snapToGrid/>
              <w:spacing w:before="0" w:after="157" w:afterLines="5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5-2项目竣工环保验收监测一览表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35"/>
              <w:gridCol w:w="1568"/>
              <w:gridCol w:w="2400"/>
              <w:gridCol w:w="2397"/>
              <w:gridCol w:w="1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376"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类别</w:t>
                  </w:r>
                </w:p>
              </w:tc>
              <w:tc>
                <w:tcPr>
                  <w:tcW w:w="929"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监测点位</w:t>
                  </w:r>
                </w:p>
              </w:tc>
              <w:tc>
                <w:tcPr>
                  <w:tcW w:w="1422"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监测项目</w:t>
                  </w:r>
                </w:p>
              </w:tc>
              <w:tc>
                <w:tcPr>
                  <w:tcW w:w="1420"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监测频率</w:t>
                  </w:r>
                </w:p>
              </w:tc>
              <w:tc>
                <w:tcPr>
                  <w:tcW w:w="851"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监测方法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jc w:val="center"/>
              </w:trPr>
              <w:tc>
                <w:tcPr>
                  <w:tcW w:w="376" w:type="pct"/>
                  <w:vMerge w:val="restar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废气</w:t>
                  </w:r>
                </w:p>
              </w:tc>
              <w:tc>
                <w:tcPr>
                  <w:tcW w:w="929" w:type="pct"/>
                  <w:vMerge w:val="restar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①海大供热点</w:t>
                  </w:r>
                  <w:r>
                    <w:rPr>
                      <w:rFonts w:hint="eastAsia" w:ascii="Times New Roman" w:hAnsi="Times New Roman" w:eastAsia="宋体" w:cs="Times New Roman"/>
                      <w:color w:val="auto"/>
                      <w:highlight w:val="none"/>
                      <w:lang w:val="en-US" w:eastAsia="zh-CN"/>
                    </w:rPr>
                    <w:t>DA00</w:t>
                  </w:r>
                  <w:r>
                    <w:rPr>
                      <w:rFonts w:hint="eastAsia" w:ascii="Times New Roman" w:cs="Times New Roman"/>
                      <w:color w:val="auto"/>
                      <w:highlight w:val="none"/>
                      <w:lang w:val="en-US" w:eastAsia="zh-CN"/>
                    </w:rPr>
                    <w:t>1</w:t>
                  </w:r>
                  <w:r>
                    <w:rPr>
                      <w:rFonts w:hint="default" w:ascii="Times New Roman" w:hAnsi="Times New Roman" w:eastAsia="宋体" w:cs="Times New Roman"/>
                      <w:color w:val="auto"/>
                      <w:highlight w:val="none"/>
                      <w:lang w:val="en-US" w:eastAsia="zh-CN"/>
                    </w:rPr>
                    <w:t>排放口</w:t>
                  </w:r>
                  <w:r>
                    <w:rPr>
                      <w:rFonts w:hint="eastAsia" w:ascii="Times New Roman" w:cs="Times New Roman"/>
                      <w:color w:val="auto"/>
                      <w:highlight w:val="none"/>
                      <w:lang w:val="en-US" w:eastAsia="zh-CN"/>
                    </w:rPr>
                    <w:t>；②特驱供热点</w:t>
                  </w:r>
                  <w:r>
                    <w:rPr>
                      <w:rFonts w:hint="eastAsia" w:ascii="Times New Roman" w:hAnsi="Times New Roman" w:eastAsia="宋体" w:cs="Times New Roman"/>
                      <w:color w:val="auto"/>
                      <w:highlight w:val="none"/>
                      <w:lang w:val="en-US" w:eastAsia="zh-CN"/>
                    </w:rPr>
                    <w:t>DA00</w:t>
                  </w:r>
                  <w:r>
                    <w:rPr>
                      <w:rFonts w:hint="eastAsia" w:ascii="Times New Roman" w:cs="Times New Roman"/>
                      <w:color w:val="auto"/>
                      <w:highlight w:val="none"/>
                      <w:lang w:val="en-US" w:eastAsia="zh-CN"/>
                    </w:rPr>
                    <w:t>2</w:t>
                  </w:r>
                  <w:r>
                    <w:rPr>
                      <w:rFonts w:hint="default" w:ascii="Times New Roman" w:hAnsi="Times New Roman" w:eastAsia="宋体" w:cs="Times New Roman"/>
                      <w:color w:val="auto"/>
                      <w:highlight w:val="none"/>
                      <w:lang w:val="en-US" w:eastAsia="zh-CN"/>
                    </w:rPr>
                    <w:t>排放口</w:t>
                  </w:r>
                  <w:r>
                    <w:rPr>
                      <w:rFonts w:hint="eastAsia" w:ascii="Times New Roman" w:hAnsi="Times New Roman" w:eastAsia="宋体" w:cs="Times New Roman"/>
                      <w:color w:val="auto"/>
                      <w:highlight w:val="none"/>
                      <w:lang w:val="en-US" w:eastAsia="zh-CN"/>
                    </w:rPr>
                    <w:t>；③</w:t>
                  </w:r>
                  <w:r>
                    <w:rPr>
                      <w:rFonts w:hint="eastAsia" w:ascii="Times New Roman" w:cs="Times New Roman"/>
                      <w:color w:val="auto"/>
                      <w:highlight w:val="none"/>
                      <w:lang w:val="en-US" w:eastAsia="zh-CN"/>
                    </w:rPr>
                    <w:t>漓源供热点</w:t>
                  </w:r>
                  <w:r>
                    <w:rPr>
                      <w:rFonts w:hint="eastAsia" w:ascii="Times New Roman" w:hAnsi="Times New Roman" w:eastAsia="宋体" w:cs="Times New Roman"/>
                      <w:color w:val="auto"/>
                      <w:highlight w:val="none"/>
                      <w:lang w:val="en-US" w:eastAsia="zh-CN"/>
                    </w:rPr>
                    <w:t>DA00</w:t>
                  </w:r>
                  <w:r>
                    <w:rPr>
                      <w:rFonts w:hint="eastAsia" w:ascii="Times New Roman" w:cs="Times New Roman"/>
                      <w:color w:val="auto"/>
                      <w:highlight w:val="none"/>
                      <w:lang w:val="en-US" w:eastAsia="zh-CN"/>
                    </w:rPr>
                    <w:t>3</w:t>
                  </w:r>
                  <w:r>
                    <w:rPr>
                      <w:rFonts w:hint="default" w:ascii="Times New Roman" w:hAnsi="Times New Roman" w:eastAsia="宋体" w:cs="Times New Roman"/>
                      <w:color w:val="auto"/>
                      <w:highlight w:val="none"/>
                      <w:lang w:val="en-US" w:eastAsia="zh-CN"/>
                    </w:rPr>
                    <w:t>排放口</w:t>
                  </w:r>
                </w:p>
              </w:tc>
              <w:tc>
                <w:tcPr>
                  <w:tcW w:w="1422" w:type="pct"/>
                  <w:tcBorders>
                    <w:tl2br w:val="nil"/>
                    <w:tr2bl w:val="nil"/>
                  </w:tcBorders>
                  <w:noWrap w:val="0"/>
                  <w:vAlign w:val="center"/>
                </w:tcPr>
                <w:p>
                  <w:pPr>
                    <w:pStyle w:val="49"/>
                    <w:bidi w:val="0"/>
                    <w:ind w:left="0" w:leftChars="0" w:firstLine="0" w:firstLineChars="0"/>
                    <w:jc w:val="center"/>
                    <w:rPr>
                      <w:rFonts w:hint="eastAsia" w:ascii="Times New Roman" w:cs="Times New Roman"/>
                      <w:color w:val="auto"/>
                      <w:highlight w:val="none"/>
                      <w:lang w:val="en-US" w:eastAsia="zh-CN"/>
                    </w:rPr>
                  </w:pPr>
                  <w:r>
                    <w:rPr>
                      <w:rFonts w:hint="default" w:ascii="Times New Roman" w:hAnsi="Times New Roman" w:eastAsia="宋体" w:cs="Times New Roman"/>
                      <w:color w:val="auto"/>
                      <w:highlight w:val="none"/>
                      <w:lang w:val="en-US" w:eastAsia="zh-CN"/>
                    </w:rPr>
                    <w:t>SO</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、NOx、颗粒物</w:t>
                  </w:r>
                </w:p>
              </w:tc>
              <w:tc>
                <w:tcPr>
                  <w:tcW w:w="1420"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验收时监测一次，监测2天，每天3次</w:t>
                  </w:r>
                  <w:r>
                    <w:rPr>
                      <w:rFonts w:hint="eastAsia" w:ascii="Times New Roman" w:cs="Times New Roman"/>
                      <w:color w:val="auto"/>
                      <w:highlight w:val="none"/>
                      <w:lang w:val="en-US" w:eastAsia="zh-CN"/>
                    </w:rPr>
                    <w:t>。以后自动监测。</w:t>
                  </w:r>
                </w:p>
              </w:tc>
              <w:tc>
                <w:tcPr>
                  <w:tcW w:w="851" w:type="pct"/>
                  <w:vMerge w:val="restar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按照相关监测技术规范进行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jc w:val="center"/>
              </w:trPr>
              <w:tc>
                <w:tcPr>
                  <w:tcW w:w="376" w:type="pct"/>
                  <w:vMerge w:val="continue"/>
                  <w:tcBorders>
                    <w:tl2br w:val="nil"/>
                    <w:tr2bl w:val="nil"/>
                  </w:tcBorders>
                  <w:noWrap w:val="0"/>
                  <w:vAlign w:val="center"/>
                </w:tcPr>
                <w:p>
                  <w:pPr>
                    <w:pStyle w:val="49"/>
                    <w:bidi w:val="0"/>
                    <w:ind w:left="0" w:leftChars="0" w:firstLine="0" w:firstLineChars="0"/>
                    <w:jc w:val="center"/>
                    <w:rPr>
                      <w:color w:val="auto"/>
                      <w:highlight w:val="none"/>
                    </w:rPr>
                  </w:pPr>
                </w:p>
              </w:tc>
              <w:tc>
                <w:tcPr>
                  <w:tcW w:w="929" w:type="pct"/>
                  <w:vMerge w:val="continue"/>
                  <w:tcBorders>
                    <w:tl2br w:val="nil"/>
                    <w:tr2bl w:val="nil"/>
                  </w:tcBorders>
                  <w:noWrap w:val="0"/>
                  <w:vAlign w:val="center"/>
                </w:tcPr>
                <w:p>
                  <w:pPr>
                    <w:pStyle w:val="49"/>
                    <w:bidi w:val="0"/>
                    <w:ind w:left="0" w:leftChars="0" w:firstLine="0" w:firstLineChars="0"/>
                    <w:jc w:val="center"/>
                    <w:rPr>
                      <w:color w:val="auto"/>
                      <w:highlight w:val="none"/>
                    </w:rPr>
                  </w:pPr>
                </w:p>
              </w:tc>
              <w:tc>
                <w:tcPr>
                  <w:tcW w:w="1422"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烟气黑度</w:t>
                  </w:r>
                </w:p>
              </w:tc>
              <w:tc>
                <w:tcPr>
                  <w:tcW w:w="1420"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验收时监测一次，监测2天，每天3次</w:t>
                  </w:r>
                  <w:r>
                    <w:rPr>
                      <w:rFonts w:hint="eastAsia" w:ascii="Times New Roman" w:cs="Times New Roman"/>
                      <w:color w:val="auto"/>
                      <w:highlight w:val="none"/>
                      <w:lang w:val="en-US" w:eastAsia="zh-CN"/>
                    </w:rPr>
                    <w:t>。以后每季度1次。</w:t>
                  </w:r>
                </w:p>
              </w:tc>
              <w:tc>
                <w:tcPr>
                  <w:tcW w:w="851" w:type="pct"/>
                  <w:vMerge w:val="continue"/>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376" w:type="pct"/>
                  <w:vMerge w:val="continue"/>
                  <w:tcBorders>
                    <w:tl2br w:val="nil"/>
                    <w:tr2bl w:val="nil"/>
                  </w:tcBorders>
                  <w:noWrap w:val="0"/>
                  <w:vAlign w:val="center"/>
                </w:tcPr>
                <w:p>
                  <w:pPr>
                    <w:pStyle w:val="49"/>
                    <w:bidi w:val="0"/>
                    <w:jc w:val="center"/>
                    <w:rPr>
                      <w:rFonts w:hint="eastAsia" w:ascii="Times New Roman" w:hAnsi="Times New Roman" w:eastAsia="宋体" w:cs="Times New Roman"/>
                      <w:color w:val="auto"/>
                      <w:highlight w:val="none"/>
                      <w:lang w:val="en-US" w:eastAsia="zh-CN"/>
                    </w:rPr>
                  </w:pPr>
                </w:p>
              </w:tc>
              <w:tc>
                <w:tcPr>
                  <w:tcW w:w="929" w:type="pct"/>
                  <w:tcBorders>
                    <w:tl2br w:val="nil"/>
                    <w:tr2bl w:val="nil"/>
                  </w:tcBorders>
                  <w:noWrap w:val="0"/>
                  <w:vAlign w:val="center"/>
                </w:tcPr>
                <w:p>
                  <w:pPr>
                    <w:pStyle w:val="49"/>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各供热点</w:t>
                  </w:r>
                  <w:r>
                    <w:rPr>
                      <w:rFonts w:hint="eastAsia" w:ascii="Times New Roman" w:hAnsi="Times New Roman" w:eastAsia="宋体" w:cs="Times New Roman"/>
                      <w:color w:val="auto"/>
                      <w:highlight w:val="none"/>
                      <w:lang w:val="en-US" w:eastAsia="zh-CN"/>
                    </w:rPr>
                    <w:t>厂界上风向一个点，下风向三个点</w:t>
                  </w:r>
                </w:p>
              </w:tc>
              <w:tc>
                <w:tcPr>
                  <w:tcW w:w="1422" w:type="pct"/>
                  <w:tcBorders>
                    <w:tl2br w:val="nil"/>
                    <w:tr2bl w:val="nil"/>
                  </w:tcBorders>
                  <w:noWrap w:val="0"/>
                  <w:vAlign w:val="center"/>
                </w:tcPr>
                <w:p>
                  <w:pPr>
                    <w:pStyle w:val="49"/>
                    <w:bidi w:val="0"/>
                    <w:ind w:left="0" w:leftChars="0" w:firstLine="0" w:firstLineChars="0"/>
                    <w:jc w:val="cente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TSP</w:t>
                  </w:r>
                </w:p>
              </w:tc>
              <w:tc>
                <w:tcPr>
                  <w:tcW w:w="142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验收时监测一次，监测</w:t>
                  </w:r>
                  <w:r>
                    <w:rPr>
                      <w:rFonts w:hint="eastAsia" w:ascii="Times New Roman" w:cs="Times New Roman"/>
                      <w:color w:val="auto"/>
                      <w:highlight w:val="none"/>
                      <w:lang w:val="en-US" w:eastAsia="zh-CN"/>
                    </w:rPr>
                    <w:t>2</w:t>
                  </w:r>
                  <w:r>
                    <w:rPr>
                      <w:rFonts w:hint="eastAsia" w:ascii="Times New Roman" w:hAnsi="Times New Roman" w:eastAsia="宋体" w:cs="Times New Roman"/>
                      <w:color w:val="auto"/>
                      <w:highlight w:val="none"/>
                      <w:lang w:val="en-US" w:eastAsia="zh-CN"/>
                    </w:rPr>
                    <w:t>天，每天3次</w:t>
                  </w:r>
                  <w:r>
                    <w:rPr>
                      <w:rFonts w:hint="eastAsia" w:ascii="Times New Roman" w:cs="Times New Roman"/>
                      <w:color w:val="auto"/>
                      <w:highlight w:val="none"/>
                      <w:lang w:val="en-US" w:eastAsia="zh-CN"/>
                    </w:rPr>
                    <w:t>。</w:t>
                  </w:r>
                  <w:r>
                    <w:rPr>
                      <w:rFonts w:hint="eastAsia" w:ascii="Times New Roman" w:hAnsi="Times New Roman" w:eastAsia="宋体" w:cs="Times New Roman"/>
                      <w:color w:val="auto"/>
                      <w:highlight w:val="none"/>
                      <w:lang w:val="en-US" w:eastAsia="zh-CN"/>
                    </w:rPr>
                    <w:t>以后每</w:t>
                  </w:r>
                  <w:r>
                    <w:rPr>
                      <w:rFonts w:hint="eastAsia" w:ascii="Times New Roman" w:cs="Times New Roman"/>
                      <w:color w:val="auto"/>
                      <w:highlight w:val="none"/>
                      <w:lang w:val="en-US" w:eastAsia="zh-CN"/>
                    </w:rPr>
                    <w:t>季度1</w:t>
                  </w:r>
                  <w:r>
                    <w:rPr>
                      <w:rFonts w:hint="eastAsia" w:ascii="Times New Roman" w:hAnsi="Times New Roman" w:eastAsia="宋体" w:cs="Times New Roman"/>
                      <w:color w:val="auto"/>
                      <w:highlight w:val="none"/>
                      <w:lang w:val="en-US" w:eastAsia="zh-CN"/>
                    </w:rPr>
                    <w:t>次</w:t>
                  </w:r>
                  <w:r>
                    <w:rPr>
                      <w:rFonts w:hint="eastAsia" w:ascii="Times New Roman" w:cs="Times New Roman"/>
                      <w:color w:val="auto"/>
                      <w:highlight w:val="none"/>
                      <w:lang w:val="en-US" w:eastAsia="zh-CN"/>
                    </w:rPr>
                    <w:t>。</w:t>
                  </w:r>
                </w:p>
              </w:tc>
              <w:tc>
                <w:tcPr>
                  <w:tcW w:w="851" w:type="pct"/>
                  <w:vMerge w:val="continue"/>
                  <w:tcBorders>
                    <w:tl2br w:val="nil"/>
                    <w:tr2bl w:val="nil"/>
                  </w:tcBorders>
                  <w:noWrap w:val="0"/>
                  <w:vAlign w:val="center"/>
                </w:tcPr>
                <w:p>
                  <w:pPr>
                    <w:pStyle w:val="49"/>
                    <w:bidi w:val="0"/>
                    <w:jc w:val="center"/>
                    <w:rPr>
                      <w:rFonts w:hint="eastAsia"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376"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噪声</w:t>
                  </w:r>
                </w:p>
              </w:tc>
              <w:tc>
                <w:tcPr>
                  <w:tcW w:w="929"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各供热点</w:t>
                  </w:r>
                  <w:r>
                    <w:rPr>
                      <w:rFonts w:hint="eastAsia" w:ascii="Times New Roman" w:hAnsi="Times New Roman" w:eastAsia="宋体" w:cs="Times New Roman"/>
                      <w:color w:val="auto"/>
                      <w:highlight w:val="none"/>
                      <w:lang w:val="en-US" w:eastAsia="zh-CN"/>
                    </w:rPr>
                    <w:t>厂界外</w:t>
                  </w:r>
                  <w:r>
                    <w:rPr>
                      <w:rFonts w:hint="eastAsia" w:ascii="Times New Roman" w:cs="Times New Roman"/>
                      <w:color w:val="auto"/>
                      <w:highlight w:val="none"/>
                      <w:lang w:val="en-US" w:eastAsia="zh-CN"/>
                    </w:rPr>
                    <w:t>东、西、南、北</w:t>
                  </w:r>
                  <w:r>
                    <w:rPr>
                      <w:rFonts w:hint="eastAsia" w:ascii="Times New Roman" w:hAnsi="Times New Roman" w:eastAsia="宋体" w:cs="Times New Roman"/>
                      <w:color w:val="auto"/>
                      <w:highlight w:val="none"/>
                      <w:lang w:val="en-US" w:eastAsia="zh-CN"/>
                    </w:rPr>
                    <w:t>四个监测点</w:t>
                  </w:r>
                </w:p>
              </w:tc>
              <w:tc>
                <w:tcPr>
                  <w:tcW w:w="1422"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等效连续A声级</w:t>
                  </w:r>
                </w:p>
              </w:tc>
              <w:tc>
                <w:tcPr>
                  <w:tcW w:w="1420" w:type="pct"/>
                  <w:tcBorders>
                    <w:tl2br w:val="nil"/>
                    <w:tr2bl w:val="nil"/>
                  </w:tcBorders>
                  <w:noWrap w:val="0"/>
                  <w:vAlign w:val="center"/>
                </w:tcPr>
                <w:p>
                  <w:pPr>
                    <w:pStyle w:val="49"/>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验收时监测一次，监测</w:t>
                  </w:r>
                  <w:r>
                    <w:rPr>
                      <w:rFonts w:hint="eastAsia" w:ascii="Times New Roman" w:cs="Times New Roman"/>
                      <w:color w:val="auto"/>
                      <w:highlight w:val="none"/>
                      <w:lang w:val="en-US" w:eastAsia="zh-CN"/>
                    </w:rPr>
                    <w:t>2</w:t>
                  </w:r>
                  <w:r>
                    <w:rPr>
                      <w:rFonts w:hint="eastAsia" w:ascii="Times New Roman" w:hAnsi="Times New Roman" w:eastAsia="宋体" w:cs="Times New Roman"/>
                      <w:color w:val="auto"/>
                      <w:highlight w:val="none"/>
                      <w:lang w:val="en-US" w:eastAsia="zh-CN"/>
                    </w:rPr>
                    <w:t>天，昼间</w:t>
                  </w:r>
                  <w:r>
                    <w:rPr>
                      <w:rFonts w:hint="eastAsia" w:ascii="Times New Roman"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夜间各测1次</w:t>
                  </w:r>
                  <w:r>
                    <w:rPr>
                      <w:rFonts w:hint="eastAsia" w:ascii="Times New Roman" w:cs="Times New Roman"/>
                      <w:color w:val="auto"/>
                      <w:highlight w:val="none"/>
                      <w:lang w:val="en-US" w:eastAsia="zh-CN"/>
                    </w:rPr>
                    <w:t>。</w:t>
                  </w:r>
                  <w:r>
                    <w:rPr>
                      <w:rFonts w:hint="eastAsia" w:ascii="Times New Roman" w:hAnsi="Times New Roman" w:eastAsia="宋体" w:cs="Times New Roman"/>
                      <w:color w:val="auto"/>
                      <w:highlight w:val="none"/>
                      <w:lang w:val="en-US" w:eastAsia="zh-CN"/>
                    </w:rPr>
                    <w:t>以后每季度监测1次</w:t>
                  </w:r>
                  <w:r>
                    <w:rPr>
                      <w:rFonts w:hint="eastAsia" w:ascii="Times New Roman" w:cs="Times New Roman"/>
                      <w:color w:val="auto"/>
                      <w:highlight w:val="none"/>
                      <w:lang w:val="en-US" w:eastAsia="zh-CN"/>
                    </w:rPr>
                    <w:t>。</w:t>
                  </w:r>
                </w:p>
              </w:tc>
              <w:tc>
                <w:tcPr>
                  <w:tcW w:w="851" w:type="pct"/>
                  <w:vMerge w:val="continue"/>
                  <w:tcBorders>
                    <w:tl2br w:val="nil"/>
                    <w:tr2bl w:val="nil"/>
                  </w:tcBorders>
                  <w:noWrap w:val="0"/>
                  <w:vAlign w:val="center"/>
                </w:tcPr>
                <w:p>
                  <w:pPr>
                    <w:pStyle w:val="49"/>
                    <w:bidi w:val="0"/>
                    <w:jc w:val="center"/>
                    <w:rPr>
                      <w:rFonts w:hint="eastAsia" w:ascii="Times New Roman" w:hAnsi="Times New Roman" w:eastAsia="宋体" w:cs="Times New Roman"/>
                      <w:color w:val="auto"/>
                      <w:highlight w:val="none"/>
                      <w:lang w:val="en-US" w:eastAsia="zh-CN"/>
                    </w:rPr>
                  </w:pPr>
                </w:p>
              </w:tc>
            </w:tr>
          </w:tbl>
          <w:p>
            <w:pPr>
              <w:adjustRightInd w:val="0"/>
              <w:snapToGrid w:val="0"/>
              <w:ind w:firstLine="480" w:firstLineChars="200"/>
              <w:jc w:val="both"/>
              <w:rPr>
                <w:rFonts w:hint="default" w:ascii="Times New Roman" w:hAnsi="Times New Roman" w:eastAsia="宋体" w:cs="Times New Roman"/>
                <w:color w:val="auto"/>
                <w:sz w:val="24"/>
                <w:szCs w:val="24"/>
                <w:highlight w:val="none"/>
                <w:lang w:val="en-US" w:eastAsia="zh-CN"/>
              </w:rPr>
            </w:pPr>
          </w:p>
        </w:tc>
      </w:tr>
    </w:tbl>
    <w:p>
      <w:pPr>
        <w:pStyle w:val="27"/>
        <w:jc w:val="center"/>
        <w:outlineLvl w:val="0"/>
        <w:rPr>
          <w:rFonts w:hint="default" w:ascii="Times New Roman" w:hAnsi="Times New Roman" w:eastAsia="黑体" w:cs="Times New Roman"/>
          <w:b/>
          <w:bCs/>
          <w:color w:val="auto"/>
          <w:kern w:val="44"/>
          <w:sz w:val="30"/>
          <w:szCs w:val="30"/>
          <w:highlight w:val="none"/>
          <w:lang w:val="en-US" w:eastAsia="zh-CN" w:bidi="ar-SA"/>
        </w:rPr>
      </w:pPr>
      <w:r>
        <w:rPr>
          <w:rFonts w:hint="default" w:ascii="Times New Roman" w:hAnsi="Times New Roman" w:cs="Times New Roman"/>
          <w:snapToGrid w:val="0"/>
          <w:color w:val="auto"/>
          <w:highlight w:val="none"/>
        </w:rPr>
        <w:br w:type="page"/>
      </w:r>
      <w:bookmarkStart w:id="15" w:name="_Toc3537"/>
      <w:r>
        <w:rPr>
          <w:rFonts w:hint="default" w:ascii="Times New Roman" w:hAnsi="Times New Roman" w:eastAsia="黑体" w:cs="Times New Roman"/>
          <w:b/>
          <w:bCs/>
          <w:color w:val="auto"/>
          <w:kern w:val="44"/>
          <w:sz w:val="30"/>
          <w:szCs w:val="30"/>
          <w:highlight w:val="none"/>
          <w:lang w:val="en-US" w:eastAsia="zh-CN" w:bidi="ar-SA"/>
        </w:rPr>
        <w:t>六、结论</w:t>
      </w:r>
      <w:bookmarkEnd w:id="15"/>
    </w:p>
    <w:tbl>
      <w:tblPr>
        <w:tblStyle w:val="29"/>
        <w:tblW w:w="94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4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91" w:hRule="atLeast"/>
          <w:jc w:val="center"/>
        </w:trPr>
        <w:tc>
          <w:tcPr>
            <w:tcW w:w="945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本项目的建设符合国家、地方产业政策，以及相关规划，不涉及自然保护区、风景名胜区、水源保护区等环境敏感区，选址合理。项目运营期产生的废气、废水、噪声、固废等在采取评价提出的相应污染防治措施后，均可得到有效的治理或综合利用，实现达标排放。项目建设对当地环境质量影响较小，符合达标排放、总量控制和不降低当地环境功能的原则要求，符合国家法律法规要求。</w:t>
            </w:r>
          </w:p>
          <w:p>
            <w:pPr>
              <w:autoSpaceDE w:val="0"/>
              <w:autoSpaceDN w:val="0"/>
              <w:adjustRightInd w:val="0"/>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本项目在严格执行环境保护“三同时”制度，严格进行环境管理，保证项目内的废气处理设施及其他环保设施的正常运行，污染物达标排放的条件下，从环境保护角度论证，本项目的建设是可行的。</w:t>
            </w:r>
          </w:p>
          <w:p>
            <w:pPr>
              <w:autoSpaceDE w:val="0"/>
              <w:autoSpaceDN w:val="0"/>
              <w:adjustRightInd w:val="0"/>
              <w:spacing w:line="360" w:lineRule="auto"/>
              <w:ind w:firstLine="480" w:firstLineChars="200"/>
              <w:rPr>
                <w:rFonts w:hint="default"/>
                <w:color w:val="auto"/>
                <w:sz w:val="24"/>
                <w:szCs w:val="24"/>
                <w:highlight w:val="none"/>
                <w:lang w:val="en-US" w:eastAsia="zh-CN"/>
              </w:rPr>
            </w:pPr>
          </w:p>
          <w:p>
            <w:pPr>
              <w:autoSpaceDE w:val="0"/>
              <w:autoSpaceDN w:val="0"/>
              <w:adjustRightInd w:val="0"/>
              <w:spacing w:line="360" w:lineRule="auto"/>
              <w:ind w:firstLine="480" w:firstLineChars="200"/>
              <w:rPr>
                <w:rFonts w:hint="default"/>
                <w:color w:val="auto"/>
                <w:sz w:val="24"/>
                <w:szCs w:val="24"/>
                <w:highlight w:val="none"/>
                <w:lang w:val="en-US" w:eastAsia="zh-CN"/>
              </w:rPr>
            </w:pPr>
          </w:p>
          <w:p>
            <w:pPr>
              <w:pStyle w:val="18"/>
              <w:rPr>
                <w:rFonts w:hint="default" w:ascii="Times New Roman" w:hAnsi="Times New Roman" w:eastAsia="宋体" w:cs="Times New Roman"/>
                <w:bCs/>
                <w:color w:val="auto"/>
                <w:kern w:val="0"/>
                <w:sz w:val="24"/>
                <w:szCs w:val="24"/>
                <w:highlight w:val="none"/>
                <w:lang w:val="en-US" w:eastAsia="zh-CN" w:bidi="ar-SA"/>
              </w:rPr>
            </w:pPr>
          </w:p>
          <w:p>
            <w:pPr>
              <w:pStyle w:val="18"/>
              <w:rPr>
                <w:rFonts w:hint="default" w:ascii="Times New Roman" w:hAnsi="Times New Roman" w:eastAsia="宋体" w:cs="Times New Roman"/>
                <w:bCs/>
                <w:color w:val="auto"/>
                <w:kern w:val="0"/>
                <w:sz w:val="24"/>
                <w:szCs w:val="24"/>
                <w:highlight w:val="none"/>
                <w:lang w:val="en-US" w:eastAsia="zh-CN" w:bidi="ar-SA"/>
              </w:rPr>
            </w:pPr>
          </w:p>
          <w:p>
            <w:pPr>
              <w:pStyle w:val="18"/>
              <w:rPr>
                <w:rFonts w:hint="default" w:ascii="Times New Roman" w:hAnsi="Times New Roman" w:eastAsia="宋体" w:cs="Times New Roman"/>
                <w:bCs/>
                <w:color w:val="auto"/>
                <w:kern w:val="0"/>
                <w:sz w:val="24"/>
                <w:szCs w:val="24"/>
                <w:highlight w:val="none"/>
                <w:lang w:val="en-US" w:eastAsia="zh-CN" w:bidi="ar-SA"/>
              </w:rPr>
            </w:pPr>
          </w:p>
          <w:p>
            <w:pPr>
              <w:pStyle w:val="18"/>
              <w:rPr>
                <w:rFonts w:hint="default" w:ascii="Times New Roman" w:hAnsi="Times New Roman" w:eastAsia="宋体" w:cs="Times New Roman"/>
                <w:bCs/>
                <w:color w:val="auto"/>
                <w:kern w:val="0"/>
                <w:sz w:val="24"/>
                <w:szCs w:val="24"/>
                <w:highlight w:val="none"/>
                <w:lang w:val="en-US" w:eastAsia="zh-CN" w:bidi="ar-SA"/>
              </w:rPr>
            </w:pPr>
          </w:p>
          <w:p>
            <w:pPr>
              <w:pStyle w:val="18"/>
              <w:rPr>
                <w:rFonts w:hint="default" w:ascii="Times New Roman" w:hAnsi="Times New Roman" w:eastAsia="宋体" w:cs="Times New Roman"/>
                <w:bCs/>
                <w:color w:val="auto"/>
                <w:kern w:val="0"/>
                <w:sz w:val="24"/>
                <w:szCs w:val="24"/>
                <w:highlight w:val="none"/>
                <w:lang w:val="en-US" w:eastAsia="zh-CN" w:bidi="ar-SA"/>
              </w:rPr>
            </w:pPr>
          </w:p>
          <w:p>
            <w:pPr>
              <w:pStyle w:val="18"/>
              <w:rPr>
                <w:rFonts w:hint="default" w:ascii="Times New Roman" w:hAnsi="Times New Roman" w:eastAsia="宋体" w:cs="Times New Roman"/>
                <w:bCs/>
                <w:color w:val="auto"/>
                <w:kern w:val="0"/>
                <w:sz w:val="24"/>
                <w:szCs w:val="24"/>
                <w:highlight w:val="none"/>
                <w:lang w:val="en-US" w:eastAsia="zh-CN" w:bidi="ar-SA"/>
              </w:rPr>
            </w:pPr>
          </w:p>
          <w:p>
            <w:pPr>
              <w:pStyle w:val="18"/>
              <w:ind w:left="0" w:leftChars="0" w:firstLine="0" w:firstLineChars="0"/>
              <w:rPr>
                <w:rFonts w:hint="default" w:ascii="Times New Roman" w:hAnsi="Times New Roman" w:eastAsia="宋体" w:cs="Times New Roman"/>
                <w:bCs/>
                <w:color w:val="auto"/>
                <w:kern w:val="0"/>
                <w:sz w:val="24"/>
                <w:szCs w:val="24"/>
                <w:highlight w:val="none"/>
                <w:lang w:val="en-US" w:eastAsia="zh-CN" w:bidi="ar-SA"/>
              </w:rPr>
            </w:pPr>
          </w:p>
        </w:tc>
      </w:tr>
    </w:tbl>
    <w:p>
      <w:pPr>
        <w:rPr>
          <w:rFonts w:hint="default" w:ascii="Times New Roman" w:hAnsi="Times New Roman" w:eastAsia="黑体" w:cs="Times New Roman"/>
          <w:color w:val="auto"/>
          <w:highlight w:val="none"/>
        </w:rPr>
      </w:pPr>
    </w:p>
    <w:p>
      <w:pPr>
        <w:pStyle w:val="18"/>
        <w:bidi w:val="0"/>
        <w:rPr>
          <w:rFonts w:hint="default"/>
          <w:color w:val="auto"/>
          <w:highlight w:val="none"/>
        </w:rPr>
      </w:pPr>
    </w:p>
    <w:p>
      <w:pPr>
        <w:pStyle w:val="18"/>
        <w:bidi w:val="0"/>
        <w:rPr>
          <w:rFonts w:hint="default"/>
          <w:color w:val="auto"/>
          <w:highlight w:val="none"/>
        </w:rPr>
        <w:sectPr>
          <w:footerReference r:id="rId8" w:type="default"/>
          <w:pgSz w:w="11906" w:h="16838"/>
          <w:pgMar w:top="1304" w:right="1134" w:bottom="1304"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7"/>
        <w:adjustRightInd w:val="0"/>
        <w:snapToGrid w:val="0"/>
        <w:spacing w:before="0" w:beforeAutospacing="0" w:after="0" w:afterAutospacing="0" w:line="648" w:lineRule="auto"/>
        <w:outlineLvl w:val="0"/>
        <w:rPr>
          <w:rFonts w:ascii="黑体" w:hAnsi="黑体" w:eastAsia="黑体"/>
          <w:snapToGrid w:val="0"/>
          <w:color w:val="auto"/>
          <w:sz w:val="32"/>
          <w:szCs w:val="32"/>
          <w:highlight w:val="none"/>
        </w:rPr>
      </w:pPr>
      <w:bookmarkStart w:id="16" w:name="_Toc12055"/>
      <w:r>
        <w:rPr>
          <w:rFonts w:hint="eastAsia" w:ascii="黑体" w:hAnsi="黑体" w:eastAsia="黑体"/>
          <w:snapToGrid w:val="0"/>
          <w:color w:val="auto"/>
          <w:sz w:val="32"/>
          <w:szCs w:val="32"/>
          <w:highlight w:val="none"/>
        </w:rPr>
        <w:t>附表</w:t>
      </w:r>
      <w:bookmarkEnd w:id="16"/>
    </w:p>
    <w:p>
      <w:pPr>
        <w:pStyle w:val="27"/>
        <w:adjustRightInd w:val="0"/>
        <w:snapToGrid w:val="0"/>
        <w:spacing w:before="0" w:beforeAutospacing="0" w:after="0" w:afterAutospacing="0" w:line="552" w:lineRule="auto"/>
        <w:jc w:val="center"/>
        <w:outlineLvl w:val="0"/>
        <w:rPr>
          <w:rFonts w:hint="eastAsia" w:ascii="方正小标宋_GBK" w:hAnsi="黑体" w:eastAsia="方正小标宋_GBK"/>
          <w:snapToGrid w:val="0"/>
          <w:color w:val="auto"/>
          <w:sz w:val="38"/>
          <w:szCs w:val="38"/>
          <w:highlight w:val="none"/>
        </w:rPr>
      </w:pPr>
      <w:bookmarkStart w:id="17" w:name="_Toc15558"/>
      <w:r>
        <w:rPr>
          <w:rFonts w:hint="eastAsia" w:ascii="方正小标宋_GBK" w:hAnsi="黑体" w:eastAsia="方正小标宋_GBK"/>
          <w:snapToGrid w:val="0"/>
          <w:color w:val="auto"/>
          <w:sz w:val="38"/>
          <w:szCs w:val="38"/>
          <w:highlight w:val="none"/>
        </w:rPr>
        <w:t>建设项目污染物排放量汇总表</w:t>
      </w:r>
      <w:bookmarkEnd w:id="17"/>
    </w:p>
    <w:tbl>
      <w:tblPr>
        <w:tblStyle w:val="29"/>
        <w:tblW w:w="141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960"/>
        <w:gridCol w:w="1748"/>
        <w:gridCol w:w="1312"/>
        <w:gridCol w:w="1748"/>
        <w:gridCol w:w="1603"/>
        <w:gridCol w:w="1810"/>
        <w:gridCol w:w="1675"/>
        <w:gridCol w:w="11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9" w:type="dxa"/>
            <w:tcBorders>
              <w:tl2br w:val="single" w:color="auto" w:sz="4" w:space="0"/>
            </w:tcBorders>
            <w:noWrap w:val="0"/>
            <w:tcMar>
              <w:left w:w="28" w:type="dxa"/>
              <w:right w:w="28" w:type="dxa"/>
            </w:tcMar>
            <w:vAlign w:val="center"/>
          </w:tcPr>
          <w:p>
            <w:pPr>
              <w:pStyle w:val="49"/>
              <w:spacing w:beforeLines="0" w:afterLines="0" w:line="240" w:lineRule="auto"/>
              <w:jc w:val="center"/>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项目</w:t>
            </w:r>
          </w:p>
          <w:p>
            <w:pPr>
              <w:pStyle w:val="49"/>
              <w:spacing w:beforeLines="0" w:afterLines="0" w:line="240" w:lineRule="auto"/>
              <w:jc w:val="center"/>
              <w:rPr>
                <w:rFonts w:hint="default" w:ascii="Times New Roman" w:hAnsi="Times New Roman" w:eastAsia="宋体" w:cs="Times New Roman"/>
                <w:snapToGrid w:val="0"/>
                <w:color w:val="auto"/>
                <w:spacing w:val="-6"/>
                <w:kern w:val="21"/>
                <w:sz w:val="21"/>
                <w:szCs w:val="21"/>
                <w:highlight w:val="none"/>
              </w:rPr>
            </w:pPr>
          </w:p>
          <w:p>
            <w:pPr>
              <w:pStyle w:val="49"/>
              <w:spacing w:beforeLines="0" w:afterLines="0" w:line="240" w:lineRule="auto"/>
              <w:jc w:val="center"/>
              <w:rPr>
                <w:rFonts w:hint="default" w:ascii="Times New Roman" w:hAnsi="Times New Roman" w:eastAsia="宋体" w:cs="Times New Roman"/>
                <w:snapToGrid w:val="0"/>
                <w:color w:val="auto"/>
                <w:spacing w:val="-6"/>
                <w:kern w:val="21"/>
                <w:sz w:val="21"/>
                <w:szCs w:val="21"/>
                <w:highlight w:val="none"/>
              </w:rPr>
            </w:pPr>
          </w:p>
          <w:p>
            <w:pPr>
              <w:pStyle w:val="49"/>
              <w:spacing w:beforeLines="0" w:afterLines="0" w:line="240" w:lineRule="auto"/>
              <w:ind w:left="0" w:leftChars="0" w:firstLine="0" w:firstLineChars="0"/>
              <w:jc w:val="both"/>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分类</w:t>
            </w:r>
          </w:p>
        </w:tc>
        <w:tc>
          <w:tcPr>
            <w:tcW w:w="1960" w:type="dxa"/>
            <w:noWrap w:val="0"/>
            <w:tcMar>
              <w:left w:w="28" w:type="dxa"/>
              <w:right w:w="28" w:type="dxa"/>
            </w:tcMar>
            <w:vAlign w:val="center"/>
          </w:tcPr>
          <w:p>
            <w:pPr>
              <w:pStyle w:val="49"/>
              <w:spacing w:beforeLines="0" w:afterLines="0" w:line="240" w:lineRule="auto"/>
              <w:ind w:left="0" w:leftChars="0" w:firstLine="0" w:firstLineChars="0"/>
              <w:jc w:val="both"/>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污染物名称</w:t>
            </w:r>
          </w:p>
        </w:tc>
        <w:tc>
          <w:tcPr>
            <w:tcW w:w="1748" w:type="dxa"/>
            <w:noWrap w:val="0"/>
            <w:tcMar>
              <w:left w:w="28" w:type="dxa"/>
              <w:right w:w="28" w:type="dxa"/>
            </w:tcMar>
            <w:vAlign w:val="center"/>
          </w:tcPr>
          <w:p>
            <w:pPr>
              <w:pStyle w:val="49"/>
              <w:spacing w:beforeLines="0" w:afterLines="0" w:line="240" w:lineRule="auto"/>
              <w:ind w:left="0" w:leftChars="0" w:firstLine="0" w:firstLineChars="0"/>
              <w:jc w:val="both"/>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现有工程排放量（固体废物产生量）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①</w:t>
            </w:r>
            <w:r>
              <w:rPr>
                <w:rFonts w:hint="default" w:ascii="Times New Roman" w:hAnsi="Times New Roman" w:eastAsia="宋体" w:cs="Times New Roman"/>
                <w:snapToGrid w:val="0"/>
                <w:color w:val="auto"/>
                <w:spacing w:val="-6"/>
                <w:kern w:val="21"/>
                <w:sz w:val="21"/>
                <w:szCs w:val="21"/>
                <w:highlight w:val="none"/>
              </w:rPr>
              <w:fldChar w:fldCharType="end"/>
            </w:r>
          </w:p>
        </w:tc>
        <w:tc>
          <w:tcPr>
            <w:tcW w:w="1312" w:type="dxa"/>
            <w:noWrap w:val="0"/>
            <w:tcMar>
              <w:left w:w="28" w:type="dxa"/>
              <w:right w:w="28" w:type="dxa"/>
            </w:tcMar>
            <w:vAlign w:val="center"/>
          </w:tcPr>
          <w:p>
            <w:pPr>
              <w:pStyle w:val="49"/>
              <w:spacing w:beforeLines="0" w:afterLines="0" w:line="240" w:lineRule="auto"/>
              <w:ind w:left="0" w:leftChars="0" w:firstLine="0" w:firstLineChars="0"/>
              <w:jc w:val="both"/>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现有工程许可排放量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2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snapToGrid w:val="0"/>
                <w:color w:val="auto"/>
                <w:spacing w:val="-6"/>
                <w:kern w:val="21"/>
                <w:sz w:val="21"/>
                <w:szCs w:val="21"/>
                <w:highlight w:val="none"/>
              </w:rPr>
              <w:t>②</w:t>
            </w:r>
            <w:r>
              <w:rPr>
                <w:rFonts w:hint="default" w:ascii="Times New Roman" w:hAnsi="Times New Roman" w:eastAsia="宋体" w:cs="Times New Roman"/>
                <w:snapToGrid w:val="0"/>
                <w:color w:val="auto"/>
                <w:spacing w:val="-6"/>
                <w:kern w:val="21"/>
                <w:sz w:val="21"/>
                <w:szCs w:val="21"/>
                <w:highlight w:val="none"/>
              </w:rPr>
              <w:fldChar w:fldCharType="end"/>
            </w:r>
          </w:p>
        </w:tc>
        <w:tc>
          <w:tcPr>
            <w:tcW w:w="1748" w:type="dxa"/>
            <w:noWrap w:val="0"/>
            <w:tcMar>
              <w:left w:w="28" w:type="dxa"/>
              <w:right w:w="28" w:type="dxa"/>
            </w:tcMar>
            <w:vAlign w:val="center"/>
          </w:tcPr>
          <w:p>
            <w:pPr>
              <w:pStyle w:val="49"/>
              <w:spacing w:beforeLines="0" w:afterLines="0" w:line="240" w:lineRule="auto"/>
              <w:ind w:left="0" w:leftChars="0" w:firstLine="0" w:firstLineChars="0"/>
              <w:jc w:val="both"/>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在建工程排放量（固体废物产生量）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③</w:t>
            </w:r>
            <w:r>
              <w:rPr>
                <w:rFonts w:hint="default" w:ascii="Times New Roman" w:hAnsi="Times New Roman" w:eastAsia="宋体" w:cs="Times New Roman"/>
                <w:snapToGrid w:val="0"/>
                <w:color w:val="auto"/>
                <w:spacing w:val="-6"/>
                <w:kern w:val="21"/>
                <w:sz w:val="21"/>
                <w:szCs w:val="21"/>
                <w:highlight w:val="none"/>
              </w:rPr>
              <w:fldChar w:fldCharType="end"/>
            </w:r>
          </w:p>
        </w:tc>
        <w:tc>
          <w:tcPr>
            <w:tcW w:w="1603" w:type="dxa"/>
            <w:noWrap w:val="0"/>
            <w:tcMar>
              <w:left w:w="28" w:type="dxa"/>
              <w:right w:w="28" w:type="dxa"/>
            </w:tcMar>
            <w:vAlign w:val="center"/>
          </w:tcPr>
          <w:p>
            <w:pPr>
              <w:pStyle w:val="49"/>
              <w:spacing w:beforeLines="0" w:afterLines="0" w:line="240" w:lineRule="auto"/>
              <w:ind w:left="0" w:leftChars="0" w:firstLine="0" w:firstLineChars="0"/>
              <w:jc w:val="both"/>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本项目排放量（固体废物产生量）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④</w:t>
            </w:r>
            <w:r>
              <w:rPr>
                <w:rFonts w:hint="default" w:ascii="Times New Roman" w:hAnsi="Times New Roman" w:eastAsia="宋体" w:cs="Times New Roman"/>
                <w:snapToGrid w:val="0"/>
                <w:color w:val="auto"/>
                <w:spacing w:val="-6"/>
                <w:kern w:val="21"/>
                <w:sz w:val="21"/>
                <w:szCs w:val="21"/>
                <w:highlight w:val="none"/>
              </w:rPr>
              <w:fldChar w:fldCharType="end"/>
            </w:r>
          </w:p>
        </w:tc>
        <w:tc>
          <w:tcPr>
            <w:tcW w:w="1810" w:type="dxa"/>
            <w:noWrap w:val="0"/>
            <w:tcMar>
              <w:left w:w="28" w:type="dxa"/>
              <w:right w:w="28" w:type="dxa"/>
            </w:tcMar>
            <w:vAlign w:val="center"/>
          </w:tcPr>
          <w:p>
            <w:pPr>
              <w:pStyle w:val="49"/>
              <w:spacing w:beforeLines="0" w:afterLines="0" w:line="240" w:lineRule="auto"/>
              <w:ind w:left="0" w:leftChars="0" w:firstLine="0" w:firstLineChars="0"/>
              <w:jc w:val="both"/>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以新带老削减量（新建项目不填）</w:t>
            </w:r>
            <w:r>
              <w:rPr>
                <w:rFonts w:hint="default" w:ascii="Times New Roman" w:hAnsi="Times New Roman" w:eastAsia="宋体" w:cs="Times New Roman"/>
                <w:snapToGrid w:val="0"/>
                <w:color w:val="auto"/>
                <w:spacing w:val="-16"/>
                <w:kern w:val="21"/>
                <w:sz w:val="21"/>
                <w:szCs w:val="21"/>
                <w:highlight w:val="none"/>
              </w:rPr>
              <w:fldChar w:fldCharType="begin"/>
            </w:r>
            <w:r>
              <w:rPr>
                <w:rFonts w:hint="default" w:ascii="Times New Roman" w:hAnsi="Times New Roman" w:eastAsia="宋体" w:cs="Times New Roman"/>
                <w:snapToGrid w:val="0"/>
                <w:color w:val="auto"/>
                <w:spacing w:val="-16"/>
                <w:kern w:val="21"/>
                <w:sz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⑤</w:t>
            </w:r>
            <w:r>
              <w:rPr>
                <w:rFonts w:hint="default" w:ascii="Times New Roman" w:hAnsi="Times New Roman" w:eastAsia="宋体" w:cs="Times New Roman"/>
                <w:snapToGrid w:val="0"/>
                <w:color w:val="auto"/>
                <w:spacing w:val="-16"/>
                <w:kern w:val="21"/>
                <w:sz w:val="21"/>
                <w:szCs w:val="21"/>
                <w:highlight w:val="none"/>
              </w:rPr>
              <w:fldChar w:fldCharType="end"/>
            </w:r>
          </w:p>
        </w:tc>
        <w:tc>
          <w:tcPr>
            <w:tcW w:w="1675" w:type="dxa"/>
            <w:noWrap w:val="0"/>
            <w:tcMar>
              <w:left w:w="28" w:type="dxa"/>
              <w:right w:w="28" w:type="dxa"/>
            </w:tcMar>
            <w:vAlign w:val="center"/>
          </w:tcPr>
          <w:p>
            <w:pPr>
              <w:pStyle w:val="49"/>
              <w:spacing w:beforeLines="0" w:afterLines="0" w:line="240" w:lineRule="auto"/>
              <w:ind w:left="0" w:leftChars="0" w:firstLine="0" w:firstLineChars="0"/>
              <w:jc w:val="both"/>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本项目建成后全厂排放量（固体废物产生量）</w:t>
            </w:r>
            <w:r>
              <w:rPr>
                <w:rFonts w:hint="default" w:ascii="Times New Roman" w:hAnsi="Times New Roman" w:eastAsia="宋体" w:cs="Times New Roman"/>
                <w:snapToGrid w:val="0"/>
                <w:color w:val="auto"/>
                <w:spacing w:val="-16"/>
                <w:kern w:val="21"/>
                <w:sz w:val="21"/>
                <w:szCs w:val="21"/>
                <w:highlight w:val="none"/>
              </w:rPr>
              <w:fldChar w:fldCharType="begin"/>
            </w:r>
            <w:r>
              <w:rPr>
                <w:rFonts w:hint="default" w:ascii="Times New Roman" w:hAnsi="Times New Roman" w:eastAsia="宋体" w:cs="Times New Roman"/>
                <w:snapToGrid w:val="0"/>
                <w:color w:val="auto"/>
                <w:spacing w:val="-16"/>
                <w:kern w:val="21"/>
                <w:sz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⑥</w:t>
            </w:r>
            <w:r>
              <w:rPr>
                <w:rFonts w:hint="default" w:ascii="Times New Roman" w:hAnsi="Times New Roman" w:eastAsia="宋体" w:cs="Times New Roman"/>
                <w:snapToGrid w:val="0"/>
                <w:color w:val="auto"/>
                <w:spacing w:val="-16"/>
                <w:kern w:val="21"/>
                <w:sz w:val="21"/>
                <w:szCs w:val="21"/>
                <w:highlight w:val="none"/>
              </w:rPr>
              <w:fldChar w:fldCharType="end"/>
            </w:r>
          </w:p>
        </w:tc>
        <w:tc>
          <w:tcPr>
            <w:tcW w:w="1188" w:type="dxa"/>
            <w:noWrap w:val="0"/>
            <w:tcMar>
              <w:left w:w="28" w:type="dxa"/>
              <w:right w:w="28" w:type="dxa"/>
            </w:tcMar>
            <w:vAlign w:val="center"/>
          </w:tcPr>
          <w:p>
            <w:pPr>
              <w:pStyle w:val="49"/>
              <w:spacing w:beforeLines="0" w:afterLines="0" w:line="240" w:lineRule="auto"/>
              <w:ind w:left="0" w:leftChars="0" w:firstLine="0" w:firstLineChars="0"/>
              <w:jc w:val="both"/>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变化量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⑦</w:t>
            </w:r>
            <w:r>
              <w:rPr>
                <w:rFonts w:hint="default" w:ascii="Times New Roman" w:hAnsi="Times New Roman" w:eastAsia="宋体" w:cs="Times New Roman"/>
                <w:snapToGrid w:val="0"/>
                <w:color w:val="auto"/>
                <w:spacing w:val="-6"/>
                <w:kern w:val="21"/>
                <w:sz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9" w:type="dxa"/>
            <w:vMerge w:val="restart"/>
            <w:noWrap w:val="0"/>
            <w:vAlign w:val="center"/>
          </w:tcPr>
          <w:p>
            <w:pPr>
              <w:pStyle w:val="49"/>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废气</w:t>
            </w:r>
          </w:p>
        </w:tc>
        <w:tc>
          <w:tcPr>
            <w:tcW w:w="1960" w:type="dxa"/>
            <w:noWrap w:val="0"/>
            <w:vAlign w:val="center"/>
          </w:tcPr>
          <w:p>
            <w:pPr>
              <w:pStyle w:val="49"/>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颗粒物</w:t>
            </w:r>
          </w:p>
        </w:tc>
        <w:tc>
          <w:tcPr>
            <w:tcW w:w="1748" w:type="dxa"/>
            <w:noWrap w:val="0"/>
            <w:vAlign w:val="center"/>
          </w:tcPr>
          <w:p>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rPr>
              <w:t>0</w:t>
            </w:r>
          </w:p>
        </w:tc>
        <w:tc>
          <w:tcPr>
            <w:tcW w:w="1312"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w:t>
            </w:r>
          </w:p>
        </w:tc>
        <w:tc>
          <w:tcPr>
            <w:tcW w:w="1748"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w:t>
            </w:r>
          </w:p>
        </w:tc>
        <w:tc>
          <w:tcPr>
            <w:tcW w:w="1603" w:type="dxa"/>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b w:val="0"/>
                <w:bCs w:val="0"/>
                <w:color w:val="auto"/>
                <w:sz w:val="21"/>
                <w:szCs w:val="21"/>
                <w:highlight w:val="none"/>
                <w:lang w:val="en-US" w:eastAsia="zh-CN"/>
              </w:rPr>
              <w:t>27.1</w:t>
            </w:r>
            <w:r>
              <w:rPr>
                <w:rFonts w:hint="default" w:ascii="Times New Roman" w:hAnsi="Times New Roman" w:eastAsia="宋体" w:cs="Times New Roman"/>
                <w:snapToGrid w:val="0"/>
                <w:color w:val="auto"/>
                <w:kern w:val="21"/>
                <w:sz w:val="21"/>
                <w:szCs w:val="21"/>
                <w:highlight w:val="none"/>
              </w:rPr>
              <w:t>t/a</w:t>
            </w:r>
          </w:p>
        </w:tc>
        <w:tc>
          <w:tcPr>
            <w:tcW w:w="1810" w:type="dxa"/>
            <w:noWrap w:val="0"/>
            <w:vAlign w:val="center"/>
          </w:tcPr>
          <w:p>
            <w:pPr>
              <w:spacing w:beforeLines="0" w:afterLines="0" w:line="240" w:lineRule="auto"/>
              <w:ind w:left="0" w:leftChars="0" w:firstLine="0" w:firstLineChars="0"/>
              <w:jc w:val="center"/>
              <w:rPr>
                <w:rFonts w:hint="eastAsia"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0</w:t>
            </w:r>
          </w:p>
        </w:tc>
        <w:tc>
          <w:tcPr>
            <w:tcW w:w="1675" w:type="dxa"/>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b w:val="0"/>
                <w:bCs w:val="0"/>
                <w:color w:val="auto"/>
                <w:sz w:val="21"/>
                <w:szCs w:val="21"/>
                <w:highlight w:val="none"/>
                <w:lang w:val="en-US" w:eastAsia="zh-CN"/>
              </w:rPr>
              <w:t>27.1</w:t>
            </w:r>
            <w:r>
              <w:rPr>
                <w:rFonts w:hint="default" w:ascii="Times New Roman" w:hAnsi="Times New Roman" w:eastAsia="宋体" w:cs="Times New Roman"/>
                <w:snapToGrid w:val="0"/>
                <w:color w:val="auto"/>
                <w:kern w:val="21"/>
                <w:sz w:val="21"/>
                <w:szCs w:val="21"/>
                <w:highlight w:val="none"/>
              </w:rPr>
              <w:t>t/a</w:t>
            </w:r>
          </w:p>
        </w:tc>
        <w:tc>
          <w:tcPr>
            <w:tcW w:w="1188" w:type="dxa"/>
            <w:noWrap w:val="0"/>
            <w:vAlign w:val="center"/>
          </w:tcPr>
          <w:p>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+27.1</w:t>
            </w:r>
            <w:r>
              <w:rPr>
                <w:rFonts w:hint="default" w:ascii="Times New Roman" w:hAnsi="Times New Roman" w:eastAsia="宋体" w:cs="Times New Roman"/>
                <w:snapToGrid w:val="0"/>
                <w:color w:val="auto"/>
                <w:kern w:val="21"/>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9" w:type="dxa"/>
            <w:vMerge w:val="continue"/>
            <w:noWrap w:val="0"/>
            <w:vAlign w:val="center"/>
          </w:tcPr>
          <w:p>
            <w:pPr>
              <w:pStyle w:val="49"/>
              <w:spacing w:beforeLines="0" w:afterLines="0" w:line="240" w:lineRule="auto"/>
              <w:jc w:val="center"/>
              <w:rPr>
                <w:rFonts w:hint="default" w:ascii="Times New Roman" w:hAnsi="Times New Roman" w:eastAsia="宋体" w:cs="Times New Roman"/>
                <w:snapToGrid w:val="0"/>
                <w:color w:val="auto"/>
                <w:kern w:val="21"/>
                <w:sz w:val="21"/>
                <w:szCs w:val="21"/>
                <w:highlight w:val="none"/>
              </w:rPr>
            </w:pPr>
          </w:p>
        </w:tc>
        <w:tc>
          <w:tcPr>
            <w:tcW w:w="1960" w:type="dxa"/>
            <w:noWrap w:val="0"/>
            <w:vAlign w:val="center"/>
          </w:tcPr>
          <w:p>
            <w:pPr>
              <w:pStyle w:val="49"/>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SO</w:t>
            </w:r>
            <w:r>
              <w:rPr>
                <w:rFonts w:hint="default" w:ascii="Times New Roman" w:hAnsi="Times New Roman" w:eastAsia="宋体" w:cs="Times New Roman"/>
                <w:snapToGrid w:val="0"/>
                <w:color w:val="auto"/>
                <w:kern w:val="21"/>
                <w:sz w:val="21"/>
                <w:szCs w:val="21"/>
                <w:highlight w:val="none"/>
                <w:vertAlign w:val="subscript"/>
                <w:lang w:val="en-US" w:eastAsia="zh-CN"/>
              </w:rPr>
              <w:t>2</w:t>
            </w:r>
          </w:p>
        </w:tc>
        <w:tc>
          <w:tcPr>
            <w:tcW w:w="1748" w:type="dxa"/>
            <w:noWrap w:val="0"/>
            <w:vAlign w:val="center"/>
          </w:tcPr>
          <w:p>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rPr>
              <w:t>0</w:t>
            </w:r>
          </w:p>
        </w:tc>
        <w:tc>
          <w:tcPr>
            <w:tcW w:w="1312"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w:t>
            </w:r>
          </w:p>
        </w:tc>
        <w:tc>
          <w:tcPr>
            <w:tcW w:w="1748"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w:t>
            </w:r>
          </w:p>
        </w:tc>
        <w:tc>
          <w:tcPr>
            <w:tcW w:w="1603" w:type="dxa"/>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b w:val="0"/>
                <w:bCs w:val="0"/>
                <w:color w:val="auto"/>
                <w:sz w:val="21"/>
                <w:szCs w:val="21"/>
                <w:highlight w:val="none"/>
                <w:lang w:val="en-US" w:eastAsia="zh-CN"/>
              </w:rPr>
              <w:t>31.9</w:t>
            </w:r>
            <w:r>
              <w:rPr>
                <w:rFonts w:hint="default" w:ascii="Times New Roman" w:hAnsi="Times New Roman" w:eastAsia="宋体" w:cs="Times New Roman"/>
                <w:snapToGrid w:val="0"/>
                <w:color w:val="auto"/>
                <w:kern w:val="21"/>
                <w:sz w:val="21"/>
                <w:szCs w:val="21"/>
                <w:highlight w:val="none"/>
              </w:rPr>
              <w:t>t/a</w:t>
            </w:r>
          </w:p>
        </w:tc>
        <w:tc>
          <w:tcPr>
            <w:tcW w:w="1810" w:type="dxa"/>
            <w:noWrap w:val="0"/>
            <w:vAlign w:val="center"/>
          </w:tcPr>
          <w:p>
            <w:pPr>
              <w:spacing w:beforeLines="0" w:afterLines="0" w:line="240" w:lineRule="auto"/>
              <w:ind w:left="0" w:leftChars="0" w:firstLine="0" w:firstLineChars="0"/>
              <w:jc w:val="center"/>
              <w:rPr>
                <w:rFonts w:hint="eastAsia"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0</w:t>
            </w:r>
          </w:p>
        </w:tc>
        <w:tc>
          <w:tcPr>
            <w:tcW w:w="1675" w:type="dxa"/>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b w:val="0"/>
                <w:bCs w:val="0"/>
                <w:color w:val="auto"/>
                <w:sz w:val="21"/>
                <w:szCs w:val="21"/>
                <w:highlight w:val="none"/>
                <w:lang w:val="en-US" w:eastAsia="zh-CN"/>
              </w:rPr>
              <w:t>31.9</w:t>
            </w:r>
            <w:r>
              <w:rPr>
                <w:rFonts w:hint="default" w:ascii="Times New Roman" w:hAnsi="Times New Roman" w:eastAsia="宋体" w:cs="Times New Roman"/>
                <w:snapToGrid w:val="0"/>
                <w:color w:val="auto"/>
                <w:kern w:val="21"/>
                <w:sz w:val="21"/>
                <w:szCs w:val="21"/>
                <w:highlight w:val="none"/>
              </w:rPr>
              <w:t>t/a</w:t>
            </w:r>
          </w:p>
        </w:tc>
        <w:tc>
          <w:tcPr>
            <w:tcW w:w="1188" w:type="dxa"/>
            <w:noWrap w:val="0"/>
            <w:vAlign w:val="center"/>
          </w:tcPr>
          <w:p>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+31.9</w:t>
            </w:r>
            <w:r>
              <w:rPr>
                <w:rFonts w:hint="default" w:ascii="Times New Roman" w:hAnsi="Times New Roman" w:eastAsia="宋体" w:cs="Times New Roman"/>
                <w:snapToGrid w:val="0"/>
                <w:color w:val="auto"/>
                <w:kern w:val="21"/>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9" w:type="dxa"/>
            <w:vMerge w:val="continue"/>
            <w:noWrap w:val="0"/>
            <w:vAlign w:val="center"/>
          </w:tcPr>
          <w:p>
            <w:pPr>
              <w:pStyle w:val="49"/>
              <w:spacing w:beforeLines="0" w:afterLines="0" w:line="240" w:lineRule="auto"/>
              <w:jc w:val="center"/>
              <w:rPr>
                <w:rFonts w:hint="default" w:ascii="Times New Roman" w:hAnsi="Times New Roman" w:eastAsia="宋体" w:cs="Times New Roman"/>
                <w:snapToGrid w:val="0"/>
                <w:color w:val="auto"/>
                <w:kern w:val="21"/>
                <w:sz w:val="21"/>
                <w:szCs w:val="21"/>
                <w:highlight w:val="none"/>
              </w:rPr>
            </w:pPr>
          </w:p>
        </w:tc>
        <w:tc>
          <w:tcPr>
            <w:tcW w:w="1960" w:type="dxa"/>
            <w:noWrap w:val="0"/>
            <w:vAlign w:val="center"/>
          </w:tcPr>
          <w:p>
            <w:pPr>
              <w:pStyle w:val="49"/>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NO</w:t>
            </w:r>
            <w:r>
              <w:rPr>
                <w:rFonts w:hint="default" w:ascii="Times New Roman" w:hAnsi="Times New Roman" w:eastAsia="宋体" w:cs="Times New Roman"/>
                <w:snapToGrid w:val="0"/>
                <w:color w:val="auto"/>
                <w:kern w:val="21"/>
                <w:sz w:val="21"/>
                <w:szCs w:val="21"/>
                <w:highlight w:val="none"/>
                <w:vertAlign w:val="subscript"/>
                <w:lang w:val="en-US" w:eastAsia="zh-CN"/>
              </w:rPr>
              <w:t>X</w:t>
            </w:r>
          </w:p>
        </w:tc>
        <w:tc>
          <w:tcPr>
            <w:tcW w:w="1748" w:type="dxa"/>
            <w:noWrap w:val="0"/>
            <w:vAlign w:val="center"/>
          </w:tcPr>
          <w:p>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rPr>
              <w:t>0</w:t>
            </w:r>
          </w:p>
        </w:tc>
        <w:tc>
          <w:tcPr>
            <w:tcW w:w="1312"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w:t>
            </w:r>
          </w:p>
        </w:tc>
        <w:tc>
          <w:tcPr>
            <w:tcW w:w="1748"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w:t>
            </w:r>
          </w:p>
        </w:tc>
        <w:tc>
          <w:tcPr>
            <w:tcW w:w="1603" w:type="dxa"/>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b w:val="0"/>
                <w:bCs w:val="0"/>
                <w:color w:val="auto"/>
                <w:sz w:val="21"/>
                <w:szCs w:val="21"/>
                <w:highlight w:val="none"/>
                <w:lang w:val="en-US" w:eastAsia="zh-CN"/>
              </w:rPr>
              <w:t>95.7</w:t>
            </w:r>
            <w:r>
              <w:rPr>
                <w:rFonts w:hint="default" w:ascii="Times New Roman" w:hAnsi="Times New Roman" w:eastAsia="宋体" w:cs="Times New Roman"/>
                <w:snapToGrid w:val="0"/>
                <w:color w:val="auto"/>
                <w:kern w:val="21"/>
                <w:sz w:val="21"/>
                <w:szCs w:val="21"/>
                <w:highlight w:val="none"/>
              </w:rPr>
              <w:t>t/a</w:t>
            </w:r>
          </w:p>
        </w:tc>
        <w:tc>
          <w:tcPr>
            <w:tcW w:w="1810" w:type="dxa"/>
            <w:noWrap w:val="0"/>
            <w:vAlign w:val="center"/>
          </w:tcPr>
          <w:p>
            <w:pPr>
              <w:spacing w:beforeLines="0" w:afterLines="0" w:line="240" w:lineRule="auto"/>
              <w:ind w:left="0" w:leftChars="0" w:firstLine="0" w:firstLineChars="0"/>
              <w:jc w:val="center"/>
              <w:rPr>
                <w:rFonts w:hint="eastAsia"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0</w:t>
            </w:r>
          </w:p>
        </w:tc>
        <w:tc>
          <w:tcPr>
            <w:tcW w:w="1675" w:type="dxa"/>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b w:val="0"/>
                <w:bCs w:val="0"/>
                <w:color w:val="auto"/>
                <w:sz w:val="21"/>
                <w:szCs w:val="21"/>
                <w:highlight w:val="none"/>
                <w:lang w:val="en-US" w:eastAsia="zh-CN"/>
              </w:rPr>
              <w:t>95.7</w:t>
            </w:r>
            <w:r>
              <w:rPr>
                <w:rFonts w:hint="default" w:ascii="Times New Roman" w:hAnsi="Times New Roman" w:eastAsia="宋体" w:cs="Times New Roman"/>
                <w:snapToGrid w:val="0"/>
                <w:color w:val="auto"/>
                <w:kern w:val="21"/>
                <w:sz w:val="21"/>
                <w:szCs w:val="21"/>
                <w:highlight w:val="none"/>
              </w:rPr>
              <w:t>t/a</w:t>
            </w:r>
          </w:p>
        </w:tc>
        <w:tc>
          <w:tcPr>
            <w:tcW w:w="1188" w:type="dxa"/>
            <w:noWrap w:val="0"/>
            <w:vAlign w:val="center"/>
          </w:tcPr>
          <w:p>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+95.7</w:t>
            </w:r>
            <w:r>
              <w:rPr>
                <w:rFonts w:hint="default" w:ascii="Times New Roman" w:hAnsi="Times New Roman" w:eastAsia="宋体" w:cs="Times New Roman"/>
                <w:snapToGrid w:val="0"/>
                <w:color w:val="auto"/>
                <w:kern w:val="21"/>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9" w:type="dxa"/>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jc w:val="center"/>
              <w:textAlignment w:val="baseline"/>
              <w:rPr>
                <w:rFonts w:hint="eastAsia"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废水</w:t>
            </w:r>
          </w:p>
        </w:tc>
        <w:tc>
          <w:tcPr>
            <w:tcW w:w="1960" w:type="dxa"/>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baseline"/>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w:t>
            </w:r>
          </w:p>
        </w:tc>
        <w:tc>
          <w:tcPr>
            <w:tcW w:w="1748" w:type="dxa"/>
            <w:noWrap w:val="0"/>
            <w:vAlign w:val="center"/>
          </w:tcPr>
          <w:p>
            <w:pPr>
              <w:spacing w:beforeLines="0" w:afterLines="0" w:line="240" w:lineRule="auto"/>
              <w:ind w:left="0" w:leftChars="0" w:firstLine="0" w:firstLineChars="0"/>
              <w:jc w:val="center"/>
              <w:rPr>
                <w:rFonts w:hint="eastAsia"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0</w:t>
            </w:r>
          </w:p>
        </w:tc>
        <w:tc>
          <w:tcPr>
            <w:tcW w:w="1312"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w:t>
            </w:r>
          </w:p>
        </w:tc>
        <w:tc>
          <w:tcPr>
            <w:tcW w:w="1748"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w:t>
            </w:r>
          </w:p>
        </w:tc>
        <w:tc>
          <w:tcPr>
            <w:tcW w:w="1603" w:type="dxa"/>
            <w:noWrap w:val="0"/>
            <w:vAlign w:val="center"/>
          </w:tcPr>
          <w:p>
            <w:pPr>
              <w:pStyle w:val="49"/>
              <w:spacing w:beforeLines="0" w:afterLines="0" w:line="240" w:lineRule="auto"/>
              <w:ind w:left="0" w:leftChars="0" w:firstLine="0" w:firstLineChars="0"/>
              <w:jc w:val="center"/>
              <w:rPr>
                <w:rFonts w:hint="default" w:ascii="Times New Roman"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w:t>
            </w:r>
          </w:p>
        </w:tc>
        <w:tc>
          <w:tcPr>
            <w:tcW w:w="1810"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0</w:t>
            </w:r>
          </w:p>
        </w:tc>
        <w:tc>
          <w:tcPr>
            <w:tcW w:w="1675" w:type="dxa"/>
            <w:noWrap w:val="0"/>
            <w:vAlign w:val="center"/>
          </w:tcPr>
          <w:p>
            <w:pPr>
              <w:pStyle w:val="49"/>
              <w:spacing w:beforeLines="0" w:afterLines="0" w:line="240" w:lineRule="auto"/>
              <w:ind w:left="0" w:leftChars="0" w:firstLine="0" w:firstLineChars="0"/>
              <w:jc w:val="center"/>
              <w:rPr>
                <w:rFonts w:hint="default" w:ascii="Times New Roman"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w:t>
            </w:r>
          </w:p>
        </w:tc>
        <w:tc>
          <w:tcPr>
            <w:tcW w:w="1188" w:type="dxa"/>
            <w:noWrap w:val="0"/>
            <w:vAlign w:val="center"/>
          </w:tcPr>
          <w:p>
            <w:pPr>
              <w:pStyle w:val="49"/>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9" w:type="dxa"/>
            <w:vMerge w:val="restart"/>
            <w:noWrap w:val="0"/>
            <w:vAlign w:val="center"/>
          </w:tcPr>
          <w:p>
            <w:pPr>
              <w:pStyle w:val="49"/>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一般工业固体废物</w:t>
            </w:r>
          </w:p>
        </w:tc>
        <w:tc>
          <w:tcPr>
            <w:tcW w:w="1960" w:type="dxa"/>
            <w:noWrap w:val="0"/>
            <w:vAlign w:val="center"/>
          </w:tcPr>
          <w:p>
            <w:pPr>
              <w:pStyle w:val="49"/>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炉渣</w:t>
            </w:r>
          </w:p>
        </w:tc>
        <w:tc>
          <w:tcPr>
            <w:tcW w:w="1748"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0</w:t>
            </w:r>
          </w:p>
        </w:tc>
        <w:tc>
          <w:tcPr>
            <w:tcW w:w="1312"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w:t>
            </w:r>
          </w:p>
        </w:tc>
        <w:tc>
          <w:tcPr>
            <w:tcW w:w="1748"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w:t>
            </w:r>
          </w:p>
        </w:tc>
        <w:tc>
          <w:tcPr>
            <w:tcW w:w="1603" w:type="dxa"/>
            <w:noWrap w:val="0"/>
            <w:vAlign w:val="center"/>
          </w:tcPr>
          <w:p>
            <w:pPr>
              <w:pStyle w:val="49"/>
              <w:spacing w:beforeLines="0" w:afterLines="0" w:line="240" w:lineRule="auto"/>
              <w:ind w:left="0" w:leftChars="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1625.4t/a</w:t>
            </w:r>
          </w:p>
        </w:tc>
        <w:tc>
          <w:tcPr>
            <w:tcW w:w="1810"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0</w:t>
            </w:r>
          </w:p>
        </w:tc>
        <w:tc>
          <w:tcPr>
            <w:tcW w:w="1675" w:type="dxa"/>
            <w:noWrap w:val="0"/>
            <w:vAlign w:val="center"/>
          </w:tcPr>
          <w:p>
            <w:pPr>
              <w:pStyle w:val="49"/>
              <w:spacing w:beforeLines="0" w:afterLines="0" w:line="240" w:lineRule="auto"/>
              <w:ind w:left="0" w:leftChars="0"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1625.4t/a</w:t>
            </w:r>
          </w:p>
        </w:tc>
        <w:tc>
          <w:tcPr>
            <w:tcW w:w="1188" w:type="dxa"/>
            <w:noWrap w:val="0"/>
            <w:vAlign w:val="center"/>
          </w:tcPr>
          <w:p>
            <w:pPr>
              <w:pStyle w:val="49"/>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r>
              <w:rPr>
                <w:rFonts w:hint="default" w:ascii="Times New Roman" w:hAnsi="Times New Roman" w:eastAsia="宋体" w:cs="Times New Roman"/>
                <w:snapToGrid w:val="0"/>
                <w:color w:val="auto"/>
                <w:kern w:val="21"/>
                <w:sz w:val="21"/>
                <w:szCs w:val="21"/>
                <w:highlight w:val="none"/>
                <w:lang w:val="en-US" w:eastAsia="zh-CN"/>
              </w:rPr>
              <w:t>1625.4t/a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9" w:type="dxa"/>
            <w:vMerge w:val="continue"/>
            <w:noWrap w:val="0"/>
            <w:vAlign w:val="center"/>
          </w:tcPr>
          <w:p>
            <w:pPr>
              <w:pStyle w:val="49"/>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p>
        </w:tc>
        <w:tc>
          <w:tcPr>
            <w:tcW w:w="1960" w:type="dxa"/>
            <w:noWrap w:val="0"/>
            <w:vAlign w:val="center"/>
          </w:tcPr>
          <w:p>
            <w:pPr>
              <w:pStyle w:val="49"/>
              <w:spacing w:beforeLines="0" w:afterLines="0" w:line="240" w:lineRule="auto"/>
              <w:ind w:left="0" w:leftChars="0" w:firstLine="0" w:firstLineChars="0"/>
              <w:jc w:val="center"/>
              <w:rPr>
                <w:rFonts w:hint="eastAsia" w:ascii="Times New Roman"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除尘灰</w:t>
            </w:r>
          </w:p>
        </w:tc>
        <w:tc>
          <w:tcPr>
            <w:tcW w:w="1748" w:type="dxa"/>
            <w:noWrap w:val="0"/>
            <w:vAlign w:val="center"/>
          </w:tcPr>
          <w:p>
            <w:pPr>
              <w:spacing w:beforeLines="0" w:afterLines="0" w:line="240" w:lineRule="auto"/>
              <w:ind w:left="0" w:leftChars="0" w:firstLine="0" w:firstLineChars="0"/>
              <w:jc w:val="center"/>
              <w:rPr>
                <w:rFonts w:hint="eastAsia" w:ascii="Times New Roman"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0</w:t>
            </w:r>
          </w:p>
        </w:tc>
        <w:tc>
          <w:tcPr>
            <w:tcW w:w="1312"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w:t>
            </w:r>
          </w:p>
        </w:tc>
        <w:tc>
          <w:tcPr>
            <w:tcW w:w="1748"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w:t>
            </w:r>
          </w:p>
        </w:tc>
        <w:tc>
          <w:tcPr>
            <w:tcW w:w="1603" w:type="dxa"/>
            <w:noWrap w:val="0"/>
            <w:vAlign w:val="center"/>
          </w:tcPr>
          <w:p>
            <w:pPr>
              <w:pStyle w:val="49"/>
              <w:spacing w:beforeLines="0" w:afterLines="0" w:line="240" w:lineRule="auto"/>
              <w:ind w:left="0" w:leftChars="0" w:firstLine="0" w:firstLineChars="0"/>
              <w:jc w:val="center"/>
              <w:rPr>
                <w:rFonts w:hint="eastAsia" w:ascii="Times New Roman"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3503.6t/a</w:t>
            </w:r>
          </w:p>
        </w:tc>
        <w:tc>
          <w:tcPr>
            <w:tcW w:w="1810"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0</w:t>
            </w:r>
          </w:p>
        </w:tc>
        <w:tc>
          <w:tcPr>
            <w:tcW w:w="1675" w:type="dxa"/>
            <w:noWrap w:val="0"/>
            <w:vAlign w:val="center"/>
          </w:tcPr>
          <w:p>
            <w:pPr>
              <w:pStyle w:val="49"/>
              <w:spacing w:beforeLines="0" w:afterLines="0" w:line="240" w:lineRule="auto"/>
              <w:ind w:left="0" w:leftChars="0" w:firstLine="0" w:firstLineChars="0"/>
              <w:jc w:val="center"/>
              <w:rPr>
                <w:rFonts w:hint="eastAsia" w:ascii="Times New Roman"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3503.6t/a</w:t>
            </w:r>
          </w:p>
        </w:tc>
        <w:tc>
          <w:tcPr>
            <w:tcW w:w="1188" w:type="dxa"/>
            <w:noWrap w:val="0"/>
            <w:vAlign w:val="center"/>
          </w:tcPr>
          <w:p>
            <w:pPr>
              <w:pStyle w:val="49"/>
              <w:spacing w:beforeLines="0" w:afterLines="0" w:line="240" w:lineRule="auto"/>
              <w:ind w:left="0" w:leftChars="0" w:firstLine="0" w:firstLineChars="0"/>
              <w:jc w:val="center"/>
              <w:rPr>
                <w:rFonts w:hint="eastAsia" w:ascii="Times New Roman"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+3503.6t/a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9" w:type="dxa"/>
            <w:vMerge w:val="continue"/>
            <w:noWrap w:val="0"/>
            <w:vAlign w:val="center"/>
          </w:tcPr>
          <w:p>
            <w:pPr>
              <w:pStyle w:val="49"/>
              <w:spacing w:beforeLines="0" w:afterLines="0" w:line="240" w:lineRule="auto"/>
              <w:jc w:val="center"/>
              <w:rPr>
                <w:rFonts w:hint="default" w:ascii="Times New Roman" w:hAnsi="Times New Roman" w:eastAsia="宋体" w:cs="Times New Roman"/>
                <w:snapToGrid w:val="0"/>
                <w:color w:val="auto"/>
                <w:kern w:val="21"/>
                <w:sz w:val="21"/>
                <w:szCs w:val="21"/>
                <w:highlight w:val="none"/>
              </w:rPr>
            </w:pPr>
          </w:p>
        </w:tc>
        <w:tc>
          <w:tcPr>
            <w:tcW w:w="1960" w:type="dxa"/>
            <w:noWrap w:val="0"/>
            <w:vAlign w:val="center"/>
          </w:tcPr>
          <w:p>
            <w:pPr>
              <w:pStyle w:val="49"/>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废离子交换树脂</w:t>
            </w:r>
          </w:p>
        </w:tc>
        <w:tc>
          <w:tcPr>
            <w:tcW w:w="1748"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0</w:t>
            </w:r>
          </w:p>
        </w:tc>
        <w:tc>
          <w:tcPr>
            <w:tcW w:w="1312"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w:t>
            </w:r>
          </w:p>
        </w:tc>
        <w:tc>
          <w:tcPr>
            <w:tcW w:w="1748"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w:t>
            </w:r>
          </w:p>
        </w:tc>
        <w:tc>
          <w:tcPr>
            <w:tcW w:w="1603" w:type="dxa"/>
            <w:noWrap w:val="0"/>
            <w:vAlign w:val="center"/>
          </w:tcPr>
          <w:p>
            <w:pPr>
              <w:pStyle w:val="49"/>
              <w:spacing w:beforeLines="0" w:afterLines="0" w:line="240" w:lineRule="auto"/>
              <w:ind w:left="0" w:leftChars="0" w:firstLine="0" w:firstLineChars="0"/>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1.1t/a</w:t>
            </w:r>
          </w:p>
        </w:tc>
        <w:tc>
          <w:tcPr>
            <w:tcW w:w="1810"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0</w:t>
            </w:r>
          </w:p>
        </w:tc>
        <w:tc>
          <w:tcPr>
            <w:tcW w:w="1675" w:type="dxa"/>
            <w:noWrap w:val="0"/>
            <w:vAlign w:val="center"/>
          </w:tcPr>
          <w:p>
            <w:pPr>
              <w:pStyle w:val="49"/>
              <w:spacing w:beforeLines="0" w:afterLines="0" w:line="240" w:lineRule="auto"/>
              <w:ind w:left="0" w:leftChars="0"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1.1t/a</w:t>
            </w:r>
          </w:p>
        </w:tc>
        <w:tc>
          <w:tcPr>
            <w:tcW w:w="1188" w:type="dxa"/>
            <w:noWrap w:val="0"/>
            <w:vAlign w:val="center"/>
          </w:tcPr>
          <w:p>
            <w:pPr>
              <w:pStyle w:val="49"/>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r>
              <w:rPr>
                <w:rFonts w:hint="default" w:ascii="Times New Roman" w:hAnsi="Times New Roman" w:eastAsia="宋体" w:cs="Times New Roman"/>
                <w:snapToGrid w:val="0"/>
                <w:color w:val="auto"/>
                <w:kern w:val="21"/>
                <w:sz w:val="21"/>
                <w:szCs w:val="21"/>
                <w:highlight w:val="none"/>
                <w:lang w:val="en-US" w:eastAsia="zh-CN"/>
              </w:rPr>
              <w:t>1.1t/a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9" w:type="dxa"/>
            <w:noWrap w:val="0"/>
            <w:vAlign w:val="center"/>
          </w:tcPr>
          <w:p>
            <w:pPr>
              <w:pStyle w:val="49"/>
              <w:spacing w:beforeLines="0" w:afterLines="0" w:line="240" w:lineRule="auto"/>
              <w:ind w:left="0" w:leftChars="0" w:firstLine="0" w:firstLineChars="0"/>
              <w:jc w:val="both"/>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危险废物</w:t>
            </w:r>
          </w:p>
        </w:tc>
        <w:tc>
          <w:tcPr>
            <w:tcW w:w="1960" w:type="dxa"/>
            <w:noWrap w:val="0"/>
            <w:vAlign w:val="center"/>
          </w:tcPr>
          <w:p>
            <w:pPr>
              <w:pStyle w:val="49"/>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废机油</w:t>
            </w:r>
          </w:p>
        </w:tc>
        <w:tc>
          <w:tcPr>
            <w:tcW w:w="1748" w:type="dxa"/>
            <w:noWrap w:val="0"/>
            <w:vAlign w:val="center"/>
          </w:tcPr>
          <w:p>
            <w:pPr>
              <w:spacing w:beforeLines="0" w:afterLines="0" w:line="240" w:lineRule="auto"/>
              <w:ind w:left="0" w:leftChars="0" w:firstLine="0" w:firstLineChars="0"/>
              <w:jc w:val="center"/>
              <w:rPr>
                <w:rFonts w:hint="eastAsia" w:ascii="Times New Roman"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0</w:t>
            </w:r>
          </w:p>
        </w:tc>
        <w:tc>
          <w:tcPr>
            <w:tcW w:w="1312"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w:t>
            </w:r>
          </w:p>
        </w:tc>
        <w:tc>
          <w:tcPr>
            <w:tcW w:w="1748"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w:t>
            </w:r>
          </w:p>
        </w:tc>
        <w:tc>
          <w:tcPr>
            <w:tcW w:w="1603" w:type="dxa"/>
            <w:noWrap w:val="0"/>
            <w:vAlign w:val="center"/>
          </w:tcPr>
          <w:p>
            <w:pPr>
              <w:pStyle w:val="49"/>
              <w:spacing w:beforeLines="0" w:afterLines="0" w:line="240" w:lineRule="auto"/>
              <w:ind w:left="0" w:leftChars="0" w:firstLine="0" w:firstLineChars="0"/>
              <w:jc w:val="center"/>
              <w:rPr>
                <w:rFonts w:hint="eastAsia" w:ascii="Times New Roman"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0.3t/a</w:t>
            </w:r>
          </w:p>
        </w:tc>
        <w:tc>
          <w:tcPr>
            <w:tcW w:w="1810"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0</w:t>
            </w:r>
          </w:p>
        </w:tc>
        <w:tc>
          <w:tcPr>
            <w:tcW w:w="1675" w:type="dxa"/>
            <w:noWrap w:val="0"/>
            <w:vAlign w:val="center"/>
          </w:tcPr>
          <w:p>
            <w:pPr>
              <w:pStyle w:val="49"/>
              <w:spacing w:beforeLines="0" w:afterLines="0" w:line="240" w:lineRule="auto"/>
              <w:ind w:left="0" w:leftChars="0" w:firstLine="0" w:firstLineChars="0"/>
              <w:jc w:val="center"/>
              <w:rPr>
                <w:rFonts w:hint="eastAsia" w:ascii="Times New Roman"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0.3t/a</w:t>
            </w:r>
          </w:p>
        </w:tc>
        <w:tc>
          <w:tcPr>
            <w:tcW w:w="1188" w:type="dxa"/>
            <w:noWrap w:val="0"/>
            <w:vAlign w:val="center"/>
          </w:tcPr>
          <w:p>
            <w:pPr>
              <w:pStyle w:val="49"/>
              <w:spacing w:beforeLines="0" w:afterLines="0" w:line="240" w:lineRule="auto"/>
              <w:ind w:left="0" w:leftChars="0" w:firstLine="0" w:firstLineChars="0"/>
              <w:jc w:val="center"/>
              <w:rPr>
                <w:rFonts w:hint="eastAsia" w:ascii="Times New Roman"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+0.3t/a</w:t>
            </w:r>
          </w:p>
        </w:tc>
      </w:tr>
    </w:tbl>
    <w:p>
      <w:pPr>
        <w:pStyle w:val="49"/>
        <w:spacing w:before="192" w:beforeLines="80" w:after="24"/>
        <w:jc w:val="left"/>
        <w:rPr>
          <w:rFonts w:hint="default"/>
          <w:color w:val="auto"/>
          <w:highlight w:val="none"/>
        </w:rPr>
      </w:pPr>
      <w:r>
        <w:rPr>
          <w:rFonts w:hint="default" w:ascii="Times New Roman" w:hAnsi="Times New Roman" w:cs="Times New Roman"/>
          <w:snapToGrid w:val="0"/>
          <w:color w:val="auto"/>
          <w:kern w:val="21"/>
          <w:szCs w:val="21"/>
          <w:highlight w:val="none"/>
        </w:rPr>
        <w:t>注：</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3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③</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4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5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7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⑦</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p>
    <w:sectPr>
      <w:footerReference r:id="rId9" w:type="default"/>
      <w:pgSz w:w="16838" w:h="11906" w:orient="landscape"/>
      <w:pgMar w:top="1531" w:right="1304" w:bottom="1134" w:left="1304" w:header="851" w:footer="850" w:gutter="0"/>
      <w:pgBorders>
        <w:top w:val="none" w:sz="0" w:space="0"/>
        <w:left w:val="none" w:sz="0" w:space="0"/>
        <w:bottom w:val="none" w:sz="0" w:space="0"/>
        <w:right w:val="none" w:sz="0" w:space="0"/>
      </w:pgBorders>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10002FF" w:usb1="4000ACFF" w:usb2="00000009" w:usb3="00000000" w:csb0="2000019F" w:csb1="00000000"/>
  </w:font>
  <w:font w:name="Arial Unicode MS">
    <w:altName w:val="Times New Roman"/>
    <w:panose1 w:val="020B0604020202020204"/>
    <w:charset w:val="86"/>
    <w:family w:val="auto"/>
    <w:pitch w:val="default"/>
    <w:sig w:usb0="00000000" w:usb1="00000000" w:usb2="0000003F" w:usb3="00000000" w:csb0="603F01FF" w:csb1="FFFF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4"/>
      </w:rPr>
    </w:pPr>
    <w:r>
      <w:fldChar w:fldCharType="begin"/>
    </w:r>
    <w:r>
      <w:rPr>
        <w:rStyle w:val="34"/>
      </w:rPr>
      <w:instrText xml:space="preserve">PAGE  </w:instrText>
    </w:r>
    <w:r>
      <w:fldChar w:fldCharType="end"/>
    </w:r>
  </w:p>
  <w:p>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GQA+L8aAgAAKwQAAA4AAAAAAAAAAQAgAAAANQEAAGRycy9lMm9Eb2MueG1sUEsFBgAA&#10;AAAGAAYAWQEAAME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FsIeAxwCAAArBAAADgAAAAAAAAABACAAAAA1AQAAZHJzL2Uyb0RvYy54bWxQSwUG&#10;AAAAAAYABgBZAQAAwwU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Style w:val="34"/>
                              <w:rFonts w:ascii="宋体" w:hAnsi="宋体"/>
                              <w:sz w:val="28"/>
                              <w:szCs w:val="28"/>
                            </w:rPr>
                          </w:pPr>
                          <w:r>
                            <w:rPr>
                              <w:rStyle w:val="34"/>
                              <w:rFonts w:hint="eastAsia" w:ascii="宋体" w:hAnsi="宋体"/>
                              <w:sz w:val="28"/>
                              <w:szCs w:val="28"/>
                            </w:rPr>
                            <w:t>—</w:t>
                          </w:r>
                          <w:r>
                            <w:rPr>
                              <w:rFonts w:ascii="宋体" w:hAnsi="宋体"/>
                              <w:sz w:val="26"/>
                              <w:szCs w:val="26"/>
                            </w:rPr>
                            <w:fldChar w:fldCharType="begin"/>
                          </w:r>
                          <w:r>
                            <w:rPr>
                              <w:rStyle w:val="34"/>
                              <w:rFonts w:ascii="宋体" w:hAnsi="宋体"/>
                              <w:sz w:val="26"/>
                              <w:szCs w:val="26"/>
                            </w:rPr>
                            <w:instrText xml:space="preserve">PAGE  </w:instrText>
                          </w:r>
                          <w:r>
                            <w:rPr>
                              <w:rFonts w:ascii="宋体" w:hAnsi="宋体"/>
                              <w:sz w:val="26"/>
                              <w:szCs w:val="26"/>
                            </w:rPr>
                            <w:fldChar w:fldCharType="separate"/>
                          </w:r>
                          <w:r>
                            <w:rPr>
                              <w:rStyle w:val="34"/>
                              <w:rFonts w:ascii="宋体" w:hAnsi="宋体"/>
                              <w:sz w:val="26"/>
                              <w:szCs w:val="26"/>
                            </w:rPr>
                            <w:t>6</w:t>
                          </w:r>
                          <w:r>
                            <w:rPr>
                              <w:rFonts w:ascii="宋体" w:hAnsi="宋体"/>
                              <w:sz w:val="26"/>
                              <w:szCs w:val="26"/>
                            </w:rPr>
                            <w:fldChar w:fldCharType="end"/>
                          </w:r>
                          <w:r>
                            <w:rPr>
                              <w:rStyle w:val="34"/>
                              <w:rFonts w:hint="eastAsia" w:ascii="宋体" w:hAnsi="宋体"/>
                              <w:sz w:val="28"/>
                              <w:szCs w:val="28"/>
                            </w:rPr>
                            <w:t>—</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JCLMQHAIAACkEAAAOAAAAZHJz&#10;L2Uyb0RvYy54bWytU82O0zAQviPxDpbvNGlZVl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SQizEBwCAAApBAAADgAAAAAAAAABACAAAAA1AQAAZHJzL2Uyb0RvYy54bWxQSwUG&#10;AAAAAAYABgBZAQAAwwUAAAAA&#10;">
              <v:fill on="f" focussize="0,0"/>
              <v:stroke on="f" weight="0.5pt"/>
              <v:imagedata o:title=""/>
              <o:lock v:ext="edit" aspectratio="f"/>
              <v:textbox inset="0mm,0mm,0mm,0mm" style="mso-fit-shape-to-text:t;">
                <w:txbxContent>
                  <w:p>
                    <w:pPr>
                      <w:pStyle w:val="20"/>
                      <w:rPr>
                        <w:rStyle w:val="34"/>
                        <w:rFonts w:ascii="宋体" w:hAnsi="宋体"/>
                        <w:sz w:val="28"/>
                        <w:szCs w:val="28"/>
                      </w:rPr>
                    </w:pPr>
                    <w:r>
                      <w:rPr>
                        <w:rStyle w:val="34"/>
                        <w:rFonts w:hint="eastAsia" w:ascii="宋体" w:hAnsi="宋体"/>
                        <w:sz w:val="28"/>
                        <w:szCs w:val="28"/>
                      </w:rPr>
                      <w:t>—</w:t>
                    </w:r>
                    <w:r>
                      <w:rPr>
                        <w:rFonts w:ascii="宋体" w:hAnsi="宋体"/>
                        <w:sz w:val="26"/>
                        <w:szCs w:val="26"/>
                      </w:rPr>
                      <w:fldChar w:fldCharType="begin"/>
                    </w:r>
                    <w:r>
                      <w:rPr>
                        <w:rStyle w:val="34"/>
                        <w:rFonts w:ascii="宋体" w:hAnsi="宋体"/>
                        <w:sz w:val="26"/>
                        <w:szCs w:val="26"/>
                      </w:rPr>
                      <w:instrText xml:space="preserve">PAGE  </w:instrText>
                    </w:r>
                    <w:r>
                      <w:rPr>
                        <w:rFonts w:ascii="宋体" w:hAnsi="宋体"/>
                        <w:sz w:val="26"/>
                        <w:szCs w:val="26"/>
                      </w:rPr>
                      <w:fldChar w:fldCharType="separate"/>
                    </w:r>
                    <w:r>
                      <w:rPr>
                        <w:rStyle w:val="34"/>
                        <w:rFonts w:ascii="宋体" w:hAnsi="宋体"/>
                        <w:sz w:val="26"/>
                        <w:szCs w:val="26"/>
                      </w:rPr>
                      <w:t>6</w:t>
                    </w:r>
                    <w:r>
                      <w:rPr>
                        <w:rFonts w:ascii="宋体" w:hAnsi="宋体"/>
                        <w:sz w:val="26"/>
                        <w:szCs w:val="26"/>
                      </w:rPr>
                      <w:fldChar w:fldCharType="end"/>
                    </w:r>
                    <w:r>
                      <w:rPr>
                        <w:rStyle w:val="34"/>
                        <w:rFonts w:hint="eastAsia" w:ascii="宋体" w:hAnsi="宋体"/>
                        <w:sz w:val="28"/>
                        <w:szCs w:val="28"/>
                      </w:rPr>
                      <w:t>—</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Style w:val="34"/>
                              <w:rFonts w:ascii="宋体" w:hAnsi="宋体"/>
                              <w:sz w:val="28"/>
                              <w:szCs w:val="28"/>
                            </w:rPr>
                          </w:pPr>
                          <w:r>
                            <w:rPr>
                              <w:rStyle w:val="34"/>
                              <w:rFonts w:hint="eastAsia" w:ascii="宋体" w:hAnsi="宋体"/>
                              <w:sz w:val="28"/>
                              <w:szCs w:val="28"/>
                            </w:rPr>
                            <w:t>—</w:t>
                          </w:r>
                          <w:r>
                            <w:rPr>
                              <w:rFonts w:ascii="宋体" w:hAnsi="宋体"/>
                              <w:sz w:val="26"/>
                              <w:szCs w:val="26"/>
                            </w:rPr>
                            <w:fldChar w:fldCharType="begin"/>
                          </w:r>
                          <w:r>
                            <w:rPr>
                              <w:rStyle w:val="34"/>
                              <w:rFonts w:ascii="宋体" w:hAnsi="宋体"/>
                              <w:sz w:val="26"/>
                              <w:szCs w:val="26"/>
                            </w:rPr>
                            <w:instrText xml:space="preserve">PAGE  </w:instrText>
                          </w:r>
                          <w:r>
                            <w:rPr>
                              <w:rFonts w:ascii="宋体" w:hAnsi="宋体"/>
                              <w:sz w:val="26"/>
                              <w:szCs w:val="26"/>
                            </w:rPr>
                            <w:fldChar w:fldCharType="separate"/>
                          </w:r>
                          <w:r>
                            <w:rPr>
                              <w:rStyle w:val="34"/>
                              <w:rFonts w:ascii="宋体" w:hAnsi="宋体"/>
                              <w:sz w:val="26"/>
                              <w:szCs w:val="26"/>
                            </w:rPr>
                            <w:t>11</w:t>
                          </w:r>
                          <w:r>
                            <w:rPr>
                              <w:rFonts w:ascii="宋体" w:hAnsi="宋体"/>
                              <w:sz w:val="26"/>
                              <w:szCs w:val="26"/>
                            </w:rPr>
                            <w:fldChar w:fldCharType="end"/>
                          </w:r>
                          <w:r>
                            <w:rPr>
                              <w:rStyle w:val="34"/>
                              <w:rFonts w:hint="eastAsia" w:ascii="宋体" w:hAnsi="宋体"/>
                              <w:sz w:val="28"/>
                              <w:szCs w:val="28"/>
                            </w:rPr>
                            <w:t>—</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A8TPSHQIAACkEAAAOAAAAZHJz&#10;L2Uyb0RvYy54bWytU82O0zAQviPxDpbvNGlRV1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IDxM9IdAgAAKQQAAA4AAAAAAAAAAQAgAAAANQEAAGRycy9lMm9Eb2MueG1sUEsF&#10;BgAAAAAGAAYAWQEAAMQFAAAAAA==&#10;">
              <v:fill on="f" focussize="0,0"/>
              <v:stroke on="f" weight="0.5pt"/>
              <v:imagedata o:title=""/>
              <o:lock v:ext="edit" aspectratio="f"/>
              <v:textbox inset="0mm,0mm,0mm,0mm" style="mso-fit-shape-to-text:t;">
                <w:txbxContent>
                  <w:p>
                    <w:pPr>
                      <w:pStyle w:val="20"/>
                      <w:rPr>
                        <w:rStyle w:val="34"/>
                        <w:rFonts w:ascii="宋体" w:hAnsi="宋体"/>
                        <w:sz w:val="28"/>
                        <w:szCs w:val="28"/>
                      </w:rPr>
                    </w:pPr>
                    <w:r>
                      <w:rPr>
                        <w:rStyle w:val="34"/>
                        <w:rFonts w:hint="eastAsia" w:ascii="宋体" w:hAnsi="宋体"/>
                        <w:sz w:val="28"/>
                        <w:szCs w:val="28"/>
                      </w:rPr>
                      <w:t>—</w:t>
                    </w:r>
                    <w:r>
                      <w:rPr>
                        <w:rFonts w:ascii="宋体" w:hAnsi="宋体"/>
                        <w:sz w:val="26"/>
                        <w:szCs w:val="26"/>
                      </w:rPr>
                      <w:fldChar w:fldCharType="begin"/>
                    </w:r>
                    <w:r>
                      <w:rPr>
                        <w:rStyle w:val="34"/>
                        <w:rFonts w:ascii="宋体" w:hAnsi="宋体"/>
                        <w:sz w:val="26"/>
                        <w:szCs w:val="26"/>
                      </w:rPr>
                      <w:instrText xml:space="preserve">PAGE  </w:instrText>
                    </w:r>
                    <w:r>
                      <w:rPr>
                        <w:rFonts w:ascii="宋体" w:hAnsi="宋体"/>
                        <w:sz w:val="26"/>
                        <w:szCs w:val="26"/>
                      </w:rPr>
                      <w:fldChar w:fldCharType="separate"/>
                    </w:r>
                    <w:r>
                      <w:rPr>
                        <w:rStyle w:val="34"/>
                        <w:rFonts w:ascii="宋体" w:hAnsi="宋体"/>
                        <w:sz w:val="26"/>
                        <w:szCs w:val="26"/>
                      </w:rPr>
                      <w:t>11</w:t>
                    </w:r>
                    <w:r>
                      <w:rPr>
                        <w:rFonts w:ascii="宋体" w:hAnsi="宋体"/>
                        <w:sz w:val="26"/>
                        <w:szCs w:val="26"/>
                      </w:rPr>
                      <w:fldChar w:fldCharType="end"/>
                    </w:r>
                    <w:r>
                      <w:rPr>
                        <w:rStyle w:val="34"/>
                        <w:rFonts w:hint="eastAsia" w:ascii="宋体" w:hAnsi="宋体"/>
                        <w:sz w:val="28"/>
                        <w:szCs w:val="28"/>
                      </w:rPr>
                      <w:t>—</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Style w:val="34"/>
                              <w:rFonts w:ascii="宋体" w:hAnsi="宋体"/>
                              <w:sz w:val="28"/>
                              <w:szCs w:val="28"/>
                            </w:rPr>
                          </w:pPr>
                          <w:r>
                            <w:rPr>
                              <w:rStyle w:val="34"/>
                              <w:rFonts w:hint="eastAsia" w:ascii="宋体" w:hAnsi="宋体"/>
                              <w:sz w:val="28"/>
                              <w:szCs w:val="28"/>
                            </w:rPr>
                            <w:t>—</w:t>
                          </w:r>
                          <w:r>
                            <w:rPr>
                              <w:rStyle w:val="34"/>
                              <w:rFonts w:ascii="宋体" w:hAnsi="宋体"/>
                              <w:sz w:val="26"/>
                              <w:szCs w:val="26"/>
                            </w:rPr>
                            <w:fldChar w:fldCharType="begin"/>
                          </w:r>
                          <w:r>
                            <w:rPr>
                              <w:rStyle w:val="34"/>
                              <w:rFonts w:ascii="宋体" w:hAnsi="宋体"/>
                              <w:sz w:val="26"/>
                              <w:szCs w:val="26"/>
                            </w:rPr>
                            <w:instrText xml:space="preserve">PAGE  </w:instrText>
                          </w:r>
                          <w:r>
                            <w:rPr>
                              <w:rStyle w:val="34"/>
                              <w:rFonts w:ascii="宋体" w:hAnsi="宋体"/>
                              <w:sz w:val="26"/>
                              <w:szCs w:val="26"/>
                            </w:rPr>
                            <w:fldChar w:fldCharType="separate"/>
                          </w:r>
                          <w:r>
                            <w:rPr>
                              <w:rStyle w:val="34"/>
                              <w:rFonts w:ascii="宋体" w:hAnsi="宋体"/>
                              <w:sz w:val="26"/>
                              <w:szCs w:val="26"/>
                            </w:rPr>
                            <w:t>10</w:t>
                          </w:r>
                          <w:r>
                            <w:rPr>
                              <w:rStyle w:val="34"/>
                              <w:rFonts w:ascii="宋体" w:hAnsi="宋体"/>
                              <w:sz w:val="26"/>
                              <w:szCs w:val="26"/>
                            </w:rPr>
                            <w:fldChar w:fldCharType="end"/>
                          </w:r>
                          <w:r>
                            <w:rPr>
                              <w:rStyle w:val="34"/>
                              <w:rFonts w:hint="eastAsia" w:ascii="宋体" w:hAnsi="宋体"/>
                              <w:sz w:val="28"/>
                              <w:szCs w:val="28"/>
                            </w:rPr>
                            <w:t>—</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Ca/cNOGwIAACkEAAAOAAAAAAAAAAEAIAAAADUBAABkcnMvZTJvRG9jLnhtbFBLBQYA&#10;AAAABgAGAFkBAADCBQAAAAA=&#10;">
              <v:fill on="f" focussize="0,0"/>
              <v:stroke on="f" weight="0.5pt"/>
              <v:imagedata o:title=""/>
              <o:lock v:ext="edit" aspectratio="f"/>
              <v:textbox inset="0mm,0mm,0mm,0mm" style="mso-fit-shape-to-text:t;">
                <w:txbxContent>
                  <w:p>
                    <w:pPr>
                      <w:pStyle w:val="20"/>
                      <w:rPr>
                        <w:rStyle w:val="34"/>
                        <w:rFonts w:ascii="宋体" w:hAnsi="宋体"/>
                        <w:sz w:val="28"/>
                        <w:szCs w:val="28"/>
                      </w:rPr>
                    </w:pPr>
                    <w:r>
                      <w:rPr>
                        <w:rStyle w:val="34"/>
                        <w:rFonts w:hint="eastAsia" w:ascii="宋体" w:hAnsi="宋体"/>
                        <w:sz w:val="28"/>
                        <w:szCs w:val="28"/>
                      </w:rPr>
                      <w:t>—</w:t>
                    </w:r>
                    <w:r>
                      <w:rPr>
                        <w:rStyle w:val="34"/>
                        <w:rFonts w:ascii="宋体" w:hAnsi="宋体"/>
                        <w:sz w:val="26"/>
                        <w:szCs w:val="26"/>
                      </w:rPr>
                      <w:fldChar w:fldCharType="begin"/>
                    </w:r>
                    <w:r>
                      <w:rPr>
                        <w:rStyle w:val="34"/>
                        <w:rFonts w:ascii="宋体" w:hAnsi="宋体"/>
                        <w:sz w:val="26"/>
                        <w:szCs w:val="26"/>
                      </w:rPr>
                      <w:instrText xml:space="preserve">PAGE  </w:instrText>
                    </w:r>
                    <w:r>
                      <w:rPr>
                        <w:rStyle w:val="34"/>
                        <w:rFonts w:ascii="宋体" w:hAnsi="宋体"/>
                        <w:sz w:val="26"/>
                        <w:szCs w:val="26"/>
                      </w:rPr>
                      <w:fldChar w:fldCharType="separate"/>
                    </w:r>
                    <w:r>
                      <w:rPr>
                        <w:rStyle w:val="34"/>
                        <w:rFonts w:ascii="宋体" w:hAnsi="宋体"/>
                        <w:sz w:val="26"/>
                        <w:szCs w:val="26"/>
                      </w:rPr>
                      <w:t>10</w:t>
                    </w:r>
                    <w:r>
                      <w:rPr>
                        <w:rStyle w:val="34"/>
                        <w:rFonts w:ascii="宋体" w:hAnsi="宋体"/>
                        <w:sz w:val="26"/>
                        <w:szCs w:val="26"/>
                      </w:rPr>
                      <w:fldChar w:fldCharType="end"/>
                    </w:r>
                    <w:r>
                      <w:rPr>
                        <w:rStyle w:val="34"/>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746C90"/>
    <w:multiLevelType w:val="multilevel"/>
    <w:tmpl w:val="FC746C90"/>
    <w:lvl w:ilvl="0" w:tentative="0">
      <w:start w:val="1"/>
      <w:numFmt w:val="decimal"/>
      <w:lvlText w:val="%1."/>
      <w:lvlJc w:val="left"/>
      <w:pPr>
        <w:tabs>
          <w:tab w:val="left" w:pos="0"/>
        </w:tabs>
        <w:ind w:left="0" w:firstLine="0"/>
      </w:pPr>
      <w:rPr>
        <w:rFonts w:hint="eastAsia"/>
      </w:rPr>
    </w:lvl>
    <w:lvl w:ilvl="1" w:tentative="0">
      <w:start w:val="1"/>
      <w:numFmt w:val="decimal"/>
      <w:lvlText w:val="%1.%2"/>
      <w:lvlJc w:val="left"/>
      <w:pPr>
        <w:tabs>
          <w:tab w:val="left" w:pos="0"/>
        </w:tabs>
        <w:ind w:left="0" w:firstLine="0"/>
      </w:pPr>
      <w:rPr>
        <w:rFonts w:hint="eastAsia"/>
      </w:rPr>
    </w:lvl>
    <w:lvl w:ilvl="2" w:tentative="0">
      <w:start w:val="1"/>
      <w:numFmt w:val="decimal"/>
      <w:pStyle w:val="7"/>
      <w:lvlText w:val="%1.%2.%3"/>
      <w:lvlJc w:val="left"/>
      <w:pPr>
        <w:tabs>
          <w:tab w:val="left" w:pos="0"/>
        </w:tabs>
        <w:ind w:left="0" w:firstLine="0"/>
      </w:pPr>
      <w:rPr>
        <w:rFonts w:hint="eastAsia"/>
      </w:rPr>
    </w:lvl>
    <w:lvl w:ilvl="3" w:tentative="0">
      <w:start w:val="1"/>
      <w:numFmt w:val="decimal"/>
      <w:lvlText w:val="%1.%2.%3.%4"/>
      <w:lvlJc w:val="left"/>
      <w:pPr>
        <w:tabs>
          <w:tab w:val="left" w:pos="1080"/>
        </w:tabs>
        <w:ind w:left="0" w:firstLine="0"/>
      </w:pPr>
      <w:rPr>
        <w:rFonts w:hint="default" w:ascii="Times New Roman" w:hAnsi="Times New Roman"/>
      </w:rPr>
    </w:lvl>
    <w:lvl w:ilvl="4" w:tentative="0">
      <w:start w:val="1"/>
      <w:numFmt w:val="decimal"/>
      <w:lvlText w:val="%1.%2.%3.%4.%5"/>
      <w:lvlJc w:val="left"/>
      <w:pPr>
        <w:tabs>
          <w:tab w:val="left" w:pos="0"/>
        </w:tabs>
        <w:ind w:left="0" w:firstLine="0"/>
      </w:pPr>
      <w:rPr>
        <w:rFonts w:hint="eastAsia"/>
      </w:rPr>
    </w:lvl>
    <w:lvl w:ilvl="5" w:tentative="0">
      <w:start w:val="1"/>
      <w:numFmt w:val="decimal"/>
      <w:lvlText w:val="%1.%2.%3.%4.%5.%6"/>
      <w:lvlJc w:val="left"/>
      <w:pPr>
        <w:tabs>
          <w:tab w:val="left" w:pos="0"/>
        </w:tabs>
        <w:ind w:left="0" w:firstLine="0"/>
      </w:pPr>
      <w:rPr>
        <w:rFonts w:hint="eastAsia"/>
      </w:rPr>
    </w:lvl>
    <w:lvl w:ilvl="6" w:tentative="0">
      <w:start w:val="1"/>
      <w:numFmt w:val="decimal"/>
      <w:lvlText w:val="%1.%2.%3.%4.%5.%6.%7"/>
      <w:lvlJc w:val="left"/>
      <w:pPr>
        <w:tabs>
          <w:tab w:val="left" w:pos="0"/>
        </w:tabs>
        <w:ind w:left="0" w:firstLine="0"/>
      </w:pPr>
      <w:rPr>
        <w:rFonts w:hint="eastAsia"/>
      </w:rPr>
    </w:lvl>
    <w:lvl w:ilvl="7" w:tentative="0">
      <w:start w:val="1"/>
      <w:numFmt w:val="decimal"/>
      <w:lvlText w:val="%1.%2.%3.%4.%5.%6.%7.%8"/>
      <w:lvlJc w:val="left"/>
      <w:pPr>
        <w:tabs>
          <w:tab w:val="left" w:pos="0"/>
        </w:tabs>
        <w:ind w:left="0" w:firstLine="0"/>
      </w:pPr>
      <w:rPr>
        <w:rFonts w:hint="eastAsia"/>
      </w:rPr>
    </w:lvl>
    <w:lvl w:ilvl="8" w:tentative="0">
      <w:start w:val="1"/>
      <w:numFmt w:val="decimal"/>
      <w:lvlText w:val="%1.%2.%3.%4.%5.%6.%7.%8.%9"/>
      <w:lvlJc w:val="left"/>
      <w:pPr>
        <w:tabs>
          <w:tab w:val="left" w:pos="0"/>
        </w:tabs>
        <w:ind w:left="0" w:firstLine="0"/>
      </w:pPr>
      <w:rPr>
        <w:rFonts w:hint="eastAsia"/>
      </w:rPr>
    </w:lvl>
  </w:abstractNum>
  <w:abstractNum w:abstractNumId="1">
    <w:nsid w:val="2B23420C"/>
    <w:multiLevelType w:val="singleLevel"/>
    <w:tmpl w:val="2B23420C"/>
    <w:lvl w:ilvl="0" w:tentative="0">
      <w:start w:val="1"/>
      <w:numFmt w:val="bullet"/>
      <w:pStyle w:val="16"/>
      <w:lvlText w:val=""/>
      <w:lvlJc w:val="left"/>
      <w:pPr>
        <w:tabs>
          <w:tab w:val="left" w:pos="2040"/>
        </w:tabs>
        <w:ind w:left="204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false"/>
  <w:bordersDoNotSurroundFooter w:val="fals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true"/>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RhNmI3ZDUyNWE0MzMxYzgwMTJmMjU2ODk4NDdkZDIifQ=="/>
  </w:docVars>
  <w:rsids>
    <w:rsidRoot w:val="00172A27"/>
    <w:rsid w:val="000060B3"/>
    <w:rsid w:val="00024B76"/>
    <w:rsid w:val="00040FFE"/>
    <w:rsid w:val="00043144"/>
    <w:rsid w:val="0004364B"/>
    <w:rsid w:val="00056A81"/>
    <w:rsid w:val="00061B1F"/>
    <w:rsid w:val="000662BB"/>
    <w:rsid w:val="000733C4"/>
    <w:rsid w:val="00074783"/>
    <w:rsid w:val="00076791"/>
    <w:rsid w:val="0008070B"/>
    <w:rsid w:val="000810AC"/>
    <w:rsid w:val="00081A02"/>
    <w:rsid w:val="00082231"/>
    <w:rsid w:val="00092D38"/>
    <w:rsid w:val="0009377B"/>
    <w:rsid w:val="000A002F"/>
    <w:rsid w:val="000A20C9"/>
    <w:rsid w:val="000B058F"/>
    <w:rsid w:val="000B4467"/>
    <w:rsid w:val="000B46A8"/>
    <w:rsid w:val="000B4DB9"/>
    <w:rsid w:val="000B7F96"/>
    <w:rsid w:val="000C09AC"/>
    <w:rsid w:val="000C767F"/>
    <w:rsid w:val="000D5A44"/>
    <w:rsid w:val="000E3ED2"/>
    <w:rsid w:val="00104720"/>
    <w:rsid w:val="00131F42"/>
    <w:rsid w:val="001357F1"/>
    <w:rsid w:val="00140D84"/>
    <w:rsid w:val="00140FA8"/>
    <w:rsid w:val="0014280D"/>
    <w:rsid w:val="00142FEB"/>
    <w:rsid w:val="00143A2D"/>
    <w:rsid w:val="00145A41"/>
    <w:rsid w:val="00151675"/>
    <w:rsid w:val="001570FF"/>
    <w:rsid w:val="00157435"/>
    <w:rsid w:val="0017504D"/>
    <w:rsid w:val="0017671A"/>
    <w:rsid w:val="00177422"/>
    <w:rsid w:val="00184590"/>
    <w:rsid w:val="001870D1"/>
    <w:rsid w:val="0018781E"/>
    <w:rsid w:val="00191BF8"/>
    <w:rsid w:val="0019262D"/>
    <w:rsid w:val="001A1B35"/>
    <w:rsid w:val="001A48A2"/>
    <w:rsid w:val="001A6F61"/>
    <w:rsid w:val="001B72B8"/>
    <w:rsid w:val="001C048E"/>
    <w:rsid w:val="001C69B3"/>
    <w:rsid w:val="001D5595"/>
    <w:rsid w:val="001D7874"/>
    <w:rsid w:val="001D7E48"/>
    <w:rsid w:val="001D7F22"/>
    <w:rsid w:val="001F0F17"/>
    <w:rsid w:val="001F3347"/>
    <w:rsid w:val="001F69E4"/>
    <w:rsid w:val="001F7F7E"/>
    <w:rsid w:val="00207188"/>
    <w:rsid w:val="002125B4"/>
    <w:rsid w:val="002155B8"/>
    <w:rsid w:val="00222F92"/>
    <w:rsid w:val="00224839"/>
    <w:rsid w:val="002249B2"/>
    <w:rsid w:val="00226574"/>
    <w:rsid w:val="002278EC"/>
    <w:rsid w:val="0023280E"/>
    <w:rsid w:val="002377D1"/>
    <w:rsid w:val="002506BC"/>
    <w:rsid w:val="00254345"/>
    <w:rsid w:val="0026133E"/>
    <w:rsid w:val="00262236"/>
    <w:rsid w:val="00264557"/>
    <w:rsid w:val="002805AB"/>
    <w:rsid w:val="00284204"/>
    <w:rsid w:val="00291773"/>
    <w:rsid w:val="002A168C"/>
    <w:rsid w:val="002A3DC7"/>
    <w:rsid w:val="002B49E2"/>
    <w:rsid w:val="002B742A"/>
    <w:rsid w:val="002B7B00"/>
    <w:rsid w:val="002B7C44"/>
    <w:rsid w:val="002C2B17"/>
    <w:rsid w:val="002D3DD0"/>
    <w:rsid w:val="002E1F3A"/>
    <w:rsid w:val="002E298A"/>
    <w:rsid w:val="00301978"/>
    <w:rsid w:val="0030332C"/>
    <w:rsid w:val="003051C2"/>
    <w:rsid w:val="00312296"/>
    <w:rsid w:val="0031380D"/>
    <w:rsid w:val="00314F0E"/>
    <w:rsid w:val="00321D8E"/>
    <w:rsid w:val="0032561E"/>
    <w:rsid w:val="00325928"/>
    <w:rsid w:val="00327CB1"/>
    <w:rsid w:val="00332863"/>
    <w:rsid w:val="0033684D"/>
    <w:rsid w:val="00337B42"/>
    <w:rsid w:val="003417C9"/>
    <w:rsid w:val="00341B42"/>
    <w:rsid w:val="0034348F"/>
    <w:rsid w:val="00356653"/>
    <w:rsid w:val="0035743F"/>
    <w:rsid w:val="00357BE2"/>
    <w:rsid w:val="0036170C"/>
    <w:rsid w:val="00366E0F"/>
    <w:rsid w:val="00381040"/>
    <w:rsid w:val="00381A72"/>
    <w:rsid w:val="00384676"/>
    <w:rsid w:val="00390857"/>
    <w:rsid w:val="003A4BF3"/>
    <w:rsid w:val="003B292F"/>
    <w:rsid w:val="003B420D"/>
    <w:rsid w:val="003C28DE"/>
    <w:rsid w:val="003C6C16"/>
    <w:rsid w:val="003D0404"/>
    <w:rsid w:val="003D794D"/>
    <w:rsid w:val="003E3058"/>
    <w:rsid w:val="003E76A9"/>
    <w:rsid w:val="003F0809"/>
    <w:rsid w:val="003F6A8C"/>
    <w:rsid w:val="003F755C"/>
    <w:rsid w:val="00406F01"/>
    <w:rsid w:val="004134EC"/>
    <w:rsid w:val="00416D50"/>
    <w:rsid w:val="00416FD5"/>
    <w:rsid w:val="00417772"/>
    <w:rsid w:val="00420E6A"/>
    <w:rsid w:val="00423C6D"/>
    <w:rsid w:val="0042535C"/>
    <w:rsid w:val="00425A9E"/>
    <w:rsid w:val="00426D6B"/>
    <w:rsid w:val="00431E6C"/>
    <w:rsid w:val="00433CE7"/>
    <w:rsid w:val="00452738"/>
    <w:rsid w:val="00456091"/>
    <w:rsid w:val="00466321"/>
    <w:rsid w:val="00484B9B"/>
    <w:rsid w:val="004855F6"/>
    <w:rsid w:val="00485969"/>
    <w:rsid w:val="0048661E"/>
    <w:rsid w:val="00494670"/>
    <w:rsid w:val="004A3823"/>
    <w:rsid w:val="004E6946"/>
    <w:rsid w:val="004F1AD8"/>
    <w:rsid w:val="005039CB"/>
    <w:rsid w:val="0050558F"/>
    <w:rsid w:val="00506286"/>
    <w:rsid w:val="0050638A"/>
    <w:rsid w:val="00510813"/>
    <w:rsid w:val="00511990"/>
    <w:rsid w:val="00511DE0"/>
    <w:rsid w:val="00514870"/>
    <w:rsid w:val="00514B9B"/>
    <w:rsid w:val="00517F02"/>
    <w:rsid w:val="00524303"/>
    <w:rsid w:val="005258A2"/>
    <w:rsid w:val="005401AE"/>
    <w:rsid w:val="00542E07"/>
    <w:rsid w:val="00543319"/>
    <w:rsid w:val="00545424"/>
    <w:rsid w:val="00554A7B"/>
    <w:rsid w:val="0055572C"/>
    <w:rsid w:val="0056106A"/>
    <w:rsid w:val="00563274"/>
    <w:rsid w:val="005720AE"/>
    <w:rsid w:val="00586FEC"/>
    <w:rsid w:val="00594D77"/>
    <w:rsid w:val="005969E4"/>
    <w:rsid w:val="005A06B7"/>
    <w:rsid w:val="005A1759"/>
    <w:rsid w:val="005A68A7"/>
    <w:rsid w:val="005A7208"/>
    <w:rsid w:val="005D36AB"/>
    <w:rsid w:val="005E0397"/>
    <w:rsid w:val="00617CC3"/>
    <w:rsid w:val="006377A6"/>
    <w:rsid w:val="00637A3D"/>
    <w:rsid w:val="006411EF"/>
    <w:rsid w:val="00664977"/>
    <w:rsid w:val="006748B8"/>
    <w:rsid w:val="006775C3"/>
    <w:rsid w:val="0069290A"/>
    <w:rsid w:val="0069775A"/>
    <w:rsid w:val="00697813"/>
    <w:rsid w:val="006A3EE8"/>
    <w:rsid w:val="006A7033"/>
    <w:rsid w:val="006A72BF"/>
    <w:rsid w:val="006B03F2"/>
    <w:rsid w:val="006B31C3"/>
    <w:rsid w:val="006B37DC"/>
    <w:rsid w:val="006B4F68"/>
    <w:rsid w:val="006C0592"/>
    <w:rsid w:val="006C272E"/>
    <w:rsid w:val="006C5479"/>
    <w:rsid w:val="006C72C4"/>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09CF"/>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5D7F"/>
    <w:rsid w:val="008E73D9"/>
    <w:rsid w:val="008E76F0"/>
    <w:rsid w:val="008F15FE"/>
    <w:rsid w:val="008F2D29"/>
    <w:rsid w:val="008F5187"/>
    <w:rsid w:val="008F60D8"/>
    <w:rsid w:val="00902727"/>
    <w:rsid w:val="0090312B"/>
    <w:rsid w:val="0091736D"/>
    <w:rsid w:val="0093037A"/>
    <w:rsid w:val="0094154D"/>
    <w:rsid w:val="0095155F"/>
    <w:rsid w:val="00951FEE"/>
    <w:rsid w:val="00954429"/>
    <w:rsid w:val="009563CE"/>
    <w:rsid w:val="00976328"/>
    <w:rsid w:val="0097680D"/>
    <w:rsid w:val="00982438"/>
    <w:rsid w:val="0098404C"/>
    <w:rsid w:val="00985283"/>
    <w:rsid w:val="00995992"/>
    <w:rsid w:val="00997D30"/>
    <w:rsid w:val="009A03E5"/>
    <w:rsid w:val="009A0F3B"/>
    <w:rsid w:val="009A1BB4"/>
    <w:rsid w:val="009A2628"/>
    <w:rsid w:val="009A3200"/>
    <w:rsid w:val="009B0897"/>
    <w:rsid w:val="009B117B"/>
    <w:rsid w:val="009B7BD9"/>
    <w:rsid w:val="009C7DD5"/>
    <w:rsid w:val="009E227D"/>
    <w:rsid w:val="009E5019"/>
    <w:rsid w:val="00A04F1B"/>
    <w:rsid w:val="00A0501B"/>
    <w:rsid w:val="00A14947"/>
    <w:rsid w:val="00A3128A"/>
    <w:rsid w:val="00A3236E"/>
    <w:rsid w:val="00A32A83"/>
    <w:rsid w:val="00A368DB"/>
    <w:rsid w:val="00A423AA"/>
    <w:rsid w:val="00A53EC6"/>
    <w:rsid w:val="00A55C0F"/>
    <w:rsid w:val="00A641FB"/>
    <w:rsid w:val="00A8713F"/>
    <w:rsid w:val="00A90BA1"/>
    <w:rsid w:val="00A97A9A"/>
    <w:rsid w:val="00AA0671"/>
    <w:rsid w:val="00AA2531"/>
    <w:rsid w:val="00AA3CEC"/>
    <w:rsid w:val="00AA5A06"/>
    <w:rsid w:val="00AB1E09"/>
    <w:rsid w:val="00AB35C0"/>
    <w:rsid w:val="00AB5330"/>
    <w:rsid w:val="00AB7747"/>
    <w:rsid w:val="00AC14CE"/>
    <w:rsid w:val="00AC2A56"/>
    <w:rsid w:val="00AC47C4"/>
    <w:rsid w:val="00AD055E"/>
    <w:rsid w:val="00AD47A7"/>
    <w:rsid w:val="00AF0CBF"/>
    <w:rsid w:val="00AF257F"/>
    <w:rsid w:val="00AF33CF"/>
    <w:rsid w:val="00AF4D50"/>
    <w:rsid w:val="00AF6179"/>
    <w:rsid w:val="00B1295A"/>
    <w:rsid w:val="00B16EDB"/>
    <w:rsid w:val="00B20A45"/>
    <w:rsid w:val="00B20DF2"/>
    <w:rsid w:val="00B22C5C"/>
    <w:rsid w:val="00B24F30"/>
    <w:rsid w:val="00B31ABF"/>
    <w:rsid w:val="00B33BE3"/>
    <w:rsid w:val="00B53B5D"/>
    <w:rsid w:val="00B6055E"/>
    <w:rsid w:val="00B6317D"/>
    <w:rsid w:val="00B7723F"/>
    <w:rsid w:val="00B80534"/>
    <w:rsid w:val="00B8433C"/>
    <w:rsid w:val="00B87491"/>
    <w:rsid w:val="00B95CDD"/>
    <w:rsid w:val="00BA29E9"/>
    <w:rsid w:val="00BA7142"/>
    <w:rsid w:val="00BB237C"/>
    <w:rsid w:val="00BB41A3"/>
    <w:rsid w:val="00BC32DC"/>
    <w:rsid w:val="00BC35B6"/>
    <w:rsid w:val="00BD1B51"/>
    <w:rsid w:val="00BD4596"/>
    <w:rsid w:val="00BE1405"/>
    <w:rsid w:val="00BE312D"/>
    <w:rsid w:val="00BE4879"/>
    <w:rsid w:val="00BE7797"/>
    <w:rsid w:val="00BF1C20"/>
    <w:rsid w:val="00C10578"/>
    <w:rsid w:val="00C12DE3"/>
    <w:rsid w:val="00C135BC"/>
    <w:rsid w:val="00C157B9"/>
    <w:rsid w:val="00C15C95"/>
    <w:rsid w:val="00C2596A"/>
    <w:rsid w:val="00C26EA9"/>
    <w:rsid w:val="00C27537"/>
    <w:rsid w:val="00C328FE"/>
    <w:rsid w:val="00C33507"/>
    <w:rsid w:val="00C36B5B"/>
    <w:rsid w:val="00C4409D"/>
    <w:rsid w:val="00C44E72"/>
    <w:rsid w:val="00C45A06"/>
    <w:rsid w:val="00C47E5B"/>
    <w:rsid w:val="00C50676"/>
    <w:rsid w:val="00C61E4B"/>
    <w:rsid w:val="00C64BFF"/>
    <w:rsid w:val="00C704E9"/>
    <w:rsid w:val="00C763C9"/>
    <w:rsid w:val="00C80057"/>
    <w:rsid w:val="00C82232"/>
    <w:rsid w:val="00C823C4"/>
    <w:rsid w:val="00C82913"/>
    <w:rsid w:val="00C91C98"/>
    <w:rsid w:val="00C972B1"/>
    <w:rsid w:val="00CA2CCE"/>
    <w:rsid w:val="00CA43FD"/>
    <w:rsid w:val="00CA7EEA"/>
    <w:rsid w:val="00CA7EF8"/>
    <w:rsid w:val="00CC4049"/>
    <w:rsid w:val="00CC489B"/>
    <w:rsid w:val="00CD2BCD"/>
    <w:rsid w:val="00CD3A4C"/>
    <w:rsid w:val="00CE10E9"/>
    <w:rsid w:val="00CE2910"/>
    <w:rsid w:val="00CE5393"/>
    <w:rsid w:val="00CF36BE"/>
    <w:rsid w:val="00CF6000"/>
    <w:rsid w:val="00D003F3"/>
    <w:rsid w:val="00D0364F"/>
    <w:rsid w:val="00D06834"/>
    <w:rsid w:val="00D074CA"/>
    <w:rsid w:val="00D24FF0"/>
    <w:rsid w:val="00D308ED"/>
    <w:rsid w:val="00D36D86"/>
    <w:rsid w:val="00D428AA"/>
    <w:rsid w:val="00D50A34"/>
    <w:rsid w:val="00D51667"/>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19E6"/>
    <w:rsid w:val="00E2656A"/>
    <w:rsid w:val="00E412D0"/>
    <w:rsid w:val="00E56322"/>
    <w:rsid w:val="00E60982"/>
    <w:rsid w:val="00E6284A"/>
    <w:rsid w:val="00E62C62"/>
    <w:rsid w:val="00E654C1"/>
    <w:rsid w:val="00E65D97"/>
    <w:rsid w:val="00E72A5A"/>
    <w:rsid w:val="00E73354"/>
    <w:rsid w:val="00E9242D"/>
    <w:rsid w:val="00EB5255"/>
    <w:rsid w:val="00EB5C47"/>
    <w:rsid w:val="00EB7E60"/>
    <w:rsid w:val="00ED0639"/>
    <w:rsid w:val="00EF4755"/>
    <w:rsid w:val="00EF7135"/>
    <w:rsid w:val="00F027DB"/>
    <w:rsid w:val="00F14A7A"/>
    <w:rsid w:val="00F22985"/>
    <w:rsid w:val="00F3383E"/>
    <w:rsid w:val="00F465A7"/>
    <w:rsid w:val="00F46D15"/>
    <w:rsid w:val="00F50B7C"/>
    <w:rsid w:val="00F550E6"/>
    <w:rsid w:val="00F71411"/>
    <w:rsid w:val="00F74345"/>
    <w:rsid w:val="00F80A0A"/>
    <w:rsid w:val="00F81895"/>
    <w:rsid w:val="00F82B19"/>
    <w:rsid w:val="00F9212D"/>
    <w:rsid w:val="00F965DA"/>
    <w:rsid w:val="00FA406A"/>
    <w:rsid w:val="00FB503A"/>
    <w:rsid w:val="00FB516C"/>
    <w:rsid w:val="00FC3E1B"/>
    <w:rsid w:val="00FD0236"/>
    <w:rsid w:val="00FD18F4"/>
    <w:rsid w:val="00FD54DB"/>
    <w:rsid w:val="00FD619F"/>
    <w:rsid w:val="01064C9A"/>
    <w:rsid w:val="0107317A"/>
    <w:rsid w:val="01080536"/>
    <w:rsid w:val="010B405F"/>
    <w:rsid w:val="010D6029"/>
    <w:rsid w:val="010D7DD7"/>
    <w:rsid w:val="01161381"/>
    <w:rsid w:val="01172A03"/>
    <w:rsid w:val="011F61C5"/>
    <w:rsid w:val="01290F7E"/>
    <w:rsid w:val="0132783D"/>
    <w:rsid w:val="01340C71"/>
    <w:rsid w:val="01341807"/>
    <w:rsid w:val="013637D1"/>
    <w:rsid w:val="013A69C8"/>
    <w:rsid w:val="014063FE"/>
    <w:rsid w:val="01444A6E"/>
    <w:rsid w:val="014A7B12"/>
    <w:rsid w:val="014B7643"/>
    <w:rsid w:val="014D28C9"/>
    <w:rsid w:val="015233E3"/>
    <w:rsid w:val="01527EDF"/>
    <w:rsid w:val="015B4FE6"/>
    <w:rsid w:val="015C2B0C"/>
    <w:rsid w:val="015C77F3"/>
    <w:rsid w:val="015D0D5E"/>
    <w:rsid w:val="015D1E09"/>
    <w:rsid w:val="016025FC"/>
    <w:rsid w:val="01620FE6"/>
    <w:rsid w:val="01627B0A"/>
    <w:rsid w:val="01641C6C"/>
    <w:rsid w:val="0165325A"/>
    <w:rsid w:val="01660C64"/>
    <w:rsid w:val="01695955"/>
    <w:rsid w:val="016A18ED"/>
    <w:rsid w:val="016B5A59"/>
    <w:rsid w:val="016D6AC7"/>
    <w:rsid w:val="01741DF0"/>
    <w:rsid w:val="017842DA"/>
    <w:rsid w:val="017B7436"/>
    <w:rsid w:val="017D31AE"/>
    <w:rsid w:val="017D3DE0"/>
    <w:rsid w:val="017D5B11"/>
    <w:rsid w:val="01802A82"/>
    <w:rsid w:val="018502B5"/>
    <w:rsid w:val="01864F88"/>
    <w:rsid w:val="01891B53"/>
    <w:rsid w:val="018A371E"/>
    <w:rsid w:val="018B5B2B"/>
    <w:rsid w:val="018C34AF"/>
    <w:rsid w:val="018F4C90"/>
    <w:rsid w:val="01912835"/>
    <w:rsid w:val="01995B0E"/>
    <w:rsid w:val="019D73AC"/>
    <w:rsid w:val="019E3125"/>
    <w:rsid w:val="01A434DA"/>
    <w:rsid w:val="01A54788"/>
    <w:rsid w:val="01A60A29"/>
    <w:rsid w:val="01A77E22"/>
    <w:rsid w:val="01AA1AC9"/>
    <w:rsid w:val="01AB24CE"/>
    <w:rsid w:val="01AF0E8E"/>
    <w:rsid w:val="01B34E22"/>
    <w:rsid w:val="01BA256B"/>
    <w:rsid w:val="01BB7833"/>
    <w:rsid w:val="01BD0368"/>
    <w:rsid w:val="01BE7135"/>
    <w:rsid w:val="01C430DB"/>
    <w:rsid w:val="01C51C30"/>
    <w:rsid w:val="01C56903"/>
    <w:rsid w:val="01C901A1"/>
    <w:rsid w:val="01C963F3"/>
    <w:rsid w:val="01CA3CCE"/>
    <w:rsid w:val="01D134FA"/>
    <w:rsid w:val="01D152A8"/>
    <w:rsid w:val="01D35B6E"/>
    <w:rsid w:val="01DB6127"/>
    <w:rsid w:val="01DC72DE"/>
    <w:rsid w:val="01E21263"/>
    <w:rsid w:val="01E2317F"/>
    <w:rsid w:val="01E46377"/>
    <w:rsid w:val="01E925F2"/>
    <w:rsid w:val="01EC3E90"/>
    <w:rsid w:val="01EE5E5A"/>
    <w:rsid w:val="01EF3980"/>
    <w:rsid w:val="01F62F61"/>
    <w:rsid w:val="01FB0712"/>
    <w:rsid w:val="01FD539F"/>
    <w:rsid w:val="01FE03EE"/>
    <w:rsid w:val="01FF3BC3"/>
    <w:rsid w:val="020A2568"/>
    <w:rsid w:val="020B544F"/>
    <w:rsid w:val="020B7821"/>
    <w:rsid w:val="020C23F9"/>
    <w:rsid w:val="02107A02"/>
    <w:rsid w:val="021138F7"/>
    <w:rsid w:val="0215299B"/>
    <w:rsid w:val="02185F10"/>
    <w:rsid w:val="022053AE"/>
    <w:rsid w:val="02274812"/>
    <w:rsid w:val="02284B48"/>
    <w:rsid w:val="022D76B5"/>
    <w:rsid w:val="022E26FA"/>
    <w:rsid w:val="02300221"/>
    <w:rsid w:val="02301FCF"/>
    <w:rsid w:val="02317AF5"/>
    <w:rsid w:val="023745B0"/>
    <w:rsid w:val="02492F04"/>
    <w:rsid w:val="024A0BB7"/>
    <w:rsid w:val="024B50E5"/>
    <w:rsid w:val="02510FA0"/>
    <w:rsid w:val="02566FA4"/>
    <w:rsid w:val="02581CAB"/>
    <w:rsid w:val="02583491"/>
    <w:rsid w:val="025A34EF"/>
    <w:rsid w:val="025E6655"/>
    <w:rsid w:val="02624152"/>
    <w:rsid w:val="026659F0"/>
    <w:rsid w:val="02697903"/>
    <w:rsid w:val="026D3D55"/>
    <w:rsid w:val="026D4B83"/>
    <w:rsid w:val="02704AC1"/>
    <w:rsid w:val="02742860"/>
    <w:rsid w:val="02783976"/>
    <w:rsid w:val="0281282A"/>
    <w:rsid w:val="02831388"/>
    <w:rsid w:val="028440C8"/>
    <w:rsid w:val="0287392C"/>
    <w:rsid w:val="028944BF"/>
    <w:rsid w:val="02895B83"/>
    <w:rsid w:val="0290474E"/>
    <w:rsid w:val="029702A0"/>
    <w:rsid w:val="029F0F02"/>
    <w:rsid w:val="02A3561E"/>
    <w:rsid w:val="02A41263"/>
    <w:rsid w:val="02A46519"/>
    <w:rsid w:val="02A66735"/>
    <w:rsid w:val="02A91D81"/>
    <w:rsid w:val="02A97C54"/>
    <w:rsid w:val="02B20C36"/>
    <w:rsid w:val="02B22DEB"/>
    <w:rsid w:val="02B63CEC"/>
    <w:rsid w:val="02B773CC"/>
    <w:rsid w:val="02BD75DA"/>
    <w:rsid w:val="02BE5711"/>
    <w:rsid w:val="02C22436"/>
    <w:rsid w:val="02C26F6C"/>
    <w:rsid w:val="02C37654"/>
    <w:rsid w:val="02C4475B"/>
    <w:rsid w:val="02C46F8D"/>
    <w:rsid w:val="02C75832"/>
    <w:rsid w:val="02C95F7F"/>
    <w:rsid w:val="02CB5C47"/>
    <w:rsid w:val="02CB619B"/>
    <w:rsid w:val="02CD0AE3"/>
    <w:rsid w:val="02E03D37"/>
    <w:rsid w:val="02E64D83"/>
    <w:rsid w:val="02E828A9"/>
    <w:rsid w:val="02E96621"/>
    <w:rsid w:val="02EB05EB"/>
    <w:rsid w:val="02F11C26"/>
    <w:rsid w:val="02F54CB0"/>
    <w:rsid w:val="02F55546"/>
    <w:rsid w:val="02F76012"/>
    <w:rsid w:val="02F80664"/>
    <w:rsid w:val="02F96569"/>
    <w:rsid w:val="02FD39D1"/>
    <w:rsid w:val="02FE0072"/>
    <w:rsid w:val="02FF4F4B"/>
    <w:rsid w:val="030376E3"/>
    <w:rsid w:val="03091C9A"/>
    <w:rsid w:val="030B47EA"/>
    <w:rsid w:val="030D40BE"/>
    <w:rsid w:val="030F42DA"/>
    <w:rsid w:val="03101E00"/>
    <w:rsid w:val="03133EAC"/>
    <w:rsid w:val="03174F3D"/>
    <w:rsid w:val="031A1169"/>
    <w:rsid w:val="031C2553"/>
    <w:rsid w:val="031D4CC0"/>
    <w:rsid w:val="03205B36"/>
    <w:rsid w:val="0323068A"/>
    <w:rsid w:val="03230B08"/>
    <w:rsid w:val="03244264"/>
    <w:rsid w:val="03287A84"/>
    <w:rsid w:val="0329323F"/>
    <w:rsid w:val="032A4DB0"/>
    <w:rsid w:val="032E337A"/>
    <w:rsid w:val="03300D99"/>
    <w:rsid w:val="03305FFE"/>
    <w:rsid w:val="03337C4D"/>
    <w:rsid w:val="03342D0D"/>
    <w:rsid w:val="03367AB9"/>
    <w:rsid w:val="03387A30"/>
    <w:rsid w:val="033A0C2B"/>
    <w:rsid w:val="033B2487"/>
    <w:rsid w:val="033C2BF5"/>
    <w:rsid w:val="03457CFC"/>
    <w:rsid w:val="03474EC0"/>
    <w:rsid w:val="034A5312"/>
    <w:rsid w:val="034B2E38"/>
    <w:rsid w:val="034B5C67"/>
    <w:rsid w:val="034D272E"/>
    <w:rsid w:val="0351517A"/>
    <w:rsid w:val="03576B85"/>
    <w:rsid w:val="03595555"/>
    <w:rsid w:val="035B6526"/>
    <w:rsid w:val="035E3631"/>
    <w:rsid w:val="03634626"/>
    <w:rsid w:val="03652DB5"/>
    <w:rsid w:val="036B74E4"/>
    <w:rsid w:val="036D1000"/>
    <w:rsid w:val="037A0DAA"/>
    <w:rsid w:val="037B196F"/>
    <w:rsid w:val="03802AE2"/>
    <w:rsid w:val="03822CFE"/>
    <w:rsid w:val="03830824"/>
    <w:rsid w:val="038500F8"/>
    <w:rsid w:val="038720C2"/>
    <w:rsid w:val="038A3960"/>
    <w:rsid w:val="03912F41"/>
    <w:rsid w:val="039847FC"/>
    <w:rsid w:val="039E740C"/>
    <w:rsid w:val="03A013D6"/>
    <w:rsid w:val="03A541C7"/>
    <w:rsid w:val="03A67622"/>
    <w:rsid w:val="03AC133C"/>
    <w:rsid w:val="03AC7D7B"/>
    <w:rsid w:val="03AF6896"/>
    <w:rsid w:val="03B60BF9"/>
    <w:rsid w:val="03B82CDC"/>
    <w:rsid w:val="03B94246"/>
    <w:rsid w:val="03BD5AE4"/>
    <w:rsid w:val="03BF0338"/>
    <w:rsid w:val="03C410CC"/>
    <w:rsid w:val="03C774EE"/>
    <w:rsid w:val="03C9340D"/>
    <w:rsid w:val="03CC28C7"/>
    <w:rsid w:val="03D1158F"/>
    <w:rsid w:val="03D66BA6"/>
    <w:rsid w:val="03DA1F52"/>
    <w:rsid w:val="03DE3CAC"/>
    <w:rsid w:val="03DE5A5A"/>
    <w:rsid w:val="03E05C76"/>
    <w:rsid w:val="03E2379C"/>
    <w:rsid w:val="03E30E76"/>
    <w:rsid w:val="03E4682D"/>
    <w:rsid w:val="03E5503B"/>
    <w:rsid w:val="03EA7B21"/>
    <w:rsid w:val="03ED3BD7"/>
    <w:rsid w:val="03ED668B"/>
    <w:rsid w:val="03F434D0"/>
    <w:rsid w:val="03F4702C"/>
    <w:rsid w:val="03FB485E"/>
    <w:rsid w:val="03FC5407"/>
    <w:rsid w:val="03FD0366"/>
    <w:rsid w:val="040000C7"/>
    <w:rsid w:val="04025BED"/>
    <w:rsid w:val="0402607A"/>
    <w:rsid w:val="04073203"/>
    <w:rsid w:val="040C6A6B"/>
    <w:rsid w:val="0410290D"/>
    <w:rsid w:val="04115E30"/>
    <w:rsid w:val="04180F6C"/>
    <w:rsid w:val="041C655A"/>
    <w:rsid w:val="041F5785"/>
    <w:rsid w:val="04207E21"/>
    <w:rsid w:val="04292378"/>
    <w:rsid w:val="042943D1"/>
    <w:rsid w:val="042C64F2"/>
    <w:rsid w:val="042F62B6"/>
    <w:rsid w:val="0433224A"/>
    <w:rsid w:val="043438CC"/>
    <w:rsid w:val="04447FB3"/>
    <w:rsid w:val="04450781"/>
    <w:rsid w:val="04481CA8"/>
    <w:rsid w:val="044A09EA"/>
    <w:rsid w:val="044D2168"/>
    <w:rsid w:val="04561A95"/>
    <w:rsid w:val="045A77D7"/>
    <w:rsid w:val="045B70AB"/>
    <w:rsid w:val="045C03C9"/>
    <w:rsid w:val="045E1727"/>
    <w:rsid w:val="045F6B9B"/>
    <w:rsid w:val="046046C1"/>
    <w:rsid w:val="04667D81"/>
    <w:rsid w:val="04714B20"/>
    <w:rsid w:val="04792A48"/>
    <w:rsid w:val="047C1E1B"/>
    <w:rsid w:val="047C774D"/>
    <w:rsid w:val="04806B11"/>
    <w:rsid w:val="048476EC"/>
    <w:rsid w:val="0489208A"/>
    <w:rsid w:val="04892589"/>
    <w:rsid w:val="048B3E34"/>
    <w:rsid w:val="04935E03"/>
    <w:rsid w:val="0495080F"/>
    <w:rsid w:val="04983E5B"/>
    <w:rsid w:val="049E2779"/>
    <w:rsid w:val="049E7161"/>
    <w:rsid w:val="04A13BD4"/>
    <w:rsid w:val="04A33A31"/>
    <w:rsid w:val="04A70542"/>
    <w:rsid w:val="04A87B9C"/>
    <w:rsid w:val="04AB17C9"/>
    <w:rsid w:val="04AB3B8E"/>
    <w:rsid w:val="04B1050B"/>
    <w:rsid w:val="04B25695"/>
    <w:rsid w:val="04BA0275"/>
    <w:rsid w:val="04BC223F"/>
    <w:rsid w:val="04BD469A"/>
    <w:rsid w:val="04BD7D66"/>
    <w:rsid w:val="04C46204"/>
    <w:rsid w:val="04C67606"/>
    <w:rsid w:val="04C8272E"/>
    <w:rsid w:val="04CA4794"/>
    <w:rsid w:val="04CC1D57"/>
    <w:rsid w:val="04D72BD5"/>
    <w:rsid w:val="04DE107D"/>
    <w:rsid w:val="04DE27BE"/>
    <w:rsid w:val="04DF7CDC"/>
    <w:rsid w:val="04E02F22"/>
    <w:rsid w:val="04E43544"/>
    <w:rsid w:val="04E96EDD"/>
    <w:rsid w:val="04EF3F4D"/>
    <w:rsid w:val="04EF43C3"/>
    <w:rsid w:val="04EF6BBB"/>
    <w:rsid w:val="04F05ECE"/>
    <w:rsid w:val="04F55751"/>
    <w:rsid w:val="04FB22CB"/>
    <w:rsid w:val="04FD6775"/>
    <w:rsid w:val="050257AB"/>
    <w:rsid w:val="050339CA"/>
    <w:rsid w:val="050553B0"/>
    <w:rsid w:val="050B287F"/>
    <w:rsid w:val="050C4613"/>
    <w:rsid w:val="051931EE"/>
    <w:rsid w:val="051D0035"/>
    <w:rsid w:val="052120A3"/>
    <w:rsid w:val="052650B7"/>
    <w:rsid w:val="05281683"/>
    <w:rsid w:val="05290F57"/>
    <w:rsid w:val="052B2F21"/>
    <w:rsid w:val="052E025A"/>
    <w:rsid w:val="053261AC"/>
    <w:rsid w:val="0535476A"/>
    <w:rsid w:val="053D1EC3"/>
    <w:rsid w:val="053D46AF"/>
    <w:rsid w:val="053D722D"/>
    <w:rsid w:val="053E5AFA"/>
    <w:rsid w:val="0540041A"/>
    <w:rsid w:val="05420A2F"/>
    <w:rsid w:val="0543026B"/>
    <w:rsid w:val="05452235"/>
    <w:rsid w:val="054B5371"/>
    <w:rsid w:val="055778F5"/>
    <w:rsid w:val="05587817"/>
    <w:rsid w:val="055A5762"/>
    <w:rsid w:val="055C47AD"/>
    <w:rsid w:val="0560002B"/>
    <w:rsid w:val="0563090D"/>
    <w:rsid w:val="056F1F66"/>
    <w:rsid w:val="057957CF"/>
    <w:rsid w:val="057C7FBC"/>
    <w:rsid w:val="0580326D"/>
    <w:rsid w:val="05810D93"/>
    <w:rsid w:val="05812B41"/>
    <w:rsid w:val="05852631"/>
    <w:rsid w:val="05856B4D"/>
    <w:rsid w:val="058A7C48"/>
    <w:rsid w:val="058D598A"/>
    <w:rsid w:val="059142D1"/>
    <w:rsid w:val="059565ED"/>
    <w:rsid w:val="05974BC3"/>
    <w:rsid w:val="059A6477"/>
    <w:rsid w:val="05A1036E"/>
    <w:rsid w:val="05A351AD"/>
    <w:rsid w:val="05A8111D"/>
    <w:rsid w:val="05AE6DB0"/>
    <w:rsid w:val="05AF3B52"/>
    <w:rsid w:val="05B11678"/>
    <w:rsid w:val="05B42F17"/>
    <w:rsid w:val="05B64EE1"/>
    <w:rsid w:val="05B747B5"/>
    <w:rsid w:val="05C649F8"/>
    <w:rsid w:val="05C94D32"/>
    <w:rsid w:val="05CB7369"/>
    <w:rsid w:val="05D121B1"/>
    <w:rsid w:val="05D215EF"/>
    <w:rsid w:val="05D435B9"/>
    <w:rsid w:val="05D54015"/>
    <w:rsid w:val="05D610DF"/>
    <w:rsid w:val="05D81D2E"/>
    <w:rsid w:val="05D90BCF"/>
    <w:rsid w:val="05E60B66"/>
    <w:rsid w:val="05E82BC0"/>
    <w:rsid w:val="05E86B71"/>
    <w:rsid w:val="05ED6429"/>
    <w:rsid w:val="05F01313"/>
    <w:rsid w:val="05F17AF7"/>
    <w:rsid w:val="05F32CB1"/>
    <w:rsid w:val="05F55FDB"/>
    <w:rsid w:val="05F83EAE"/>
    <w:rsid w:val="05FB0B46"/>
    <w:rsid w:val="06007F0A"/>
    <w:rsid w:val="060403EB"/>
    <w:rsid w:val="06145C04"/>
    <w:rsid w:val="06147E59"/>
    <w:rsid w:val="061A695E"/>
    <w:rsid w:val="061D031B"/>
    <w:rsid w:val="061E21C3"/>
    <w:rsid w:val="06233BF8"/>
    <w:rsid w:val="06255BC2"/>
    <w:rsid w:val="062719DA"/>
    <w:rsid w:val="06294730"/>
    <w:rsid w:val="062F259D"/>
    <w:rsid w:val="06312CD3"/>
    <w:rsid w:val="06314355"/>
    <w:rsid w:val="063555C0"/>
    <w:rsid w:val="0639166E"/>
    <w:rsid w:val="063E7D85"/>
    <w:rsid w:val="06413A68"/>
    <w:rsid w:val="064424ED"/>
    <w:rsid w:val="06484897"/>
    <w:rsid w:val="064C13A1"/>
    <w:rsid w:val="064C75F3"/>
    <w:rsid w:val="06577C79"/>
    <w:rsid w:val="065A1D10"/>
    <w:rsid w:val="066305A5"/>
    <w:rsid w:val="066761DB"/>
    <w:rsid w:val="066A1827"/>
    <w:rsid w:val="066B7832"/>
    <w:rsid w:val="066F04FF"/>
    <w:rsid w:val="06732DD2"/>
    <w:rsid w:val="06764670"/>
    <w:rsid w:val="067B0506"/>
    <w:rsid w:val="067B3E97"/>
    <w:rsid w:val="067D602F"/>
    <w:rsid w:val="0680104B"/>
    <w:rsid w:val="0690464C"/>
    <w:rsid w:val="06904BD5"/>
    <w:rsid w:val="06935222"/>
    <w:rsid w:val="069B5E85"/>
    <w:rsid w:val="069D1BFD"/>
    <w:rsid w:val="069E2EA2"/>
    <w:rsid w:val="06A44D39"/>
    <w:rsid w:val="06A765D7"/>
    <w:rsid w:val="06A8638B"/>
    <w:rsid w:val="06A92350"/>
    <w:rsid w:val="06A96734"/>
    <w:rsid w:val="06B119D2"/>
    <w:rsid w:val="06B21E64"/>
    <w:rsid w:val="06B55198"/>
    <w:rsid w:val="06B83EA4"/>
    <w:rsid w:val="06BC416E"/>
    <w:rsid w:val="06C03121"/>
    <w:rsid w:val="06C60C8F"/>
    <w:rsid w:val="06C9225B"/>
    <w:rsid w:val="06D01FD2"/>
    <w:rsid w:val="06D07A72"/>
    <w:rsid w:val="06D505D2"/>
    <w:rsid w:val="06DD024B"/>
    <w:rsid w:val="06DE46EF"/>
    <w:rsid w:val="06E2427B"/>
    <w:rsid w:val="06E3359A"/>
    <w:rsid w:val="06E34CF3"/>
    <w:rsid w:val="06E415DA"/>
    <w:rsid w:val="06ED24D6"/>
    <w:rsid w:val="06F34D00"/>
    <w:rsid w:val="06F71B1B"/>
    <w:rsid w:val="06FD08ED"/>
    <w:rsid w:val="07001B6E"/>
    <w:rsid w:val="07013F3A"/>
    <w:rsid w:val="07051C33"/>
    <w:rsid w:val="07056F61"/>
    <w:rsid w:val="07091040"/>
    <w:rsid w:val="07097292"/>
    <w:rsid w:val="071023CF"/>
    <w:rsid w:val="07157AEE"/>
    <w:rsid w:val="07181283"/>
    <w:rsid w:val="071B286D"/>
    <w:rsid w:val="071E1016"/>
    <w:rsid w:val="071E2D3E"/>
    <w:rsid w:val="07202F7E"/>
    <w:rsid w:val="07293586"/>
    <w:rsid w:val="07295285"/>
    <w:rsid w:val="072D0905"/>
    <w:rsid w:val="072D6BE4"/>
    <w:rsid w:val="072E0056"/>
    <w:rsid w:val="07302A71"/>
    <w:rsid w:val="073071A3"/>
    <w:rsid w:val="073267E9"/>
    <w:rsid w:val="07351E35"/>
    <w:rsid w:val="073562D9"/>
    <w:rsid w:val="07366E30"/>
    <w:rsid w:val="07390055"/>
    <w:rsid w:val="07391925"/>
    <w:rsid w:val="073E518E"/>
    <w:rsid w:val="073F2CB4"/>
    <w:rsid w:val="07414C7E"/>
    <w:rsid w:val="074309F6"/>
    <w:rsid w:val="07462294"/>
    <w:rsid w:val="07473CAB"/>
    <w:rsid w:val="07481B68"/>
    <w:rsid w:val="074B3BB2"/>
    <w:rsid w:val="074C1CB6"/>
    <w:rsid w:val="074C413D"/>
    <w:rsid w:val="074D6945"/>
    <w:rsid w:val="075B5D40"/>
    <w:rsid w:val="075F5104"/>
    <w:rsid w:val="07612C2A"/>
    <w:rsid w:val="07630750"/>
    <w:rsid w:val="07636392"/>
    <w:rsid w:val="076444C8"/>
    <w:rsid w:val="07673C49"/>
    <w:rsid w:val="076A2F4C"/>
    <w:rsid w:val="076A334A"/>
    <w:rsid w:val="076A5F83"/>
    <w:rsid w:val="076E065D"/>
    <w:rsid w:val="076E61E5"/>
    <w:rsid w:val="076F5AC2"/>
    <w:rsid w:val="07707311"/>
    <w:rsid w:val="07740BAF"/>
    <w:rsid w:val="07770C56"/>
    <w:rsid w:val="0777244E"/>
    <w:rsid w:val="077C430C"/>
    <w:rsid w:val="077C5CB6"/>
    <w:rsid w:val="078132CC"/>
    <w:rsid w:val="078631AB"/>
    <w:rsid w:val="078678A3"/>
    <w:rsid w:val="078717BB"/>
    <w:rsid w:val="078801B7"/>
    <w:rsid w:val="0788465B"/>
    <w:rsid w:val="07885E68"/>
    <w:rsid w:val="078A03D3"/>
    <w:rsid w:val="078F7797"/>
    <w:rsid w:val="0797489E"/>
    <w:rsid w:val="079C5545"/>
    <w:rsid w:val="079E1F8F"/>
    <w:rsid w:val="079E72F9"/>
    <w:rsid w:val="079E79DA"/>
    <w:rsid w:val="079F09CE"/>
    <w:rsid w:val="07A11279"/>
    <w:rsid w:val="07A1396F"/>
    <w:rsid w:val="07A33243"/>
    <w:rsid w:val="07A82607"/>
    <w:rsid w:val="07A86AAB"/>
    <w:rsid w:val="07AD0042"/>
    <w:rsid w:val="07B216D8"/>
    <w:rsid w:val="07B44062"/>
    <w:rsid w:val="07B54D24"/>
    <w:rsid w:val="07B61779"/>
    <w:rsid w:val="07B74F40"/>
    <w:rsid w:val="07B86906"/>
    <w:rsid w:val="07BC1EFD"/>
    <w:rsid w:val="07BC60B3"/>
    <w:rsid w:val="07BE731A"/>
    <w:rsid w:val="07BF166A"/>
    <w:rsid w:val="07C33244"/>
    <w:rsid w:val="07CD206E"/>
    <w:rsid w:val="07CD358E"/>
    <w:rsid w:val="07D258D6"/>
    <w:rsid w:val="07D659EB"/>
    <w:rsid w:val="07DB356A"/>
    <w:rsid w:val="07E55609"/>
    <w:rsid w:val="07EF0C78"/>
    <w:rsid w:val="07F0645A"/>
    <w:rsid w:val="07F254E4"/>
    <w:rsid w:val="07F468DB"/>
    <w:rsid w:val="07FC577E"/>
    <w:rsid w:val="07FE2703"/>
    <w:rsid w:val="07FE2FEF"/>
    <w:rsid w:val="08055CAB"/>
    <w:rsid w:val="08073659"/>
    <w:rsid w:val="080A5070"/>
    <w:rsid w:val="080C528C"/>
    <w:rsid w:val="080E24B1"/>
    <w:rsid w:val="080F08D8"/>
    <w:rsid w:val="081602AC"/>
    <w:rsid w:val="08195BCA"/>
    <w:rsid w:val="081C5B25"/>
    <w:rsid w:val="081D067A"/>
    <w:rsid w:val="081D3891"/>
    <w:rsid w:val="0822060B"/>
    <w:rsid w:val="082236A5"/>
    <w:rsid w:val="08234384"/>
    <w:rsid w:val="082403C3"/>
    <w:rsid w:val="08273E74"/>
    <w:rsid w:val="08346584"/>
    <w:rsid w:val="08361DC7"/>
    <w:rsid w:val="0837398B"/>
    <w:rsid w:val="08381BDD"/>
    <w:rsid w:val="083B16CD"/>
    <w:rsid w:val="083D71F3"/>
    <w:rsid w:val="08422A5C"/>
    <w:rsid w:val="08450669"/>
    <w:rsid w:val="084573CC"/>
    <w:rsid w:val="084762C4"/>
    <w:rsid w:val="084E1EF7"/>
    <w:rsid w:val="084F3DAD"/>
    <w:rsid w:val="084F5179"/>
    <w:rsid w:val="0854453D"/>
    <w:rsid w:val="085D16E2"/>
    <w:rsid w:val="0862005A"/>
    <w:rsid w:val="08671B3E"/>
    <w:rsid w:val="08687FE8"/>
    <w:rsid w:val="086C5D2B"/>
    <w:rsid w:val="0878022B"/>
    <w:rsid w:val="087D2B5A"/>
    <w:rsid w:val="087D5842"/>
    <w:rsid w:val="087E15BA"/>
    <w:rsid w:val="08810901"/>
    <w:rsid w:val="08822D6C"/>
    <w:rsid w:val="08823C61"/>
    <w:rsid w:val="08843074"/>
    <w:rsid w:val="08844E22"/>
    <w:rsid w:val="088968DD"/>
    <w:rsid w:val="088C017B"/>
    <w:rsid w:val="088E3EF3"/>
    <w:rsid w:val="0895702F"/>
    <w:rsid w:val="08964B56"/>
    <w:rsid w:val="0899559E"/>
    <w:rsid w:val="089A250D"/>
    <w:rsid w:val="089F7EAE"/>
    <w:rsid w:val="08A41020"/>
    <w:rsid w:val="08AE1E9F"/>
    <w:rsid w:val="08BE2679"/>
    <w:rsid w:val="08BF2D87"/>
    <w:rsid w:val="08BF508F"/>
    <w:rsid w:val="08C472A2"/>
    <w:rsid w:val="08C6268F"/>
    <w:rsid w:val="08C6325F"/>
    <w:rsid w:val="08C76FD1"/>
    <w:rsid w:val="08C8335E"/>
    <w:rsid w:val="08CA3497"/>
    <w:rsid w:val="08DC65AB"/>
    <w:rsid w:val="08DD7A49"/>
    <w:rsid w:val="08E15B13"/>
    <w:rsid w:val="08E7715F"/>
    <w:rsid w:val="08EB30F3"/>
    <w:rsid w:val="08EC0C19"/>
    <w:rsid w:val="08EE4992"/>
    <w:rsid w:val="08EE6740"/>
    <w:rsid w:val="08F34730"/>
    <w:rsid w:val="08F71A98"/>
    <w:rsid w:val="08FA6E92"/>
    <w:rsid w:val="08FD4BD5"/>
    <w:rsid w:val="090129D5"/>
    <w:rsid w:val="0902043D"/>
    <w:rsid w:val="090221EB"/>
    <w:rsid w:val="09023F99"/>
    <w:rsid w:val="09067414"/>
    <w:rsid w:val="09067F2D"/>
    <w:rsid w:val="09082B16"/>
    <w:rsid w:val="0908475F"/>
    <w:rsid w:val="090B7057"/>
    <w:rsid w:val="090D12BC"/>
    <w:rsid w:val="091361A6"/>
    <w:rsid w:val="09137F54"/>
    <w:rsid w:val="09150C46"/>
    <w:rsid w:val="09173EE8"/>
    <w:rsid w:val="091C5ED3"/>
    <w:rsid w:val="09207EA3"/>
    <w:rsid w:val="092102A0"/>
    <w:rsid w:val="09212671"/>
    <w:rsid w:val="09216B15"/>
    <w:rsid w:val="092217DD"/>
    <w:rsid w:val="092403B3"/>
    <w:rsid w:val="09282452"/>
    <w:rsid w:val="092B6B72"/>
    <w:rsid w:val="092C1249"/>
    <w:rsid w:val="092C1620"/>
    <w:rsid w:val="092D7243"/>
    <w:rsid w:val="09307AB0"/>
    <w:rsid w:val="093525C0"/>
    <w:rsid w:val="0938012D"/>
    <w:rsid w:val="093A7294"/>
    <w:rsid w:val="093B122A"/>
    <w:rsid w:val="09442803"/>
    <w:rsid w:val="09454AD9"/>
    <w:rsid w:val="0946032A"/>
    <w:rsid w:val="094620D8"/>
    <w:rsid w:val="094963E4"/>
    <w:rsid w:val="094E0B63"/>
    <w:rsid w:val="094F284C"/>
    <w:rsid w:val="09524F20"/>
    <w:rsid w:val="0955056D"/>
    <w:rsid w:val="09576F25"/>
    <w:rsid w:val="095C0538"/>
    <w:rsid w:val="095D17BC"/>
    <w:rsid w:val="09644C54"/>
    <w:rsid w:val="09650DF1"/>
    <w:rsid w:val="09657515"/>
    <w:rsid w:val="09684744"/>
    <w:rsid w:val="096B4234"/>
    <w:rsid w:val="096D4B76"/>
    <w:rsid w:val="097229C9"/>
    <w:rsid w:val="09727371"/>
    <w:rsid w:val="097C01EF"/>
    <w:rsid w:val="097E5D15"/>
    <w:rsid w:val="09811362"/>
    <w:rsid w:val="0983332C"/>
    <w:rsid w:val="09842C00"/>
    <w:rsid w:val="09847B37"/>
    <w:rsid w:val="09860936"/>
    <w:rsid w:val="09864BCA"/>
    <w:rsid w:val="09880F90"/>
    <w:rsid w:val="09891313"/>
    <w:rsid w:val="098A7C0C"/>
    <w:rsid w:val="09931A4E"/>
    <w:rsid w:val="09957BE7"/>
    <w:rsid w:val="09972933"/>
    <w:rsid w:val="09982885"/>
    <w:rsid w:val="0999093F"/>
    <w:rsid w:val="099C43EE"/>
    <w:rsid w:val="09A17F6F"/>
    <w:rsid w:val="09A60DC8"/>
    <w:rsid w:val="09AD7E34"/>
    <w:rsid w:val="09B07E99"/>
    <w:rsid w:val="09B1243B"/>
    <w:rsid w:val="09B27E03"/>
    <w:rsid w:val="09B42894"/>
    <w:rsid w:val="09B47197"/>
    <w:rsid w:val="09B73DAC"/>
    <w:rsid w:val="09B8392D"/>
    <w:rsid w:val="09B93488"/>
    <w:rsid w:val="09BC7FD1"/>
    <w:rsid w:val="09C33699"/>
    <w:rsid w:val="09C37BCC"/>
    <w:rsid w:val="09C92FBF"/>
    <w:rsid w:val="09CA2D09"/>
    <w:rsid w:val="09D73F5D"/>
    <w:rsid w:val="09D771D4"/>
    <w:rsid w:val="09E57B43"/>
    <w:rsid w:val="09E675B7"/>
    <w:rsid w:val="09EE394E"/>
    <w:rsid w:val="09EF09C1"/>
    <w:rsid w:val="09EF186E"/>
    <w:rsid w:val="09F064E7"/>
    <w:rsid w:val="09F63AFE"/>
    <w:rsid w:val="09F71624"/>
    <w:rsid w:val="09F77876"/>
    <w:rsid w:val="09F81139"/>
    <w:rsid w:val="09FE04E3"/>
    <w:rsid w:val="0A0106F5"/>
    <w:rsid w:val="0A086AEA"/>
    <w:rsid w:val="0A0B358F"/>
    <w:rsid w:val="0A0C4B88"/>
    <w:rsid w:val="0A0D104C"/>
    <w:rsid w:val="0A0F3137"/>
    <w:rsid w:val="0A116172"/>
    <w:rsid w:val="0A117709"/>
    <w:rsid w:val="0A124C34"/>
    <w:rsid w:val="0A156C56"/>
    <w:rsid w:val="0A164092"/>
    <w:rsid w:val="0A171CC6"/>
    <w:rsid w:val="0A1E12A6"/>
    <w:rsid w:val="0A20501F"/>
    <w:rsid w:val="0A2374CA"/>
    <w:rsid w:val="0A263993"/>
    <w:rsid w:val="0A2D3AC2"/>
    <w:rsid w:val="0A2E2D1E"/>
    <w:rsid w:val="0A2E5621"/>
    <w:rsid w:val="0A2E6DFE"/>
    <w:rsid w:val="0A2E773B"/>
    <w:rsid w:val="0A3221EC"/>
    <w:rsid w:val="0A382368"/>
    <w:rsid w:val="0A3E7253"/>
    <w:rsid w:val="0A427813"/>
    <w:rsid w:val="0A4505E9"/>
    <w:rsid w:val="0A466107"/>
    <w:rsid w:val="0A4B1924"/>
    <w:rsid w:val="0A4C1970"/>
    <w:rsid w:val="0A4E466B"/>
    <w:rsid w:val="0A4F5728"/>
    <w:rsid w:val="0A544CC8"/>
    <w:rsid w:val="0A570314"/>
    <w:rsid w:val="0A592535"/>
    <w:rsid w:val="0A5B1AED"/>
    <w:rsid w:val="0A60178D"/>
    <w:rsid w:val="0A6259AD"/>
    <w:rsid w:val="0A6424AA"/>
    <w:rsid w:val="0A6A0048"/>
    <w:rsid w:val="0A6B1B90"/>
    <w:rsid w:val="0A6E612D"/>
    <w:rsid w:val="0A6F10E3"/>
    <w:rsid w:val="0A717628"/>
    <w:rsid w:val="0A7809B7"/>
    <w:rsid w:val="0A7F14DA"/>
    <w:rsid w:val="0A801619"/>
    <w:rsid w:val="0A8813B3"/>
    <w:rsid w:val="0A8F034D"/>
    <w:rsid w:val="0A922957"/>
    <w:rsid w:val="0A973EF9"/>
    <w:rsid w:val="0AA479FE"/>
    <w:rsid w:val="0AA755DF"/>
    <w:rsid w:val="0AAA4A1A"/>
    <w:rsid w:val="0AAC240E"/>
    <w:rsid w:val="0AAF5E7A"/>
    <w:rsid w:val="0AB539B9"/>
    <w:rsid w:val="0ABA2D7D"/>
    <w:rsid w:val="0ABB2373"/>
    <w:rsid w:val="0AC0410C"/>
    <w:rsid w:val="0AC05D10"/>
    <w:rsid w:val="0AC107E4"/>
    <w:rsid w:val="0AC21C32"/>
    <w:rsid w:val="0AC7549A"/>
    <w:rsid w:val="0ACA0AE6"/>
    <w:rsid w:val="0ACA592C"/>
    <w:rsid w:val="0ACE05D7"/>
    <w:rsid w:val="0ACE6C5F"/>
    <w:rsid w:val="0AD025A1"/>
    <w:rsid w:val="0AD068B6"/>
    <w:rsid w:val="0AD33E3F"/>
    <w:rsid w:val="0AD41965"/>
    <w:rsid w:val="0AD75E27"/>
    <w:rsid w:val="0ADA341F"/>
    <w:rsid w:val="0ADA51CD"/>
    <w:rsid w:val="0AE4116E"/>
    <w:rsid w:val="0AE7038D"/>
    <w:rsid w:val="0AEB532B"/>
    <w:rsid w:val="0AF049F1"/>
    <w:rsid w:val="0AF16BAB"/>
    <w:rsid w:val="0AF33435"/>
    <w:rsid w:val="0AF73FE8"/>
    <w:rsid w:val="0AFA761E"/>
    <w:rsid w:val="0AFB121C"/>
    <w:rsid w:val="0B024724"/>
    <w:rsid w:val="0B091F4A"/>
    <w:rsid w:val="0B0C10FF"/>
    <w:rsid w:val="0B0C64AC"/>
    <w:rsid w:val="0B0E30C9"/>
    <w:rsid w:val="0B0E7A16"/>
    <w:rsid w:val="0B0F1DBE"/>
    <w:rsid w:val="0B112BB9"/>
    <w:rsid w:val="0B120D44"/>
    <w:rsid w:val="0B1526A9"/>
    <w:rsid w:val="0B1A7CC0"/>
    <w:rsid w:val="0B1C3A38"/>
    <w:rsid w:val="0B1D52BE"/>
    <w:rsid w:val="0B1F3A49"/>
    <w:rsid w:val="0B224D72"/>
    <w:rsid w:val="0B245A53"/>
    <w:rsid w:val="0B2918A7"/>
    <w:rsid w:val="0B297F03"/>
    <w:rsid w:val="0B2A4A05"/>
    <w:rsid w:val="0B2E72D7"/>
    <w:rsid w:val="0B301324"/>
    <w:rsid w:val="0B30303F"/>
    <w:rsid w:val="0B325009"/>
    <w:rsid w:val="0B350656"/>
    <w:rsid w:val="0B3D25B6"/>
    <w:rsid w:val="0B402A57"/>
    <w:rsid w:val="0B416FFB"/>
    <w:rsid w:val="0B4728E6"/>
    <w:rsid w:val="0B504060"/>
    <w:rsid w:val="0B505490"/>
    <w:rsid w:val="0B5060D3"/>
    <w:rsid w:val="0B542FDE"/>
    <w:rsid w:val="0B546770"/>
    <w:rsid w:val="0B5C2086"/>
    <w:rsid w:val="0B5F6237"/>
    <w:rsid w:val="0B6902FF"/>
    <w:rsid w:val="0B696551"/>
    <w:rsid w:val="0B6B051B"/>
    <w:rsid w:val="0B6B22C9"/>
    <w:rsid w:val="0B6D2CFE"/>
    <w:rsid w:val="0B6E7177"/>
    <w:rsid w:val="0B6F3063"/>
    <w:rsid w:val="0B6F64A9"/>
    <w:rsid w:val="0B7218AA"/>
    <w:rsid w:val="0B732F2C"/>
    <w:rsid w:val="0B754EF6"/>
    <w:rsid w:val="0B756CA4"/>
    <w:rsid w:val="0B792C38"/>
    <w:rsid w:val="0B7A075E"/>
    <w:rsid w:val="0B7A228F"/>
    <w:rsid w:val="0B7A42BB"/>
    <w:rsid w:val="0B7B12DE"/>
    <w:rsid w:val="0B7C0033"/>
    <w:rsid w:val="0B7F3FC7"/>
    <w:rsid w:val="0B8E420A"/>
    <w:rsid w:val="0B975F80"/>
    <w:rsid w:val="0B993B36"/>
    <w:rsid w:val="0B995089"/>
    <w:rsid w:val="0B997193"/>
    <w:rsid w:val="0B9D03CB"/>
    <w:rsid w:val="0B9D3278"/>
    <w:rsid w:val="0BA35CF2"/>
    <w:rsid w:val="0BA47589"/>
    <w:rsid w:val="0BA74D71"/>
    <w:rsid w:val="0BA94039"/>
    <w:rsid w:val="0BAA52EB"/>
    <w:rsid w:val="0BAB74B5"/>
    <w:rsid w:val="0BB35A1E"/>
    <w:rsid w:val="0BB73761"/>
    <w:rsid w:val="0BB82043"/>
    <w:rsid w:val="0BB91287"/>
    <w:rsid w:val="0BC81863"/>
    <w:rsid w:val="0BCB2D68"/>
    <w:rsid w:val="0BCF0AAA"/>
    <w:rsid w:val="0BD0037E"/>
    <w:rsid w:val="0BD27BF6"/>
    <w:rsid w:val="0BD7170D"/>
    <w:rsid w:val="0BD91BE4"/>
    <w:rsid w:val="0BDB624B"/>
    <w:rsid w:val="0BE1258C"/>
    <w:rsid w:val="0BE744BA"/>
    <w:rsid w:val="0BE8391A"/>
    <w:rsid w:val="0BE91440"/>
    <w:rsid w:val="0BEB51B8"/>
    <w:rsid w:val="0BEC406F"/>
    <w:rsid w:val="0BED2CDE"/>
    <w:rsid w:val="0BEF4CA9"/>
    <w:rsid w:val="0BF12D0A"/>
    <w:rsid w:val="0BF978D5"/>
    <w:rsid w:val="0BFA1670"/>
    <w:rsid w:val="0C012C2E"/>
    <w:rsid w:val="0C0544CC"/>
    <w:rsid w:val="0C0D15D3"/>
    <w:rsid w:val="0C1074BA"/>
    <w:rsid w:val="0C127281"/>
    <w:rsid w:val="0C195225"/>
    <w:rsid w:val="0C1D52BE"/>
    <w:rsid w:val="0C2030B4"/>
    <w:rsid w:val="0C216E2C"/>
    <w:rsid w:val="0C252478"/>
    <w:rsid w:val="0C2661F0"/>
    <w:rsid w:val="0C27283A"/>
    <w:rsid w:val="0C2801BA"/>
    <w:rsid w:val="0C28640C"/>
    <w:rsid w:val="0C2D313D"/>
    <w:rsid w:val="0C2F32F7"/>
    <w:rsid w:val="0C3152C1"/>
    <w:rsid w:val="0C34090D"/>
    <w:rsid w:val="0C341D73"/>
    <w:rsid w:val="0C365F10"/>
    <w:rsid w:val="0C375085"/>
    <w:rsid w:val="0C3B3C7D"/>
    <w:rsid w:val="0C3C5A98"/>
    <w:rsid w:val="0C411B62"/>
    <w:rsid w:val="0C484F25"/>
    <w:rsid w:val="0C4A0131"/>
    <w:rsid w:val="0C4F74F5"/>
    <w:rsid w:val="0C525237"/>
    <w:rsid w:val="0C61387E"/>
    <w:rsid w:val="0C6F3656"/>
    <w:rsid w:val="0C7B02EA"/>
    <w:rsid w:val="0C814EFA"/>
    <w:rsid w:val="0C844853"/>
    <w:rsid w:val="0C8706D4"/>
    <w:rsid w:val="0C887226"/>
    <w:rsid w:val="0C8E2713"/>
    <w:rsid w:val="0C8F1DA9"/>
    <w:rsid w:val="0C915ABC"/>
    <w:rsid w:val="0C9259A5"/>
    <w:rsid w:val="0C937D2A"/>
    <w:rsid w:val="0C970E9C"/>
    <w:rsid w:val="0C9B273A"/>
    <w:rsid w:val="0C9B6BDE"/>
    <w:rsid w:val="0C9E047D"/>
    <w:rsid w:val="0C9F66CF"/>
    <w:rsid w:val="0CA05EF5"/>
    <w:rsid w:val="0CA21D1B"/>
    <w:rsid w:val="0CA36F7D"/>
    <w:rsid w:val="0CA57A5D"/>
    <w:rsid w:val="0CA75583"/>
    <w:rsid w:val="0CA91E8A"/>
    <w:rsid w:val="0CAB2EAE"/>
    <w:rsid w:val="0CAD0542"/>
    <w:rsid w:val="0CAD246E"/>
    <w:rsid w:val="0CAE503E"/>
    <w:rsid w:val="0CB101B0"/>
    <w:rsid w:val="0CBE69DB"/>
    <w:rsid w:val="0CC1397F"/>
    <w:rsid w:val="0CC51DEA"/>
    <w:rsid w:val="0CC954FA"/>
    <w:rsid w:val="0CCA6790"/>
    <w:rsid w:val="0CCA74C4"/>
    <w:rsid w:val="0CCC05AD"/>
    <w:rsid w:val="0CCC323C"/>
    <w:rsid w:val="0CCD21C6"/>
    <w:rsid w:val="0CCE0D62"/>
    <w:rsid w:val="0CD345CA"/>
    <w:rsid w:val="0CD43E9E"/>
    <w:rsid w:val="0CD67C16"/>
    <w:rsid w:val="0CD81BE1"/>
    <w:rsid w:val="0CDC5CB4"/>
    <w:rsid w:val="0CDD5826"/>
    <w:rsid w:val="0CDF34DF"/>
    <w:rsid w:val="0CE95B9C"/>
    <w:rsid w:val="0CEB1914"/>
    <w:rsid w:val="0CEB3C5B"/>
    <w:rsid w:val="0CEE43AE"/>
    <w:rsid w:val="0CEF6C81"/>
    <w:rsid w:val="0CF50D95"/>
    <w:rsid w:val="0CF6473F"/>
    <w:rsid w:val="0CFE7D06"/>
    <w:rsid w:val="0D053803"/>
    <w:rsid w:val="0D116EA1"/>
    <w:rsid w:val="0D1424ED"/>
    <w:rsid w:val="0D170C7F"/>
    <w:rsid w:val="0D1C7D1F"/>
    <w:rsid w:val="0D1D287A"/>
    <w:rsid w:val="0D1D75F3"/>
    <w:rsid w:val="0D1F511A"/>
    <w:rsid w:val="0D2070E4"/>
    <w:rsid w:val="0D232F82"/>
    <w:rsid w:val="0D24674B"/>
    <w:rsid w:val="0D2646F6"/>
    <w:rsid w:val="0D270472"/>
    <w:rsid w:val="0D307327"/>
    <w:rsid w:val="0D38442D"/>
    <w:rsid w:val="0D3B084B"/>
    <w:rsid w:val="0D3D37F2"/>
    <w:rsid w:val="0D516A14"/>
    <w:rsid w:val="0D523741"/>
    <w:rsid w:val="0D570D57"/>
    <w:rsid w:val="0D5A10F7"/>
    <w:rsid w:val="0D61517E"/>
    <w:rsid w:val="0D621C7D"/>
    <w:rsid w:val="0D662D48"/>
    <w:rsid w:val="0D682DBC"/>
    <w:rsid w:val="0D6979BB"/>
    <w:rsid w:val="0D714896"/>
    <w:rsid w:val="0D726ACC"/>
    <w:rsid w:val="0D7731A8"/>
    <w:rsid w:val="0D780CCE"/>
    <w:rsid w:val="0D7D2B91"/>
    <w:rsid w:val="0D7E2680"/>
    <w:rsid w:val="0D7F205C"/>
    <w:rsid w:val="0D822DA0"/>
    <w:rsid w:val="0D847672"/>
    <w:rsid w:val="0D8E6743"/>
    <w:rsid w:val="0D933D59"/>
    <w:rsid w:val="0D95136C"/>
    <w:rsid w:val="0DA63A8D"/>
    <w:rsid w:val="0DA815B3"/>
    <w:rsid w:val="0DA9532B"/>
    <w:rsid w:val="0DBE0DD6"/>
    <w:rsid w:val="0DBF4B4E"/>
    <w:rsid w:val="0DBF5597"/>
    <w:rsid w:val="0DC007CB"/>
    <w:rsid w:val="0DC13568"/>
    <w:rsid w:val="0DCB52A1"/>
    <w:rsid w:val="0DCD4649"/>
    <w:rsid w:val="0DCD726B"/>
    <w:rsid w:val="0DCE08EE"/>
    <w:rsid w:val="0DCF4D92"/>
    <w:rsid w:val="0DD16314"/>
    <w:rsid w:val="0DD423A8"/>
    <w:rsid w:val="0DD8076D"/>
    <w:rsid w:val="0DDA520D"/>
    <w:rsid w:val="0DDC16E3"/>
    <w:rsid w:val="0DDC2091"/>
    <w:rsid w:val="0DE34399"/>
    <w:rsid w:val="0DE3555C"/>
    <w:rsid w:val="0DE46363"/>
    <w:rsid w:val="0DE72548"/>
    <w:rsid w:val="0DEA1BCB"/>
    <w:rsid w:val="0DEC4514"/>
    <w:rsid w:val="0DED16BC"/>
    <w:rsid w:val="0DF201AC"/>
    <w:rsid w:val="0DF2640D"/>
    <w:rsid w:val="0DF93BBD"/>
    <w:rsid w:val="0E010CC3"/>
    <w:rsid w:val="0E016F15"/>
    <w:rsid w:val="0E033092"/>
    <w:rsid w:val="0E06452B"/>
    <w:rsid w:val="0E0662D9"/>
    <w:rsid w:val="0E092DED"/>
    <w:rsid w:val="0E0A3BA6"/>
    <w:rsid w:val="0E123DB3"/>
    <w:rsid w:val="0E135CE8"/>
    <w:rsid w:val="0E1429A2"/>
    <w:rsid w:val="0E197DC6"/>
    <w:rsid w:val="0E1E1875"/>
    <w:rsid w:val="0E225B18"/>
    <w:rsid w:val="0E2318B0"/>
    <w:rsid w:val="0E243DCC"/>
    <w:rsid w:val="0E2624D8"/>
    <w:rsid w:val="0E332C71"/>
    <w:rsid w:val="0E340B77"/>
    <w:rsid w:val="0E350D1E"/>
    <w:rsid w:val="0E380412"/>
    <w:rsid w:val="0E3837B3"/>
    <w:rsid w:val="0E3A28AF"/>
    <w:rsid w:val="0E43715F"/>
    <w:rsid w:val="0E455054"/>
    <w:rsid w:val="0E4660AC"/>
    <w:rsid w:val="0E4A0E66"/>
    <w:rsid w:val="0E4E441F"/>
    <w:rsid w:val="0E4F2AD9"/>
    <w:rsid w:val="0E5057A5"/>
    <w:rsid w:val="0E512F63"/>
    <w:rsid w:val="0E527771"/>
    <w:rsid w:val="0E594522"/>
    <w:rsid w:val="0E5E2388"/>
    <w:rsid w:val="0E6052E1"/>
    <w:rsid w:val="0E6515C2"/>
    <w:rsid w:val="0E6574A4"/>
    <w:rsid w:val="0E6A3236"/>
    <w:rsid w:val="0E7127E2"/>
    <w:rsid w:val="0E73034D"/>
    <w:rsid w:val="0E843983"/>
    <w:rsid w:val="0E8A2A67"/>
    <w:rsid w:val="0E8F62CF"/>
    <w:rsid w:val="0E975183"/>
    <w:rsid w:val="0E990EFC"/>
    <w:rsid w:val="0E9D6C3E"/>
    <w:rsid w:val="0E9E667F"/>
    <w:rsid w:val="0EA33B28"/>
    <w:rsid w:val="0EAA3109"/>
    <w:rsid w:val="0EAC24AB"/>
    <w:rsid w:val="0EAC6E81"/>
    <w:rsid w:val="0EAD49A7"/>
    <w:rsid w:val="0EB0527E"/>
    <w:rsid w:val="0EB16245"/>
    <w:rsid w:val="0EB21FBD"/>
    <w:rsid w:val="0EB46AF7"/>
    <w:rsid w:val="0EB75826"/>
    <w:rsid w:val="0EBA6971"/>
    <w:rsid w:val="0EBB3568"/>
    <w:rsid w:val="0EC00B7E"/>
    <w:rsid w:val="0EC266A4"/>
    <w:rsid w:val="0EC53BB8"/>
    <w:rsid w:val="0EC56195"/>
    <w:rsid w:val="0ECA484E"/>
    <w:rsid w:val="0ECA573F"/>
    <w:rsid w:val="0ED35847"/>
    <w:rsid w:val="0ED40186"/>
    <w:rsid w:val="0ED4462A"/>
    <w:rsid w:val="0ED85B0E"/>
    <w:rsid w:val="0ED87C76"/>
    <w:rsid w:val="0EDB771E"/>
    <w:rsid w:val="0EEA1757"/>
    <w:rsid w:val="0EED500D"/>
    <w:rsid w:val="0EF47EE9"/>
    <w:rsid w:val="0EF56A7A"/>
    <w:rsid w:val="0EF90C6A"/>
    <w:rsid w:val="0EF91050"/>
    <w:rsid w:val="0EFB26BB"/>
    <w:rsid w:val="0EFC4AB0"/>
    <w:rsid w:val="0F024CF3"/>
    <w:rsid w:val="0F040A6B"/>
    <w:rsid w:val="0F042740"/>
    <w:rsid w:val="0F0740B7"/>
    <w:rsid w:val="0F07411D"/>
    <w:rsid w:val="0F0767AD"/>
    <w:rsid w:val="0F0B1337"/>
    <w:rsid w:val="0F0C5B71"/>
    <w:rsid w:val="0F0F5662"/>
    <w:rsid w:val="0F136F00"/>
    <w:rsid w:val="0F13775A"/>
    <w:rsid w:val="0F147E57"/>
    <w:rsid w:val="0F15462A"/>
    <w:rsid w:val="0F182768"/>
    <w:rsid w:val="0F1D1B2D"/>
    <w:rsid w:val="0F211DC6"/>
    <w:rsid w:val="0F2729AB"/>
    <w:rsid w:val="0F292A4C"/>
    <w:rsid w:val="0F2C1D70"/>
    <w:rsid w:val="0F2E3D3A"/>
    <w:rsid w:val="0F3155D8"/>
    <w:rsid w:val="0F351595"/>
    <w:rsid w:val="0F372067"/>
    <w:rsid w:val="0F3B0205"/>
    <w:rsid w:val="0F4510B4"/>
    <w:rsid w:val="0F451C80"/>
    <w:rsid w:val="0F4730E3"/>
    <w:rsid w:val="0F49261F"/>
    <w:rsid w:val="0F4F54E8"/>
    <w:rsid w:val="0F515C7A"/>
    <w:rsid w:val="0F557518"/>
    <w:rsid w:val="0F5C08A7"/>
    <w:rsid w:val="0F5D461F"/>
    <w:rsid w:val="0F5F45FE"/>
    <w:rsid w:val="0F623FF8"/>
    <w:rsid w:val="0F630CF8"/>
    <w:rsid w:val="0F630FE2"/>
    <w:rsid w:val="0F645921"/>
    <w:rsid w:val="0F647681"/>
    <w:rsid w:val="0F64775C"/>
    <w:rsid w:val="0F672DA8"/>
    <w:rsid w:val="0F6A7299"/>
    <w:rsid w:val="0F713C26"/>
    <w:rsid w:val="0F722BEA"/>
    <w:rsid w:val="0F72448A"/>
    <w:rsid w:val="0F7A2571"/>
    <w:rsid w:val="0F7A6F7F"/>
    <w:rsid w:val="0F7F6343"/>
    <w:rsid w:val="0F8817A6"/>
    <w:rsid w:val="0F8B7748"/>
    <w:rsid w:val="0F8E47D8"/>
    <w:rsid w:val="0F8F52FA"/>
    <w:rsid w:val="0F982A3D"/>
    <w:rsid w:val="0F9A112B"/>
    <w:rsid w:val="0FA516AB"/>
    <w:rsid w:val="0FA576CF"/>
    <w:rsid w:val="0FAC4865"/>
    <w:rsid w:val="0FAD5FC2"/>
    <w:rsid w:val="0FB000EF"/>
    <w:rsid w:val="0FB232E1"/>
    <w:rsid w:val="0FB56209"/>
    <w:rsid w:val="0FB57FB7"/>
    <w:rsid w:val="0FB73D2F"/>
    <w:rsid w:val="0FBB78C0"/>
    <w:rsid w:val="0FBC7598"/>
    <w:rsid w:val="0FC13D8A"/>
    <w:rsid w:val="0FC369A1"/>
    <w:rsid w:val="0FC4644C"/>
    <w:rsid w:val="0FC72EF5"/>
    <w:rsid w:val="0FC85F3C"/>
    <w:rsid w:val="0FC93A62"/>
    <w:rsid w:val="0FC95811"/>
    <w:rsid w:val="0FCF1650"/>
    <w:rsid w:val="0FD022B3"/>
    <w:rsid w:val="0FD03043"/>
    <w:rsid w:val="0FD838A3"/>
    <w:rsid w:val="0FDB6241"/>
    <w:rsid w:val="0FDD12BC"/>
    <w:rsid w:val="0FDE750E"/>
    <w:rsid w:val="0FDF5034"/>
    <w:rsid w:val="0FE20680"/>
    <w:rsid w:val="0FE616A6"/>
    <w:rsid w:val="0FEC6878"/>
    <w:rsid w:val="0FEE34C9"/>
    <w:rsid w:val="0FFD6EC2"/>
    <w:rsid w:val="0FFE12C4"/>
    <w:rsid w:val="10014FAA"/>
    <w:rsid w:val="1003438D"/>
    <w:rsid w:val="10044A9B"/>
    <w:rsid w:val="100625C1"/>
    <w:rsid w:val="100D3523"/>
    <w:rsid w:val="100D394F"/>
    <w:rsid w:val="100F5E76"/>
    <w:rsid w:val="10142F30"/>
    <w:rsid w:val="10150A56"/>
    <w:rsid w:val="10152804"/>
    <w:rsid w:val="10161464"/>
    <w:rsid w:val="101B661E"/>
    <w:rsid w:val="102071B0"/>
    <w:rsid w:val="10207B26"/>
    <w:rsid w:val="102313C5"/>
    <w:rsid w:val="10233D9F"/>
    <w:rsid w:val="10234F21"/>
    <w:rsid w:val="1025513D"/>
    <w:rsid w:val="10257F06"/>
    <w:rsid w:val="10262C63"/>
    <w:rsid w:val="10282537"/>
    <w:rsid w:val="102B64CB"/>
    <w:rsid w:val="10315DB2"/>
    <w:rsid w:val="10330815"/>
    <w:rsid w:val="1034712E"/>
    <w:rsid w:val="103E7FAD"/>
    <w:rsid w:val="10437371"/>
    <w:rsid w:val="10440F52"/>
    <w:rsid w:val="10456357"/>
    <w:rsid w:val="104B26C9"/>
    <w:rsid w:val="10507CE0"/>
    <w:rsid w:val="105329F9"/>
    <w:rsid w:val="10563548"/>
    <w:rsid w:val="105A4A17"/>
    <w:rsid w:val="105A4D22"/>
    <w:rsid w:val="105E41AB"/>
    <w:rsid w:val="10646F2A"/>
    <w:rsid w:val="106775B9"/>
    <w:rsid w:val="1068327B"/>
    <w:rsid w:val="106A2B50"/>
    <w:rsid w:val="106C2D6C"/>
    <w:rsid w:val="106D2F64"/>
    <w:rsid w:val="107514F4"/>
    <w:rsid w:val="107734BE"/>
    <w:rsid w:val="107D02DF"/>
    <w:rsid w:val="107D50C7"/>
    <w:rsid w:val="10881228"/>
    <w:rsid w:val="108A4FA0"/>
    <w:rsid w:val="108C1C01"/>
    <w:rsid w:val="108D261B"/>
    <w:rsid w:val="108E69F2"/>
    <w:rsid w:val="109127D2"/>
    <w:rsid w:val="10973B61"/>
    <w:rsid w:val="10991687"/>
    <w:rsid w:val="109963F5"/>
    <w:rsid w:val="109B53FF"/>
    <w:rsid w:val="109B71AD"/>
    <w:rsid w:val="109C4CD3"/>
    <w:rsid w:val="109D1C1D"/>
    <w:rsid w:val="10A25085"/>
    <w:rsid w:val="10A252C6"/>
    <w:rsid w:val="10A3561D"/>
    <w:rsid w:val="10A53D79"/>
    <w:rsid w:val="10A73DA4"/>
    <w:rsid w:val="10A8538B"/>
    <w:rsid w:val="10AA5642"/>
    <w:rsid w:val="10AB4F16"/>
    <w:rsid w:val="10AB7646"/>
    <w:rsid w:val="10AD0C8E"/>
    <w:rsid w:val="10AD5132"/>
    <w:rsid w:val="10B244F7"/>
    <w:rsid w:val="10B63710"/>
    <w:rsid w:val="10BE6170"/>
    <w:rsid w:val="10C16E77"/>
    <w:rsid w:val="10C21A94"/>
    <w:rsid w:val="10C262BE"/>
    <w:rsid w:val="10CC1912"/>
    <w:rsid w:val="10E02E12"/>
    <w:rsid w:val="10E403DD"/>
    <w:rsid w:val="10EE19D3"/>
    <w:rsid w:val="10EF559C"/>
    <w:rsid w:val="10F10820"/>
    <w:rsid w:val="10F55924"/>
    <w:rsid w:val="10F65A6C"/>
    <w:rsid w:val="10F66AD9"/>
    <w:rsid w:val="10F72816"/>
    <w:rsid w:val="10F845FF"/>
    <w:rsid w:val="1102722C"/>
    <w:rsid w:val="11052878"/>
    <w:rsid w:val="11063E57"/>
    <w:rsid w:val="110F1ED6"/>
    <w:rsid w:val="11124F95"/>
    <w:rsid w:val="11160F29"/>
    <w:rsid w:val="11194576"/>
    <w:rsid w:val="111B128C"/>
    <w:rsid w:val="111C2F7A"/>
    <w:rsid w:val="111D7BC2"/>
    <w:rsid w:val="11203B56"/>
    <w:rsid w:val="112146B5"/>
    <w:rsid w:val="1122653E"/>
    <w:rsid w:val="11254CC9"/>
    <w:rsid w:val="11295949"/>
    <w:rsid w:val="112C42A9"/>
    <w:rsid w:val="11380EA0"/>
    <w:rsid w:val="1139036F"/>
    <w:rsid w:val="113A2D0A"/>
    <w:rsid w:val="11423ACC"/>
    <w:rsid w:val="114712A4"/>
    <w:rsid w:val="114C0CC2"/>
    <w:rsid w:val="11537A88"/>
    <w:rsid w:val="115D4462"/>
    <w:rsid w:val="11645788"/>
    <w:rsid w:val="1164649D"/>
    <w:rsid w:val="11661393"/>
    <w:rsid w:val="11665CA1"/>
    <w:rsid w:val="11690B00"/>
    <w:rsid w:val="116C5A03"/>
    <w:rsid w:val="116E041E"/>
    <w:rsid w:val="117143B2"/>
    <w:rsid w:val="117239CB"/>
    <w:rsid w:val="117417AC"/>
    <w:rsid w:val="117450BC"/>
    <w:rsid w:val="11752C0E"/>
    <w:rsid w:val="117D5655"/>
    <w:rsid w:val="11812847"/>
    <w:rsid w:val="11821B1D"/>
    <w:rsid w:val="11823EC9"/>
    <w:rsid w:val="118653DE"/>
    <w:rsid w:val="11865D62"/>
    <w:rsid w:val="11867E5D"/>
    <w:rsid w:val="11875983"/>
    <w:rsid w:val="1189391D"/>
    <w:rsid w:val="118E0AC0"/>
    <w:rsid w:val="119360D6"/>
    <w:rsid w:val="119500A0"/>
    <w:rsid w:val="11967974"/>
    <w:rsid w:val="119732D4"/>
    <w:rsid w:val="11990948"/>
    <w:rsid w:val="119B395B"/>
    <w:rsid w:val="11A363FA"/>
    <w:rsid w:val="11A542D0"/>
    <w:rsid w:val="11AC53EA"/>
    <w:rsid w:val="11AD363C"/>
    <w:rsid w:val="11AE1162"/>
    <w:rsid w:val="11B06C88"/>
    <w:rsid w:val="11B76D46"/>
    <w:rsid w:val="11C743B8"/>
    <w:rsid w:val="11C75232"/>
    <w:rsid w:val="11CB6D9B"/>
    <w:rsid w:val="11D12970"/>
    <w:rsid w:val="11D566EF"/>
    <w:rsid w:val="11D64215"/>
    <w:rsid w:val="11D72467"/>
    <w:rsid w:val="11D8316D"/>
    <w:rsid w:val="11DB1138"/>
    <w:rsid w:val="11DD1A47"/>
    <w:rsid w:val="11DD37F5"/>
    <w:rsid w:val="11E06E41"/>
    <w:rsid w:val="11E20C66"/>
    <w:rsid w:val="11E22BBA"/>
    <w:rsid w:val="11E76422"/>
    <w:rsid w:val="11EB4164"/>
    <w:rsid w:val="11F11A20"/>
    <w:rsid w:val="11F22C67"/>
    <w:rsid w:val="11F444F3"/>
    <w:rsid w:val="11F748B7"/>
    <w:rsid w:val="11FC011F"/>
    <w:rsid w:val="11FD5C45"/>
    <w:rsid w:val="11FD79F3"/>
    <w:rsid w:val="120945EA"/>
    <w:rsid w:val="120A0125"/>
    <w:rsid w:val="120C2FB6"/>
    <w:rsid w:val="120C7C36"/>
    <w:rsid w:val="120D40DA"/>
    <w:rsid w:val="120E7310"/>
    <w:rsid w:val="121216F1"/>
    <w:rsid w:val="12170AB5"/>
    <w:rsid w:val="12193ED0"/>
    <w:rsid w:val="121A6C9D"/>
    <w:rsid w:val="122236AC"/>
    <w:rsid w:val="12237839"/>
    <w:rsid w:val="12260CF8"/>
    <w:rsid w:val="12282C13"/>
    <w:rsid w:val="12296A3A"/>
    <w:rsid w:val="122B4561"/>
    <w:rsid w:val="12301B77"/>
    <w:rsid w:val="12394ECF"/>
    <w:rsid w:val="12397B9A"/>
    <w:rsid w:val="123F4AC3"/>
    <w:rsid w:val="12411FD6"/>
    <w:rsid w:val="124368C0"/>
    <w:rsid w:val="12442D06"/>
    <w:rsid w:val="12463148"/>
    <w:rsid w:val="12490770"/>
    <w:rsid w:val="12490E8B"/>
    <w:rsid w:val="124B69B1"/>
    <w:rsid w:val="124C01F9"/>
    <w:rsid w:val="124D672D"/>
    <w:rsid w:val="12502219"/>
    <w:rsid w:val="12521AED"/>
    <w:rsid w:val="12553A0D"/>
    <w:rsid w:val="12554148"/>
    <w:rsid w:val="125F245C"/>
    <w:rsid w:val="12603536"/>
    <w:rsid w:val="12635AA8"/>
    <w:rsid w:val="126506ED"/>
    <w:rsid w:val="12650EA1"/>
    <w:rsid w:val="126632EA"/>
    <w:rsid w:val="12696964"/>
    <w:rsid w:val="126A6516"/>
    <w:rsid w:val="126D183B"/>
    <w:rsid w:val="126F6B43"/>
    <w:rsid w:val="127001C5"/>
    <w:rsid w:val="12702B1B"/>
    <w:rsid w:val="12716000"/>
    <w:rsid w:val="12735852"/>
    <w:rsid w:val="12744159"/>
    <w:rsid w:val="12751C80"/>
    <w:rsid w:val="127C1650"/>
    <w:rsid w:val="1280577F"/>
    <w:rsid w:val="1282545E"/>
    <w:rsid w:val="128831B3"/>
    <w:rsid w:val="128A572B"/>
    <w:rsid w:val="128B4FFF"/>
    <w:rsid w:val="128D0D77"/>
    <w:rsid w:val="1297226E"/>
    <w:rsid w:val="12A14823"/>
    <w:rsid w:val="12A42674"/>
    <w:rsid w:val="12A5670C"/>
    <w:rsid w:val="12AB1123"/>
    <w:rsid w:val="12B3031F"/>
    <w:rsid w:val="12B66520"/>
    <w:rsid w:val="12B74046"/>
    <w:rsid w:val="12BC340B"/>
    <w:rsid w:val="12BE53D5"/>
    <w:rsid w:val="12C10A21"/>
    <w:rsid w:val="12C56763"/>
    <w:rsid w:val="12CA3D79"/>
    <w:rsid w:val="12CC5D44"/>
    <w:rsid w:val="12CC7AF2"/>
    <w:rsid w:val="12CE4258"/>
    <w:rsid w:val="12CF75E2"/>
    <w:rsid w:val="12D16561"/>
    <w:rsid w:val="12D25E3A"/>
    <w:rsid w:val="12D931DD"/>
    <w:rsid w:val="12DB5F87"/>
    <w:rsid w:val="12DE2F8E"/>
    <w:rsid w:val="12EA5817"/>
    <w:rsid w:val="12EF37E0"/>
    <w:rsid w:val="12EF5DB6"/>
    <w:rsid w:val="12F13FA9"/>
    <w:rsid w:val="12F157AA"/>
    <w:rsid w:val="12F17558"/>
    <w:rsid w:val="12F71409"/>
    <w:rsid w:val="12FB0368"/>
    <w:rsid w:val="12FF1DEA"/>
    <w:rsid w:val="130021CE"/>
    <w:rsid w:val="13021765"/>
    <w:rsid w:val="130510E6"/>
    <w:rsid w:val="13076D7C"/>
    <w:rsid w:val="130956E9"/>
    <w:rsid w:val="130C48FD"/>
    <w:rsid w:val="130C6140"/>
    <w:rsid w:val="13104381"/>
    <w:rsid w:val="13135720"/>
    <w:rsid w:val="131533A4"/>
    <w:rsid w:val="13160D6D"/>
    <w:rsid w:val="131819D1"/>
    <w:rsid w:val="13226D41"/>
    <w:rsid w:val="13257202"/>
    <w:rsid w:val="132606A9"/>
    <w:rsid w:val="13274D28"/>
    <w:rsid w:val="13392CAD"/>
    <w:rsid w:val="133C5927"/>
    <w:rsid w:val="13444D78"/>
    <w:rsid w:val="13447996"/>
    <w:rsid w:val="1349214D"/>
    <w:rsid w:val="13511DA5"/>
    <w:rsid w:val="1354160F"/>
    <w:rsid w:val="135D08E1"/>
    <w:rsid w:val="135E05F8"/>
    <w:rsid w:val="1360648C"/>
    <w:rsid w:val="136222C2"/>
    <w:rsid w:val="13632A7F"/>
    <w:rsid w:val="13673972"/>
    <w:rsid w:val="1367781A"/>
    <w:rsid w:val="136830EA"/>
    <w:rsid w:val="13692CC6"/>
    <w:rsid w:val="13693418"/>
    <w:rsid w:val="136E6DFB"/>
    <w:rsid w:val="137141F5"/>
    <w:rsid w:val="137437FC"/>
    <w:rsid w:val="1381428B"/>
    <w:rsid w:val="1384260C"/>
    <w:rsid w:val="13894FB0"/>
    <w:rsid w:val="138A175B"/>
    <w:rsid w:val="13951726"/>
    <w:rsid w:val="13983E78"/>
    <w:rsid w:val="13A530EA"/>
    <w:rsid w:val="13AA7CF9"/>
    <w:rsid w:val="13AE369B"/>
    <w:rsid w:val="13BC5DB8"/>
    <w:rsid w:val="13C20EF5"/>
    <w:rsid w:val="13C61699"/>
    <w:rsid w:val="13C6733E"/>
    <w:rsid w:val="13D218DF"/>
    <w:rsid w:val="13D44784"/>
    <w:rsid w:val="13D604FC"/>
    <w:rsid w:val="13DA623E"/>
    <w:rsid w:val="13DD7ADC"/>
    <w:rsid w:val="13DE7083"/>
    <w:rsid w:val="13E33BA1"/>
    <w:rsid w:val="13EA3712"/>
    <w:rsid w:val="13ED41C3"/>
    <w:rsid w:val="13F217DA"/>
    <w:rsid w:val="13F50CB0"/>
    <w:rsid w:val="13F54E26"/>
    <w:rsid w:val="13F82B68"/>
    <w:rsid w:val="13FA68E0"/>
    <w:rsid w:val="13FD1F2D"/>
    <w:rsid w:val="14012057"/>
    <w:rsid w:val="1404503A"/>
    <w:rsid w:val="14123C2A"/>
    <w:rsid w:val="141D25CF"/>
    <w:rsid w:val="14213E6D"/>
    <w:rsid w:val="14232EA7"/>
    <w:rsid w:val="14270D58"/>
    <w:rsid w:val="14292753"/>
    <w:rsid w:val="142B6AAE"/>
    <w:rsid w:val="142C45C0"/>
    <w:rsid w:val="142E0338"/>
    <w:rsid w:val="142E20E6"/>
    <w:rsid w:val="14302302"/>
    <w:rsid w:val="14357918"/>
    <w:rsid w:val="14382E9D"/>
    <w:rsid w:val="14396509"/>
    <w:rsid w:val="143B0063"/>
    <w:rsid w:val="143C2A55"/>
    <w:rsid w:val="14432035"/>
    <w:rsid w:val="14443339"/>
    <w:rsid w:val="14465682"/>
    <w:rsid w:val="14467430"/>
    <w:rsid w:val="14495172"/>
    <w:rsid w:val="1449732B"/>
    <w:rsid w:val="144A5D9E"/>
    <w:rsid w:val="144B2C98"/>
    <w:rsid w:val="144D3457"/>
    <w:rsid w:val="144E09DA"/>
    <w:rsid w:val="145002AE"/>
    <w:rsid w:val="14522E9A"/>
    <w:rsid w:val="145853B5"/>
    <w:rsid w:val="145E4D9D"/>
    <w:rsid w:val="1461426A"/>
    <w:rsid w:val="14641FAC"/>
    <w:rsid w:val="14664B4D"/>
    <w:rsid w:val="14691B4B"/>
    <w:rsid w:val="147043AB"/>
    <w:rsid w:val="147B4635"/>
    <w:rsid w:val="147F6DE6"/>
    <w:rsid w:val="148250F7"/>
    <w:rsid w:val="148461AA"/>
    <w:rsid w:val="14863CD0"/>
    <w:rsid w:val="14877E44"/>
    <w:rsid w:val="148B578A"/>
    <w:rsid w:val="148B65CA"/>
    <w:rsid w:val="148D0F26"/>
    <w:rsid w:val="1494019C"/>
    <w:rsid w:val="14975EDD"/>
    <w:rsid w:val="149E54BE"/>
    <w:rsid w:val="14A101C1"/>
    <w:rsid w:val="14A64372"/>
    <w:rsid w:val="14A6624F"/>
    <w:rsid w:val="14AD3953"/>
    <w:rsid w:val="14B051F1"/>
    <w:rsid w:val="14B20F69"/>
    <w:rsid w:val="14B46DF2"/>
    <w:rsid w:val="14B7657F"/>
    <w:rsid w:val="14B95E54"/>
    <w:rsid w:val="14BC3C9C"/>
    <w:rsid w:val="14BE16BC"/>
    <w:rsid w:val="14BE346A"/>
    <w:rsid w:val="14C173FE"/>
    <w:rsid w:val="14C91E0F"/>
    <w:rsid w:val="14CB3DD9"/>
    <w:rsid w:val="14D42C8D"/>
    <w:rsid w:val="14D728AA"/>
    <w:rsid w:val="14D7549B"/>
    <w:rsid w:val="14D80A73"/>
    <w:rsid w:val="14DD2C3C"/>
    <w:rsid w:val="14E30B87"/>
    <w:rsid w:val="14E72E6C"/>
    <w:rsid w:val="14ED1FA1"/>
    <w:rsid w:val="14FD1E12"/>
    <w:rsid w:val="14FE335D"/>
    <w:rsid w:val="15086354"/>
    <w:rsid w:val="150F0169"/>
    <w:rsid w:val="15105F02"/>
    <w:rsid w:val="151655EA"/>
    <w:rsid w:val="151C5EFE"/>
    <w:rsid w:val="15206149"/>
    <w:rsid w:val="15233C15"/>
    <w:rsid w:val="152561E1"/>
    <w:rsid w:val="152971EF"/>
    <w:rsid w:val="152F25BA"/>
    <w:rsid w:val="15396730"/>
    <w:rsid w:val="153C6A85"/>
    <w:rsid w:val="153E27FD"/>
    <w:rsid w:val="15446DC5"/>
    <w:rsid w:val="154F4A0A"/>
    <w:rsid w:val="154F76E3"/>
    <w:rsid w:val="1552050A"/>
    <w:rsid w:val="15525CE1"/>
    <w:rsid w:val="155740A5"/>
    <w:rsid w:val="15581DBA"/>
    <w:rsid w:val="15597637"/>
    <w:rsid w:val="155E1E3B"/>
    <w:rsid w:val="15634011"/>
    <w:rsid w:val="156707BE"/>
    <w:rsid w:val="156949FF"/>
    <w:rsid w:val="156E637C"/>
    <w:rsid w:val="156F59E5"/>
    <w:rsid w:val="15724254"/>
    <w:rsid w:val="157306F8"/>
    <w:rsid w:val="15752213"/>
    <w:rsid w:val="15774BFD"/>
    <w:rsid w:val="15781ED3"/>
    <w:rsid w:val="1578473F"/>
    <w:rsid w:val="157E38C7"/>
    <w:rsid w:val="157F6419"/>
    <w:rsid w:val="158110C5"/>
    <w:rsid w:val="158457C7"/>
    <w:rsid w:val="158579BF"/>
    <w:rsid w:val="15916DD0"/>
    <w:rsid w:val="1593009E"/>
    <w:rsid w:val="15985AEC"/>
    <w:rsid w:val="159863B1"/>
    <w:rsid w:val="159D39C7"/>
    <w:rsid w:val="159D5775"/>
    <w:rsid w:val="159E5049"/>
    <w:rsid w:val="15A1204F"/>
    <w:rsid w:val="15A46B04"/>
    <w:rsid w:val="15A922C4"/>
    <w:rsid w:val="15AC3C0A"/>
    <w:rsid w:val="15B14D7D"/>
    <w:rsid w:val="15B17473"/>
    <w:rsid w:val="15B87597"/>
    <w:rsid w:val="15BA64DA"/>
    <w:rsid w:val="15BE02F9"/>
    <w:rsid w:val="15C154CF"/>
    <w:rsid w:val="15C43E1D"/>
    <w:rsid w:val="15C471A6"/>
    <w:rsid w:val="15C842B2"/>
    <w:rsid w:val="15CC5EA2"/>
    <w:rsid w:val="15CE1DD3"/>
    <w:rsid w:val="15CF1B88"/>
    <w:rsid w:val="15D45096"/>
    <w:rsid w:val="15D74005"/>
    <w:rsid w:val="15D77522"/>
    <w:rsid w:val="15DF5D8E"/>
    <w:rsid w:val="15E2625B"/>
    <w:rsid w:val="15EB4733"/>
    <w:rsid w:val="15EC04AB"/>
    <w:rsid w:val="15EE0375"/>
    <w:rsid w:val="15F31F1C"/>
    <w:rsid w:val="15F5110D"/>
    <w:rsid w:val="15F60703"/>
    <w:rsid w:val="15F66C34"/>
    <w:rsid w:val="15F80BFE"/>
    <w:rsid w:val="15FC2643"/>
    <w:rsid w:val="1602382A"/>
    <w:rsid w:val="1606111C"/>
    <w:rsid w:val="1606156C"/>
    <w:rsid w:val="16083908"/>
    <w:rsid w:val="160852D6"/>
    <w:rsid w:val="16087E1D"/>
    <w:rsid w:val="16096967"/>
    <w:rsid w:val="160A56CF"/>
    <w:rsid w:val="160B6B83"/>
    <w:rsid w:val="160B7A10"/>
    <w:rsid w:val="160C28FB"/>
    <w:rsid w:val="16157FF9"/>
    <w:rsid w:val="16162620"/>
    <w:rsid w:val="161A2BA7"/>
    <w:rsid w:val="161A6DC6"/>
    <w:rsid w:val="161C0D90"/>
    <w:rsid w:val="161D2412"/>
    <w:rsid w:val="161F4F64"/>
    <w:rsid w:val="16250A90"/>
    <w:rsid w:val="16257519"/>
    <w:rsid w:val="162714E3"/>
    <w:rsid w:val="16275278"/>
    <w:rsid w:val="162E461F"/>
    <w:rsid w:val="162E69C7"/>
    <w:rsid w:val="16300397"/>
    <w:rsid w:val="163065E9"/>
    <w:rsid w:val="163438D4"/>
    <w:rsid w:val="16380220"/>
    <w:rsid w:val="164A7FFD"/>
    <w:rsid w:val="164C2CF7"/>
    <w:rsid w:val="165322D8"/>
    <w:rsid w:val="16585B40"/>
    <w:rsid w:val="16595312"/>
    <w:rsid w:val="166444E5"/>
    <w:rsid w:val="166D339A"/>
    <w:rsid w:val="166E0EC0"/>
    <w:rsid w:val="16702E8A"/>
    <w:rsid w:val="16734728"/>
    <w:rsid w:val="16774218"/>
    <w:rsid w:val="16782785"/>
    <w:rsid w:val="167C7900"/>
    <w:rsid w:val="167D7355"/>
    <w:rsid w:val="167E5FD3"/>
    <w:rsid w:val="168472B6"/>
    <w:rsid w:val="1685192A"/>
    <w:rsid w:val="16864176"/>
    <w:rsid w:val="16893220"/>
    <w:rsid w:val="168B3F87"/>
    <w:rsid w:val="168D57EA"/>
    <w:rsid w:val="168E788F"/>
    <w:rsid w:val="16922E00"/>
    <w:rsid w:val="169C5A2D"/>
    <w:rsid w:val="16A36DBB"/>
    <w:rsid w:val="16A5094B"/>
    <w:rsid w:val="16AB2114"/>
    <w:rsid w:val="16AE3BA2"/>
    <w:rsid w:val="16AF39B2"/>
    <w:rsid w:val="16B965DF"/>
    <w:rsid w:val="16BB1887"/>
    <w:rsid w:val="16BC77AE"/>
    <w:rsid w:val="16BE3BF5"/>
    <w:rsid w:val="16C26CC6"/>
    <w:rsid w:val="16C81B0E"/>
    <w:rsid w:val="16C84A74"/>
    <w:rsid w:val="16C9008A"/>
    <w:rsid w:val="16D57191"/>
    <w:rsid w:val="16D90A2F"/>
    <w:rsid w:val="16E0344F"/>
    <w:rsid w:val="16E16538"/>
    <w:rsid w:val="16E63537"/>
    <w:rsid w:val="16EA49EA"/>
    <w:rsid w:val="16F14E35"/>
    <w:rsid w:val="16F5338F"/>
    <w:rsid w:val="16F615E1"/>
    <w:rsid w:val="16F72C63"/>
    <w:rsid w:val="16F90AB8"/>
    <w:rsid w:val="16FC1A26"/>
    <w:rsid w:val="16FD3C27"/>
    <w:rsid w:val="16FE2244"/>
    <w:rsid w:val="16FE6AD6"/>
    <w:rsid w:val="170749B3"/>
    <w:rsid w:val="170954C7"/>
    <w:rsid w:val="170D2FC6"/>
    <w:rsid w:val="171100A1"/>
    <w:rsid w:val="17127A9D"/>
    <w:rsid w:val="17192340"/>
    <w:rsid w:val="171B2DF6"/>
    <w:rsid w:val="171E352E"/>
    <w:rsid w:val="17204023"/>
    <w:rsid w:val="17211A32"/>
    <w:rsid w:val="17252F47"/>
    <w:rsid w:val="17253C74"/>
    <w:rsid w:val="17312619"/>
    <w:rsid w:val="173A45C7"/>
    <w:rsid w:val="173E4B51"/>
    <w:rsid w:val="174A03C5"/>
    <w:rsid w:val="174A116E"/>
    <w:rsid w:val="174B2FAF"/>
    <w:rsid w:val="17563E2E"/>
    <w:rsid w:val="175A5AC4"/>
    <w:rsid w:val="175D5180"/>
    <w:rsid w:val="1764593E"/>
    <w:rsid w:val="176522C3"/>
    <w:rsid w:val="1765704B"/>
    <w:rsid w:val="17701D14"/>
    <w:rsid w:val="17735226"/>
    <w:rsid w:val="177670A8"/>
    <w:rsid w:val="177B1AE6"/>
    <w:rsid w:val="17822E75"/>
    <w:rsid w:val="1789354D"/>
    <w:rsid w:val="178D35C8"/>
    <w:rsid w:val="17944956"/>
    <w:rsid w:val="17967CBF"/>
    <w:rsid w:val="1798536D"/>
    <w:rsid w:val="17987A2A"/>
    <w:rsid w:val="17996410"/>
    <w:rsid w:val="179A5FA6"/>
    <w:rsid w:val="17A0779F"/>
    <w:rsid w:val="17A50EF5"/>
    <w:rsid w:val="17AD5A18"/>
    <w:rsid w:val="17AF353E"/>
    <w:rsid w:val="17B80644"/>
    <w:rsid w:val="17B9260F"/>
    <w:rsid w:val="17BB1EE3"/>
    <w:rsid w:val="17BF4CC3"/>
    <w:rsid w:val="17C00AEC"/>
    <w:rsid w:val="17C0399D"/>
    <w:rsid w:val="17C20009"/>
    <w:rsid w:val="17C4348D"/>
    <w:rsid w:val="17C90ECA"/>
    <w:rsid w:val="17CE1491"/>
    <w:rsid w:val="17D06220"/>
    <w:rsid w:val="17D27F12"/>
    <w:rsid w:val="17DD6B2E"/>
    <w:rsid w:val="17E23913"/>
    <w:rsid w:val="17E24AFE"/>
    <w:rsid w:val="17EA04AD"/>
    <w:rsid w:val="17EC7738"/>
    <w:rsid w:val="17EF7DDE"/>
    <w:rsid w:val="17F3167D"/>
    <w:rsid w:val="17F3249E"/>
    <w:rsid w:val="17F6075E"/>
    <w:rsid w:val="17F76D48"/>
    <w:rsid w:val="18037057"/>
    <w:rsid w:val="18041ADC"/>
    <w:rsid w:val="18090EA0"/>
    <w:rsid w:val="180A5CD3"/>
    <w:rsid w:val="180B17EE"/>
    <w:rsid w:val="180C6BE2"/>
    <w:rsid w:val="180D3B06"/>
    <w:rsid w:val="180D6418"/>
    <w:rsid w:val="180E672F"/>
    <w:rsid w:val="180F5E9C"/>
    <w:rsid w:val="18131D1F"/>
    <w:rsid w:val="1813218C"/>
    <w:rsid w:val="181377B0"/>
    <w:rsid w:val="1814164D"/>
    <w:rsid w:val="181520D8"/>
    <w:rsid w:val="18153CE9"/>
    <w:rsid w:val="181810E3"/>
    <w:rsid w:val="181868AD"/>
    <w:rsid w:val="182201B4"/>
    <w:rsid w:val="18281B20"/>
    <w:rsid w:val="182A4037"/>
    <w:rsid w:val="182C2DE0"/>
    <w:rsid w:val="18303023"/>
    <w:rsid w:val="183427A7"/>
    <w:rsid w:val="18346730"/>
    <w:rsid w:val="18356139"/>
    <w:rsid w:val="183604E7"/>
    <w:rsid w:val="1837258B"/>
    <w:rsid w:val="18383223"/>
    <w:rsid w:val="18386BA0"/>
    <w:rsid w:val="18390413"/>
    <w:rsid w:val="18394E0F"/>
    <w:rsid w:val="183A50A8"/>
    <w:rsid w:val="183D4FEE"/>
    <w:rsid w:val="183F0D66"/>
    <w:rsid w:val="18414ADE"/>
    <w:rsid w:val="184508FB"/>
    <w:rsid w:val="18455C50"/>
    <w:rsid w:val="184B72E1"/>
    <w:rsid w:val="184C2B9B"/>
    <w:rsid w:val="184E7E45"/>
    <w:rsid w:val="184F0B35"/>
    <w:rsid w:val="18550589"/>
    <w:rsid w:val="1858423F"/>
    <w:rsid w:val="185A5EAF"/>
    <w:rsid w:val="185C1918"/>
    <w:rsid w:val="185D11EC"/>
    <w:rsid w:val="185F4F64"/>
    <w:rsid w:val="18603231"/>
    <w:rsid w:val="1862520D"/>
    <w:rsid w:val="1864257A"/>
    <w:rsid w:val="18644328"/>
    <w:rsid w:val="186654C8"/>
    <w:rsid w:val="186D70E5"/>
    <w:rsid w:val="187529D9"/>
    <w:rsid w:val="18770500"/>
    <w:rsid w:val="18784278"/>
    <w:rsid w:val="18786026"/>
    <w:rsid w:val="187C78C4"/>
    <w:rsid w:val="187E5D4A"/>
    <w:rsid w:val="187F73B4"/>
    <w:rsid w:val="18825528"/>
    <w:rsid w:val="18832554"/>
    <w:rsid w:val="18845E1E"/>
    <w:rsid w:val="18860743"/>
    <w:rsid w:val="18866D9A"/>
    <w:rsid w:val="1888270D"/>
    <w:rsid w:val="188C121D"/>
    <w:rsid w:val="188C58B5"/>
    <w:rsid w:val="189015C1"/>
    <w:rsid w:val="18932E60"/>
    <w:rsid w:val="18954E2A"/>
    <w:rsid w:val="189C1D14"/>
    <w:rsid w:val="189F624C"/>
    <w:rsid w:val="18A312F5"/>
    <w:rsid w:val="18A60DE5"/>
    <w:rsid w:val="18A618E4"/>
    <w:rsid w:val="18A75891"/>
    <w:rsid w:val="18AB1F57"/>
    <w:rsid w:val="18AC5CCF"/>
    <w:rsid w:val="18AF6CFC"/>
    <w:rsid w:val="18B74DA0"/>
    <w:rsid w:val="18BB3521"/>
    <w:rsid w:val="18C82B09"/>
    <w:rsid w:val="18C859CB"/>
    <w:rsid w:val="18CB25F9"/>
    <w:rsid w:val="18CC5ADC"/>
    <w:rsid w:val="18CD15E1"/>
    <w:rsid w:val="18D07C10"/>
    <w:rsid w:val="18D3325C"/>
    <w:rsid w:val="18D36D47"/>
    <w:rsid w:val="18D771F0"/>
    <w:rsid w:val="18DB679E"/>
    <w:rsid w:val="18DF1F83"/>
    <w:rsid w:val="18DF3D61"/>
    <w:rsid w:val="18DF6D3B"/>
    <w:rsid w:val="18E44B1E"/>
    <w:rsid w:val="18E84F59"/>
    <w:rsid w:val="18E92A80"/>
    <w:rsid w:val="18EA6F23"/>
    <w:rsid w:val="18F7338F"/>
    <w:rsid w:val="18FE477D"/>
    <w:rsid w:val="18FF29E5"/>
    <w:rsid w:val="19014590"/>
    <w:rsid w:val="19033B41"/>
    <w:rsid w:val="19033EF2"/>
    <w:rsid w:val="19045B0B"/>
    <w:rsid w:val="190569DB"/>
    <w:rsid w:val="190653E0"/>
    <w:rsid w:val="190755E2"/>
    <w:rsid w:val="190A1374"/>
    <w:rsid w:val="190B0C48"/>
    <w:rsid w:val="19183805"/>
    <w:rsid w:val="19185113"/>
    <w:rsid w:val="191915B7"/>
    <w:rsid w:val="191A0439"/>
    <w:rsid w:val="191C10A7"/>
    <w:rsid w:val="191C4B10"/>
    <w:rsid w:val="191C4C03"/>
    <w:rsid w:val="191F718B"/>
    <w:rsid w:val="191F7447"/>
    <w:rsid w:val="19210BE9"/>
    <w:rsid w:val="19234148"/>
    <w:rsid w:val="192A4C84"/>
    <w:rsid w:val="192F0E7B"/>
    <w:rsid w:val="192F2B88"/>
    <w:rsid w:val="19320DC7"/>
    <w:rsid w:val="193450CD"/>
    <w:rsid w:val="193463F1"/>
    <w:rsid w:val="19371A3D"/>
    <w:rsid w:val="193846CA"/>
    <w:rsid w:val="193A3933"/>
    <w:rsid w:val="193D1B75"/>
    <w:rsid w:val="193D6B42"/>
    <w:rsid w:val="1945415A"/>
    <w:rsid w:val="194D61FF"/>
    <w:rsid w:val="1950695C"/>
    <w:rsid w:val="19570331"/>
    <w:rsid w:val="195A5530"/>
    <w:rsid w:val="195B397D"/>
    <w:rsid w:val="195C76F5"/>
    <w:rsid w:val="19632832"/>
    <w:rsid w:val="19670574"/>
    <w:rsid w:val="19676254"/>
    <w:rsid w:val="196A0064"/>
    <w:rsid w:val="196C5B8A"/>
    <w:rsid w:val="196D36B1"/>
    <w:rsid w:val="196D3DCE"/>
    <w:rsid w:val="196F7429"/>
    <w:rsid w:val="19744A3F"/>
    <w:rsid w:val="197C12C5"/>
    <w:rsid w:val="197E58BE"/>
    <w:rsid w:val="19805192"/>
    <w:rsid w:val="19884D68"/>
    <w:rsid w:val="198A6011"/>
    <w:rsid w:val="1998697F"/>
    <w:rsid w:val="199C1714"/>
    <w:rsid w:val="199D3F96"/>
    <w:rsid w:val="199D478A"/>
    <w:rsid w:val="19A1798F"/>
    <w:rsid w:val="19A70651"/>
    <w:rsid w:val="19AA768D"/>
    <w:rsid w:val="19AD1CFF"/>
    <w:rsid w:val="19B117EF"/>
    <w:rsid w:val="19B337DC"/>
    <w:rsid w:val="19B36563"/>
    <w:rsid w:val="19B72B7E"/>
    <w:rsid w:val="19B80F45"/>
    <w:rsid w:val="19C01A32"/>
    <w:rsid w:val="19C332D1"/>
    <w:rsid w:val="19D61256"/>
    <w:rsid w:val="19D90D46"/>
    <w:rsid w:val="19DA5595"/>
    <w:rsid w:val="19DC1543"/>
    <w:rsid w:val="19DD33D8"/>
    <w:rsid w:val="19DF40F0"/>
    <w:rsid w:val="19E21EB6"/>
    <w:rsid w:val="19E67CB1"/>
    <w:rsid w:val="19E971DB"/>
    <w:rsid w:val="19EA50F6"/>
    <w:rsid w:val="19F31E08"/>
    <w:rsid w:val="19F85670"/>
    <w:rsid w:val="19F863D7"/>
    <w:rsid w:val="19F94A0B"/>
    <w:rsid w:val="19FB2F35"/>
    <w:rsid w:val="1A073B05"/>
    <w:rsid w:val="1A0A7151"/>
    <w:rsid w:val="1A0C2EC9"/>
    <w:rsid w:val="1A114C94"/>
    <w:rsid w:val="1A172B7A"/>
    <w:rsid w:val="1A1C0BFB"/>
    <w:rsid w:val="1A1C66C0"/>
    <w:rsid w:val="1A1E4ACB"/>
    <w:rsid w:val="1A1F2BFD"/>
    <w:rsid w:val="1A231FC1"/>
    <w:rsid w:val="1A2975D8"/>
    <w:rsid w:val="1A2B77F4"/>
    <w:rsid w:val="1A2D037C"/>
    <w:rsid w:val="1A304E0A"/>
    <w:rsid w:val="1A310B82"/>
    <w:rsid w:val="1A3366A8"/>
    <w:rsid w:val="1A345F7C"/>
    <w:rsid w:val="1A385A6D"/>
    <w:rsid w:val="1A3B37AF"/>
    <w:rsid w:val="1A420699"/>
    <w:rsid w:val="1A42393B"/>
    <w:rsid w:val="1A477D31"/>
    <w:rsid w:val="1A496EF9"/>
    <w:rsid w:val="1A4C7543"/>
    <w:rsid w:val="1A514E87"/>
    <w:rsid w:val="1A52017B"/>
    <w:rsid w:val="1A562824"/>
    <w:rsid w:val="1A60423F"/>
    <w:rsid w:val="1A670100"/>
    <w:rsid w:val="1A676352"/>
    <w:rsid w:val="1A6A7BF0"/>
    <w:rsid w:val="1A776581"/>
    <w:rsid w:val="1A786F56"/>
    <w:rsid w:val="1A7B1DFD"/>
    <w:rsid w:val="1A845156"/>
    <w:rsid w:val="1A872550"/>
    <w:rsid w:val="1A8A3DEE"/>
    <w:rsid w:val="1A8B0FE3"/>
    <w:rsid w:val="1A907657"/>
    <w:rsid w:val="1A920163"/>
    <w:rsid w:val="1A937237"/>
    <w:rsid w:val="1A952EBF"/>
    <w:rsid w:val="1AA1056B"/>
    <w:rsid w:val="1AA650CC"/>
    <w:rsid w:val="1AA76EF1"/>
    <w:rsid w:val="1AAD45DE"/>
    <w:rsid w:val="1AB33345"/>
    <w:rsid w:val="1AB53561"/>
    <w:rsid w:val="1AB865A1"/>
    <w:rsid w:val="1AB91F2F"/>
    <w:rsid w:val="1ABA0B77"/>
    <w:rsid w:val="1ABB0CBE"/>
    <w:rsid w:val="1AC82894"/>
    <w:rsid w:val="1AC90E77"/>
    <w:rsid w:val="1ACB4C63"/>
    <w:rsid w:val="1AD14EAF"/>
    <w:rsid w:val="1AD35795"/>
    <w:rsid w:val="1AD82DAC"/>
    <w:rsid w:val="1ADD6614"/>
    <w:rsid w:val="1ADE0D05"/>
    <w:rsid w:val="1ADE1F56"/>
    <w:rsid w:val="1AE14465"/>
    <w:rsid w:val="1AE229D1"/>
    <w:rsid w:val="1AE36089"/>
    <w:rsid w:val="1AEC149E"/>
    <w:rsid w:val="1AED55FE"/>
    <w:rsid w:val="1AEE40DD"/>
    <w:rsid w:val="1AFA71C6"/>
    <w:rsid w:val="1B042950"/>
    <w:rsid w:val="1B0437D9"/>
    <w:rsid w:val="1B046F80"/>
    <w:rsid w:val="1B0C1D54"/>
    <w:rsid w:val="1B0F0EC3"/>
    <w:rsid w:val="1B120F84"/>
    <w:rsid w:val="1B172F53"/>
    <w:rsid w:val="1B177285"/>
    <w:rsid w:val="1B1A1616"/>
    <w:rsid w:val="1B1D4C62"/>
    <w:rsid w:val="1B1D66B9"/>
    <w:rsid w:val="1B23671D"/>
    <w:rsid w:val="1B292B58"/>
    <w:rsid w:val="1B2D178E"/>
    <w:rsid w:val="1B2E6E70"/>
    <w:rsid w:val="1B3267B5"/>
    <w:rsid w:val="1B3663F6"/>
    <w:rsid w:val="1B395584"/>
    <w:rsid w:val="1B3A6A97"/>
    <w:rsid w:val="1B3E3557"/>
    <w:rsid w:val="1B40161D"/>
    <w:rsid w:val="1B4072CF"/>
    <w:rsid w:val="1B441859"/>
    <w:rsid w:val="1B4548E5"/>
    <w:rsid w:val="1B4A1EFB"/>
    <w:rsid w:val="1B4E373F"/>
    <w:rsid w:val="1B527241"/>
    <w:rsid w:val="1B5945CA"/>
    <w:rsid w:val="1B607421"/>
    <w:rsid w:val="1B6163EC"/>
    <w:rsid w:val="1B63129D"/>
    <w:rsid w:val="1B6420F7"/>
    <w:rsid w:val="1B6606B1"/>
    <w:rsid w:val="1B6B3C20"/>
    <w:rsid w:val="1B6E0F9B"/>
    <w:rsid w:val="1B6F56EA"/>
    <w:rsid w:val="1B742409"/>
    <w:rsid w:val="1B7A0E54"/>
    <w:rsid w:val="1B7A3E63"/>
    <w:rsid w:val="1B816DD8"/>
    <w:rsid w:val="1B8434F1"/>
    <w:rsid w:val="1B8459DF"/>
    <w:rsid w:val="1B851185"/>
    <w:rsid w:val="1B866E1F"/>
    <w:rsid w:val="1B872A58"/>
    <w:rsid w:val="1B8835F2"/>
    <w:rsid w:val="1B895847"/>
    <w:rsid w:val="1B8D003A"/>
    <w:rsid w:val="1B8D410D"/>
    <w:rsid w:val="1B8F790E"/>
    <w:rsid w:val="1B90362A"/>
    <w:rsid w:val="1B966EEF"/>
    <w:rsid w:val="1B9D6AB8"/>
    <w:rsid w:val="1B9F38C3"/>
    <w:rsid w:val="1BA3160C"/>
    <w:rsid w:val="1BA45141"/>
    <w:rsid w:val="1BAB7A3E"/>
    <w:rsid w:val="1BAF7FB0"/>
    <w:rsid w:val="1BB5039E"/>
    <w:rsid w:val="1BB76E65"/>
    <w:rsid w:val="1BB9498B"/>
    <w:rsid w:val="1BBC5270"/>
    <w:rsid w:val="1BBE4697"/>
    <w:rsid w:val="1BBE6445"/>
    <w:rsid w:val="1BC33A5C"/>
    <w:rsid w:val="1BC72207"/>
    <w:rsid w:val="1BC72BE8"/>
    <w:rsid w:val="1BC81072"/>
    <w:rsid w:val="1BC94218"/>
    <w:rsid w:val="1BCC71C2"/>
    <w:rsid w:val="1BCF41AF"/>
    <w:rsid w:val="1BD23573"/>
    <w:rsid w:val="1BD47A17"/>
    <w:rsid w:val="1BDE43F2"/>
    <w:rsid w:val="1BE5660A"/>
    <w:rsid w:val="1BE7774A"/>
    <w:rsid w:val="1BEE6D2B"/>
    <w:rsid w:val="1BF34341"/>
    <w:rsid w:val="1C033E58"/>
    <w:rsid w:val="1C084947"/>
    <w:rsid w:val="1C0876C1"/>
    <w:rsid w:val="1C093B64"/>
    <w:rsid w:val="1C0A51E7"/>
    <w:rsid w:val="1C0C71B1"/>
    <w:rsid w:val="1C0E117B"/>
    <w:rsid w:val="1C131164"/>
    <w:rsid w:val="1C16002F"/>
    <w:rsid w:val="1C1D710E"/>
    <w:rsid w:val="1C1E6EE4"/>
    <w:rsid w:val="1C1E7261"/>
    <w:rsid w:val="1C211341"/>
    <w:rsid w:val="1C211DA9"/>
    <w:rsid w:val="1C220858"/>
    <w:rsid w:val="1C250273"/>
    <w:rsid w:val="1C2B6F5E"/>
    <w:rsid w:val="1C330BE1"/>
    <w:rsid w:val="1C3440FA"/>
    <w:rsid w:val="1C3441F2"/>
    <w:rsid w:val="1C346454"/>
    <w:rsid w:val="1C381D54"/>
    <w:rsid w:val="1C383E50"/>
    <w:rsid w:val="1C387FA6"/>
    <w:rsid w:val="1C3A1F70"/>
    <w:rsid w:val="1C3B5CE8"/>
    <w:rsid w:val="1C4D4A19"/>
    <w:rsid w:val="1C556DAA"/>
    <w:rsid w:val="1C5A43C0"/>
    <w:rsid w:val="1C5D5C5E"/>
    <w:rsid w:val="1C5E7925"/>
    <w:rsid w:val="1C5F1D2A"/>
    <w:rsid w:val="1C622350"/>
    <w:rsid w:val="1C633016"/>
    <w:rsid w:val="1C635266"/>
    <w:rsid w:val="1C667DA5"/>
    <w:rsid w:val="1C67088B"/>
    <w:rsid w:val="1C676ADD"/>
    <w:rsid w:val="1C6813A7"/>
    <w:rsid w:val="1C685F66"/>
    <w:rsid w:val="1C6A701E"/>
    <w:rsid w:val="1C6D4584"/>
    <w:rsid w:val="1C71170A"/>
    <w:rsid w:val="1C7D713C"/>
    <w:rsid w:val="1C816654"/>
    <w:rsid w:val="1C817B9F"/>
    <w:rsid w:val="1C8C26DC"/>
    <w:rsid w:val="1C8E5E18"/>
    <w:rsid w:val="1C8E7BC6"/>
    <w:rsid w:val="1C9176B6"/>
    <w:rsid w:val="1C937607"/>
    <w:rsid w:val="1C961170"/>
    <w:rsid w:val="1C9D42AD"/>
    <w:rsid w:val="1CA27B15"/>
    <w:rsid w:val="1CA32B10"/>
    <w:rsid w:val="1CA96584"/>
    <w:rsid w:val="1CAA0778"/>
    <w:rsid w:val="1CAA23AD"/>
    <w:rsid w:val="1CAC2742"/>
    <w:rsid w:val="1CB02232"/>
    <w:rsid w:val="1CB16F06"/>
    <w:rsid w:val="1CB17D58"/>
    <w:rsid w:val="1CB6711D"/>
    <w:rsid w:val="1CBF06C7"/>
    <w:rsid w:val="1CC17F9B"/>
    <w:rsid w:val="1CC41839"/>
    <w:rsid w:val="1CC54501"/>
    <w:rsid w:val="1CC63804"/>
    <w:rsid w:val="1CC932F4"/>
    <w:rsid w:val="1CCB2BC8"/>
    <w:rsid w:val="1CD02390"/>
    <w:rsid w:val="1CD51C99"/>
    <w:rsid w:val="1CD53A47"/>
    <w:rsid w:val="1CDA72AF"/>
    <w:rsid w:val="1CDC4DD5"/>
    <w:rsid w:val="1CDD28FB"/>
    <w:rsid w:val="1CDE0197"/>
    <w:rsid w:val="1CE1063D"/>
    <w:rsid w:val="1CF42700"/>
    <w:rsid w:val="1CF851CF"/>
    <w:rsid w:val="1CFD070F"/>
    <w:rsid w:val="1CFF6D16"/>
    <w:rsid w:val="1D01483C"/>
    <w:rsid w:val="1D0330F3"/>
    <w:rsid w:val="1D063C7A"/>
    <w:rsid w:val="1D085BCA"/>
    <w:rsid w:val="1D097B94"/>
    <w:rsid w:val="1D0B5F9E"/>
    <w:rsid w:val="1D0B7FC9"/>
    <w:rsid w:val="1D0C3873"/>
    <w:rsid w:val="1D0D1432"/>
    <w:rsid w:val="1D0D31E0"/>
    <w:rsid w:val="1D123251"/>
    <w:rsid w:val="1D13631D"/>
    <w:rsid w:val="1D152095"/>
    <w:rsid w:val="1D19579E"/>
    <w:rsid w:val="1D1D0F4A"/>
    <w:rsid w:val="1D1F39FD"/>
    <w:rsid w:val="1D1F4CC2"/>
    <w:rsid w:val="1D230C56"/>
    <w:rsid w:val="1D2B3667"/>
    <w:rsid w:val="1D2C096A"/>
    <w:rsid w:val="1D2D2CFE"/>
    <w:rsid w:val="1D305121"/>
    <w:rsid w:val="1D31269A"/>
    <w:rsid w:val="1D3249F5"/>
    <w:rsid w:val="1D365BE5"/>
    <w:rsid w:val="1D37200B"/>
    <w:rsid w:val="1D383FD6"/>
    <w:rsid w:val="1D3A5DEF"/>
    <w:rsid w:val="1D3B71A2"/>
    <w:rsid w:val="1D3D339A"/>
    <w:rsid w:val="1D401638"/>
    <w:rsid w:val="1D484219"/>
    <w:rsid w:val="1D485652"/>
    <w:rsid w:val="1D494D5C"/>
    <w:rsid w:val="1D4C3D78"/>
    <w:rsid w:val="1D5543E9"/>
    <w:rsid w:val="1D594678"/>
    <w:rsid w:val="1D596426"/>
    <w:rsid w:val="1D5A219E"/>
    <w:rsid w:val="1D5A529E"/>
    <w:rsid w:val="1D5A5F68"/>
    <w:rsid w:val="1D5F6196"/>
    <w:rsid w:val="1D6132A5"/>
    <w:rsid w:val="1D632E00"/>
    <w:rsid w:val="1D633073"/>
    <w:rsid w:val="1D6453D0"/>
    <w:rsid w:val="1D6507BA"/>
    <w:rsid w:val="1D661C09"/>
    <w:rsid w:val="1D670C46"/>
    <w:rsid w:val="1D6E17A5"/>
    <w:rsid w:val="1D706BA6"/>
    <w:rsid w:val="1D721295"/>
    <w:rsid w:val="1D7A45EE"/>
    <w:rsid w:val="1D862F93"/>
    <w:rsid w:val="1D88249D"/>
    <w:rsid w:val="1D8B1974"/>
    <w:rsid w:val="1D8B67FB"/>
    <w:rsid w:val="1D8E56D5"/>
    <w:rsid w:val="1D943BA3"/>
    <w:rsid w:val="1D951428"/>
    <w:rsid w:val="1D9C27B6"/>
    <w:rsid w:val="1D9C4564"/>
    <w:rsid w:val="1D9E47BA"/>
    <w:rsid w:val="1DA40FEF"/>
    <w:rsid w:val="1DAB4C3A"/>
    <w:rsid w:val="1DAD49C3"/>
    <w:rsid w:val="1DAD6772"/>
    <w:rsid w:val="1DB45D52"/>
    <w:rsid w:val="1DB7139E"/>
    <w:rsid w:val="1DB93368"/>
    <w:rsid w:val="1DC00253"/>
    <w:rsid w:val="1DC064A5"/>
    <w:rsid w:val="1DC1221D"/>
    <w:rsid w:val="1DC13FCB"/>
    <w:rsid w:val="1DC24D8D"/>
    <w:rsid w:val="1DC55869"/>
    <w:rsid w:val="1DC96B33"/>
    <w:rsid w:val="1DCC068A"/>
    <w:rsid w:val="1DD03A85"/>
    <w:rsid w:val="1DD71A40"/>
    <w:rsid w:val="1DD85DC0"/>
    <w:rsid w:val="1DDB4C96"/>
    <w:rsid w:val="1DDB508D"/>
    <w:rsid w:val="1DEA52D0"/>
    <w:rsid w:val="1DF4774F"/>
    <w:rsid w:val="1DFF3645"/>
    <w:rsid w:val="1E0E56FF"/>
    <w:rsid w:val="1E122A78"/>
    <w:rsid w:val="1E127A66"/>
    <w:rsid w:val="1E14234D"/>
    <w:rsid w:val="1E162569"/>
    <w:rsid w:val="1E1A6708"/>
    <w:rsid w:val="1E2527AC"/>
    <w:rsid w:val="1E25455A"/>
    <w:rsid w:val="1E256308"/>
    <w:rsid w:val="1E2A1B70"/>
    <w:rsid w:val="1E2B34F3"/>
    <w:rsid w:val="1E2C58E8"/>
    <w:rsid w:val="1E2E78B2"/>
    <w:rsid w:val="1E2F7187"/>
    <w:rsid w:val="1E3824DF"/>
    <w:rsid w:val="1E3B2848"/>
    <w:rsid w:val="1E3E561C"/>
    <w:rsid w:val="1E4470D6"/>
    <w:rsid w:val="1E4F10E0"/>
    <w:rsid w:val="1E55436E"/>
    <w:rsid w:val="1E560BB7"/>
    <w:rsid w:val="1E5852B6"/>
    <w:rsid w:val="1E5B1704"/>
    <w:rsid w:val="1E5D42A7"/>
    <w:rsid w:val="1E5E181A"/>
    <w:rsid w:val="1E5F368E"/>
    <w:rsid w:val="1E6037E4"/>
    <w:rsid w:val="1E636B6D"/>
    <w:rsid w:val="1E636E30"/>
    <w:rsid w:val="1E6432D4"/>
    <w:rsid w:val="1E650DFA"/>
    <w:rsid w:val="1E65704C"/>
    <w:rsid w:val="1E672DC4"/>
    <w:rsid w:val="1E68616F"/>
    <w:rsid w:val="1E6A3FF1"/>
    <w:rsid w:val="1E6B1336"/>
    <w:rsid w:val="1E6D572A"/>
    <w:rsid w:val="1E6F3A27"/>
    <w:rsid w:val="1E714EA3"/>
    <w:rsid w:val="1E74728F"/>
    <w:rsid w:val="1E75432B"/>
    <w:rsid w:val="1E7828DC"/>
    <w:rsid w:val="1E791B20"/>
    <w:rsid w:val="1E7A43DA"/>
    <w:rsid w:val="1E7F1B7A"/>
    <w:rsid w:val="1E7F665C"/>
    <w:rsid w:val="1E831280"/>
    <w:rsid w:val="1E845724"/>
    <w:rsid w:val="1E8E20FF"/>
    <w:rsid w:val="1E917E41"/>
    <w:rsid w:val="1E924A75"/>
    <w:rsid w:val="1E957931"/>
    <w:rsid w:val="1E965D48"/>
    <w:rsid w:val="1EA44D1C"/>
    <w:rsid w:val="1EA90CE7"/>
    <w:rsid w:val="1EB03EF9"/>
    <w:rsid w:val="1EB12291"/>
    <w:rsid w:val="1EB311F8"/>
    <w:rsid w:val="1EB37DB8"/>
    <w:rsid w:val="1EB57F04"/>
    <w:rsid w:val="1EB778BB"/>
    <w:rsid w:val="1EB853CE"/>
    <w:rsid w:val="1EBE42FD"/>
    <w:rsid w:val="1EC61074"/>
    <w:rsid w:val="1EC70B08"/>
    <w:rsid w:val="1EC805FE"/>
    <w:rsid w:val="1ED41ADC"/>
    <w:rsid w:val="1EDE09A8"/>
    <w:rsid w:val="1EE44415"/>
    <w:rsid w:val="1EE6018D"/>
    <w:rsid w:val="1EED7FC1"/>
    <w:rsid w:val="1EF1268E"/>
    <w:rsid w:val="1EF33F85"/>
    <w:rsid w:val="1EF503D0"/>
    <w:rsid w:val="1EFD4E13"/>
    <w:rsid w:val="1EFE5C3C"/>
    <w:rsid w:val="1EFF124F"/>
    <w:rsid w:val="1F016D75"/>
    <w:rsid w:val="1F040EB9"/>
    <w:rsid w:val="1F066406"/>
    <w:rsid w:val="1F0711B2"/>
    <w:rsid w:val="1F0B397B"/>
    <w:rsid w:val="1F106FB8"/>
    <w:rsid w:val="1F125002"/>
    <w:rsid w:val="1F1300B4"/>
    <w:rsid w:val="1F1678C3"/>
    <w:rsid w:val="1F182311"/>
    <w:rsid w:val="1F1B258F"/>
    <w:rsid w:val="1F1B3C66"/>
    <w:rsid w:val="1F262338"/>
    <w:rsid w:val="1F2710E6"/>
    <w:rsid w:val="1F325180"/>
    <w:rsid w:val="1F354C71"/>
    <w:rsid w:val="1F38377E"/>
    <w:rsid w:val="1F43196F"/>
    <w:rsid w:val="1F460C2C"/>
    <w:rsid w:val="1F470500"/>
    <w:rsid w:val="1F4F0F5F"/>
    <w:rsid w:val="1F525822"/>
    <w:rsid w:val="1F58270D"/>
    <w:rsid w:val="1F59095F"/>
    <w:rsid w:val="1F5A7B2E"/>
    <w:rsid w:val="1F5B72F1"/>
    <w:rsid w:val="1F5C04BB"/>
    <w:rsid w:val="1F675B4A"/>
    <w:rsid w:val="1F6A571C"/>
    <w:rsid w:val="1F6B68E4"/>
    <w:rsid w:val="1F7312F5"/>
    <w:rsid w:val="1F7532BF"/>
    <w:rsid w:val="1F7A08D5"/>
    <w:rsid w:val="1F830293"/>
    <w:rsid w:val="1F8359DC"/>
    <w:rsid w:val="1F8654CC"/>
    <w:rsid w:val="1F8D0609"/>
    <w:rsid w:val="1F90251F"/>
    <w:rsid w:val="1F923E71"/>
    <w:rsid w:val="1F942E0C"/>
    <w:rsid w:val="1F996FAD"/>
    <w:rsid w:val="1F9B26B1"/>
    <w:rsid w:val="1F9F4B7E"/>
    <w:rsid w:val="1FA438CA"/>
    <w:rsid w:val="1FA63478"/>
    <w:rsid w:val="1FA66984"/>
    <w:rsid w:val="1FAA740D"/>
    <w:rsid w:val="1FAD2A59"/>
    <w:rsid w:val="1FAE7162"/>
    <w:rsid w:val="1FAF4302"/>
    <w:rsid w:val="1FB13354"/>
    <w:rsid w:val="1FB21E1D"/>
    <w:rsid w:val="1FBB33C8"/>
    <w:rsid w:val="1FBE507A"/>
    <w:rsid w:val="1FBF278C"/>
    <w:rsid w:val="1FBF76AA"/>
    <w:rsid w:val="1FC102B2"/>
    <w:rsid w:val="1FC12B3D"/>
    <w:rsid w:val="1FC16504"/>
    <w:rsid w:val="1FC35DD8"/>
    <w:rsid w:val="1FC41EBB"/>
    <w:rsid w:val="1FC60C81"/>
    <w:rsid w:val="1FC63B1B"/>
    <w:rsid w:val="1FCA0274"/>
    <w:rsid w:val="1FCA323B"/>
    <w:rsid w:val="1FCB7383"/>
    <w:rsid w:val="1FCF29CF"/>
    <w:rsid w:val="1FD6702A"/>
    <w:rsid w:val="1FD77AD6"/>
    <w:rsid w:val="1FDB51FE"/>
    <w:rsid w:val="1FDD22B7"/>
    <w:rsid w:val="1FDE2C46"/>
    <w:rsid w:val="1FDF3F84"/>
    <w:rsid w:val="1FE10954"/>
    <w:rsid w:val="1FE176AE"/>
    <w:rsid w:val="1FE346CD"/>
    <w:rsid w:val="1FE521F3"/>
    <w:rsid w:val="1FE65F6B"/>
    <w:rsid w:val="1FE7539E"/>
    <w:rsid w:val="1FE7674F"/>
    <w:rsid w:val="1FE81E04"/>
    <w:rsid w:val="1FE83A91"/>
    <w:rsid w:val="1FF468DA"/>
    <w:rsid w:val="1FF64400"/>
    <w:rsid w:val="1FFB43BD"/>
    <w:rsid w:val="1FFE49AC"/>
    <w:rsid w:val="1FFE7559"/>
    <w:rsid w:val="200413A4"/>
    <w:rsid w:val="20054643"/>
    <w:rsid w:val="200603BB"/>
    <w:rsid w:val="200808D3"/>
    <w:rsid w:val="200A5653"/>
    <w:rsid w:val="200C59D1"/>
    <w:rsid w:val="20124FB2"/>
    <w:rsid w:val="201605FE"/>
    <w:rsid w:val="2019330F"/>
    <w:rsid w:val="201A430D"/>
    <w:rsid w:val="201B6A81"/>
    <w:rsid w:val="20233BB3"/>
    <w:rsid w:val="202907C1"/>
    <w:rsid w:val="202916A3"/>
    <w:rsid w:val="202B03AF"/>
    <w:rsid w:val="20360CA0"/>
    <w:rsid w:val="203647FC"/>
    <w:rsid w:val="2038212E"/>
    <w:rsid w:val="20382A1E"/>
    <w:rsid w:val="203B5FCA"/>
    <w:rsid w:val="20407429"/>
    <w:rsid w:val="204267A5"/>
    <w:rsid w:val="20436F19"/>
    <w:rsid w:val="20450EE3"/>
    <w:rsid w:val="20517888"/>
    <w:rsid w:val="20542ED4"/>
    <w:rsid w:val="20564ADE"/>
    <w:rsid w:val="2059498F"/>
    <w:rsid w:val="20617090"/>
    <w:rsid w:val="20623843"/>
    <w:rsid w:val="206457CD"/>
    <w:rsid w:val="20671BE0"/>
    <w:rsid w:val="206770AC"/>
    <w:rsid w:val="20692E24"/>
    <w:rsid w:val="206A094A"/>
    <w:rsid w:val="206A42EF"/>
    <w:rsid w:val="206D3F96"/>
    <w:rsid w:val="207348BB"/>
    <w:rsid w:val="20757E42"/>
    <w:rsid w:val="207847E5"/>
    <w:rsid w:val="207911A9"/>
    <w:rsid w:val="207B401E"/>
    <w:rsid w:val="20831A0C"/>
    <w:rsid w:val="2083345B"/>
    <w:rsid w:val="2086174F"/>
    <w:rsid w:val="20895C39"/>
    <w:rsid w:val="208E4638"/>
    <w:rsid w:val="208F03B0"/>
    <w:rsid w:val="209334BC"/>
    <w:rsid w:val="20963CB8"/>
    <w:rsid w:val="209764D7"/>
    <w:rsid w:val="20987563"/>
    <w:rsid w:val="209B4FA7"/>
    <w:rsid w:val="209F6544"/>
    <w:rsid w:val="20A0611A"/>
    <w:rsid w:val="20A221D6"/>
    <w:rsid w:val="20A65163"/>
    <w:rsid w:val="20A81A1B"/>
    <w:rsid w:val="20AE4CDA"/>
    <w:rsid w:val="20B00A53"/>
    <w:rsid w:val="20B07FB6"/>
    <w:rsid w:val="20B603D9"/>
    <w:rsid w:val="20B646FB"/>
    <w:rsid w:val="20B6593D"/>
    <w:rsid w:val="20B66206"/>
    <w:rsid w:val="20BD44DA"/>
    <w:rsid w:val="20C04A0E"/>
    <w:rsid w:val="20D47E15"/>
    <w:rsid w:val="20D51C6D"/>
    <w:rsid w:val="20DF30E6"/>
    <w:rsid w:val="20DF4E94"/>
    <w:rsid w:val="20E00C0C"/>
    <w:rsid w:val="20E20A3B"/>
    <w:rsid w:val="20EB47AD"/>
    <w:rsid w:val="20EE157B"/>
    <w:rsid w:val="20F04784"/>
    <w:rsid w:val="20F877D4"/>
    <w:rsid w:val="20FA352F"/>
    <w:rsid w:val="20FD356C"/>
    <w:rsid w:val="2100305C"/>
    <w:rsid w:val="21016A60"/>
    <w:rsid w:val="21067B13"/>
    <w:rsid w:val="210A7A37"/>
    <w:rsid w:val="210C37AF"/>
    <w:rsid w:val="210F5A72"/>
    <w:rsid w:val="21156B08"/>
    <w:rsid w:val="211803A6"/>
    <w:rsid w:val="211C677F"/>
    <w:rsid w:val="211F2B71"/>
    <w:rsid w:val="211F7986"/>
    <w:rsid w:val="21200786"/>
    <w:rsid w:val="212020C1"/>
    <w:rsid w:val="212345CD"/>
    <w:rsid w:val="212925B3"/>
    <w:rsid w:val="212B632B"/>
    <w:rsid w:val="212E1178"/>
    <w:rsid w:val="212E1977"/>
    <w:rsid w:val="21382B09"/>
    <w:rsid w:val="213A47C0"/>
    <w:rsid w:val="213B74B1"/>
    <w:rsid w:val="214271D1"/>
    <w:rsid w:val="21436CDE"/>
    <w:rsid w:val="21475700"/>
    <w:rsid w:val="214E201A"/>
    <w:rsid w:val="214E3302"/>
    <w:rsid w:val="215018EE"/>
    <w:rsid w:val="21506C09"/>
    <w:rsid w:val="21507B40"/>
    <w:rsid w:val="21511081"/>
    <w:rsid w:val="21565973"/>
    <w:rsid w:val="21581EE7"/>
    <w:rsid w:val="21584C46"/>
    <w:rsid w:val="215A2310"/>
    <w:rsid w:val="215D225D"/>
    <w:rsid w:val="21645D6F"/>
    <w:rsid w:val="216562E9"/>
    <w:rsid w:val="21661111"/>
    <w:rsid w:val="216655B5"/>
    <w:rsid w:val="216A1BDA"/>
    <w:rsid w:val="216C0935"/>
    <w:rsid w:val="21701F90"/>
    <w:rsid w:val="21731A80"/>
    <w:rsid w:val="2173382E"/>
    <w:rsid w:val="217952E8"/>
    <w:rsid w:val="217B7008"/>
    <w:rsid w:val="217F0425"/>
    <w:rsid w:val="21817CF9"/>
    <w:rsid w:val="21843C8D"/>
    <w:rsid w:val="218477E9"/>
    <w:rsid w:val="21862CFC"/>
    <w:rsid w:val="21884EFE"/>
    <w:rsid w:val="218D508B"/>
    <w:rsid w:val="219914E7"/>
    <w:rsid w:val="219F0AC7"/>
    <w:rsid w:val="21A11593"/>
    <w:rsid w:val="21B03E34"/>
    <w:rsid w:val="21B15DA8"/>
    <w:rsid w:val="21B46321"/>
    <w:rsid w:val="21B87493"/>
    <w:rsid w:val="21BA145D"/>
    <w:rsid w:val="21BC2C95"/>
    <w:rsid w:val="21BE1A8B"/>
    <w:rsid w:val="21BE2CFB"/>
    <w:rsid w:val="21BE3C5A"/>
    <w:rsid w:val="21BF0821"/>
    <w:rsid w:val="21BF4CC5"/>
    <w:rsid w:val="21C97F2F"/>
    <w:rsid w:val="21CF4969"/>
    <w:rsid w:val="21D20555"/>
    <w:rsid w:val="21D40771"/>
    <w:rsid w:val="21DE318A"/>
    <w:rsid w:val="21DE7312"/>
    <w:rsid w:val="21E309B4"/>
    <w:rsid w:val="21E604A4"/>
    <w:rsid w:val="21EF5B80"/>
    <w:rsid w:val="21F4671D"/>
    <w:rsid w:val="21F726B1"/>
    <w:rsid w:val="21FA7E99"/>
    <w:rsid w:val="21FC7CC7"/>
    <w:rsid w:val="21FE134A"/>
    <w:rsid w:val="21FE20ED"/>
    <w:rsid w:val="21FF3314"/>
    <w:rsid w:val="22010E3A"/>
    <w:rsid w:val="22056341"/>
    <w:rsid w:val="220A364A"/>
    <w:rsid w:val="220A4192"/>
    <w:rsid w:val="221246D8"/>
    <w:rsid w:val="221319C9"/>
    <w:rsid w:val="22137BDF"/>
    <w:rsid w:val="22146DBF"/>
    <w:rsid w:val="22160C53"/>
    <w:rsid w:val="221D2627"/>
    <w:rsid w:val="221E19EC"/>
    <w:rsid w:val="222815C3"/>
    <w:rsid w:val="222863C3"/>
    <w:rsid w:val="222A213F"/>
    <w:rsid w:val="222A65E3"/>
    <w:rsid w:val="223236E9"/>
    <w:rsid w:val="22350AE4"/>
    <w:rsid w:val="22370A37"/>
    <w:rsid w:val="22372921"/>
    <w:rsid w:val="2237485C"/>
    <w:rsid w:val="22377B1C"/>
    <w:rsid w:val="223964A8"/>
    <w:rsid w:val="223C00C4"/>
    <w:rsid w:val="22421B7E"/>
    <w:rsid w:val="224670E1"/>
    <w:rsid w:val="224B34D7"/>
    <w:rsid w:val="224C47AB"/>
    <w:rsid w:val="224E3B94"/>
    <w:rsid w:val="224F3253"/>
    <w:rsid w:val="225278E7"/>
    <w:rsid w:val="22573150"/>
    <w:rsid w:val="22576990"/>
    <w:rsid w:val="225E44DE"/>
    <w:rsid w:val="22625D7D"/>
    <w:rsid w:val="227201DF"/>
    <w:rsid w:val="22761828"/>
    <w:rsid w:val="227B299A"/>
    <w:rsid w:val="228757E3"/>
    <w:rsid w:val="228C2DF9"/>
    <w:rsid w:val="228D6B72"/>
    <w:rsid w:val="228E4DC3"/>
    <w:rsid w:val="22990916"/>
    <w:rsid w:val="229D0D50"/>
    <w:rsid w:val="229E7268"/>
    <w:rsid w:val="229E72C8"/>
    <w:rsid w:val="22A11EAB"/>
    <w:rsid w:val="22A53EBB"/>
    <w:rsid w:val="22A75F09"/>
    <w:rsid w:val="22A83E6A"/>
    <w:rsid w:val="22A939AB"/>
    <w:rsid w:val="22A94C44"/>
    <w:rsid w:val="22AB2EC8"/>
    <w:rsid w:val="22AC1067"/>
    <w:rsid w:val="22AD2D70"/>
    <w:rsid w:val="22BA4022"/>
    <w:rsid w:val="22BC292E"/>
    <w:rsid w:val="22C00CF5"/>
    <w:rsid w:val="22C205C9"/>
    <w:rsid w:val="22C22AF5"/>
    <w:rsid w:val="22C30834"/>
    <w:rsid w:val="22C32593"/>
    <w:rsid w:val="22C33BD5"/>
    <w:rsid w:val="22C81958"/>
    <w:rsid w:val="22CA4CF5"/>
    <w:rsid w:val="22CB218E"/>
    <w:rsid w:val="22CB586E"/>
    <w:rsid w:val="22CE51C0"/>
    <w:rsid w:val="22D4348E"/>
    <w:rsid w:val="22DD3655"/>
    <w:rsid w:val="22DD5403"/>
    <w:rsid w:val="22DF561F"/>
    <w:rsid w:val="22DF56C1"/>
    <w:rsid w:val="22E542B8"/>
    <w:rsid w:val="22E569AE"/>
    <w:rsid w:val="22EA30E3"/>
    <w:rsid w:val="22ED1AB3"/>
    <w:rsid w:val="22EE65AE"/>
    <w:rsid w:val="22F17E5F"/>
    <w:rsid w:val="22F22A0F"/>
    <w:rsid w:val="22F47480"/>
    <w:rsid w:val="22F50136"/>
    <w:rsid w:val="22F8223D"/>
    <w:rsid w:val="22FB1D2D"/>
    <w:rsid w:val="22FD31FE"/>
    <w:rsid w:val="22FE7835"/>
    <w:rsid w:val="230013B3"/>
    <w:rsid w:val="230230BC"/>
    <w:rsid w:val="23040BE2"/>
    <w:rsid w:val="23046E34"/>
    <w:rsid w:val="23072480"/>
    <w:rsid w:val="230F0E8A"/>
    <w:rsid w:val="231128A5"/>
    <w:rsid w:val="23151041"/>
    <w:rsid w:val="231B7E67"/>
    <w:rsid w:val="231C06A4"/>
    <w:rsid w:val="2322375E"/>
    <w:rsid w:val="23241284"/>
    <w:rsid w:val="23243032"/>
    <w:rsid w:val="23270D74"/>
    <w:rsid w:val="232C0139"/>
    <w:rsid w:val="232E2181"/>
    <w:rsid w:val="232F1757"/>
    <w:rsid w:val="2343304F"/>
    <w:rsid w:val="23452FA8"/>
    <w:rsid w:val="2346004A"/>
    <w:rsid w:val="23534075"/>
    <w:rsid w:val="23582CDC"/>
    <w:rsid w:val="235D4F8E"/>
    <w:rsid w:val="235F1557"/>
    <w:rsid w:val="23621DAC"/>
    <w:rsid w:val="236245E6"/>
    <w:rsid w:val="23640DEF"/>
    <w:rsid w:val="236553F8"/>
    <w:rsid w:val="23675615"/>
    <w:rsid w:val="236954FB"/>
    <w:rsid w:val="236D004C"/>
    <w:rsid w:val="236F3024"/>
    <w:rsid w:val="237044C9"/>
    <w:rsid w:val="237306F7"/>
    <w:rsid w:val="237613B4"/>
    <w:rsid w:val="23767606"/>
    <w:rsid w:val="23775858"/>
    <w:rsid w:val="23782997"/>
    <w:rsid w:val="237A3E4E"/>
    <w:rsid w:val="238364F0"/>
    <w:rsid w:val="23847F75"/>
    <w:rsid w:val="238735C1"/>
    <w:rsid w:val="238910E7"/>
    <w:rsid w:val="238A0A81"/>
    <w:rsid w:val="238B4E5F"/>
    <w:rsid w:val="238D507B"/>
    <w:rsid w:val="238D50EB"/>
    <w:rsid w:val="238F30D8"/>
    <w:rsid w:val="23922691"/>
    <w:rsid w:val="2397511C"/>
    <w:rsid w:val="239E037C"/>
    <w:rsid w:val="23A10B26"/>
    <w:rsid w:val="23A556DD"/>
    <w:rsid w:val="23A9020B"/>
    <w:rsid w:val="23AB5501"/>
    <w:rsid w:val="23AC5996"/>
    <w:rsid w:val="23B41937"/>
    <w:rsid w:val="23B60428"/>
    <w:rsid w:val="23B73EA6"/>
    <w:rsid w:val="23B95E70"/>
    <w:rsid w:val="23BA5744"/>
    <w:rsid w:val="23BF03B6"/>
    <w:rsid w:val="23C23107"/>
    <w:rsid w:val="23C30A9D"/>
    <w:rsid w:val="23C35EC5"/>
    <w:rsid w:val="23C736BA"/>
    <w:rsid w:val="23C92D6A"/>
    <w:rsid w:val="23CA4ADF"/>
    <w:rsid w:val="23CD052C"/>
    <w:rsid w:val="23CE1F55"/>
    <w:rsid w:val="23CF0E03"/>
    <w:rsid w:val="23D64FFA"/>
    <w:rsid w:val="23DC5C6B"/>
    <w:rsid w:val="23DE1C48"/>
    <w:rsid w:val="23DF3B39"/>
    <w:rsid w:val="23E469A1"/>
    <w:rsid w:val="23E46C65"/>
    <w:rsid w:val="23E704BC"/>
    <w:rsid w:val="23ED78C8"/>
    <w:rsid w:val="23F073B8"/>
    <w:rsid w:val="23F61FF2"/>
    <w:rsid w:val="23F84147"/>
    <w:rsid w:val="23FA1FE5"/>
    <w:rsid w:val="23FC5D5D"/>
    <w:rsid w:val="23FE3883"/>
    <w:rsid w:val="240210CD"/>
    <w:rsid w:val="24023152"/>
    <w:rsid w:val="2406098A"/>
    <w:rsid w:val="24074043"/>
    <w:rsid w:val="240879A1"/>
    <w:rsid w:val="2409047A"/>
    <w:rsid w:val="2409419C"/>
    <w:rsid w:val="240A66CC"/>
    <w:rsid w:val="240A73B4"/>
    <w:rsid w:val="240E1349"/>
    <w:rsid w:val="24125EC3"/>
    <w:rsid w:val="24157992"/>
    <w:rsid w:val="241845AB"/>
    <w:rsid w:val="24191BAC"/>
    <w:rsid w:val="241B003B"/>
    <w:rsid w:val="241C6581"/>
    <w:rsid w:val="241E2177"/>
    <w:rsid w:val="241F04F2"/>
    <w:rsid w:val="241F4629"/>
    <w:rsid w:val="24256E71"/>
    <w:rsid w:val="24280900"/>
    <w:rsid w:val="24303C58"/>
    <w:rsid w:val="243454F7"/>
    <w:rsid w:val="24370A47"/>
    <w:rsid w:val="2437336B"/>
    <w:rsid w:val="243B4AD7"/>
    <w:rsid w:val="243E6375"/>
    <w:rsid w:val="244F2331"/>
    <w:rsid w:val="2457233A"/>
    <w:rsid w:val="24577437"/>
    <w:rsid w:val="245F4B42"/>
    <w:rsid w:val="246062EC"/>
    <w:rsid w:val="246241CD"/>
    <w:rsid w:val="246271DE"/>
    <w:rsid w:val="2466767A"/>
    <w:rsid w:val="246758CC"/>
    <w:rsid w:val="246833F2"/>
    <w:rsid w:val="246D27B7"/>
    <w:rsid w:val="247276A7"/>
    <w:rsid w:val="24741D97"/>
    <w:rsid w:val="2479115B"/>
    <w:rsid w:val="247B4ED4"/>
    <w:rsid w:val="247B6444"/>
    <w:rsid w:val="2483647E"/>
    <w:rsid w:val="2485662D"/>
    <w:rsid w:val="24861ACA"/>
    <w:rsid w:val="24863878"/>
    <w:rsid w:val="248A5117"/>
    <w:rsid w:val="248C15F9"/>
    <w:rsid w:val="248C70E1"/>
    <w:rsid w:val="2492046F"/>
    <w:rsid w:val="24976248"/>
    <w:rsid w:val="249A525C"/>
    <w:rsid w:val="249E67CE"/>
    <w:rsid w:val="24A02B8C"/>
    <w:rsid w:val="24AB32DF"/>
    <w:rsid w:val="24AF12C8"/>
    <w:rsid w:val="24B108F5"/>
    <w:rsid w:val="24B1231A"/>
    <w:rsid w:val="24B3310B"/>
    <w:rsid w:val="24B448EB"/>
    <w:rsid w:val="24B959FC"/>
    <w:rsid w:val="24BA40F2"/>
    <w:rsid w:val="24BB79C6"/>
    <w:rsid w:val="24BD1221"/>
    <w:rsid w:val="24BF09F7"/>
    <w:rsid w:val="24C526E5"/>
    <w:rsid w:val="24C7636B"/>
    <w:rsid w:val="24CF3471"/>
    <w:rsid w:val="24D1739D"/>
    <w:rsid w:val="24D32F62"/>
    <w:rsid w:val="24D34D10"/>
    <w:rsid w:val="24D419FD"/>
    <w:rsid w:val="24D45146"/>
    <w:rsid w:val="24D82326"/>
    <w:rsid w:val="24DE1340"/>
    <w:rsid w:val="24DE35D8"/>
    <w:rsid w:val="24DF1295"/>
    <w:rsid w:val="24E11B9C"/>
    <w:rsid w:val="24E11DD4"/>
    <w:rsid w:val="24E231A5"/>
    <w:rsid w:val="24E25C65"/>
    <w:rsid w:val="24E476D4"/>
    <w:rsid w:val="24EA40FC"/>
    <w:rsid w:val="24F15196"/>
    <w:rsid w:val="24F16A58"/>
    <w:rsid w:val="24F662A3"/>
    <w:rsid w:val="24FB5F5A"/>
    <w:rsid w:val="24FB6087"/>
    <w:rsid w:val="24FE2E56"/>
    <w:rsid w:val="25034F38"/>
    <w:rsid w:val="25042576"/>
    <w:rsid w:val="25056B88"/>
    <w:rsid w:val="250749B9"/>
    <w:rsid w:val="250D7366"/>
    <w:rsid w:val="250F1AC0"/>
    <w:rsid w:val="250F53CE"/>
    <w:rsid w:val="250F5C28"/>
    <w:rsid w:val="251427D0"/>
    <w:rsid w:val="25175843"/>
    <w:rsid w:val="25180974"/>
    <w:rsid w:val="251C5778"/>
    <w:rsid w:val="251E295E"/>
    <w:rsid w:val="251F668D"/>
    <w:rsid w:val="252D53FE"/>
    <w:rsid w:val="252E79E3"/>
    <w:rsid w:val="2531286E"/>
    <w:rsid w:val="25383E1B"/>
    <w:rsid w:val="253D2FD7"/>
    <w:rsid w:val="253D487F"/>
    <w:rsid w:val="253F4153"/>
    <w:rsid w:val="25425987"/>
    <w:rsid w:val="254479BB"/>
    <w:rsid w:val="254518A6"/>
    <w:rsid w:val="25486290"/>
    <w:rsid w:val="254C6870"/>
    <w:rsid w:val="25516433"/>
    <w:rsid w:val="255319AC"/>
    <w:rsid w:val="255B2CD8"/>
    <w:rsid w:val="255D6CCF"/>
    <w:rsid w:val="255F01DA"/>
    <w:rsid w:val="256516E0"/>
    <w:rsid w:val="25664DD4"/>
    <w:rsid w:val="25695674"/>
    <w:rsid w:val="256B0074"/>
    <w:rsid w:val="25733102"/>
    <w:rsid w:val="25751020"/>
    <w:rsid w:val="25761B3F"/>
    <w:rsid w:val="25777D91"/>
    <w:rsid w:val="257C53A7"/>
    <w:rsid w:val="257D2C18"/>
    <w:rsid w:val="25843D2E"/>
    <w:rsid w:val="25853B30"/>
    <w:rsid w:val="25854E1F"/>
    <w:rsid w:val="25861D82"/>
    <w:rsid w:val="25891872"/>
    <w:rsid w:val="2589481C"/>
    <w:rsid w:val="25896D09"/>
    <w:rsid w:val="258F0488"/>
    <w:rsid w:val="25910727"/>
    <w:rsid w:val="25916979"/>
    <w:rsid w:val="2594043E"/>
    <w:rsid w:val="2596275F"/>
    <w:rsid w:val="259B2577"/>
    <w:rsid w:val="25A64695"/>
    <w:rsid w:val="25AD1F1C"/>
    <w:rsid w:val="25AE12D9"/>
    <w:rsid w:val="25AE3087"/>
    <w:rsid w:val="25B02EE3"/>
    <w:rsid w:val="25B12B77"/>
    <w:rsid w:val="25C0408B"/>
    <w:rsid w:val="25C20CD4"/>
    <w:rsid w:val="25C272D8"/>
    <w:rsid w:val="25C5653C"/>
    <w:rsid w:val="25CB59E7"/>
    <w:rsid w:val="25CC175F"/>
    <w:rsid w:val="25CD79B1"/>
    <w:rsid w:val="25CE197B"/>
    <w:rsid w:val="25D44BD9"/>
    <w:rsid w:val="25D44C6C"/>
    <w:rsid w:val="25D95AFA"/>
    <w:rsid w:val="25DA20CE"/>
    <w:rsid w:val="25DA4D4D"/>
    <w:rsid w:val="25DF75EB"/>
    <w:rsid w:val="25E1159C"/>
    <w:rsid w:val="25E60A73"/>
    <w:rsid w:val="25E82C2C"/>
    <w:rsid w:val="25E837EA"/>
    <w:rsid w:val="25EC2D81"/>
    <w:rsid w:val="25EC7EF5"/>
    <w:rsid w:val="25EE5B79"/>
    <w:rsid w:val="25F12096"/>
    <w:rsid w:val="25F632AA"/>
    <w:rsid w:val="25F636A4"/>
    <w:rsid w:val="25FA2770"/>
    <w:rsid w:val="25FA451E"/>
    <w:rsid w:val="25FF271F"/>
    <w:rsid w:val="26035B0A"/>
    <w:rsid w:val="2609650F"/>
    <w:rsid w:val="260A0E9D"/>
    <w:rsid w:val="26143832"/>
    <w:rsid w:val="26190E48"/>
    <w:rsid w:val="26192BF6"/>
    <w:rsid w:val="261D1FBA"/>
    <w:rsid w:val="261F7BE0"/>
    <w:rsid w:val="2622456C"/>
    <w:rsid w:val="262670C1"/>
    <w:rsid w:val="26276191"/>
    <w:rsid w:val="26287749"/>
    <w:rsid w:val="262B46D7"/>
    <w:rsid w:val="26306192"/>
    <w:rsid w:val="263317DE"/>
    <w:rsid w:val="263D12F4"/>
    <w:rsid w:val="263E265D"/>
    <w:rsid w:val="263E36AF"/>
    <w:rsid w:val="264A1001"/>
    <w:rsid w:val="26543C2E"/>
    <w:rsid w:val="265A7FAD"/>
    <w:rsid w:val="265C4A54"/>
    <w:rsid w:val="265F3471"/>
    <w:rsid w:val="26630315"/>
    <w:rsid w:val="2666570F"/>
    <w:rsid w:val="266C1B12"/>
    <w:rsid w:val="266F016F"/>
    <w:rsid w:val="26720558"/>
    <w:rsid w:val="267403C0"/>
    <w:rsid w:val="26775B6F"/>
    <w:rsid w:val="2677791D"/>
    <w:rsid w:val="267970F1"/>
    <w:rsid w:val="26797B39"/>
    <w:rsid w:val="26812549"/>
    <w:rsid w:val="2684236C"/>
    <w:rsid w:val="268B33C8"/>
    <w:rsid w:val="268D5392"/>
    <w:rsid w:val="26914E82"/>
    <w:rsid w:val="26925B71"/>
    <w:rsid w:val="269A644C"/>
    <w:rsid w:val="269C1F13"/>
    <w:rsid w:val="269D40D1"/>
    <w:rsid w:val="269E134D"/>
    <w:rsid w:val="26A12BEB"/>
    <w:rsid w:val="26A83F7A"/>
    <w:rsid w:val="26A90900"/>
    <w:rsid w:val="26AA04BC"/>
    <w:rsid w:val="26AC65B7"/>
    <w:rsid w:val="26B7240F"/>
    <w:rsid w:val="26B80661"/>
    <w:rsid w:val="26BC3298"/>
    <w:rsid w:val="26C254C0"/>
    <w:rsid w:val="26CA2142"/>
    <w:rsid w:val="26CD1C32"/>
    <w:rsid w:val="26D44D6F"/>
    <w:rsid w:val="26E33204"/>
    <w:rsid w:val="26E52AD8"/>
    <w:rsid w:val="26E86A6C"/>
    <w:rsid w:val="26EE4083"/>
    <w:rsid w:val="26F20F49"/>
    <w:rsid w:val="26F86785"/>
    <w:rsid w:val="26F86CAF"/>
    <w:rsid w:val="26F92370"/>
    <w:rsid w:val="26FB67A0"/>
    <w:rsid w:val="26FE3B9A"/>
    <w:rsid w:val="27090EBD"/>
    <w:rsid w:val="270A69E3"/>
    <w:rsid w:val="270B4291"/>
    <w:rsid w:val="270C3544"/>
    <w:rsid w:val="270E5159"/>
    <w:rsid w:val="27133AE9"/>
    <w:rsid w:val="27194E78"/>
    <w:rsid w:val="271B52F5"/>
    <w:rsid w:val="271E3530"/>
    <w:rsid w:val="2727120D"/>
    <w:rsid w:val="272A498F"/>
    <w:rsid w:val="272D1F9A"/>
    <w:rsid w:val="272D447F"/>
    <w:rsid w:val="27313F6F"/>
    <w:rsid w:val="2732356D"/>
    <w:rsid w:val="273A5C48"/>
    <w:rsid w:val="273B5210"/>
    <w:rsid w:val="273D2A29"/>
    <w:rsid w:val="273F4CC8"/>
    <w:rsid w:val="27433CA3"/>
    <w:rsid w:val="27435A51"/>
    <w:rsid w:val="27441EF5"/>
    <w:rsid w:val="2746415F"/>
    <w:rsid w:val="274A6DDF"/>
    <w:rsid w:val="274B2E69"/>
    <w:rsid w:val="27511D6F"/>
    <w:rsid w:val="27594FDF"/>
    <w:rsid w:val="275A34C6"/>
    <w:rsid w:val="275D6B12"/>
    <w:rsid w:val="27602AA7"/>
    <w:rsid w:val="27610BA0"/>
    <w:rsid w:val="27651897"/>
    <w:rsid w:val="276A7481"/>
    <w:rsid w:val="276C4FA7"/>
    <w:rsid w:val="276E1A0E"/>
    <w:rsid w:val="27702F56"/>
    <w:rsid w:val="277057A2"/>
    <w:rsid w:val="2771651B"/>
    <w:rsid w:val="27716A62"/>
    <w:rsid w:val="27736336"/>
    <w:rsid w:val="27781B9E"/>
    <w:rsid w:val="27791D45"/>
    <w:rsid w:val="277976C4"/>
    <w:rsid w:val="277A0D1F"/>
    <w:rsid w:val="277A5916"/>
    <w:rsid w:val="277D5407"/>
    <w:rsid w:val="277E5B59"/>
    <w:rsid w:val="277F117F"/>
    <w:rsid w:val="27801F84"/>
    <w:rsid w:val="27802801"/>
    <w:rsid w:val="27804B68"/>
    <w:rsid w:val="27840543"/>
    <w:rsid w:val="27856069"/>
    <w:rsid w:val="2786522A"/>
    <w:rsid w:val="278728BB"/>
    <w:rsid w:val="278A798A"/>
    <w:rsid w:val="278C2894"/>
    <w:rsid w:val="278E13C2"/>
    <w:rsid w:val="278F7294"/>
    <w:rsid w:val="27934C2A"/>
    <w:rsid w:val="27982240"/>
    <w:rsid w:val="279938C3"/>
    <w:rsid w:val="279C78F6"/>
    <w:rsid w:val="279D67DB"/>
    <w:rsid w:val="27A37B3E"/>
    <w:rsid w:val="27A46449"/>
    <w:rsid w:val="27A961FC"/>
    <w:rsid w:val="27AE3812"/>
    <w:rsid w:val="27AE736E"/>
    <w:rsid w:val="27AF1530"/>
    <w:rsid w:val="27B0758A"/>
    <w:rsid w:val="27B50DB5"/>
    <w:rsid w:val="27BE3BBC"/>
    <w:rsid w:val="27BF1455"/>
    <w:rsid w:val="27C2106B"/>
    <w:rsid w:val="27C44AAD"/>
    <w:rsid w:val="27C706B7"/>
    <w:rsid w:val="27CA1E96"/>
    <w:rsid w:val="27CC2A3F"/>
    <w:rsid w:val="27CC6467"/>
    <w:rsid w:val="27CD081C"/>
    <w:rsid w:val="27CE7C21"/>
    <w:rsid w:val="27D17500"/>
    <w:rsid w:val="27D8088F"/>
    <w:rsid w:val="27D86AE1"/>
    <w:rsid w:val="27D92253"/>
    <w:rsid w:val="27DB3EDB"/>
    <w:rsid w:val="27DF31C7"/>
    <w:rsid w:val="27E72880"/>
    <w:rsid w:val="27E86D24"/>
    <w:rsid w:val="27E92A9C"/>
    <w:rsid w:val="27EE7FFC"/>
    <w:rsid w:val="27EF2A62"/>
    <w:rsid w:val="27FA25B3"/>
    <w:rsid w:val="27FB397F"/>
    <w:rsid w:val="28017E2F"/>
    <w:rsid w:val="28023744"/>
    <w:rsid w:val="2802590C"/>
    <w:rsid w:val="280420A3"/>
    <w:rsid w:val="28090802"/>
    <w:rsid w:val="281008CE"/>
    <w:rsid w:val="28113188"/>
    <w:rsid w:val="28186EDD"/>
    <w:rsid w:val="281C1C4B"/>
    <w:rsid w:val="28212236"/>
    <w:rsid w:val="28215D92"/>
    <w:rsid w:val="28277120"/>
    <w:rsid w:val="2829733C"/>
    <w:rsid w:val="282A35FD"/>
    <w:rsid w:val="28366395"/>
    <w:rsid w:val="283755B5"/>
    <w:rsid w:val="283D650A"/>
    <w:rsid w:val="2849353B"/>
    <w:rsid w:val="28497C0B"/>
    <w:rsid w:val="284C3915"/>
    <w:rsid w:val="28570975"/>
    <w:rsid w:val="285B6079"/>
    <w:rsid w:val="285C753E"/>
    <w:rsid w:val="285E43FC"/>
    <w:rsid w:val="28632603"/>
    <w:rsid w:val="28697739"/>
    <w:rsid w:val="28722A91"/>
    <w:rsid w:val="28750EB3"/>
    <w:rsid w:val="287560FB"/>
    <w:rsid w:val="28767607"/>
    <w:rsid w:val="28771E56"/>
    <w:rsid w:val="28782C72"/>
    <w:rsid w:val="287855CC"/>
    <w:rsid w:val="28812CD5"/>
    <w:rsid w:val="28897A5F"/>
    <w:rsid w:val="288A7DDB"/>
    <w:rsid w:val="288F7729"/>
    <w:rsid w:val="28933CDE"/>
    <w:rsid w:val="28940C5A"/>
    <w:rsid w:val="289522DC"/>
    <w:rsid w:val="28974846"/>
    <w:rsid w:val="2899001E"/>
    <w:rsid w:val="289A78F2"/>
    <w:rsid w:val="289B740D"/>
    <w:rsid w:val="289E73E3"/>
    <w:rsid w:val="289F315B"/>
    <w:rsid w:val="28A013AD"/>
    <w:rsid w:val="28A6273B"/>
    <w:rsid w:val="28A722AB"/>
    <w:rsid w:val="28A756C4"/>
    <w:rsid w:val="28A80261"/>
    <w:rsid w:val="28A864B3"/>
    <w:rsid w:val="28A900DA"/>
    <w:rsid w:val="28A90CF1"/>
    <w:rsid w:val="28AB7D51"/>
    <w:rsid w:val="28AF71AA"/>
    <w:rsid w:val="28B135BA"/>
    <w:rsid w:val="28B56FCE"/>
    <w:rsid w:val="28B766F6"/>
    <w:rsid w:val="28BA1D43"/>
    <w:rsid w:val="28C50E13"/>
    <w:rsid w:val="28CA01D8"/>
    <w:rsid w:val="28CD714C"/>
    <w:rsid w:val="28CF53FD"/>
    <w:rsid w:val="28D76607"/>
    <w:rsid w:val="28D76D98"/>
    <w:rsid w:val="28E31299"/>
    <w:rsid w:val="28EB04E1"/>
    <w:rsid w:val="28F07A86"/>
    <w:rsid w:val="28F27FBD"/>
    <w:rsid w:val="28F6721F"/>
    <w:rsid w:val="28F74D45"/>
    <w:rsid w:val="28F80F31"/>
    <w:rsid w:val="290556B4"/>
    <w:rsid w:val="290A0F1C"/>
    <w:rsid w:val="290B17DF"/>
    <w:rsid w:val="290C6A42"/>
    <w:rsid w:val="290D27BA"/>
    <w:rsid w:val="291051E0"/>
    <w:rsid w:val="29127DD1"/>
    <w:rsid w:val="2916066A"/>
    <w:rsid w:val="2916166F"/>
    <w:rsid w:val="291A2956"/>
    <w:rsid w:val="291C5D93"/>
    <w:rsid w:val="291E22D1"/>
    <w:rsid w:val="291E49C7"/>
    <w:rsid w:val="291E4ABE"/>
    <w:rsid w:val="291E6775"/>
    <w:rsid w:val="29206EB8"/>
    <w:rsid w:val="29232042"/>
    <w:rsid w:val="29257DBF"/>
    <w:rsid w:val="292673D8"/>
    <w:rsid w:val="29283896"/>
    <w:rsid w:val="29310391"/>
    <w:rsid w:val="293143F3"/>
    <w:rsid w:val="29332483"/>
    <w:rsid w:val="293549A8"/>
    <w:rsid w:val="293641F3"/>
    <w:rsid w:val="293739EE"/>
    <w:rsid w:val="293935AF"/>
    <w:rsid w:val="2939710B"/>
    <w:rsid w:val="293D4E4D"/>
    <w:rsid w:val="293E4F06"/>
    <w:rsid w:val="293E50CC"/>
    <w:rsid w:val="29437BE4"/>
    <w:rsid w:val="294B131E"/>
    <w:rsid w:val="294B783D"/>
    <w:rsid w:val="294F53A9"/>
    <w:rsid w:val="29564161"/>
    <w:rsid w:val="29576CB6"/>
    <w:rsid w:val="29595666"/>
    <w:rsid w:val="295D729E"/>
    <w:rsid w:val="29630A3E"/>
    <w:rsid w:val="29695C0D"/>
    <w:rsid w:val="296968CB"/>
    <w:rsid w:val="296A03F9"/>
    <w:rsid w:val="296D28D2"/>
    <w:rsid w:val="29712D49"/>
    <w:rsid w:val="29742923"/>
    <w:rsid w:val="29752839"/>
    <w:rsid w:val="297D10CF"/>
    <w:rsid w:val="297D524A"/>
    <w:rsid w:val="2982288B"/>
    <w:rsid w:val="2987256D"/>
    <w:rsid w:val="2987431B"/>
    <w:rsid w:val="29874881"/>
    <w:rsid w:val="2988552A"/>
    <w:rsid w:val="298A5BB9"/>
    <w:rsid w:val="298B3E14"/>
    <w:rsid w:val="298C36DF"/>
    <w:rsid w:val="298E7EDF"/>
    <w:rsid w:val="299A22A0"/>
    <w:rsid w:val="299B2F17"/>
    <w:rsid w:val="29A21154"/>
    <w:rsid w:val="29A50BEC"/>
    <w:rsid w:val="29AB625B"/>
    <w:rsid w:val="29AC1FD3"/>
    <w:rsid w:val="29AE7AF9"/>
    <w:rsid w:val="29AE7D8F"/>
    <w:rsid w:val="29B02800"/>
    <w:rsid w:val="29B03CA6"/>
    <w:rsid w:val="29B14299"/>
    <w:rsid w:val="29B22DDB"/>
    <w:rsid w:val="29B66F4F"/>
    <w:rsid w:val="29B7308B"/>
    <w:rsid w:val="29BB3FC4"/>
    <w:rsid w:val="29C1436E"/>
    <w:rsid w:val="29C235A5"/>
    <w:rsid w:val="29C263C1"/>
    <w:rsid w:val="29C34ED0"/>
    <w:rsid w:val="29CC4423"/>
    <w:rsid w:val="29D05CC2"/>
    <w:rsid w:val="29D96C55"/>
    <w:rsid w:val="29D9736F"/>
    <w:rsid w:val="29DD03DE"/>
    <w:rsid w:val="29DD7EAD"/>
    <w:rsid w:val="29E325E0"/>
    <w:rsid w:val="29E6464C"/>
    <w:rsid w:val="29EA0FBE"/>
    <w:rsid w:val="29EE0626"/>
    <w:rsid w:val="29F55DC0"/>
    <w:rsid w:val="29F6324E"/>
    <w:rsid w:val="29F821DF"/>
    <w:rsid w:val="29F86FC6"/>
    <w:rsid w:val="2A007C29"/>
    <w:rsid w:val="2A0159ED"/>
    <w:rsid w:val="2A05002E"/>
    <w:rsid w:val="2A0B4F4C"/>
    <w:rsid w:val="2A0C65CE"/>
    <w:rsid w:val="2A1004BE"/>
    <w:rsid w:val="2A1243E7"/>
    <w:rsid w:val="2A1452EB"/>
    <w:rsid w:val="2A154580"/>
    <w:rsid w:val="2A1A518F"/>
    <w:rsid w:val="2A1B22DC"/>
    <w:rsid w:val="2A1C0F07"/>
    <w:rsid w:val="2A1F5793"/>
    <w:rsid w:val="2A2102CB"/>
    <w:rsid w:val="2A263B34"/>
    <w:rsid w:val="2A273037"/>
    <w:rsid w:val="2A2A30E9"/>
    <w:rsid w:val="2A2B2EF8"/>
    <w:rsid w:val="2A2E29E8"/>
    <w:rsid w:val="2A317588"/>
    <w:rsid w:val="2A360CA7"/>
    <w:rsid w:val="2A362F01"/>
    <w:rsid w:val="2A391AB9"/>
    <w:rsid w:val="2A3A69C0"/>
    <w:rsid w:val="2A3C3357"/>
    <w:rsid w:val="2A3E70CF"/>
    <w:rsid w:val="2A452503"/>
    <w:rsid w:val="2A465F84"/>
    <w:rsid w:val="2A475858"/>
    <w:rsid w:val="2A476765"/>
    <w:rsid w:val="2A4B296C"/>
    <w:rsid w:val="2A4B491B"/>
    <w:rsid w:val="2A4E7E3C"/>
    <w:rsid w:val="2A5051E1"/>
    <w:rsid w:val="2A515E5B"/>
    <w:rsid w:val="2A5B2B7A"/>
    <w:rsid w:val="2A614B6C"/>
    <w:rsid w:val="2A680036"/>
    <w:rsid w:val="2A7259A8"/>
    <w:rsid w:val="2A7510F0"/>
    <w:rsid w:val="2A7725E1"/>
    <w:rsid w:val="2A783C63"/>
    <w:rsid w:val="2A7A3E7F"/>
    <w:rsid w:val="2A7D127A"/>
    <w:rsid w:val="2A7D5FBC"/>
    <w:rsid w:val="2A8A52F7"/>
    <w:rsid w:val="2A97233B"/>
    <w:rsid w:val="2A9A007E"/>
    <w:rsid w:val="2A9F62C6"/>
    <w:rsid w:val="2AA36F32"/>
    <w:rsid w:val="2AAA6513"/>
    <w:rsid w:val="2AAB228B"/>
    <w:rsid w:val="2AAB4039"/>
    <w:rsid w:val="2AAD172C"/>
    <w:rsid w:val="2AAF56F9"/>
    <w:rsid w:val="2AB16208"/>
    <w:rsid w:val="2AB20B4F"/>
    <w:rsid w:val="2AB47391"/>
    <w:rsid w:val="2AB94A4F"/>
    <w:rsid w:val="2ABC1DA2"/>
    <w:rsid w:val="2AC0755D"/>
    <w:rsid w:val="2AC50B01"/>
    <w:rsid w:val="2ACB0237"/>
    <w:rsid w:val="2ACB46DB"/>
    <w:rsid w:val="2AD07052"/>
    <w:rsid w:val="2AD27817"/>
    <w:rsid w:val="2AD510B6"/>
    <w:rsid w:val="2ADE61BC"/>
    <w:rsid w:val="2AED7A0A"/>
    <w:rsid w:val="2AF222BB"/>
    <w:rsid w:val="2AF43C32"/>
    <w:rsid w:val="2AF57940"/>
    <w:rsid w:val="2AFB4FC0"/>
    <w:rsid w:val="2B006133"/>
    <w:rsid w:val="2B02634F"/>
    <w:rsid w:val="2B05199B"/>
    <w:rsid w:val="2B07458A"/>
    <w:rsid w:val="2B110340"/>
    <w:rsid w:val="2B141BDE"/>
    <w:rsid w:val="2B195446"/>
    <w:rsid w:val="2B1971F4"/>
    <w:rsid w:val="2B1D0679"/>
    <w:rsid w:val="2B2067D5"/>
    <w:rsid w:val="2B25203D"/>
    <w:rsid w:val="2B2A1401"/>
    <w:rsid w:val="2B2B658A"/>
    <w:rsid w:val="2B2B6F28"/>
    <w:rsid w:val="2B2D63A8"/>
    <w:rsid w:val="2B2F6A18"/>
    <w:rsid w:val="2B33475A"/>
    <w:rsid w:val="2B397896"/>
    <w:rsid w:val="2B3E30FF"/>
    <w:rsid w:val="2B45448D"/>
    <w:rsid w:val="2B465B0F"/>
    <w:rsid w:val="2B471FB3"/>
    <w:rsid w:val="2B5D6083"/>
    <w:rsid w:val="2B603337"/>
    <w:rsid w:val="2B612949"/>
    <w:rsid w:val="2B632B65"/>
    <w:rsid w:val="2B667A16"/>
    <w:rsid w:val="2B6C7C6C"/>
    <w:rsid w:val="2B6D0194"/>
    <w:rsid w:val="2B7408CF"/>
    <w:rsid w:val="2B74267D"/>
    <w:rsid w:val="2B770448"/>
    <w:rsid w:val="2B782B71"/>
    <w:rsid w:val="2B82621A"/>
    <w:rsid w:val="2B8428FC"/>
    <w:rsid w:val="2B843B33"/>
    <w:rsid w:val="2B8D6D49"/>
    <w:rsid w:val="2B8E2A2E"/>
    <w:rsid w:val="2B8E716E"/>
    <w:rsid w:val="2B8F7617"/>
    <w:rsid w:val="2B90605D"/>
    <w:rsid w:val="2B9176D3"/>
    <w:rsid w:val="2B9478A5"/>
    <w:rsid w:val="2B966A97"/>
    <w:rsid w:val="2B967E60"/>
    <w:rsid w:val="2B9C02AF"/>
    <w:rsid w:val="2B9D7E25"/>
    <w:rsid w:val="2B9F3B9D"/>
    <w:rsid w:val="2BA936A8"/>
    <w:rsid w:val="2BA967CA"/>
    <w:rsid w:val="2BAA2498"/>
    <w:rsid w:val="2BAC225B"/>
    <w:rsid w:val="2BAE55DD"/>
    <w:rsid w:val="2BB048CE"/>
    <w:rsid w:val="2BB313F7"/>
    <w:rsid w:val="2BB413CB"/>
    <w:rsid w:val="2BB53814"/>
    <w:rsid w:val="2BC25ADE"/>
    <w:rsid w:val="2BCA6741"/>
    <w:rsid w:val="2BCC39EC"/>
    <w:rsid w:val="2BCC4267"/>
    <w:rsid w:val="2BCE6231"/>
    <w:rsid w:val="2BCE65CD"/>
    <w:rsid w:val="2BD650E5"/>
    <w:rsid w:val="2BD766B5"/>
    <w:rsid w:val="2BDF3AA9"/>
    <w:rsid w:val="2BE912BD"/>
    <w:rsid w:val="2BE92273"/>
    <w:rsid w:val="2BEB619B"/>
    <w:rsid w:val="2BEE0681"/>
    <w:rsid w:val="2BF043F9"/>
    <w:rsid w:val="2BF51A0F"/>
    <w:rsid w:val="2BFB6386"/>
    <w:rsid w:val="2C0130E3"/>
    <w:rsid w:val="2C016606"/>
    <w:rsid w:val="2C0A4D8F"/>
    <w:rsid w:val="2C0B1726"/>
    <w:rsid w:val="2C0C1DA5"/>
    <w:rsid w:val="2C0E0D23"/>
    <w:rsid w:val="2C0E2AD1"/>
    <w:rsid w:val="2C1216CB"/>
    <w:rsid w:val="2C135148"/>
    <w:rsid w:val="2C146EDC"/>
    <w:rsid w:val="2C161A0C"/>
    <w:rsid w:val="2C163734"/>
    <w:rsid w:val="2C167BD8"/>
    <w:rsid w:val="2C1874AC"/>
    <w:rsid w:val="2C1A10D7"/>
    <w:rsid w:val="2C1A76C8"/>
    <w:rsid w:val="2C1B442F"/>
    <w:rsid w:val="2C1B69DD"/>
    <w:rsid w:val="2C1D75AA"/>
    <w:rsid w:val="2C1E78A8"/>
    <w:rsid w:val="2C220A03"/>
    <w:rsid w:val="2C261D5D"/>
    <w:rsid w:val="2C26606D"/>
    <w:rsid w:val="2C2916B9"/>
    <w:rsid w:val="2C29790B"/>
    <w:rsid w:val="2C2A4AA2"/>
    <w:rsid w:val="2C315A5A"/>
    <w:rsid w:val="2C3167C0"/>
    <w:rsid w:val="2C317BA3"/>
    <w:rsid w:val="2C351E0C"/>
    <w:rsid w:val="2C35471D"/>
    <w:rsid w:val="2C373E31"/>
    <w:rsid w:val="2C3A5812"/>
    <w:rsid w:val="2C3C4C0F"/>
    <w:rsid w:val="2C3E3A5A"/>
    <w:rsid w:val="2C3F3AF2"/>
    <w:rsid w:val="2C431512"/>
    <w:rsid w:val="2C45579E"/>
    <w:rsid w:val="2C477D91"/>
    <w:rsid w:val="2C484235"/>
    <w:rsid w:val="2C4B1C25"/>
    <w:rsid w:val="2C5034BA"/>
    <w:rsid w:val="2C526E62"/>
    <w:rsid w:val="2C574478"/>
    <w:rsid w:val="2C581964"/>
    <w:rsid w:val="2C646B95"/>
    <w:rsid w:val="2C6721E1"/>
    <w:rsid w:val="2C6B1CD2"/>
    <w:rsid w:val="2C6B2DB9"/>
    <w:rsid w:val="2C7072E8"/>
    <w:rsid w:val="2C723660"/>
    <w:rsid w:val="2C76027C"/>
    <w:rsid w:val="2C772424"/>
    <w:rsid w:val="2C784CC2"/>
    <w:rsid w:val="2C7C5C8D"/>
    <w:rsid w:val="2C8114F5"/>
    <w:rsid w:val="2C815051"/>
    <w:rsid w:val="2C8C39F6"/>
    <w:rsid w:val="2C977623"/>
    <w:rsid w:val="2C9E4699"/>
    <w:rsid w:val="2C9E7B40"/>
    <w:rsid w:val="2CA10B11"/>
    <w:rsid w:val="2CA174A1"/>
    <w:rsid w:val="2CA46F92"/>
    <w:rsid w:val="2CA70830"/>
    <w:rsid w:val="2CA945A8"/>
    <w:rsid w:val="2CAC029E"/>
    <w:rsid w:val="2CAD22EA"/>
    <w:rsid w:val="2CAF6062"/>
    <w:rsid w:val="2CB2755C"/>
    <w:rsid w:val="2CB35427"/>
    <w:rsid w:val="2CB5119F"/>
    <w:rsid w:val="2CB573F1"/>
    <w:rsid w:val="2CBA67B5"/>
    <w:rsid w:val="2CBD33E0"/>
    <w:rsid w:val="2CC364FE"/>
    <w:rsid w:val="2CC55677"/>
    <w:rsid w:val="2CC55886"/>
    <w:rsid w:val="2CC81B8A"/>
    <w:rsid w:val="2CC81D42"/>
    <w:rsid w:val="2CC969F8"/>
    <w:rsid w:val="2CCA4D2E"/>
    <w:rsid w:val="2CCE19BA"/>
    <w:rsid w:val="2CCE400E"/>
    <w:rsid w:val="2CCF03A6"/>
    <w:rsid w:val="2CD5539D"/>
    <w:rsid w:val="2CD646C5"/>
    <w:rsid w:val="2CDA2356"/>
    <w:rsid w:val="2CDA6E57"/>
    <w:rsid w:val="2CDC2BCF"/>
    <w:rsid w:val="2CDE6947"/>
    <w:rsid w:val="2CE11F94"/>
    <w:rsid w:val="2CE53BDB"/>
    <w:rsid w:val="2CE65E4C"/>
    <w:rsid w:val="2CEA52EC"/>
    <w:rsid w:val="2CEC0AC1"/>
    <w:rsid w:val="2CEC6C7C"/>
    <w:rsid w:val="2CEF127D"/>
    <w:rsid w:val="2CF23BEF"/>
    <w:rsid w:val="2CF25F4F"/>
    <w:rsid w:val="2CF41CC7"/>
    <w:rsid w:val="2CF75313"/>
    <w:rsid w:val="2CF851CD"/>
    <w:rsid w:val="2CFC0B7C"/>
    <w:rsid w:val="2CFE3E38"/>
    <w:rsid w:val="2D0637A8"/>
    <w:rsid w:val="2D087978"/>
    <w:rsid w:val="2D0F4C79"/>
    <w:rsid w:val="2D104627"/>
    <w:rsid w:val="2D12039F"/>
    <w:rsid w:val="2D1212ED"/>
    <w:rsid w:val="2D12214D"/>
    <w:rsid w:val="2D173C07"/>
    <w:rsid w:val="2D1C2BE9"/>
    <w:rsid w:val="2D1C2E8F"/>
    <w:rsid w:val="2D1E31A4"/>
    <w:rsid w:val="2D1F0FA5"/>
    <w:rsid w:val="2D202ABC"/>
    <w:rsid w:val="2D2105E2"/>
    <w:rsid w:val="2D231865"/>
    <w:rsid w:val="2D237C29"/>
    <w:rsid w:val="2D2517AF"/>
    <w:rsid w:val="2D256324"/>
    <w:rsid w:val="2D2C76B3"/>
    <w:rsid w:val="2D2D342B"/>
    <w:rsid w:val="2D300825"/>
    <w:rsid w:val="2D383328"/>
    <w:rsid w:val="2D390097"/>
    <w:rsid w:val="2D3E1194"/>
    <w:rsid w:val="2D3E2F42"/>
    <w:rsid w:val="2D3E73E6"/>
    <w:rsid w:val="2D4C4AC2"/>
    <w:rsid w:val="2D4E2424"/>
    <w:rsid w:val="2D4F6EFD"/>
    <w:rsid w:val="2D522E91"/>
    <w:rsid w:val="2D560397"/>
    <w:rsid w:val="2D5704A8"/>
    <w:rsid w:val="2D580969"/>
    <w:rsid w:val="2D5B1D46"/>
    <w:rsid w:val="2D5E35E4"/>
    <w:rsid w:val="2D616C31"/>
    <w:rsid w:val="2D623B8D"/>
    <w:rsid w:val="2D634D1C"/>
    <w:rsid w:val="2D652BC5"/>
    <w:rsid w:val="2D673534"/>
    <w:rsid w:val="2D684463"/>
    <w:rsid w:val="2D6F7469"/>
    <w:rsid w:val="2D71156A"/>
    <w:rsid w:val="2D713318"/>
    <w:rsid w:val="2D74105A"/>
    <w:rsid w:val="2D786F62"/>
    <w:rsid w:val="2D7A2D69"/>
    <w:rsid w:val="2D7D0B30"/>
    <w:rsid w:val="2D80355B"/>
    <w:rsid w:val="2D893025"/>
    <w:rsid w:val="2D8C3C6C"/>
    <w:rsid w:val="2D8F706B"/>
    <w:rsid w:val="2D917516"/>
    <w:rsid w:val="2D930D3F"/>
    <w:rsid w:val="2D94654E"/>
    <w:rsid w:val="2D957971"/>
    <w:rsid w:val="2D966F05"/>
    <w:rsid w:val="2D9B2143"/>
    <w:rsid w:val="2D9C5EBB"/>
    <w:rsid w:val="2D9E56F5"/>
    <w:rsid w:val="2D9E7E85"/>
    <w:rsid w:val="2DA336ED"/>
    <w:rsid w:val="2DA4726D"/>
    <w:rsid w:val="2DAD00C8"/>
    <w:rsid w:val="2DB87198"/>
    <w:rsid w:val="2DB941E7"/>
    <w:rsid w:val="2DB94305"/>
    <w:rsid w:val="2DBA6122"/>
    <w:rsid w:val="2DBD030B"/>
    <w:rsid w:val="2DBE22D5"/>
    <w:rsid w:val="2DC25921"/>
    <w:rsid w:val="2DCA2A28"/>
    <w:rsid w:val="2DCC2C44"/>
    <w:rsid w:val="2DCC49F2"/>
    <w:rsid w:val="2DCF003E"/>
    <w:rsid w:val="2DCF0D7C"/>
    <w:rsid w:val="2DCF7851"/>
    <w:rsid w:val="2DD24D10"/>
    <w:rsid w:val="2DD34C40"/>
    <w:rsid w:val="2DD678F6"/>
    <w:rsid w:val="2DDA2C93"/>
    <w:rsid w:val="2DDC36FB"/>
    <w:rsid w:val="2DDF2977"/>
    <w:rsid w:val="2DE0049D"/>
    <w:rsid w:val="2DE142E5"/>
    <w:rsid w:val="2DE449A7"/>
    <w:rsid w:val="2DEB6CBF"/>
    <w:rsid w:val="2DEC299E"/>
    <w:rsid w:val="2DED2B2D"/>
    <w:rsid w:val="2DED7344"/>
    <w:rsid w:val="2DF14458"/>
    <w:rsid w:val="2DF47FFF"/>
    <w:rsid w:val="2DF53F49"/>
    <w:rsid w:val="2DF7019E"/>
    <w:rsid w:val="2E0250B9"/>
    <w:rsid w:val="2E051CB2"/>
    <w:rsid w:val="2E093133"/>
    <w:rsid w:val="2E095F4B"/>
    <w:rsid w:val="2E100D83"/>
    <w:rsid w:val="2E1304CB"/>
    <w:rsid w:val="2E1A39AF"/>
    <w:rsid w:val="2E291E44"/>
    <w:rsid w:val="2E2959A0"/>
    <w:rsid w:val="2E2C36E3"/>
    <w:rsid w:val="2E2E1209"/>
    <w:rsid w:val="2E2E2FB7"/>
    <w:rsid w:val="2E304F81"/>
    <w:rsid w:val="2E3418F5"/>
    <w:rsid w:val="2E352597"/>
    <w:rsid w:val="2E356D96"/>
    <w:rsid w:val="2E375631"/>
    <w:rsid w:val="2E383614"/>
    <w:rsid w:val="2E417490"/>
    <w:rsid w:val="2E422F06"/>
    <w:rsid w:val="2E4349F0"/>
    <w:rsid w:val="2E444588"/>
    <w:rsid w:val="2E47051C"/>
    <w:rsid w:val="2E496FF2"/>
    <w:rsid w:val="2E532414"/>
    <w:rsid w:val="2E56739D"/>
    <w:rsid w:val="2E586286"/>
    <w:rsid w:val="2E5C5D76"/>
    <w:rsid w:val="2E607436"/>
    <w:rsid w:val="2E617FC9"/>
    <w:rsid w:val="2E6609A2"/>
    <w:rsid w:val="2E667F96"/>
    <w:rsid w:val="2E6F0895"/>
    <w:rsid w:val="2E70480A"/>
    <w:rsid w:val="2E721E16"/>
    <w:rsid w:val="2E752911"/>
    <w:rsid w:val="2E786928"/>
    <w:rsid w:val="2E794040"/>
    <w:rsid w:val="2E7A444E"/>
    <w:rsid w:val="2E7B3D22"/>
    <w:rsid w:val="2E821554"/>
    <w:rsid w:val="2E8226AB"/>
    <w:rsid w:val="2E870919"/>
    <w:rsid w:val="2E8D23D3"/>
    <w:rsid w:val="2E905A1F"/>
    <w:rsid w:val="2E975D09"/>
    <w:rsid w:val="2E9F47CB"/>
    <w:rsid w:val="2EA339A5"/>
    <w:rsid w:val="2EA414CB"/>
    <w:rsid w:val="2EA80042"/>
    <w:rsid w:val="2EB23BE8"/>
    <w:rsid w:val="2EB24D90"/>
    <w:rsid w:val="2EB3170E"/>
    <w:rsid w:val="2EB57437"/>
    <w:rsid w:val="2EBC3AAC"/>
    <w:rsid w:val="2EBF6305"/>
    <w:rsid w:val="2EC456C9"/>
    <w:rsid w:val="2EC61509"/>
    <w:rsid w:val="2EC8340B"/>
    <w:rsid w:val="2ECA5A2D"/>
    <w:rsid w:val="2ECC4B2F"/>
    <w:rsid w:val="2ECD1893"/>
    <w:rsid w:val="2ECD27D0"/>
    <w:rsid w:val="2ECD418E"/>
    <w:rsid w:val="2ED40002"/>
    <w:rsid w:val="2ED5666A"/>
    <w:rsid w:val="2EE07A9B"/>
    <w:rsid w:val="2EE144CD"/>
    <w:rsid w:val="2EE3086D"/>
    <w:rsid w:val="2EE31FF3"/>
    <w:rsid w:val="2EEB3529"/>
    <w:rsid w:val="2EEE7709"/>
    <w:rsid w:val="2EF37D5C"/>
    <w:rsid w:val="2EF61C22"/>
    <w:rsid w:val="2EF75A9F"/>
    <w:rsid w:val="2EF835C5"/>
    <w:rsid w:val="2EFB4ACD"/>
    <w:rsid w:val="2EFE36E7"/>
    <w:rsid w:val="2F01691D"/>
    <w:rsid w:val="2F072724"/>
    <w:rsid w:val="2F0D7070"/>
    <w:rsid w:val="2F0F2DE8"/>
    <w:rsid w:val="2F1242B2"/>
    <w:rsid w:val="2F17742B"/>
    <w:rsid w:val="2F1819BF"/>
    <w:rsid w:val="2F183841"/>
    <w:rsid w:val="2F196D6E"/>
    <w:rsid w:val="2F1D4533"/>
    <w:rsid w:val="2F260132"/>
    <w:rsid w:val="2F275EC2"/>
    <w:rsid w:val="2F2B399A"/>
    <w:rsid w:val="2F2F36EB"/>
    <w:rsid w:val="2F2F5238"/>
    <w:rsid w:val="2F320885"/>
    <w:rsid w:val="2F3718DB"/>
    <w:rsid w:val="2F391C13"/>
    <w:rsid w:val="2F3F11F4"/>
    <w:rsid w:val="2F461C3F"/>
    <w:rsid w:val="2F4733F1"/>
    <w:rsid w:val="2F4B52A6"/>
    <w:rsid w:val="2F4F1437"/>
    <w:rsid w:val="2F527179"/>
    <w:rsid w:val="2F553123"/>
    <w:rsid w:val="2F605769"/>
    <w:rsid w:val="2F634EE2"/>
    <w:rsid w:val="2F653560"/>
    <w:rsid w:val="2F682F49"/>
    <w:rsid w:val="2F6B3D97"/>
    <w:rsid w:val="2F6C7E59"/>
    <w:rsid w:val="2F6D14BB"/>
    <w:rsid w:val="2F6D3FB3"/>
    <w:rsid w:val="2F6E2006"/>
    <w:rsid w:val="2F723377"/>
    <w:rsid w:val="2F8230B7"/>
    <w:rsid w:val="2F8310E0"/>
    <w:rsid w:val="2F8C268B"/>
    <w:rsid w:val="2F8E52F6"/>
    <w:rsid w:val="2F8F7723"/>
    <w:rsid w:val="2F924589"/>
    <w:rsid w:val="2F942A8B"/>
    <w:rsid w:val="2F9B467C"/>
    <w:rsid w:val="2FA379D4"/>
    <w:rsid w:val="2FA408D7"/>
    <w:rsid w:val="2FA554FB"/>
    <w:rsid w:val="2FA86522"/>
    <w:rsid w:val="2FAA48BF"/>
    <w:rsid w:val="2FAB5F1D"/>
    <w:rsid w:val="2FB971F8"/>
    <w:rsid w:val="2FC04D0F"/>
    <w:rsid w:val="2FC55B9D"/>
    <w:rsid w:val="2FC82F97"/>
    <w:rsid w:val="2FCB1ED7"/>
    <w:rsid w:val="2FCB3661"/>
    <w:rsid w:val="2FD065E6"/>
    <w:rsid w:val="2FD47B8E"/>
    <w:rsid w:val="2FD63906"/>
    <w:rsid w:val="2FD773FA"/>
    <w:rsid w:val="2FD91648"/>
    <w:rsid w:val="2FD96870"/>
    <w:rsid w:val="2FE06B16"/>
    <w:rsid w:val="2FE204FD"/>
    <w:rsid w:val="2FE57FED"/>
    <w:rsid w:val="2FE778C1"/>
    <w:rsid w:val="2FE77F6F"/>
    <w:rsid w:val="2FEB1D14"/>
    <w:rsid w:val="2FED083D"/>
    <w:rsid w:val="2FEE6EA1"/>
    <w:rsid w:val="2FEE6F03"/>
    <w:rsid w:val="2FEF3119"/>
    <w:rsid w:val="2FF40230"/>
    <w:rsid w:val="2FF975F4"/>
    <w:rsid w:val="2FFB1905"/>
    <w:rsid w:val="2FFB336C"/>
    <w:rsid w:val="2FFB618C"/>
    <w:rsid w:val="30004E27"/>
    <w:rsid w:val="30010B15"/>
    <w:rsid w:val="30077F63"/>
    <w:rsid w:val="300C3455"/>
    <w:rsid w:val="300D3091"/>
    <w:rsid w:val="300D4E4E"/>
    <w:rsid w:val="30146A2A"/>
    <w:rsid w:val="301E705B"/>
    <w:rsid w:val="30240026"/>
    <w:rsid w:val="3027363E"/>
    <w:rsid w:val="302A38E4"/>
    <w:rsid w:val="302D66A2"/>
    <w:rsid w:val="303B2E10"/>
    <w:rsid w:val="30406FD1"/>
    <w:rsid w:val="3049057C"/>
    <w:rsid w:val="30493619"/>
    <w:rsid w:val="305111DE"/>
    <w:rsid w:val="30534F57"/>
    <w:rsid w:val="30536E74"/>
    <w:rsid w:val="30562C99"/>
    <w:rsid w:val="30580BC9"/>
    <w:rsid w:val="305B3E0B"/>
    <w:rsid w:val="30606146"/>
    <w:rsid w:val="30613D17"/>
    <w:rsid w:val="30640F12"/>
    <w:rsid w:val="3068302C"/>
    <w:rsid w:val="306A5CC3"/>
    <w:rsid w:val="306B7AD4"/>
    <w:rsid w:val="306C7731"/>
    <w:rsid w:val="306F78B6"/>
    <w:rsid w:val="30717AD3"/>
    <w:rsid w:val="307A091E"/>
    <w:rsid w:val="307C4312"/>
    <w:rsid w:val="307D6369"/>
    <w:rsid w:val="30850E88"/>
    <w:rsid w:val="308860C7"/>
    <w:rsid w:val="308E28B2"/>
    <w:rsid w:val="308E2E6E"/>
    <w:rsid w:val="3095731D"/>
    <w:rsid w:val="30964734"/>
    <w:rsid w:val="309B06AC"/>
    <w:rsid w:val="309B4378"/>
    <w:rsid w:val="309C2C4F"/>
    <w:rsid w:val="309F4910"/>
    <w:rsid w:val="309F63EE"/>
    <w:rsid w:val="30A51BB7"/>
    <w:rsid w:val="30A579E5"/>
    <w:rsid w:val="30AE4883"/>
    <w:rsid w:val="30B04157"/>
    <w:rsid w:val="30B0641C"/>
    <w:rsid w:val="30B71989"/>
    <w:rsid w:val="30BA1C22"/>
    <w:rsid w:val="30BA4D13"/>
    <w:rsid w:val="30BD0622"/>
    <w:rsid w:val="30BE432C"/>
    <w:rsid w:val="30BF439A"/>
    <w:rsid w:val="30C145B6"/>
    <w:rsid w:val="30C37E76"/>
    <w:rsid w:val="30C95E0E"/>
    <w:rsid w:val="30CB09EC"/>
    <w:rsid w:val="30CB2D3F"/>
    <w:rsid w:val="30D37E45"/>
    <w:rsid w:val="30D75B88"/>
    <w:rsid w:val="30DA11D4"/>
    <w:rsid w:val="30DA7426"/>
    <w:rsid w:val="30DF2C8E"/>
    <w:rsid w:val="30E06A1A"/>
    <w:rsid w:val="30E87D95"/>
    <w:rsid w:val="30E91417"/>
    <w:rsid w:val="30F027A5"/>
    <w:rsid w:val="30F46739"/>
    <w:rsid w:val="30F77FD8"/>
    <w:rsid w:val="310426F5"/>
    <w:rsid w:val="31077AEF"/>
    <w:rsid w:val="310B75DF"/>
    <w:rsid w:val="310B7B9E"/>
    <w:rsid w:val="310E0E7D"/>
    <w:rsid w:val="311346E6"/>
    <w:rsid w:val="31140D6C"/>
    <w:rsid w:val="31184B1D"/>
    <w:rsid w:val="311A5F73"/>
    <w:rsid w:val="311C2969"/>
    <w:rsid w:val="311C359A"/>
    <w:rsid w:val="311D2121"/>
    <w:rsid w:val="311E2ED7"/>
    <w:rsid w:val="311F12DD"/>
    <w:rsid w:val="312132A7"/>
    <w:rsid w:val="31216728"/>
    <w:rsid w:val="312468F3"/>
    <w:rsid w:val="31282BE3"/>
    <w:rsid w:val="312B6F6A"/>
    <w:rsid w:val="312B7C81"/>
    <w:rsid w:val="312D39F9"/>
    <w:rsid w:val="31302578"/>
    <w:rsid w:val="31322DBE"/>
    <w:rsid w:val="31324B8F"/>
    <w:rsid w:val="31327A7B"/>
    <w:rsid w:val="31342DD1"/>
    <w:rsid w:val="31343D66"/>
    <w:rsid w:val="31376626"/>
    <w:rsid w:val="313A1C72"/>
    <w:rsid w:val="313B35B2"/>
    <w:rsid w:val="313C1E8F"/>
    <w:rsid w:val="313C3C3D"/>
    <w:rsid w:val="313E1763"/>
    <w:rsid w:val="3140197F"/>
    <w:rsid w:val="31440D43"/>
    <w:rsid w:val="314708FE"/>
    <w:rsid w:val="314D066A"/>
    <w:rsid w:val="314D19A6"/>
    <w:rsid w:val="314F1BC2"/>
    <w:rsid w:val="3152170D"/>
    <w:rsid w:val="3152247C"/>
    <w:rsid w:val="315619EE"/>
    <w:rsid w:val="315C449C"/>
    <w:rsid w:val="315E0057"/>
    <w:rsid w:val="31615451"/>
    <w:rsid w:val="3163566D"/>
    <w:rsid w:val="31666F0B"/>
    <w:rsid w:val="31682C84"/>
    <w:rsid w:val="3168586E"/>
    <w:rsid w:val="3168774B"/>
    <w:rsid w:val="316B4522"/>
    <w:rsid w:val="31722190"/>
    <w:rsid w:val="317626E5"/>
    <w:rsid w:val="317864E1"/>
    <w:rsid w:val="317B0DF9"/>
    <w:rsid w:val="317C672F"/>
    <w:rsid w:val="317D2841"/>
    <w:rsid w:val="317F3B29"/>
    <w:rsid w:val="31813D45"/>
    <w:rsid w:val="31815AF3"/>
    <w:rsid w:val="31872A7D"/>
    <w:rsid w:val="318B0720"/>
    <w:rsid w:val="318E35A9"/>
    <w:rsid w:val="31903A89"/>
    <w:rsid w:val="31917CE2"/>
    <w:rsid w:val="319677F1"/>
    <w:rsid w:val="31973569"/>
    <w:rsid w:val="319A14BB"/>
    <w:rsid w:val="319B4E07"/>
    <w:rsid w:val="31A244DA"/>
    <w:rsid w:val="31A35A6A"/>
    <w:rsid w:val="31B22151"/>
    <w:rsid w:val="31B732C3"/>
    <w:rsid w:val="31B82709"/>
    <w:rsid w:val="31BC5911"/>
    <w:rsid w:val="31C1098D"/>
    <w:rsid w:val="31C12394"/>
    <w:rsid w:val="31D05482"/>
    <w:rsid w:val="31D12D88"/>
    <w:rsid w:val="31D420C7"/>
    <w:rsid w:val="31D61F0D"/>
    <w:rsid w:val="31D65E3F"/>
    <w:rsid w:val="31DB1654"/>
    <w:rsid w:val="31E0281A"/>
    <w:rsid w:val="31E308E1"/>
    <w:rsid w:val="31E340B8"/>
    <w:rsid w:val="31E53FAA"/>
    <w:rsid w:val="31E71DFA"/>
    <w:rsid w:val="31EA3699"/>
    <w:rsid w:val="31EE33F5"/>
    <w:rsid w:val="31EF6F01"/>
    <w:rsid w:val="31F462C5"/>
    <w:rsid w:val="31F702F4"/>
    <w:rsid w:val="31F77B64"/>
    <w:rsid w:val="31FD38BD"/>
    <w:rsid w:val="31FE7144"/>
    <w:rsid w:val="320329AC"/>
    <w:rsid w:val="320A7897"/>
    <w:rsid w:val="320E2EC4"/>
    <w:rsid w:val="3210019B"/>
    <w:rsid w:val="321C79E2"/>
    <w:rsid w:val="321F2C5E"/>
    <w:rsid w:val="32251DF4"/>
    <w:rsid w:val="322C3CB1"/>
    <w:rsid w:val="322D17D7"/>
    <w:rsid w:val="32333292"/>
    <w:rsid w:val="323A4620"/>
    <w:rsid w:val="323E3F76"/>
    <w:rsid w:val="323E5569"/>
    <w:rsid w:val="323E60BE"/>
    <w:rsid w:val="32400B34"/>
    <w:rsid w:val="324234D5"/>
    <w:rsid w:val="32476D3D"/>
    <w:rsid w:val="324803BF"/>
    <w:rsid w:val="325007FA"/>
    <w:rsid w:val="32500DC3"/>
    <w:rsid w:val="32543208"/>
    <w:rsid w:val="3254465E"/>
    <w:rsid w:val="32566201"/>
    <w:rsid w:val="32584AA6"/>
    <w:rsid w:val="325A12C2"/>
    <w:rsid w:val="325D030E"/>
    <w:rsid w:val="32653FFA"/>
    <w:rsid w:val="326553F3"/>
    <w:rsid w:val="32655415"/>
    <w:rsid w:val="32672F3B"/>
    <w:rsid w:val="326D274F"/>
    <w:rsid w:val="326E42CA"/>
    <w:rsid w:val="326F486C"/>
    <w:rsid w:val="326F5008"/>
    <w:rsid w:val="327318E0"/>
    <w:rsid w:val="327579EC"/>
    <w:rsid w:val="327D2302"/>
    <w:rsid w:val="327D275F"/>
    <w:rsid w:val="3281224F"/>
    <w:rsid w:val="3281615B"/>
    <w:rsid w:val="32862F30"/>
    <w:rsid w:val="328B2F6A"/>
    <w:rsid w:val="328B4E7C"/>
    <w:rsid w:val="329456C3"/>
    <w:rsid w:val="32963820"/>
    <w:rsid w:val="329E6876"/>
    <w:rsid w:val="32A001FB"/>
    <w:rsid w:val="32A63A63"/>
    <w:rsid w:val="32A97196"/>
    <w:rsid w:val="32AB72CC"/>
    <w:rsid w:val="32AF387D"/>
    <w:rsid w:val="32B24A2F"/>
    <w:rsid w:val="32B34FF8"/>
    <w:rsid w:val="32B75C71"/>
    <w:rsid w:val="32B8353E"/>
    <w:rsid w:val="32BB59F0"/>
    <w:rsid w:val="32BC181A"/>
    <w:rsid w:val="32BF0681"/>
    <w:rsid w:val="32C1689A"/>
    <w:rsid w:val="32D802C5"/>
    <w:rsid w:val="32DA370D"/>
    <w:rsid w:val="32DA3FCF"/>
    <w:rsid w:val="32DC56D7"/>
    <w:rsid w:val="32DC639B"/>
    <w:rsid w:val="32DF0D23"/>
    <w:rsid w:val="32E71369"/>
    <w:rsid w:val="32E762E0"/>
    <w:rsid w:val="32EC37CF"/>
    <w:rsid w:val="32EC51EE"/>
    <w:rsid w:val="32F12805"/>
    <w:rsid w:val="32F440CE"/>
    <w:rsid w:val="32F83B93"/>
    <w:rsid w:val="33010C9A"/>
    <w:rsid w:val="33044C2E"/>
    <w:rsid w:val="330971C6"/>
    <w:rsid w:val="331165AB"/>
    <w:rsid w:val="3314466E"/>
    <w:rsid w:val="331704BD"/>
    <w:rsid w:val="331C3BCF"/>
    <w:rsid w:val="331C5AD4"/>
    <w:rsid w:val="331D35FA"/>
    <w:rsid w:val="331F3816"/>
    <w:rsid w:val="33211AB3"/>
    <w:rsid w:val="33284E9D"/>
    <w:rsid w:val="332F614F"/>
    <w:rsid w:val="333015F2"/>
    <w:rsid w:val="333170A5"/>
    <w:rsid w:val="33330BA6"/>
    <w:rsid w:val="33337555"/>
    <w:rsid w:val="333D4D26"/>
    <w:rsid w:val="3341378C"/>
    <w:rsid w:val="33446DD8"/>
    <w:rsid w:val="334613BF"/>
    <w:rsid w:val="334848CB"/>
    <w:rsid w:val="33492641"/>
    <w:rsid w:val="334B6320"/>
    <w:rsid w:val="334D0383"/>
    <w:rsid w:val="334D2CFB"/>
    <w:rsid w:val="33513241"/>
    <w:rsid w:val="335214F5"/>
    <w:rsid w:val="335B15EE"/>
    <w:rsid w:val="33615BDC"/>
    <w:rsid w:val="336851BD"/>
    <w:rsid w:val="336B4F56"/>
    <w:rsid w:val="33764922"/>
    <w:rsid w:val="337954A8"/>
    <w:rsid w:val="33837901"/>
    <w:rsid w:val="33884F17"/>
    <w:rsid w:val="338B0EAB"/>
    <w:rsid w:val="338E250E"/>
    <w:rsid w:val="339119A9"/>
    <w:rsid w:val="3392201A"/>
    <w:rsid w:val="339715FE"/>
    <w:rsid w:val="339935C8"/>
    <w:rsid w:val="339A2904"/>
    <w:rsid w:val="339A2E9C"/>
    <w:rsid w:val="339C09C3"/>
    <w:rsid w:val="339E545C"/>
    <w:rsid w:val="33A107AE"/>
    <w:rsid w:val="33A361F5"/>
    <w:rsid w:val="33A61841"/>
    <w:rsid w:val="33A855B9"/>
    <w:rsid w:val="33AB6E58"/>
    <w:rsid w:val="33AD0E22"/>
    <w:rsid w:val="33B10912"/>
    <w:rsid w:val="33BF2733"/>
    <w:rsid w:val="33C57F19"/>
    <w:rsid w:val="33CC5EDA"/>
    <w:rsid w:val="33CD3874"/>
    <w:rsid w:val="33D0589E"/>
    <w:rsid w:val="33D4063A"/>
    <w:rsid w:val="33D740F0"/>
    <w:rsid w:val="33D934D4"/>
    <w:rsid w:val="33DC34B5"/>
    <w:rsid w:val="33E02FA5"/>
    <w:rsid w:val="33E15D35"/>
    <w:rsid w:val="33E276B6"/>
    <w:rsid w:val="33E670B1"/>
    <w:rsid w:val="33EB6B30"/>
    <w:rsid w:val="33EF31E8"/>
    <w:rsid w:val="33EF407A"/>
    <w:rsid w:val="33F97846"/>
    <w:rsid w:val="33FE2F6A"/>
    <w:rsid w:val="340D0A8B"/>
    <w:rsid w:val="340E07E5"/>
    <w:rsid w:val="340E4848"/>
    <w:rsid w:val="34101DF0"/>
    <w:rsid w:val="34117602"/>
    <w:rsid w:val="341E1C91"/>
    <w:rsid w:val="341E1F50"/>
    <w:rsid w:val="342235BE"/>
    <w:rsid w:val="342310E4"/>
    <w:rsid w:val="34235BF7"/>
    <w:rsid w:val="342509B8"/>
    <w:rsid w:val="342C56A3"/>
    <w:rsid w:val="342E63AB"/>
    <w:rsid w:val="3434509F"/>
    <w:rsid w:val="34350CEC"/>
    <w:rsid w:val="343F294B"/>
    <w:rsid w:val="34467B67"/>
    <w:rsid w:val="34494B32"/>
    <w:rsid w:val="344E1D4D"/>
    <w:rsid w:val="34534AEC"/>
    <w:rsid w:val="34555FB4"/>
    <w:rsid w:val="34580D8D"/>
    <w:rsid w:val="34587D48"/>
    <w:rsid w:val="34594B05"/>
    <w:rsid w:val="345D2848"/>
    <w:rsid w:val="345E5DC7"/>
    <w:rsid w:val="34607C42"/>
    <w:rsid w:val="346251C2"/>
    <w:rsid w:val="346516FC"/>
    <w:rsid w:val="346626FB"/>
    <w:rsid w:val="34670FD0"/>
    <w:rsid w:val="346A6D13"/>
    <w:rsid w:val="346C4839"/>
    <w:rsid w:val="347100A1"/>
    <w:rsid w:val="34711E4F"/>
    <w:rsid w:val="34726BA7"/>
    <w:rsid w:val="347A76B1"/>
    <w:rsid w:val="347D2154"/>
    <w:rsid w:val="347E456C"/>
    <w:rsid w:val="3482508F"/>
    <w:rsid w:val="3482720B"/>
    <w:rsid w:val="34865C6F"/>
    <w:rsid w:val="348A41D4"/>
    <w:rsid w:val="348E47AF"/>
    <w:rsid w:val="349124F1"/>
    <w:rsid w:val="349321A3"/>
    <w:rsid w:val="34952414"/>
    <w:rsid w:val="349618B6"/>
    <w:rsid w:val="349705D8"/>
    <w:rsid w:val="34974D67"/>
    <w:rsid w:val="3497569D"/>
    <w:rsid w:val="349A18AA"/>
    <w:rsid w:val="349A5F6F"/>
    <w:rsid w:val="349B53FB"/>
    <w:rsid w:val="349C5C11"/>
    <w:rsid w:val="34AA7605"/>
    <w:rsid w:val="34AD05F3"/>
    <w:rsid w:val="34AD57ED"/>
    <w:rsid w:val="34AE6BFF"/>
    <w:rsid w:val="34AF0B3B"/>
    <w:rsid w:val="34AF4725"/>
    <w:rsid w:val="34B306BA"/>
    <w:rsid w:val="34B66963"/>
    <w:rsid w:val="34B814BB"/>
    <w:rsid w:val="34B96155"/>
    <w:rsid w:val="34BD5094"/>
    <w:rsid w:val="34BD6E42"/>
    <w:rsid w:val="34C208FD"/>
    <w:rsid w:val="34C46423"/>
    <w:rsid w:val="34C93A39"/>
    <w:rsid w:val="34CE34F0"/>
    <w:rsid w:val="34D11AC4"/>
    <w:rsid w:val="34D11B93"/>
    <w:rsid w:val="34D66156"/>
    <w:rsid w:val="34D670AE"/>
    <w:rsid w:val="34DA12D0"/>
    <w:rsid w:val="34DB100A"/>
    <w:rsid w:val="34E02B31"/>
    <w:rsid w:val="34E15227"/>
    <w:rsid w:val="34E75451"/>
    <w:rsid w:val="34EC1B26"/>
    <w:rsid w:val="34F34F5A"/>
    <w:rsid w:val="34F4342E"/>
    <w:rsid w:val="34F43D78"/>
    <w:rsid w:val="34F82570"/>
    <w:rsid w:val="34FF356E"/>
    <w:rsid w:val="35066A3B"/>
    <w:rsid w:val="350862A8"/>
    <w:rsid w:val="350927CF"/>
    <w:rsid w:val="350F7DC1"/>
    <w:rsid w:val="35110BDE"/>
    <w:rsid w:val="351153E0"/>
    <w:rsid w:val="351463C4"/>
    <w:rsid w:val="35156C7E"/>
    <w:rsid w:val="351A21F6"/>
    <w:rsid w:val="351B1DBB"/>
    <w:rsid w:val="351B36B1"/>
    <w:rsid w:val="351C7F63"/>
    <w:rsid w:val="351D0619"/>
    <w:rsid w:val="351F5D4F"/>
    <w:rsid w:val="352539D7"/>
    <w:rsid w:val="352549E8"/>
    <w:rsid w:val="352C4F21"/>
    <w:rsid w:val="35326AB7"/>
    <w:rsid w:val="35357321"/>
    <w:rsid w:val="353B3B4E"/>
    <w:rsid w:val="353C245D"/>
    <w:rsid w:val="353D61D5"/>
    <w:rsid w:val="353F63CD"/>
    <w:rsid w:val="35415CC5"/>
    <w:rsid w:val="35474341"/>
    <w:rsid w:val="3548397A"/>
    <w:rsid w:val="35497409"/>
    <w:rsid w:val="354B08F2"/>
    <w:rsid w:val="35505F08"/>
    <w:rsid w:val="35527ED3"/>
    <w:rsid w:val="35571045"/>
    <w:rsid w:val="355A0B35"/>
    <w:rsid w:val="35611E1C"/>
    <w:rsid w:val="35653148"/>
    <w:rsid w:val="356814A4"/>
    <w:rsid w:val="356A3B8A"/>
    <w:rsid w:val="356D6ABA"/>
    <w:rsid w:val="35700359"/>
    <w:rsid w:val="35702926"/>
    <w:rsid w:val="35747E49"/>
    <w:rsid w:val="35775B9C"/>
    <w:rsid w:val="35776273"/>
    <w:rsid w:val="35830E46"/>
    <w:rsid w:val="35834C37"/>
    <w:rsid w:val="358B6361"/>
    <w:rsid w:val="358C5FA8"/>
    <w:rsid w:val="358D4A67"/>
    <w:rsid w:val="359526FD"/>
    <w:rsid w:val="35956011"/>
    <w:rsid w:val="359855EC"/>
    <w:rsid w:val="35A02D1F"/>
    <w:rsid w:val="35A63D7A"/>
    <w:rsid w:val="35A70F03"/>
    <w:rsid w:val="35A818A1"/>
    <w:rsid w:val="35AC69F7"/>
    <w:rsid w:val="35AD335B"/>
    <w:rsid w:val="35B14FAB"/>
    <w:rsid w:val="35B46497"/>
    <w:rsid w:val="35BC70FA"/>
    <w:rsid w:val="35BD43E7"/>
    <w:rsid w:val="35C0063F"/>
    <w:rsid w:val="35C15DF1"/>
    <w:rsid w:val="35C16E06"/>
    <w:rsid w:val="35C366DA"/>
    <w:rsid w:val="35C66B54"/>
    <w:rsid w:val="35CE6E2D"/>
    <w:rsid w:val="35DF0233"/>
    <w:rsid w:val="35E46651"/>
    <w:rsid w:val="35EA3AA9"/>
    <w:rsid w:val="35EF127D"/>
    <w:rsid w:val="35F1149A"/>
    <w:rsid w:val="35F11DA3"/>
    <w:rsid w:val="35F42D38"/>
    <w:rsid w:val="35F8428A"/>
    <w:rsid w:val="35FA64CE"/>
    <w:rsid w:val="35FF348B"/>
    <w:rsid w:val="360243C9"/>
    <w:rsid w:val="36026D35"/>
    <w:rsid w:val="36054F45"/>
    <w:rsid w:val="36056CF3"/>
    <w:rsid w:val="36072A81"/>
    <w:rsid w:val="36074A7F"/>
    <w:rsid w:val="360A1AA8"/>
    <w:rsid w:val="36186477"/>
    <w:rsid w:val="3619454C"/>
    <w:rsid w:val="361B02C4"/>
    <w:rsid w:val="361C5DEB"/>
    <w:rsid w:val="361C5E8C"/>
    <w:rsid w:val="362311BF"/>
    <w:rsid w:val="36274EBB"/>
    <w:rsid w:val="362A675A"/>
    <w:rsid w:val="362C0724"/>
    <w:rsid w:val="363475D8"/>
    <w:rsid w:val="36373EC5"/>
    <w:rsid w:val="36380E61"/>
    <w:rsid w:val="363843B9"/>
    <w:rsid w:val="363950D2"/>
    <w:rsid w:val="363C3DE7"/>
    <w:rsid w:val="363E2928"/>
    <w:rsid w:val="364041CF"/>
    <w:rsid w:val="36413AA3"/>
    <w:rsid w:val="36435A6D"/>
    <w:rsid w:val="36457B93"/>
    <w:rsid w:val="36474000"/>
    <w:rsid w:val="364F51DC"/>
    <w:rsid w:val="36511AF1"/>
    <w:rsid w:val="365372D3"/>
    <w:rsid w:val="36551B9B"/>
    <w:rsid w:val="36557C1C"/>
    <w:rsid w:val="365612FD"/>
    <w:rsid w:val="36575075"/>
    <w:rsid w:val="365D6B2F"/>
    <w:rsid w:val="366249EF"/>
    <w:rsid w:val="36637EBD"/>
    <w:rsid w:val="366559E4"/>
    <w:rsid w:val="3667175C"/>
    <w:rsid w:val="36714FFA"/>
    <w:rsid w:val="36730100"/>
    <w:rsid w:val="36783969"/>
    <w:rsid w:val="367B6FB5"/>
    <w:rsid w:val="3680281D"/>
    <w:rsid w:val="368045CB"/>
    <w:rsid w:val="36835E6A"/>
    <w:rsid w:val="36877708"/>
    <w:rsid w:val="368E4F3A"/>
    <w:rsid w:val="36923549"/>
    <w:rsid w:val="36932326"/>
    <w:rsid w:val="36967571"/>
    <w:rsid w:val="369A1373"/>
    <w:rsid w:val="369E4A52"/>
    <w:rsid w:val="36A67EDF"/>
    <w:rsid w:val="36AA1648"/>
    <w:rsid w:val="36AA33F6"/>
    <w:rsid w:val="36AE1139"/>
    <w:rsid w:val="36B10C29"/>
    <w:rsid w:val="36B3674F"/>
    <w:rsid w:val="36B424C7"/>
    <w:rsid w:val="36B64491"/>
    <w:rsid w:val="36B6623F"/>
    <w:rsid w:val="36B67579"/>
    <w:rsid w:val="36B75FBF"/>
    <w:rsid w:val="36B81FB7"/>
    <w:rsid w:val="36B97C37"/>
    <w:rsid w:val="36BA5D2F"/>
    <w:rsid w:val="36BB5FE3"/>
    <w:rsid w:val="36BD0C45"/>
    <w:rsid w:val="36BE1000"/>
    <w:rsid w:val="36BE50F4"/>
    <w:rsid w:val="36BE5483"/>
    <w:rsid w:val="36BF3346"/>
    <w:rsid w:val="36C941C4"/>
    <w:rsid w:val="36CC15BF"/>
    <w:rsid w:val="36D41257"/>
    <w:rsid w:val="36D70F64"/>
    <w:rsid w:val="36DA1F2E"/>
    <w:rsid w:val="36E25286"/>
    <w:rsid w:val="36E7289C"/>
    <w:rsid w:val="36EA4032"/>
    <w:rsid w:val="36EC3A0F"/>
    <w:rsid w:val="36EE59D9"/>
    <w:rsid w:val="36F8416A"/>
    <w:rsid w:val="36F9352D"/>
    <w:rsid w:val="36FD773C"/>
    <w:rsid w:val="370425A6"/>
    <w:rsid w:val="37060F75"/>
    <w:rsid w:val="3709636F"/>
    <w:rsid w:val="370A0339"/>
    <w:rsid w:val="370C5E5F"/>
    <w:rsid w:val="37103BA1"/>
    <w:rsid w:val="37123D39"/>
    <w:rsid w:val="37152F66"/>
    <w:rsid w:val="37180854"/>
    <w:rsid w:val="37182A56"/>
    <w:rsid w:val="371B2546"/>
    <w:rsid w:val="371B60A2"/>
    <w:rsid w:val="371C1F09"/>
    <w:rsid w:val="372056DB"/>
    <w:rsid w:val="37296DA1"/>
    <w:rsid w:val="372B09DB"/>
    <w:rsid w:val="372D208E"/>
    <w:rsid w:val="37306549"/>
    <w:rsid w:val="373D13D9"/>
    <w:rsid w:val="37427AD3"/>
    <w:rsid w:val="3745194B"/>
    <w:rsid w:val="374A795A"/>
    <w:rsid w:val="374E6900"/>
    <w:rsid w:val="375515B4"/>
    <w:rsid w:val="37560F03"/>
    <w:rsid w:val="375B253A"/>
    <w:rsid w:val="375C0B95"/>
    <w:rsid w:val="376143FD"/>
    <w:rsid w:val="37623CD1"/>
    <w:rsid w:val="37630058"/>
    <w:rsid w:val="37643EED"/>
    <w:rsid w:val="37661A13"/>
    <w:rsid w:val="376A0BCB"/>
    <w:rsid w:val="376E08C8"/>
    <w:rsid w:val="37713322"/>
    <w:rsid w:val="377133E6"/>
    <w:rsid w:val="37715EA1"/>
    <w:rsid w:val="37757EA8"/>
    <w:rsid w:val="37781747"/>
    <w:rsid w:val="377C03A4"/>
    <w:rsid w:val="377D52FE"/>
    <w:rsid w:val="3781684D"/>
    <w:rsid w:val="37842CA0"/>
    <w:rsid w:val="37895702"/>
    <w:rsid w:val="378F2616"/>
    <w:rsid w:val="37976071"/>
    <w:rsid w:val="37977BBC"/>
    <w:rsid w:val="37977E1F"/>
    <w:rsid w:val="379876F3"/>
    <w:rsid w:val="37991DE9"/>
    <w:rsid w:val="379A16BD"/>
    <w:rsid w:val="379B110E"/>
    <w:rsid w:val="379F47A7"/>
    <w:rsid w:val="37A60062"/>
    <w:rsid w:val="37A95DA4"/>
    <w:rsid w:val="37B07132"/>
    <w:rsid w:val="37B7401D"/>
    <w:rsid w:val="37B92C2C"/>
    <w:rsid w:val="37BE35FD"/>
    <w:rsid w:val="37C16ECA"/>
    <w:rsid w:val="37C36CED"/>
    <w:rsid w:val="37C52BDE"/>
    <w:rsid w:val="37C8238F"/>
    <w:rsid w:val="37C93D50"/>
    <w:rsid w:val="37D70AE6"/>
    <w:rsid w:val="37DC3A83"/>
    <w:rsid w:val="37DE78AC"/>
    <w:rsid w:val="37E00298"/>
    <w:rsid w:val="37E1553E"/>
    <w:rsid w:val="37E56DDC"/>
    <w:rsid w:val="37E868CC"/>
    <w:rsid w:val="37EA7562"/>
    <w:rsid w:val="37F442AD"/>
    <w:rsid w:val="37F52D97"/>
    <w:rsid w:val="37F8044D"/>
    <w:rsid w:val="37FA13BA"/>
    <w:rsid w:val="37FC4126"/>
    <w:rsid w:val="37FFBE80"/>
    <w:rsid w:val="380134EA"/>
    <w:rsid w:val="380354B4"/>
    <w:rsid w:val="38044D88"/>
    <w:rsid w:val="38062C0C"/>
    <w:rsid w:val="38062F6D"/>
    <w:rsid w:val="38082ACA"/>
    <w:rsid w:val="380A086B"/>
    <w:rsid w:val="3810040D"/>
    <w:rsid w:val="3811560C"/>
    <w:rsid w:val="381551E7"/>
    <w:rsid w:val="38161734"/>
    <w:rsid w:val="38166A4B"/>
    <w:rsid w:val="38172D0E"/>
    <w:rsid w:val="38174ABC"/>
    <w:rsid w:val="38190834"/>
    <w:rsid w:val="381A0E21"/>
    <w:rsid w:val="381E409C"/>
    <w:rsid w:val="38216165"/>
    <w:rsid w:val="3825367C"/>
    <w:rsid w:val="3825542A"/>
    <w:rsid w:val="382962C0"/>
    <w:rsid w:val="38337A8F"/>
    <w:rsid w:val="38346F80"/>
    <w:rsid w:val="3836588A"/>
    <w:rsid w:val="383733B0"/>
    <w:rsid w:val="3837565C"/>
    <w:rsid w:val="383B12CD"/>
    <w:rsid w:val="383C2330"/>
    <w:rsid w:val="384310C9"/>
    <w:rsid w:val="384C6E5B"/>
    <w:rsid w:val="38543C4F"/>
    <w:rsid w:val="38545D10"/>
    <w:rsid w:val="385E2FE6"/>
    <w:rsid w:val="38604955"/>
    <w:rsid w:val="38635F53"/>
    <w:rsid w:val="38685317"/>
    <w:rsid w:val="386D0B7F"/>
    <w:rsid w:val="3875047F"/>
    <w:rsid w:val="38766CAF"/>
    <w:rsid w:val="387737AC"/>
    <w:rsid w:val="387803EF"/>
    <w:rsid w:val="38797524"/>
    <w:rsid w:val="387B329C"/>
    <w:rsid w:val="387C2327"/>
    <w:rsid w:val="387E7C97"/>
    <w:rsid w:val="38861C4E"/>
    <w:rsid w:val="3887040A"/>
    <w:rsid w:val="388D076C"/>
    <w:rsid w:val="38934A8A"/>
    <w:rsid w:val="3894435E"/>
    <w:rsid w:val="38951F36"/>
    <w:rsid w:val="38963634"/>
    <w:rsid w:val="38963B0E"/>
    <w:rsid w:val="38971254"/>
    <w:rsid w:val="38A00F55"/>
    <w:rsid w:val="38A26A7B"/>
    <w:rsid w:val="38A547BD"/>
    <w:rsid w:val="38A74091"/>
    <w:rsid w:val="38A85953"/>
    <w:rsid w:val="38A87E0A"/>
    <w:rsid w:val="38AF73EA"/>
    <w:rsid w:val="38B302F9"/>
    <w:rsid w:val="38BA0D7C"/>
    <w:rsid w:val="38BD1B07"/>
    <w:rsid w:val="38CC40EB"/>
    <w:rsid w:val="38D07081"/>
    <w:rsid w:val="38D17360"/>
    <w:rsid w:val="38D7609A"/>
    <w:rsid w:val="38DF68F7"/>
    <w:rsid w:val="38E2331B"/>
    <w:rsid w:val="38E56968"/>
    <w:rsid w:val="38E81AF1"/>
    <w:rsid w:val="38EA08E9"/>
    <w:rsid w:val="38F12CD3"/>
    <w:rsid w:val="38F47AFC"/>
    <w:rsid w:val="38F66DC7"/>
    <w:rsid w:val="38F769F2"/>
    <w:rsid w:val="38F80D91"/>
    <w:rsid w:val="38F8674C"/>
    <w:rsid w:val="38F94775"/>
    <w:rsid w:val="390414E4"/>
    <w:rsid w:val="3905700A"/>
    <w:rsid w:val="390A2872"/>
    <w:rsid w:val="39140B71"/>
    <w:rsid w:val="39167FE5"/>
    <w:rsid w:val="391B4A7F"/>
    <w:rsid w:val="391D07F7"/>
    <w:rsid w:val="39202096"/>
    <w:rsid w:val="39256A2D"/>
    <w:rsid w:val="392626A2"/>
    <w:rsid w:val="392751D2"/>
    <w:rsid w:val="392971ED"/>
    <w:rsid w:val="392A119D"/>
    <w:rsid w:val="392C4597"/>
    <w:rsid w:val="392E6561"/>
    <w:rsid w:val="39314D61"/>
    <w:rsid w:val="39325651"/>
    <w:rsid w:val="39347209"/>
    <w:rsid w:val="393643E1"/>
    <w:rsid w:val="393C6ED0"/>
    <w:rsid w:val="393D446D"/>
    <w:rsid w:val="393F42CA"/>
    <w:rsid w:val="394418E0"/>
    <w:rsid w:val="394C2E8B"/>
    <w:rsid w:val="394D7A13"/>
    <w:rsid w:val="39551D3F"/>
    <w:rsid w:val="3958327F"/>
    <w:rsid w:val="395F76C9"/>
    <w:rsid w:val="396113E5"/>
    <w:rsid w:val="39664F7B"/>
    <w:rsid w:val="3969488C"/>
    <w:rsid w:val="396C0E37"/>
    <w:rsid w:val="39706B79"/>
    <w:rsid w:val="3971644D"/>
    <w:rsid w:val="39741F95"/>
    <w:rsid w:val="39744120"/>
    <w:rsid w:val="397F2C43"/>
    <w:rsid w:val="398E7F8B"/>
    <w:rsid w:val="399035CA"/>
    <w:rsid w:val="3991089E"/>
    <w:rsid w:val="39953421"/>
    <w:rsid w:val="399D36E6"/>
    <w:rsid w:val="399F70A4"/>
    <w:rsid w:val="39A0725D"/>
    <w:rsid w:val="39A139C2"/>
    <w:rsid w:val="39A14050"/>
    <w:rsid w:val="39A46823"/>
    <w:rsid w:val="39A5511D"/>
    <w:rsid w:val="39A956DF"/>
    <w:rsid w:val="39AB53AF"/>
    <w:rsid w:val="39AE683F"/>
    <w:rsid w:val="39B6327B"/>
    <w:rsid w:val="39B70DF4"/>
    <w:rsid w:val="39BA4298"/>
    <w:rsid w:val="39BE7AD1"/>
    <w:rsid w:val="39BF18AF"/>
    <w:rsid w:val="39C26CA9"/>
    <w:rsid w:val="39C3314D"/>
    <w:rsid w:val="39C80763"/>
    <w:rsid w:val="39CC23D3"/>
    <w:rsid w:val="39D4604D"/>
    <w:rsid w:val="39D849A7"/>
    <w:rsid w:val="39DA0497"/>
    <w:rsid w:val="39DE1D35"/>
    <w:rsid w:val="39E430C3"/>
    <w:rsid w:val="39E62997"/>
    <w:rsid w:val="39EB26A4"/>
    <w:rsid w:val="39F13DDD"/>
    <w:rsid w:val="39F25531"/>
    <w:rsid w:val="39F27208"/>
    <w:rsid w:val="39F42C97"/>
    <w:rsid w:val="39F54294"/>
    <w:rsid w:val="39F5660A"/>
    <w:rsid w:val="39F70F56"/>
    <w:rsid w:val="39F96B6F"/>
    <w:rsid w:val="39FC7A06"/>
    <w:rsid w:val="39FE23D7"/>
    <w:rsid w:val="39FE4185"/>
    <w:rsid w:val="3A06128C"/>
    <w:rsid w:val="3A064DE8"/>
    <w:rsid w:val="3A092B2A"/>
    <w:rsid w:val="3A0A6A21"/>
    <w:rsid w:val="3A0B4AF4"/>
    <w:rsid w:val="3A0E0970"/>
    <w:rsid w:val="3A12378C"/>
    <w:rsid w:val="3A134A26"/>
    <w:rsid w:val="3A184B1B"/>
    <w:rsid w:val="3A1E0383"/>
    <w:rsid w:val="3A1E053A"/>
    <w:rsid w:val="3A223CF2"/>
    <w:rsid w:val="3A241712"/>
    <w:rsid w:val="3A245162"/>
    <w:rsid w:val="3A267238"/>
    <w:rsid w:val="3A281202"/>
    <w:rsid w:val="3A34221E"/>
    <w:rsid w:val="3A345DF9"/>
    <w:rsid w:val="3A3A0F35"/>
    <w:rsid w:val="3A404C33"/>
    <w:rsid w:val="3A427935"/>
    <w:rsid w:val="3A541FF7"/>
    <w:rsid w:val="3A577D39"/>
    <w:rsid w:val="3A606BEE"/>
    <w:rsid w:val="3A634DC8"/>
    <w:rsid w:val="3A6B7341"/>
    <w:rsid w:val="3A6D30B9"/>
    <w:rsid w:val="3A70725B"/>
    <w:rsid w:val="3A717A42"/>
    <w:rsid w:val="3A78307D"/>
    <w:rsid w:val="3A84182A"/>
    <w:rsid w:val="3A84411F"/>
    <w:rsid w:val="3A872856"/>
    <w:rsid w:val="3A876887"/>
    <w:rsid w:val="3A894F51"/>
    <w:rsid w:val="3A8B1822"/>
    <w:rsid w:val="3A920D71"/>
    <w:rsid w:val="3A944AE9"/>
    <w:rsid w:val="3A946897"/>
    <w:rsid w:val="3A9829EA"/>
    <w:rsid w:val="3A990B2D"/>
    <w:rsid w:val="3A992100"/>
    <w:rsid w:val="3AA05E2F"/>
    <w:rsid w:val="3AA71AA2"/>
    <w:rsid w:val="3AA942C4"/>
    <w:rsid w:val="3AAD49B5"/>
    <w:rsid w:val="3AB007F2"/>
    <w:rsid w:val="3AB5515E"/>
    <w:rsid w:val="3AB6680E"/>
    <w:rsid w:val="3AB7091A"/>
    <w:rsid w:val="3AB807D8"/>
    <w:rsid w:val="3ABC194A"/>
    <w:rsid w:val="3ABE543E"/>
    <w:rsid w:val="3ABF334D"/>
    <w:rsid w:val="3AC07CE4"/>
    <w:rsid w:val="3AC12290"/>
    <w:rsid w:val="3AC27832"/>
    <w:rsid w:val="3AC5600A"/>
    <w:rsid w:val="3AC96C9F"/>
    <w:rsid w:val="3AC978F5"/>
    <w:rsid w:val="3AC97C2D"/>
    <w:rsid w:val="3ACC060E"/>
    <w:rsid w:val="3ACF5B21"/>
    <w:rsid w:val="3ACF78CF"/>
    <w:rsid w:val="3AD2518E"/>
    <w:rsid w:val="3AD7419F"/>
    <w:rsid w:val="3AD82C28"/>
    <w:rsid w:val="3AE8273F"/>
    <w:rsid w:val="3AEC0481"/>
    <w:rsid w:val="3AEC222F"/>
    <w:rsid w:val="3AEE3A67"/>
    <w:rsid w:val="3AF1125F"/>
    <w:rsid w:val="3AF128FC"/>
    <w:rsid w:val="3AF25BA7"/>
    <w:rsid w:val="3AF26695"/>
    <w:rsid w:val="3AF47336"/>
    <w:rsid w:val="3AF53EA3"/>
    <w:rsid w:val="3AF64E5C"/>
    <w:rsid w:val="3AF92B9E"/>
    <w:rsid w:val="3AFE38F2"/>
    <w:rsid w:val="3B027CA5"/>
    <w:rsid w:val="3B0357CB"/>
    <w:rsid w:val="3B057795"/>
    <w:rsid w:val="3B0716FF"/>
    <w:rsid w:val="3B0A0908"/>
    <w:rsid w:val="3B0A6B5A"/>
    <w:rsid w:val="3B11425B"/>
    <w:rsid w:val="3B11613A"/>
    <w:rsid w:val="3B173F81"/>
    <w:rsid w:val="3B1A7ECA"/>
    <w:rsid w:val="3B1D063B"/>
    <w:rsid w:val="3B1F0857"/>
    <w:rsid w:val="3B205D69"/>
    <w:rsid w:val="3B221F85"/>
    <w:rsid w:val="3B2220F5"/>
    <w:rsid w:val="3B225449"/>
    <w:rsid w:val="3B27770B"/>
    <w:rsid w:val="3B2850A6"/>
    <w:rsid w:val="3B291D83"/>
    <w:rsid w:val="3B2A2D58"/>
    <w:rsid w:val="3B2C2F74"/>
    <w:rsid w:val="3B3763D1"/>
    <w:rsid w:val="3B3A7F88"/>
    <w:rsid w:val="3B4E6A46"/>
    <w:rsid w:val="3B512426"/>
    <w:rsid w:val="3B527CF0"/>
    <w:rsid w:val="3B550425"/>
    <w:rsid w:val="3B5605A5"/>
    <w:rsid w:val="3B64626A"/>
    <w:rsid w:val="3B650F43"/>
    <w:rsid w:val="3B664493"/>
    <w:rsid w:val="3B6D363A"/>
    <w:rsid w:val="3B712735"/>
    <w:rsid w:val="3B7220E0"/>
    <w:rsid w:val="3B7839DE"/>
    <w:rsid w:val="3B893937"/>
    <w:rsid w:val="3B8C756F"/>
    <w:rsid w:val="3B9763AB"/>
    <w:rsid w:val="3B996698"/>
    <w:rsid w:val="3B9C5EB1"/>
    <w:rsid w:val="3B9D5AEF"/>
    <w:rsid w:val="3B9F3746"/>
    <w:rsid w:val="3BA448B8"/>
    <w:rsid w:val="3BAA5C47"/>
    <w:rsid w:val="3BB058DF"/>
    <w:rsid w:val="3BB16FD5"/>
    <w:rsid w:val="3BB22DDF"/>
    <w:rsid w:val="3BB26FB4"/>
    <w:rsid w:val="3BB3778E"/>
    <w:rsid w:val="3BBB4E29"/>
    <w:rsid w:val="3BCB0097"/>
    <w:rsid w:val="3BCB592E"/>
    <w:rsid w:val="3BD3472A"/>
    <w:rsid w:val="3BD4494A"/>
    <w:rsid w:val="3BD771F0"/>
    <w:rsid w:val="3BEB24E7"/>
    <w:rsid w:val="3BEC6400"/>
    <w:rsid w:val="3BEF63FE"/>
    <w:rsid w:val="3BF07AFD"/>
    <w:rsid w:val="3BF21AC7"/>
    <w:rsid w:val="3BF53366"/>
    <w:rsid w:val="3BFB1E94"/>
    <w:rsid w:val="3BFD221A"/>
    <w:rsid w:val="3C030267"/>
    <w:rsid w:val="3C043622"/>
    <w:rsid w:val="3C051998"/>
    <w:rsid w:val="3C067321"/>
    <w:rsid w:val="3C0812EB"/>
    <w:rsid w:val="3C0B0DDB"/>
    <w:rsid w:val="3C103098"/>
    <w:rsid w:val="3C105A6C"/>
    <w:rsid w:val="3C132B37"/>
    <w:rsid w:val="3C182965"/>
    <w:rsid w:val="3C187054"/>
    <w:rsid w:val="3C1D1761"/>
    <w:rsid w:val="3C1D5CAB"/>
    <w:rsid w:val="3C2123AD"/>
    <w:rsid w:val="3C222F26"/>
    <w:rsid w:val="3C256B33"/>
    <w:rsid w:val="3C28373B"/>
    <w:rsid w:val="3C2F3CE5"/>
    <w:rsid w:val="3C2F6E1E"/>
    <w:rsid w:val="3C410359"/>
    <w:rsid w:val="3C433145"/>
    <w:rsid w:val="3C4416F2"/>
    <w:rsid w:val="3C4F64BA"/>
    <w:rsid w:val="3C4F6F1A"/>
    <w:rsid w:val="3C5067EE"/>
    <w:rsid w:val="3C575DCE"/>
    <w:rsid w:val="3C5938F5"/>
    <w:rsid w:val="3C5F3AF9"/>
    <w:rsid w:val="3C601127"/>
    <w:rsid w:val="3C627FC1"/>
    <w:rsid w:val="3C683B38"/>
    <w:rsid w:val="3C6A1695"/>
    <w:rsid w:val="3C6D114E"/>
    <w:rsid w:val="3C720E5A"/>
    <w:rsid w:val="3C7374BE"/>
    <w:rsid w:val="3C7618F5"/>
    <w:rsid w:val="3C797AF3"/>
    <w:rsid w:val="3C80486B"/>
    <w:rsid w:val="3C81574B"/>
    <w:rsid w:val="3C827FA2"/>
    <w:rsid w:val="3C8A61A4"/>
    <w:rsid w:val="3C8B3CCA"/>
    <w:rsid w:val="3C8B49F2"/>
    <w:rsid w:val="3C8D17F0"/>
    <w:rsid w:val="3C8D566B"/>
    <w:rsid w:val="3C9012E0"/>
    <w:rsid w:val="3C94492D"/>
    <w:rsid w:val="3C9549EA"/>
    <w:rsid w:val="3C9568F7"/>
    <w:rsid w:val="3C9601F6"/>
    <w:rsid w:val="3C9708C1"/>
    <w:rsid w:val="3C9A11D3"/>
    <w:rsid w:val="3C9C1A33"/>
    <w:rsid w:val="3C9C5ED7"/>
    <w:rsid w:val="3C9F11E4"/>
    <w:rsid w:val="3CA449FA"/>
    <w:rsid w:val="3CA754C2"/>
    <w:rsid w:val="3CA97EC6"/>
    <w:rsid w:val="3CB11F04"/>
    <w:rsid w:val="3CB74ABF"/>
    <w:rsid w:val="3CBA5FE3"/>
    <w:rsid w:val="3CBC3E83"/>
    <w:rsid w:val="3CBD2094"/>
    <w:rsid w:val="3CBE5061"/>
    <w:rsid w:val="3CC03974"/>
    <w:rsid w:val="3CC5637C"/>
    <w:rsid w:val="3CCD376A"/>
    <w:rsid w:val="3CCD42E3"/>
    <w:rsid w:val="3CD25455"/>
    <w:rsid w:val="3CD45671"/>
    <w:rsid w:val="3CD67C0E"/>
    <w:rsid w:val="3CDA245A"/>
    <w:rsid w:val="3CE533DA"/>
    <w:rsid w:val="3CE753A4"/>
    <w:rsid w:val="3CE77152"/>
    <w:rsid w:val="3CED6733"/>
    <w:rsid w:val="3CEE4DE9"/>
    <w:rsid w:val="3CEF6007"/>
    <w:rsid w:val="3CF96E86"/>
    <w:rsid w:val="3CFD3079"/>
    <w:rsid w:val="3D015D3A"/>
    <w:rsid w:val="3D042BFD"/>
    <w:rsid w:val="3D055587"/>
    <w:rsid w:val="3D061434"/>
    <w:rsid w:val="3D0D2931"/>
    <w:rsid w:val="3D165930"/>
    <w:rsid w:val="3D1E069A"/>
    <w:rsid w:val="3D1E06B7"/>
    <w:rsid w:val="3D21748E"/>
    <w:rsid w:val="3D2A703F"/>
    <w:rsid w:val="3D386C2C"/>
    <w:rsid w:val="3D3879AE"/>
    <w:rsid w:val="3D3B749E"/>
    <w:rsid w:val="3D3D70D6"/>
    <w:rsid w:val="3D412388"/>
    <w:rsid w:val="3D44252F"/>
    <w:rsid w:val="3D477A19"/>
    <w:rsid w:val="3D49014B"/>
    <w:rsid w:val="3D4F4CF8"/>
    <w:rsid w:val="3D55206C"/>
    <w:rsid w:val="3D560417"/>
    <w:rsid w:val="3D581DFE"/>
    <w:rsid w:val="3D5B369C"/>
    <w:rsid w:val="3D6A3C59"/>
    <w:rsid w:val="3D6C7658"/>
    <w:rsid w:val="3D6E02CF"/>
    <w:rsid w:val="3D6E33D0"/>
    <w:rsid w:val="3D766728"/>
    <w:rsid w:val="3D7F382F"/>
    <w:rsid w:val="3D8209BA"/>
    <w:rsid w:val="3D830802"/>
    <w:rsid w:val="3D830A0A"/>
    <w:rsid w:val="3D842BF3"/>
    <w:rsid w:val="3D87426F"/>
    <w:rsid w:val="3D90067D"/>
    <w:rsid w:val="3D935587"/>
    <w:rsid w:val="3D980C48"/>
    <w:rsid w:val="3D992C08"/>
    <w:rsid w:val="3D9C595F"/>
    <w:rsid w:val="3D9D1F07"/>
    <w:rsid w:val="3DA05553"/>
    <w:rsid w:val="3DA30C11"/>
    <w:rsid w:val="3DA9265A"/>
    <w:rsid w:val="3DAF5796"/>
    <w:rsid w:val="3DB31AA0"/>
    <w:rsid w:val="3DBB238D"/>
    <w:rsid w:val="3DBC3224"/>
    <w:rsid w:val="3DC80AA2"/>
    <w:rsid w:val="3DC96858"/>
    <w:rsid w:val="3DCE20C0"/>
    <w:rsid w:val="3DCE23CC"/>
    <w:rsid w:val="3DD23C8F"/>
    <w:rsid w:val="3DD84CED"/>
    <w:rsid w:val="3DD94132"/>
    <w:rsid w:val="3DE178D3"/>
    <w:rsid w:val="3DE43692"/>
    <w:rsid w:val="3DE47B36"/>
    <w:rsid w:val="3DE605FC"/>
    <w:rsid w:val="3DE9514C"/>
    <w:rsid w:val="3DEC0798"/>
    <w:rsid w:val="3DF17B5D"/>
    <w:rsid w:val="3DFA1107"/>
    <w:rsid w:val="3DFC4BC0"/>
    <w:rsid w:val="3DFD29A6"/>
    <w:rsid w:val="3DFD4754"/>
    <w:rsid w:val="3DFF671E"/>
    <w:rsid w:val="3E067AAC"/>
    <w:rsid w:val="3E0E100F"/>
    <w:rsid w:val="3E192169"/>
    <w:rsid w:val="3E1A4C4F"/>
    <w:rsid w:val="3E1D4DF6"/>
    <w:rsid w:val="3E214DD2"/>
    <w:rsid w:val="3E271EB8"/>
    <w:rsid w:val="3E273D4F"/>
    <w:rsid w:val="3E29379B"/>
    <w:rsid w:val="3E2C1FF1"/>
    <w:rsid w:val="3E3028DF"/>
    <w:rsid w:val="3E304B29"/>
    <w:rsid w:val="3E3327CA"/>
    <w:rsid w:val="3E347BA4"/>
    <w:rsid w:val="3E367206"/>
    <w:rsid w:val="3E39633A"/>
    <w:rsid w:val="3E3A59A8"/>
    <w:rsid w:val="3E3B17BE"/>
    <w:rsid w:val="3E3C34CE"/>
    <w:rsid w:val="3E3F4D6C"/>
    <w:rsid w:val="3E444130"/>
    <w:rsid w:val="3E44637A"/>
    <w:rsid w:val="3E481E73"/>
    <w:rsid w:val="3E4B191C"/>
    <w:rsid w:val="3E50515E"/>
    <w:rsid w:val="3E543B88"/>
    <w:rsid w:val="3E594080"/>
    <w:rsid w:val="3E596110"/>
    <w:rsid w:val="3E5E3444"/>
    <w:rsid w:val="3E6267D6"/>
    <w:rsid w:val="3E640AD1"/>
    <w:rsid w:val="3E653E0C"/>
    <w:rsid w:val="3E6B69A4"/>
    <w:rsid w:val="3E6C2918"/>
    <w:rsid w:val="3E6D7B2B"/>
    <w:rsid w:val="3E6E3FEF"/>
    <w:rsid w:val="3E7013C9"/>
    <w:rsid w:val="3E712E94"/>
    <w:rsid w:val="3E736AE4"/>
    <w:rsid w:val="3E751042"/>
    <w:rsid w:val="3E7762B4"/>
    <w:rsid w:val="3E7A152A"/>
    <w:rsid w:val="3E7B6A37"/>
    <w:rsid w:val="3E7F160D"/>
    <w:rsid w:val="3E80785E"/>
    <w:rsid w:val="3E815385"/>
    <w:rsid w:val="3E832EAB"/>
    <w:rsid w:val="3E857429"/>
    <w:rsid w:val="3E861B68"/>
    <w:rsid w:val="3E8F7AA2"/>
    <w:rsid w:val="3E953B9C"/>
    <w:rsid w:val="3E96207C"/>
    <w:rsid w:val="3E974BA8"/>
    <w:rsid w:val="3E9A79BE"/>
    <w:rsid w:val="3EA04847"/>
    <w:rsid w:val="3EA378C0"/>
    <w:rsid w:val="3EA847D5"/>
    <w:rsid w:val="3EAD43CC"/>
    <w:rsid w:val="3EAF2EDB"/>
    <w:rsid w:val="3EB05890"/>
    <w:rsid w:val="3EB07A18"/>
    <w:rsid w:val="3EB170BC"/>
    <w:rsid w:val="3EB3505F"/>
    <w:rsid w:val="3EB968CD"/>
    <w:rsid w:val="3EBE2135"/>
    <w:rsid w:val="3EC027B1"/>
    <w:rsid w:val="3EC043D8"/>
    <w:rsid w:val="3EC05EAD"/>
    <w:rsid w:val="3EC51715"/>
    <w:rsid w:val="3EC73BA6"/>
    <w:rsid w:val="3ECD4126"/>
    <w:rsid w:val="3ECF4342"/>
    <w:rsid w:val="3ECF7E9E"/>
    <w:rsid w:val="3ED01E68"/>
    <w:rsid w:val="3ED100BA"/>
    <w:rsid w:val="3ED261E9"/>
    <w:rsid w:val="3ED41E3E"/>
    <w:rsid w:val="3EDA0523"/>
    <w:rsid w:val="3EE17BD1"/>
    <w:rsid w:val="3EE62855"/>
    <w:rsid w:val="3EE7052F"/>
    <w:rsid w:val="3EE85404"/>
    <w:rsid w:val="3EE92624"/>
    <w:rsid w:val="3EEC6CA2"/>
    <w:rsid w:val="3EEC727B"/>
    <w:rsid w:val="3EEC7440"/>
    <w:rsid w:val="3EF06066"/>
    <w:rsid w:val="3EF142B8"/>
    <w:rsid w:val="3EF43DA9"/>
    <w:rsid w:val="3EF66B94"/>
    <w:rsid w:val="3EF7084B"/>
    <w:rsid w:val="3EF73899"/>
    <w:rsid w:val="3EF75647"/>
    <w:rsid w:val="3EF8279E"/>
    <w:rsid w:val="3EF86CC4"/>
    <w:rsid w:val="3EFE0783"/>
    <w:rsid w:val="3F0057A8"/>
    <w:rsid w:val="3F0062A9"/>
    <w:rsid w:val="3F013713"/>
    <w:rsid w:val="3F094AF3"/>
    <w:rsid w:val="3F0A35CC"/>
    <w:rsid w:val="3F161DB5"/>
    <w:rsid w:val="3F1B00AC"/>
    <w:rsid w:val="3F1E25E5"/>
    <w:rsid w:val="3F253F62"/>
    <w:rsid w:val="3F255D10"/>
    <w:rsid w:val="3F27786B"/>
    <w:rsid w:val="3F360B85"/>
    <w:rsid w:val="3F370788"/>
    <w:rsid w:val="3F424B14"/>
    <w:rsid w:val="3F43088C"/>
    <w:rsid w:val="3F446379"/>
    <w:rsid w:val="3F473FBB"/>
    <w:rsid w:val="3F4A7E6C"/>
    <w:rsid w:val="3F4C5993"/>
    <w:rsid w:val="3F4C7FC4"/>
    <w:rsid w:val="3F4D34B9"/>
    <w:rsid w:val="3F4E6C0D"/>
    <w:rsid w:val="3F4F05DB"/>
    <w:rsid w:val="3F550811"/>
    <w:rsid w:val="3F584337"/>
    <w:rsid w:val="3F5860E5"/>
    <w:rsid w:val="3F5D7BA0"/>
    <w:rsid w:val="3F674FAA"/>
    <w:rsid w:val="3F6902F3"/>
    <w:rsid w:val="3F697F50"/>
    <w:rsid w:val="3F6C1B91"/>
    <w:rsid w:val="3F6D54EC"/>
    <w:rsid w:val="3F6F78D3"/>
    <w:rsid w:val="3F713CF6"/>
    <w:rsid w:val="3F760401"/>
    <w:rsid w:val="3F7B3236"/>
    <w:rsid w:val="3F7E18C4"/>
    <w:rsid w:val="3F830EED"/>
    <w:rsid w:val="3F836EDA"/>
    <w:rsid w:val="3F8A0269"/>
    <w:rsid w:val="3F8E2D51"/>
    <w:rsid w:val="3F900920"/>
    <w:rsid w:val="3F966B9F"/>
    <w:rsid w:val="3F975E82"/>
    <w:rsid w:val="3F9F483E"/>
    <w:rsid w:val="3FA05C87"/>
    <w:rsid w:val="3FA31A99"/>
    <w:rsid w:val="3FA4132B"/>
    <w:rsid w:val="3FA62141"/>
    <w:rsid w:val="3FA806EF"/>
    <w:rsid w:val="3FAC0217"/>
    <w:rsid w:val="3FAD415A"/>
    <w:rsid w:val="3FBD419A"/>
    <w:rsid w:val="3FC138C0"/>
    <w:rsid w:val="3FC419CD"/>
    <w:rsid w:val="3FC512A1"/>
    <w:rsid w:val="3FC6302D"/>
    <w:rsid w:val="3FCF119E"/>
    <w:rsid w:val="3FD03432"/>
    <w:rsid w:val="3FD17C46"/>
    <w:rsid w:val="3FDA1060"/>
    <w:rsid w:val="3FDE4BEB"/>
    <w:rsid w:val="3FDF2363"/>
    <w:rsid w:val="3FE45BCB"/>
    <w:rsid w:val="3FF40E24"/>
    <w:rsid w:val="3FF658FE"/>
    <w:rsid w:val="3FF73B50"/>
    <w:rsid w:val="3FF81676"/>
    <w:rsid w:val="3FF83425"/>
    <w:rsid w:val="3FF953E8"/>
    <w:rsid w:val="3FFA719D"/>
    <w:rsid w:val="3FFD0A3B"/>
    <w:rsid w:val="3FFD2EB8"/>
    <w:rsid w:val="3FFD37D3"/>
    <w:rsid w:val="3FFE0954"/>
    <w:rsid w:val="3FFF2DFA"/>
    <w:rsid w:val="400036BB"/>
    <w:rsid w:val="4004626D"/>
    <w:rsid w:val="40083317"/>
    <w:rsid w:val="400E0E9A"/>
    <w:rsid w:val="40114D03"/>
    <w:rsid w:val="4013025E"/>
    <w:rsid w:val="40132D84"/>
    <w:rsid w:val="401A783F"/>
    <w:rsid w:val="4021297B"/>
    <w:rsid w:val="40275B6E"/>
    <w:rsid w:val="402C7C10"/>
    <w:rsid w:val="403027DE"/>
    <w:rsid w:val="4033445D"/>
    <w:rsid w:val="403A57EB"/>
    <w:rsid w:val="403C38DC"/>
    <w:rsid w:val="40416B7A"/>
    <w:rsid w:val="40442B0E"/>
    <w:rsid w:val="40466AC6"/>
    <w:rsid w:val="404D2D8E"/>
    <w:rsid w:val="405014B2"/>
    <w:rsid w:val="40541C2A"/>
    <w:rsid w:val="405B7363"/>
    <w:rsid w:val="4068122B"/>
    <w:rsid w:val="406916DC"/>
    <w:rsid w:val="406960D0"/>
    <w:rsid w:val="406A1BDF"/>
    <w:rsid w:val="406D34EE"/>
    <w:rsid w:val="406E6287"/>
    <w:rsid w:val="40714F85"/>
    <w:rsid w:val="407231D7"/>
    <w:rsid w:val="40772419"/>
    <w:rsid w:val="40781946"/>
    <w:rsid w:val="407A6407"/>
    <w:rsid w:val="407D392A"/>
    <w:rsid w:val="407E6CF4"/>
    <w:rsid w:val="40815B74"/>
    <w:rsid w:val="408263AE"/>
    <w:rsid w:val="40844CB8"/>
    <w:rsid w:val="40871356"/>
    <w:rsid w:val="40880C4C"/>
    <w:rsid w:val="40896772"/>
    <w:rsid w:val="408B55D9"/>
    <w:rsid w:val="408D0B68"/>
    <w:rsid w:val="408E3D89"/>
    <w:rsid w:val="408F7CC0"/>
    <w:rsid w:val="40903CA0"/>
    <w:rsid w:val="4093186B"/>
    <w:rsid w:val="4094508C"/>
    <w:rsid w:val="40972C3D"/>
    <w:rsid w:val="409749EB"/>
    <w:rsid w:val="409A64BD"/>
    <w:rsid w:val="409E08A0"/>
    <w:rsid w:val="40A37882"/>
    <w:rsid w:val="40A81D7A"/>
    <w:rsid w:val="40A92971"/>
    <w:rsid w:val="40AF61D9"/>
    <w:rsid w:val="40B15156"/>
    <w:rsid w:val="40B27A77"/>
    <w:rsid w:val="40B73FAB"/>
    <w:rsid w:val="40B80017"/>
    <w:rsid w:val="40B97411"/>
    <w:rsid w:val="40BB6362"/>
    <w:rsid w:val="40BC6B48"/>
    <w:rsid w:val="40C078D9"/>
    <w:rsid w:val="40C1415E"/>
    <w:rsid w:val="40C27E91"/>
    <w:rsid w:val="40C41559"/>
    <w:rsid w:val="40CB0B39"/>
    <w:rsid w:val="40CB2B9E"/>
    <w:rsid w:val="40D13E07"/>
    <w:rsid w:val="40DA0D7C"/>
    <w:rsid w:val="40DC4C6A"/>
    <w:rsid w:val="40E1035D"/>
    <w:rsid w:val="40E85247"/>
    <w:rsid w:val="40ED6D01"/>
    <w:rsid w:val="40F0011E"/>
    <w:rsid w:val="40F02F9B"/>
    <w:rsid w:val="40F24F08"/>
    <w:rsid w:val="40F408A6"/>
    <w:rsid w:val="40F63E08"/>
    <w:rsid w:val="40FB2FC6"/>
    <w:rsid w:val="40FC0CF2"/>
    <w:rsid w:val="40FE0F0E"/>
    <w:rsid w:val="40FF07E3"/>
    <w:rsid w:val="4102378D"/>
    <w:rsid w:val="41062167"/>
    <w:rsid w:val="41074430"/>
    <w:rsid w:val="410A5214"/>
    <w:rsid w:val="410D733C"/>
    <w:rsid w:val="410D73A4"/>
    <w:rsid w:val="411424E0"/>
    <w:rsid w:val="411918A4"/>
    <w:rsid w:val="411B28BE"/>
    <w:rsid w:val="411C1395"/>
    <w:rsid w:val="411E510D"/>
    <w:rsid w:val="41210759"/>
    <w:rsid w:val="4125649B"/>
    <w:rsid w:val="41262753"/>
    <w:rsid w:val="41263F2F"/>
    <w:rsid w:val="412A7CBF"/>
    <w:rsid w:val="412D35A2"/>
    <w:rsid w:val="41326E0A"/>
    <w:rsid w:val="41344930"/>
    <w:rsid w:val="413466DE"/>
    <w:rsid w:val="41393CF5"/>
    <w:rsid w:val="413B5CBF"/>
    <w:rsid w:val="413E42B8"/>
    <w:rsid w:val="41432DC5"/>
    <w:rsid w:val="41433130"/>
    <w:rsid w:val="4149157D"/>
    <w:rsid w:val="414A2D3D"/>
    <w:rsid w:val="414C1C7A"/>
    <w:rsid w:val="414D3AB6"/>
    <w:rsid w:val="414F5FEB"/>
    <w:rsid w:val="415154E2"/>
    <w:rsid w:val="41524DB6"/>
    <w:rsid w:val="4159180A"/>
    <w:rsid w:val="415B1EBD"/>
    <w:rsid w:val="415D5C35"/>
    <w:rsid w:val="4162324B"/>
    <w:rsid w:val="41630928"/>
    <w:rsid w:val="41634ED9"/>
    <w:rsid w:val="416A4DFF"/>
    <w:rsid w:val="4170087C"/>
    <w:rsid w:val="417116E0"/>
    <w:rsid w:val="4171357B"/>
    <w:rsid w:val="41764F49"/>
    <w:rsid w:val="417A02E9"/>
    <w:rsid w:val="41815E93"/>
    <w:rsid w:val="418238EE"/>
    <w:rsid w:val="4185518C"/>
    <w:rsid w:val="41856F3A"/>
    <w:rsid w:val="41870F04"/>
    <w:rsid w:val="41872CD4"/>
    <w:rsid w:val="41886A2A"/>
    <w:rsid w:val="418A09F4"/>
    <w:rsid w:val="418E2292"/>
    <w:rsid w:val="41905C83"/>
    <w:rsid w:val="41941C1C"/>
    <w:rsid w:val="419604EA"/>
    <w:rsid w:val="41994793"/>
    <w:rsid w:val="419B050B"/>
    <w:rsid w:val="41A35612"/>
    <w:rsid w:val="41AA4BF2"/>
    <w:rsid w:val="41AC1E01"/>
    <w:rsid w:val="41AF4012"/>
    <w:rsid w:val="41B11DC3"/>
    <w:rsid w:val="41B24CC0"/>
    <w:rsid w:val="41B36869"/>
    <w:rsid w:val="41B4046D"/>
    <w:rsid w:val="41BB295C"/>
    <w:rsid w:val="41BD7413"/>
    <w:rsid w:val="41BE4C75"/>
    <w:rsid w:val="41C04416"/>
    <w:rsid w:val="41C537DA"/>
    <w:rsid w:val="41C71300"/>
    <w:rsid w:val="41CC4B69"/>
    <w:rsid w:val="41CE6B33"/>
    <w:rsid w:val="41D55555"/>
    <w:rsid w:val="41D63C39"/>
    <w:rsid w:val="41D65226"/>
    <w:rsid w:val="41D97A91"/>
    <w:rsid w:val="41DE664A"/>
    <w:rsid w:val="41E071D3"/>
    <w:rsid w:val="41E14F6E"/>
    <w:rsid w:val="41E86996"/>
    <w:rsid w:val="41F334F4"/>
    <w:rsid w:val="41FA16D6"/>
    <w:rsid w:val="4200449D"/>
    <w:rsid w:val="420460B1"/>
    <w:rsid w:val="42063687"/>
    <w:rsid w:val="420A5691"/>
    <w:rsid w:val="420C1409"/>
    <w:rsid w:val="4214206C"/>
    <w:rsid w:val="421A58D4"/>
    <w:rsid w:val="421B068E"/>
    <w:rsid w:val="421B789E"/>
    <w:rsid w:val="42220C2D"/>
    <w:rsid w:val="422361C1"/>
    <w:rsid w:val="422A6283"/>
    <w:rsid w:val="422B7AE1"/>
    <w:rsid w:val="422F340F"/>
    <w:rsid w:val="423313A8"/>
    <w:rsid w:val="42337B46"/>
    <w:rsid w:val="42360234"/>
    <w:rsid w:val="423746D8"/>
    <w:rsid w:val="423A3BCC"/>
    <w:rsid w:val="423F4815"/>
    <w:rsid w:val="424010B3"/>
    <w:rsid w:val="42433A8E"/>
    <w:rsid w:val="42435874"/>
    <w:rsid w:val="424B14EF"/>
    <w:rsid w:val="424C018D"/>
    <w:rsid w:val="424E57D2"/>
    <w:rsid w:val="4253528A"/>
    <w:rsid w:val="42547A11"/>
    <w:rsid w:val="42554B5E"/>
    <w:rsid w:val="425B1147"/>
    <w:rsid w:val="42621029"/>
    <w:rsid w:val="4269060A"/>
    <w:rsid w:val="426923B8"/>
    <w:rsid w:val="4269685C"/>
    <w:rsid w:val="426B25D4"/>
    <w:rsid w:val="426D00FA"/>
    <w:rsid w:val="42725710"/>
    <w:rsid w:val="42734FE4"/>
    <w:rsid w:val="42755200"/>
    <w:rsid w:val="4278534B"/>
    <w:rsid w:val="427A45C5"/>
    <w:rsid w:val="42803A2F"/>
    <w:rsid w:val="42823479"/>
    <w:rsid w:val="42830F3D"/>
    <w:rsid w:val="428A312C"/>
    <w:rsid w:val="429513FF"/>
    <w:rsid w:val="42975DB7"/>
    <w:rsid w:val="429C278D"/>
    <w:rsid w:val="429E272E"/>
    <w:rsid w:val="42A930FC"/>
    <w:rsid w:val="42B26C49"/>
    <w:rsid w:val="42B77853"/>
    <w:rsid w:val="42B850ED"/>
    <w:rsid w:val="42B95168"/>
    <w:rsid w:val="42BC4BDD"/>
    <w:rsid w:val="42BE2D43"/>
    <w:rsid w:val="42C33C08"/>
    <w:rsid w:val="42C67E7C"/>
    <w:rsid w:val="42CA0B8D"/>
    <w:rsid w:val="42CD0B98"/>
    <w:rsid w:val="42D40179"/>
    <w:rsid w:val="42D55C9F"/>
    <w:rsid w:val="42DC1163"/>
    <w:rsid w:val="42E63A08"/>
    <w:rsid w:val="42EA714E"/>
    <w:rsid w:val="42ED123B"/>
    <w:rsid w:val="42ED4D97"/>
    <w:rsid w:val="42F205FF"/>
    <w:rsid w:val="42F425C9"/>
    <w:rsid w:val="42F74966"/>
    <w:rsid w:val="42FC322C"/>
    <w:rsid w:val="43056584"/>
    <w:rsid w:val="430E1705"/>
    <w:rsid w:val="431515CC"/>
    <w:rsid w:val="4315253F"/>
    <w:rsid w:val="43192859"/>
    <w:rsid w:val="431B7E1C"/>
    <w:rsid w:val="43205E46"/>
    <w:rsid w:val="43223FE7"/>
    <w:rsid w:val="43227B5D"/>
    <w:rsid w:val="43236740"/>
    <w:rsid w:val="43236A0A"/>
    <w:rsid w:val="43277C40"/>
    <w:rsid w:val="432870F4"/>
    <w:rsid w:val="432D1637"/>
    <w:rsid w:val="432F53AF"/>
    <w:rsid w:val="43301127"/>
    <w:rsid w:val="433230F1"/>
    <w:rsid w:val="433429C6"/>
    <w:rsid w:val="433504EC"/>
    <w:rsid w:val="433A6FE6"/>
    <w:rsid w:val="433B1FA6"/>
    <w:rsid w:val="433F0F98"/>
    <w:rsid w:val="433F1448"/>
    <w:rsid w:val="43465760"/>
    <w:rsid w:val="43480868"/>
    <w:rsid w:val="43497503"/>
    <w:rsid w:val="434F4695"/>
    <w:rsid w:val="4350713C"/>
    <w:rsid w:val="4359047F"/>
    <w:rsid w:val="435C1F1C"/>
    <w:rsid w:val="436076D7"/>
    <w:rsid w:val="436149BE"/>
    <w:rsid w:val="436653E0"/>
    <w:rsid w:val="436C03B1"/>
    <w:rsid w:val="436D237B"/>
    <w:rsid w:val="43716951"/>
    <w:rsid w:val="43764333"/>
    <w:rsid w:val="437770D4"/>
    <w:rsid w:val="43791977"/>
    <w:rsid w:val="437B05F4"/>
    <w:rsid w:val="437D3EE7"/>
    <w:rsid w:val="437F2299"/>
    <w:rsid w:val="438356FB"/>
    <w:rsid w:val="438448D9"/>
    <w:rsid w:val="438576C5"/>
    <w:rsid w:val="43877C73"/>
    <w:rsid w:val="438D564C"/>
    <w:rsid w:val="438D657A"/>
    <w:rsid w:val="438D7529"/>
    <w:rsid w:val="438F22F2"/>
    <w:rsid w:val="43945EE9"/>
    <w:rsid w:val="43993D9C"/>
    <w:rsid w:val="43994F1E"/>
    <w:rsid w:val="43A03D25"/>
    <w:rsid w:val="43A35D9D"/>
    <w:rsid w:val="43A7763B"/>
    <w:rsid w:val="43AD2778"/>
    <w:rsid w:val="43AE09CA"/>
    <w:rsid w:val="43AF029E"/>
    <w:rsid w:val="43B8312A"/>
    <w:rsid w:val="43B92ECB"/>
    <w:rsid w:val="43BB30E7"/>
    <w:rsid w:val="43BC29BB"/>
    <w:rsid w:val="43C055C8"/>
    <w:rsid w:val="43C22C42"/>
    <w:rsid w:val="43C26223"/>
    <w:rsid w:val="43C401ED"/>
    <w:rsid w:val="43C4431A"/>
    <w:rsid w:val="43C80DEB"/>
    <w:rsid w:val="43CD4BC8"/>
    <w:rsid w:val="43D16466"/>
    <w:rsid w:val="43D2242F"/>
    <w:rsid w:val="43E02B4D"/>
    <w:rsid w:val="43E25291"/>
    <w:rsid w:val="43E268C5"/>
    <w:rsid w:val="43E76178"/>
    <w:rsid w:val="43E837B0"/>
    <w:rsid w:val="43E876EF"/>
    <w:rsid w:val="43EA5459"/>
    <w:rsid w:val="43ED0DC6"/>
    <w:rsid w:val="43F14D5A"/>
    <w:rsid w:val="43F42155"/>
    <w:rsid w:val="43FD5CE8"/>
    <w:rsid w:val="44006D4C"/>
    <w:rsid w:val="4401275F"/>
    <w:rsid w:val="440525B4"/>
    <w:rsid w:val="440700DA"/>
    <w:rsid w:val="440B5E1C"/>
    <w:rsid w:val="44157813"/>
    <w:rsid w:val="441A605F"/>
    <w:rsid w:val="441B3B85"/>
    <w:rsid w:val="441B5933"/>
    <w:rsid w:val="442347E8"/>
    <w:rsid w:val="44286793"/>
    <w:rsid w:val="44290050"/>
    <w:rsid w:val="4433614E"/>
    <w:rsid w:val="44352FB5"/>
    <w:rsid w:val="443706CF"/>
    <w:rsid w:val="443842FC"/>
    <w:rsid w:val="443F400B"/>
    <w:rsid w:val="44466E54"/>
    <w:rsid w:val="444906F3"/>
    <w:rsid w:val="444B6409"/>
    <w:rsid w:val="444C01E3"/>
    <w:rsid w:val="44531513"/>
    <w:rsid w:val="445826E4"/>
    <w:rsid w:val="445B37AC"/>
    <w:rsid w:val="445D3FE9"/>
    <w:rsid w:val="445D5F4C"/>
    <w:rsid w:val="44604BF4"/>
    <w:rsid w:val="44654E01"/>
    <w:rsid w:val="44663053"/>
    <w:rsid w:val="44697B5C"/>
    <w:rsid w:val="446B73A0"/>
    <w:rsid w:val="44701E4E"/>
    <w:rsid w:val="44727ED9"/>
    <w:rsid w:val="44741465"/>
    <w:rsid w:val="44784B34"/>
    <w:rsid w:val="447909DB"/>
    <w:rsid w:val="447B6518"/>
    <w:rsid w:val="448F3990"/>
    <w:rsid w:val="44935E12"/>
    <w:rsid w:val="449851D6"/>
    <w:rsid w:val="449937BE"/>
    <w:rsid w:val="449A2CFC"/>
    <w:rsid w:val="449D5A2E"/>
    <w:rsid w:val="44A06825"/>
    <w:rsid w:val="44A21BB1"/>
    <w:rsid w:val="44A66286"/>
    <w:rsid w:val="44A91191"/>
    <w:rsid w:val="44AD0C81"/>
    <w:rsid w:val="44B00772"/>
    <w:rsid w:val="44B951CC"/>
    <w:rsid w:val="44BB306C"/>
    <w:rsid w:val="44BF54D6"/>
    <w:rsid w:val="44C67F95"/>
    <w:rsid w:val="44C91668"/>
    <w:rsid w:val="44CA7640"/>
    <w:rsid w:val="44CB759D"/>
    <w:rsid w:val="44CD14E0"/>
    <w:rsid w:val="44D023ED"/>
    <w:rsid w:val="44D37FBC"/>
    <w:rsid w:val="44D73F50"/>
    <w:rsid w:val="44DC2727"/>
    <w:rsid w:val="44DF34DD"/>
    <w:rsid w:val="44E623E5"/>
    <w:rsid w:val="44E95A32"/>
    <w:rsid w:val="44F20B0B"/>
    <w:rsid w:val="44F52628"/>
    <w:rsid w:val="44F92119"/>
    <w:rsid w:val="44FE5CB2"/>
    <w:rsid w:val="450051DA"/>
    <w:rsid w:val="45034D45"/>
    <w:rsid w:val="450417C0"/>
    <w:rsid w:val="45085EB8"/>
    <w:rsid w:val="45101210"/>
    <w:rsid w:val="45170723"/>
    <w:rsid w:val="45191FB9"/>
    <w:rsid w:val="451F3201"/>
    <w:rsid w:val="451F76A5"/>
    <w:rsid w:val="451F7897"/>
    <w:rsid w:val="452E5F4C"/>
    <w:rsid w:val="4537679D"/>
    <w:rsid w:val="45396692"/>
    <w:rsid w:val="453D587A"/>
    <w:rsid w:val="453E7B2C"/>
    <w:rsid w:val="453F5652"/>
    <w:rsid w:val="45401AF6"/>
    <w:rsid w:val="4540524C"/>
    <w:rsid w:val="45430CB0"/>
    <w:rsid w:val="45433394"/>
    <w:rsid w:val="4550160D"/>
    <w:rsid w:val="45513D03"/>
    <w:rsid w:val="45527A07"/>
    <w:rsid w:val="455410FD"/>
    <w:rsid w:val="455530C7"/>
    <w:rsid w:val="45592BB7"/>
    <w:rsid w:val="45612018"/>
    <w:rsid w:val="456450B8"/>
    <w:rsid w:val="45652CFB"/>
    <w:rsid w:val="45682DFA"/>
    <w:rsid w:val="45684BA8"/>
    <w:rsid w:val="456D21BF"/>
    <w:rsid w:val="456F5F37"/>
    <w:rsid w:val="45726B02"/>
    <w:rsid w:val="457E261E"/>
    <w:rsid w:val="45852B91"/>
    <w:rsid w:val="4588524B"/>
    <w:rsid w:val="458946E9"/>
    <w:rsid w:val="458A65C0"/>
    <w:rsid w:val="458C4D3B"/>
    <w:rsid w:val="458D7680"/>
    <w:rsid w:val="45901F42"/>
    <w:rsid w:val="459712DC"/>
    <w:rsid w:val="459A0ECF"/>
    <w:rsid w:val="45A278CD"/>
    <w:rsid w:val="45A44BDC"/>
    <w:rsid w:val="45A47C0E"/>
    <w:rsid w:val="45A55DFD"/>
    <w:rsid w:val="45A97F18"/>
    <w:rsid w:val="45AB2CE7"/>
    <w:rsid w:val="45AE237D"/>
    <w:rsid w:val="45B002FD"/>
    <w:rsid w:val="45B20519"/>
    <w:rsid w:val="45B334F1"/>
    <w:rsid w:val="45B524EC"/>
    <w:rsid w:val="45B63B66"/>
    <w:rsid w:val="45B91DA6"/>
    <w:rsid w:val="45B91F3C"/>
    <w:rsid w:val="45BC4EF4"/>
    <w:rsid w:val="45CE5F5C"/>
    <w:rsid w:val="45D43FEC"/>
    <w:rsid w:val="45D71D2E"/>
    <w:rsid w:val="45D7301B"/>
    <w:rsid w:val="45DA5628"/>
    <w:rsid w:val="45E140BB"/>
    <w:rsid w:val="45E2788A"/>
    <w:rsid w:val="45E32481"/>
    <w:rsid w:val="45E52B75"/>
    <w:rsid w:val="45E62F9A"/>
    <w:rsid w:val="45E701C3"/>
    <w:rsid w:val="45EA5AC8"/>
    <w:rsid w:val="45EC4E6D"/>
    <w:rsid w:val="45F428E0"/>
    <w:rsid w:val="45F64FD6"/>
    <w:rsid w:val="45F87292"/>
    <w:rsid w:val="45FB77CB"/>
    <w:rsid w:val="45FF375F"/>
    <w:rsid w:val="46001285"/>
    <w:rsid w:val="46020B59"/>
    <w:rsid w:val="46060B05"/>
    <w:rsid w:val="46081EE8"/>
    <w:rsid w:val="460D74FE"/>
    <w:rsid w:val="460F2026"/>
    <w:rsid w:val="46160AA8"/>
    <w:rsid w:val="461D1E37"/>
    <w:rsid w:val="461E795D"/>
    <w:rsid w:val="46244F73"/>
    <w:rsid w:val="46293E90"/>
    <w:rsid w:val="462A4554"/>
    <w:rsid w:val="462F1B6A"/>
    <w:rsid w:val="463311FF"/>
    <w:rsid w:val="46380A1F"/>
    <w:rsid w:val="46396545"/>
    <w:rsid w:val="463B22BD"/>
    <w:rsid w:val="464427D4"/>
    <w:rsid w:val="464A2489"/>
    <w:rsid w:val="464F21FB"/>
    <w:rsid w:val="46577FD6"/>
    <w:rsid w:val="465869CB"/>
    <w:rsid w:val="465E0A5A"/>
    <w:rsid w:val="465F5FAB"/>
    <w:rsid w:val="46607F75"/>
    <w:rsid w:val="46612494"/>
    <w:rsid w:val="4665335B"/>
    <w:rsid w:val="4665733A"/>
    <w:rsid w:val="466674C2"/>
    <w:rsid w:val="46677A1D"/>
    <w:rsid w:val="466B25F0"/>
    <w:rsid w:val="466E2692"/>
    <w:rsid w:val="466F4EAD"/>
    <w:rsid w:val="46713F31"/>
    <w:rsid w:val="46731A57"/>
    <w:rsid w:val="46735EA0"/>
    <w:rsid w:val="467632F5"/>
    <w:rsid w:val="467908E5"/>
    <w:rsid w:val="468100A1"/>
    <w:rsid w:val="468A57B1"/>
    <w:rsid w:val="468E7C63"/>
    <w:rsid w:val="46902609"/>
    <w:rsid w:val="46911EDD"/>
    <w:rsid w:val="469257CF"/>
    <w:rsid w:val="4698617B"/>
    <w:rsid w:val="469B0FAE"/>
    <w:rsid w:val="469D0882"/>
    <w:rsid w:val="469F0A9E"/>
    <w:rsid w:val="46A16A15"/>
    <w:rsid w:val="46A56BDF"/>
    <w:rsid w:val="46A56FCA"/>
    <w:rsid w:val="46A714E9"/>
    <w:rsid w:val="46AA0F82"/>
    <w:rsid w:val="46B24999"/>
    <w:rsid w:val="46B5229B"/>
    <w:rsid w:val="46BF6A4A"/>
    <w:rsid w:val="46C16C66"/>
    <w:rsid w:val="46C3283A"/>
    <w:rsid w:val="46C6427C"/>
    <w:rsid w:val="46D114B0"/>
    <w:rsid w:val="46D1677D"/>
    <w:rsid w:val="46D4142D"/>
    <w:rsid w:val="46D955A7"/>
    <w:rsid w:val="46E16BBD"/>
    <w:rsid w:val="46E22739"/>
    <w:rsid w:val="46E3296F"/>
    <w:rsid w:val="46E3533D"/>
    <w:rsid w:val="46E46470"/>
    <w:rsid w:val="46E62229"/>
    <w:rsid w:val="46F65FB8"/>
    <w:rsid w:val="46F804CD"/>
    <w:rsid w:val="470152B5"/>
    <w:rsid w:val="47075C71"/>
    <w:rsid w:val="470B6133"/>
    <w:rsid w:val="470D5A07"/>
    <w:rsid w:val="470F3D6D"/>
    <w:rsid w:val="47133957"/>
    <w:rsid w:val="4714729C"/>
    <w:rsid w:val="47150D60"/>
    <w:rsid w:val="471635C5"/>
    <w:rsid w:val="47174E33"/>
    <w:rsid w:val="471903BF"/>
    <w:rsid w:val="471A45C8"/>
    <w:rsid w:val="471D19C3"/>
    <w:rsid w:val="472114B3"/>
    <w:rsid w:val="472270CC"/>
    <w:rsid w:val="472A0B03"/>
    <w:rsid w:val="472B7423"/>
    <w:rsid w:val="472D42FC"/>
    <w:rsid w:val="472F544F"/>
    <w:rsid w:val="47302720"/>
    <w:rsid w:val="47305B9A"/>
    <w:rsid w:val="473200CF"/>
    <w:rsid w:val="473276AB"/>
    <w:rsid w:val="47355BAF"/>
    <w:rsid w:val="473C009B"/>
    <w:rsid w:val="473E6E6D"/>
    <w:rsid w:val="473F7B8B"/>
    <w:rsid w:val="47400DF1"/>
    <w:rsid w:val="474358CD"/>
    <w:rsid w:val="474D04FA"/>
    <w:rsid w:val="47525B10"/>
    <w:rsid w:val="475353E4"/>
    <w:rsid w:val="4755115C"/>
    <w:rsid w:val="47552E0E"/>
    <w:rsid w:val="47596E9F"/>
    <w:rsid w:val="47655843"/>
    <w:rsid w:val="4766336A"/>
    <w:rsid w:val="4768372D"/>
    <w:rsid w:val="476D64A6"/>
    <w:rsid w:val="47723ABC"/>
    <w:rsid w:val="47740D54"/>
    <w:rsid w:val="477B4524"/>
    <w:rsid w:val="47805514"/>
    <w:rsid w:val="47840BBD"/>
    <w:rsid w:val="479512E9"/>
    <w:rsid w:val="47953C4F"/>
    <w:rsid w:val="479954ED"/>
    <w:rsid w:val="479E1742"/>
    <w:rsid w:val="47A07E0C"/>
    <w:rsid w:val="47A25B33"/>
    <w:rsid w:val="47A82838"/>
    <w:rsid w:val="47A923AE"/>
    <w:rsid w:val="47B02837"/>
    <w:rsid w:val="47B70069"/>
    <w:rsid w:val="47BB4A8E"/>
    <w:rsid w:val="47BF0D9C"/>
    <w:rsid w:val="47CC06FD"/>
    <w:rsid w:val="47CF06F2"/>
    <w:rsid w:val="47D15E5A"/>
    <w:rsid w:val="47D573B9"/>
    <w:rsid w:val="47D97FDF"/>
    <w:rsid w:val="47E154BA"/>
    <w:rsid w:val="47E44480"/>
    <w:rsid w:val="47E62E88"/>
    <w:rsid w:val="47EB186B"/>
    <w:rsid w:val="47EB386F"/>
    <w:rsid w:val="47EF15B1"/>
    <w:rsid w:val="47F169C4"/>
    <w:rsid w:val="47F170D7"/>
    <w:rsid w:val="47F210A1"/>
    <w:rsid w:val="47F941DE"/>
    <w:rsid w:val="47FB2286"/>
    <w:rsid w:val="47FB7F56"/>
    <w:rsid w:val="47FD4FD1"/>
    <w:rsid w:val="47FF091A"/>
    <w:rsid w:val="47FF1846"/>
    <w:rsid w:val="48030BB8"/>
    <w:rsid w:val="480C3F11"/>
    <w:rsid w:val="480D14A6"/>
    <w:rsid w:val="480D6778"/>
    <w:rsid w:val="481903DC"/>
    <w:rsid w:val="481B4D41"/>
    <w:rsid w:val="48223734"/>
    <w:rsid w:val="482374AD"/>
    <w:rsid w:val="4828061F"/>
    <w:rsid w:val="482A25E9"/>
    <w:rsid w:val="482A6164"/>
    <w:rsid w:val="482E7724"/>
    <w:rsid w:val="4831301C"/>
    <w:rsid w:val="48360F8E"/>
    <w:rsid w:val="48362D3C"/>
    <w:rsid w:val="4837657F"/>
    <w:rsid w:val="48396CD0"/>
    <w:rsid w:val="483D056E"/>
    <w:rsid w:val="483D231C"/>
    <w:rsid w:val="483D7C31"/>
    <w:rsid w:val="48403BBB"/>
    <w:rsid w:val="48427933"/>
    <w:rsid w:val="48467D61"/>
    <w:rsid w:val="484713ED"/>
    <w:rsid w:val="484C07B1"/>
    <w:rsid w:val="484D0086"/>
    <w:rsid w:val="48502A53"/>
    <w:rsid w:val="485338EE"/>
    <w:rsid w:val="48541414"/>
    <w:rsid w:val="48554C4E"/>
    <w:rsid w:val="48561630"/>
    <w:rsid w:val="485633DE"/>
    <w:rsid w:val="48587156"/>
    <w:rsid w:val="48593DA2"/>
    <w:rsid w:val="485B09F4"/>
    <w:rsid w:val="485E04E5"/>
    <w:rsid w:val="485E2122"/>
    <w:rsid w:val="485F3B3D"/>
    <w:rsid w:val="486224FA"/>
    <w:rsid w:val="48624BE6"/>
    <w:rsid w:val="48657AC5"/>
    <w:rsid w:val="486D1B5F"/>
    <w:rsid w:val="486D24D6"/>
    <w:rsid w:val="486E0728"/>
    <w:rsid w:val="486F26F2"/>
    <w:rsid w:val="4870272E"/>
    <w:rsid w:val="48733219"/>
    <w:rsid w:val="48783354"/>
    <w:rsid w:val="487A69FA"/>
    <w:rsid w:val="487E731E"/>
    <w:rsid w:val="487F0B87"/>
    <w:rsid w:val="488066AD"/>
    <w:rsid w:val="488471E2"/>
    <w:rsid w:val="488B752C"/>
    <w:rsid w:val="488D67A1"/>
    <w:rsid w:val="489034D1"/>
    <w:rsid w:val="48904B42"/>
    <w:rsid w:val="489143CF"/>
    <w:rsid w:val="489363E0"/>
    <w:rsid w:val="48966B6E"/>
    <w:rsid w:val="48981DE2"/>
    <w:rsid w:val="48AA44CD"/>
    <w:rsid w:val="48AC575F"/>
    <w:rsid w:val="48AC74A2"/>
    <w:rsid w:val="48AE4FC8"/>
    <w:rsid w:val="48B16866"/>
    <w:rsid w:val="48B843DB"/>
    <w:rsid w:val="48BB22CE"/>
    <w:rsid w:val="48BC5937"/>
    <w:rsid w:val="48C04CFB"/>
    <w:rsid w:val="48C10E41"/>
    <w:rsid w:val="48CC18F2"/>
    <w:rsid w:val="48CD2759"/>
    <w:rsid w:val="48D10CB7"/>
    <w:rsid w:val="48D21FBE"/>
    <w:rsid w:val="48D92C6C"/>
    <w:rsid w:val="48DA5DBD"/>
    <w:rsid w:val="48DD5C45"/>
    <w:rsid w:val="48DD7AFE"/>
    <w:rsid w:val="48DF6834"/>
    <w:rsid w:val="48E24C72"/>
    <w:rsid w:val="48E704DA"/>
    <w:rsid w:val="48E74156"/>
    <w:rsid w:val="48E90CF6"/>
    <w:rsid w:val="48EA619F"/>
    <w:rsid w:val="48EB621C"/>
    <w:rsid w:val="48EC789E"/>
    <w:rsid w:val="48F50E49"/>
    <w:rsid w:val="48F55AC9"/>
    <w:rsid w:val="48FE7548"/>
    <w:rsid w:val="48FF1A38"/>
    <w:rsid w:val="490270C2"/>
    <w:rsid w:val="49044BE8"/>
    <w:rsid w:val="4907292A"/>
    <w:rsid w:val="490B5584"/>
    <w:rsid w:val="490D6193"/>
    <w:rsid w:val="49107A31"/>
    <w:rsid w:val="49153299"/>
    <w:rsid w:val="491606B6"/>
    <w:rsid w:val="4916411F"/>
    <w:rsid w:val="491653D6"/>
    <w:rsid w:val="49170DBF"/>
    <w:rsid w:val="491747A3"/>
    <w:rsid w:val="491E63C1"/>
    <w:rsid w:val="492632AB"/>
    <w:rsid w:val="49266B0E"/>
    <w:rsid w:val="49296D45"/>
    <w:rsid w:val="49322375"/>
    <w:rsid w:val="49343511"/>
    <w:rsid w:val="49364BB3"/>
    <w:rsid w:val="49374FBE"/>
    <w:rsid w:val="493F211E"/>
    <w:rsid w:val="49421133"/>
    <w:rsid w:val="49441489"/>
    <w:rsid w:val="49463CD6"/>
    <w:rsid w:val="49472035"/>
    <w:rsid w:val="494A0AFF"/>
    <w:rsid w:val="494F4E40"/>
    <w:rsid w:val="4956348F"/>
    <w:rsid w:val="49575660"/>
    <w:rsid w:val="495844F4"/>
    <w:rsid w:val="49595997"/>
    <w:rsid w:val="495A3E1B"/>
    <w:rsid w:val="495A710D"/>
    <w:rsid w:val="495C75C0"/>
    <w:rsid w:val="495D7F48"/>
    <w:rsid w:val="49643A3A"/>
    <w:rsid w:val="49647D7D"/>
    <w:rsid w:val="496670A4"/>
    <w:rsid w:val="496714D0"/>
    <w:rsid w:val="496D09DF"/>
    <w:rsid w:val="496D26B2"/>
    <w:rsid w:val="49730D9E"/>
    <w:rsid w:val="4976512F"/>
    <w:rsid w:val="4977360C"/>
    <w:rsid w:val="49777AB0"/>
    <w:rsid w:val="49787384"/>
    <w:rsid w:val="497E0E3E"/>
    <w:rsid w:val="49830203"/>
    <w:rsid w:val="498C6F86"/>
    <w:rsid w:val="498F2559"/>
    <w:rsid w:val="49926698"/>
    <w:rsid w:val="499344C8"/>
    <w:rsid w:val="49942410"/>
    <w:rsid w:val="49971E7D"/>
    <w:rsid w:val="499C3073"/>
    <w:rsid w:val="499D27D0"/>
    <w:rsid w:val="499E328F"/>
    <w:rsid w:val="499F2B63"/>
    <w:rsid w:val="49A32653"/>
    <w:rsid w:val="49A332E5"/>
    <w:rsid w:val="49A47386"/>
    <w:rsid w:val="49A65799"/>
    <w:rsid w:val="49A87C69"/>
    <w:rsid w:val="49AB59AC"/>
    <w:rsid w:val="49AD702E"/>
    <w:rsid w:val="49B26D3A"/>
    <w:rsid w:val="49B74350"/>
    <w:rsid w:val="49BC3715"/>
    <w:rsid w:val="49BD2527"/>
    <w:rsid w:val="49C65F48"/>
    <w:rsid w:val="49C804CD"/>
    <w:rsid w:val="49C873F0"/>
    <w:rsid w:val="49CC6DF4"/>
    <w:rsid w:val="49D539E9"/>
    <w:rsid w:val="49D6398F"/>
    <w:rsid w:val="49D943C1"/>
    <w:rsid w:val="49DC3DB7"/>
    <w:rsid w:val="49DC7715"/>
    <w:rsid w:val="49DE1536"/>
    <w:rsid w:val="49DE368B"/>
    <w:rsid w:val="49DF00AD"/>
    <w:rsid w:val="49DF0DDC"/>
    <w:rsid w:val="49DF11B1"/>
    <w:rsid w:val="49E07403"/>
    <w:rsid w:val="49E2451E"/>
    <w:rsid w:val="49E36EF3"/>
    <w:rsid w:val="49E54986"/>
    <w:rsid w:val="49E57AE0"/>
    <w:rsid w:val="49E93AD9"/>
    <w:rsid w:val="49EA0282"/>
    <w:rsid w:val="49ED1B20"/>
    <w:rsid w:val="49EF65FB"/>
    <w:rsid w:val="49F42EAF"/>
    <w:rsid w:val="49FA686F"/>
    <w:rsid w:val="49FB2932"/>
    <w:rsid w:val="49FC7FB5"/>
    <w:rsid w:val="49FE3E4D"/>
    <w:rsid w:val="4A023139"/>
    <w:rsid w:val="4A04380C"/>
    <w:rsid w:val="4A082B5D"/>
    <w:rsid w:val="4A0C24A1"/>
    <w:rsid w:val="4A111CB3"/>
    <w:rsid w:val="4A162E25"/>
    <w:rsid w:val="4A1B668D"/>
    <w:rsid w:val="4A206A16"/>
    <w:rsid w:val="4A212CBA"/>
    <w:rsid w:val="4A2944C3"/>
    <w:rsid w:val="4A2A4B22"/>
    <w:rsid w:val="4A325785"/>
    <w:rsid w:val="4A326C87"/>
    <w:rsid w:val="4A3634C7"/>
    <w:rsid w:val="4A374645"/>
    <w:rsid w:val="4A3971B0"/>
    <w:rsid w:val="4A3C74E0"/>
    <w:rsid w:val="4A3D4856"/>
    <w:rsid w:val="4A3E237C"/>
    <w:rsid w:val="4A4060F4"/>
    <w:rsid w:val="4A4356F7"/>
    <w:rsid w:val="4A452632"/>
    <w:rsid w:val="4A4831FA"/>
    <w:rsid w:val="4A547DF1"/>
    <w:rsid w:val="4A5743B7"/>
    <w:rsid w:val="4A5C2802"/>
    <w:rsid w:val="4A5D0A54"/>
    <w:rsid w:val="4A5E47CC"/>
    <w:rsid w:val="4A600FF0"/>
    <w:rsid w:val="4A6028DF"/>
    <w:rsid w:val="4A635ECD"/>
    <w:rsid w:val="4A6670CD"/>
    <w:rsid w:val="4A673681"/>
    <w:rsid w:val="4A6A13C3"/>
    <w:rsid w:val="4A6C6EE9"/>
    <w:rsid w:val="4A6D6C6D"/>
    <w:rsid w:val="4A7213E5"/>
    <w:rsid w:val="4A730277"/>
    <w:rsid w:val="4A762128"/>
    <w:rsid w:val="4A767D68"/>
    <w:rsid w:val="4A7B576F"/>
    <w:rsid w:val="4A82269A"/>
    <w:rsid w:val="4A871F75"/>
    <w:rsid w:val="4A8736B7"/>
    <w:rsid w:val="4A8A093A"/>
    <w:rsid w:val="4A8A4887"/>
    <w:rsid w:val="4A946440"/>
    <w:rsid w:val="4A9D3546"/>
    <w:rsid w:val="4AA80D26"/>
    <w:rsid w:val="4AA815CC"/>
    <w:rsid w:val="4AA8548E"/>
    <w:rsid w:val="4AAD70D8"/>
    <w:rsid w:val="4AB10DA0"/>
    <w:rsid w:val="4AB40161"/>
    <w:rsid w:val="4AB47C22"/>
    <w:rsid w:val="4AB50890"/>
    <w:rsid w:val="4AB52ED6"/>
    <w:rsid w:val="4ABC78BD"/>
    <w:rsid w:val="4AC911A0"/>
    <w:rsid w:val="4AC97E97"/>
    <w:rsid w:val="4ACA3C0F"/>
    <w:rsid w:val="4ACE3700"/>
    <w:rsid w:val="4ACE54AE"/>
    <w:rsid w:val="4AD04F18"/>
    <w:rsid w:val="4AD54A8E"/>
    <w:rsid w:val="4AD628FD"/>
    <w:rsid w:val="4AD65667"/>
    <w:rsid w:val="4AD73C7C"/>
    <w:rsid w:val="4ADC4A06"/>
    <w:rsid w:val="4AE66C9B"/>
    <w:rsid w:val="4AF561A9"/>
    <w:rsid w:val="4AFA62A3"/>
    <w:rsid w:val="4AFC5A7E"/>
    <w:rsid w:val="4AFD5C6D"/>
    <w:rsid w:val="4B025B2A"/>
    <w:rsid w:val="4B0435C5"/>
    <w:rsid w:val="4B0444B6"/>
    <w:rsid w:val="4B093340"/>
    <w:rsid w:val="4B14080F"/>
    <w:rsid w:val="4B1478A9"/>
    <w:rsid w:val="4B174A2D"/>
    <w:rsid w:val="4B187071"/>
    <w:rsid w:val="4B242568"/>
    <w:rsid w:val="4B257098"/>
    <w:rsid w:val="4B296B88"/>
    <w:rsid w:val="4B332BBA"/>
    <w:rsid w:val="4B372A55"/>
    <w:rsid w:val="4B384BD5"/>
    <w:rsid w:val="4B3C2D5F"/>
    <w:rsid w:val="4B3D0AC6"/>
    <w:rsid w:val="4B3D1569"/>
    <w:rsid w:val="4B415787"/>
    <w:rsid w:val="4B43714F"/>
    <w:rsid w:val="4B49547C"/>
    <w:rsid w:val="4B49722A"/>
    <w:rsid w:val="4B4E4840"/>
    <w:rsid w:val="4B5001BC"/>
    <w:rsid w:val="4B527A7B"/>
    <w:rsid w:val="4B5819E1"/>
    <w:rsid w:val="4B5A31E5"/>
    <w:rsid w:val="4B5A6F67"/>
    <w:rsid w:val="4B5B5E8A"/>
    <w:rsid w:val="4B5D4A84"/>
    <w:rsid w:val="4B5E0F27"/>
    <w:rsid w:val="4B616322"/>
    <w:rsid w:val="4B647BC0"/>
    <w:rsid w:val="4B663309"/>
    <w:rsid w:val="4B676B09"/>
    <w:rsid w:val="4B683F27"/>
    <w:rsid w:val="4B6877E6"/>
    <w:rsid w:val="4B710D89"/>
    <w:rsid w:val="4B775958"/>
    <w:rsid w:val="4B7818BD"/>
    <w:rsid w:val="4B790E0E"/>
    <w:rsid w:val="4B7D18C7"/>
    <w:rsid w:val="4B7D19B8"/>
    <w:rsid w:val="4B7D2656"/>
    <w:rsid w:val="4B7D653D"/>
    <w:rsid w:val="4B7F0E9E"/>
    <w:rsid w:val="4B814263"/>
    <w:rsid w:val="4B824F83"/>
    <w:rsid w:val="4B870ABA"/>
    <w:rsid w:val="4B872FAE"/>
    <w:rsid w:val="4B8D5369"/>
    <w:rsid w:val="4B94339F"/>
    <w:rsid w:val="4B9506C1"/>
    <w:rsid w:val="4B991A45"/>
    <w:rsid w:val="4BA12BC2"/>
    <w:rsid w:val="4BA91A77"/>
    <w:rsid w:val="4BAB1C93"/>
    <w:rsid w:val="4BAD0B5E"/>
    <w:rsid w:val="4BAE27DB"/>
    <w:rsid w:val="4BB24DCF"/>
    <w:rsid w:val="4BB40B47"/>
    <w:rsid w:val="4BB82E19"/>
    <w:rsid w:val="4BB8589E"/>
    <w:rsid w:val="4BB90F29"/>
    <w:rsid w:val="4BBC5C4E"/>
    <w:rsid w:val="4BBC79FC"/>
    <w:rsid w:val="4BBE2C42"/>
    <w:rsid w:val="4BBE3774"/>
    <w:rsid w:val="4BC44B03"/>
    <w:rsid w:val="4BC85C71"/>
    <w:rsid w:val="4BC915E4"/>
    <w:rsid w:val="4BCD39B7"/>
    <w:rsid w:val="4BCD7E5B"/>
    <w:rsid w:val="4BD069EB"/>
    <w:rsid w:val="4BE00C77"/>
    <w:rsid w:val="4BE11211"/>
    <w:rsid w:val="4BE156B5"/>
    <w:rsid w:val="4BE529EF"/>
    <w:rsid w:val="4BE54D33"/>
    <w:rsid w:val="4BE73D81"/>
    <w:rsid w:val="4BE82E40"/>
    <w:rsid w:val="4BEB349F"/>
    <w:rsid w:val="4BEC289F"/>
    <w:rsid w:val="4BED5E07"/>
    <w:rsid w:val="4BF12E75"/>
    <w:rsid w:val="4BF83601"/>
    <w:rsid w:val="4BFA5C54"/>
    <w:rsid w:val="4BFB6776"/>
    <w:rsid w:val="4BFC429C"/>
    <w:rsid w:val="4BFC42FC"/>
    <w:rsid w:val="4BFF06FD"/>
    <w:rsid w:val="4C0163F1"/>
    <w:rsid w:val="4C017B05"/>
    <w:rsid w:val="4C0849EF"/>
    <w:rsid w:val="4C0A0767"/>
    <w:rsid w:val="4C0D64AA"/>
    <w:rsid w:val="4C143394"/>
    <w:rsid w:val="4C15710C"/>
    <w:rsid w:val="4C231829"/>
    <w:rsid w:val="4C251A45"/>
    <w:rsid w:val="4C2C538B"/>
    <w:rsid w:val="4C2F01CE"/>
    <w:rsid w:val="4C303F46"/>
    <w:rsid w:val="4C307B77"/>
    <w:rsid w:val="4C3103EA"/>
    <w:rsid w:val="4C3D39E2"/>
    <w:rsid w:val="4C433C79"/>
    <w:rsid w:val="4C437DD5"/>
    <w:rsid w:val="4C4523A2"/>
    <w:rsid w:val="4C457FEC"/>
    <w:rsid w:val="4C465518"/>
    <w:rsid w:val="4C4961A5"/>
    <w:rsid w:val="4C4A0649"/>
    <w:rsid w:val="4C4F0870"/>
    <w:rsid w:val="4C54548E"/>
    <w:rsid w:val="4C5502AB"/>
    <w:rsid w:val="4C57284D"/>
    <w:rsid w:val="4C5916EF"/>
    <w:rsid w:val="4C59300A"/>
    <w:rsid w:val="4C5953AF"/>
    <w:rsid w:val="4C61091F"/>
    <w:rsid w:val="4C68073A"/>
    <w:rsid w:val="4C68144D"/>
    <w:rsid w:val="4C6A57DA"/>
    <w:rsid w:val="4C6B6C98"/>
    <w:rsid w:val="4C725B5C"/>
    <w:rsid w:val="4C760D25"/>
    <w:rsid w:val="4C7622A1"/>
    <w:rsid w:val="4C787DC7"/>
    <w:rsid w:val="4C7B3413"/>
    <w:rsid w:val="4C7E5ECA"/>
    <w:rsid w:val="4C83676C"/>
    <w:rsid w:val="4C876AA5"/>
    <w:rsid w:val="4C876DD7"/>
    <w:rsid w:val="4C8A3393"/>
    <w:rsid w:val="4C8D1F64"/>
    <w:rsid w:val="4C8F3363"/>
    <w:rsid w:val="4C9E35A6"/>
    <w:rsid w:val="4CA24E44"/>
    <w:rsid w:val="4CA70BB8"/>
    <w:rsid w:val="4CA94424"/>
    <w:rsid w:val="4CA961D2"/>
    <w:rsid w:val="4CAC5CC3"/>
    <w:rsid w:val="4CAD6516"/>
    <w:rsid w:val="4CAF1F96"/>
    <w:rsid w:val="4CAF20F1"/>
    <w:rsid w:val="4CB40B2E"/>
    <w:rsid w:val="4CB411E8"/>
    <w:rsid w:val="4CB66B41"/>
    <w:rsid w:val="4CB751DE"/>
    <w:rsid w:val="4CB82293"/>
    <w:rsid w:val="4CB93F3C"/>
    <w:rsid w:val="4CBD7954"/>
    <w:rsid w:val="4CBF57B2"/>
    <w:rsid w:val="4CBF5BC9"/>
    <w:rsid w:val="4CC0176E"/>
    <w:rsid w:val="4CC16771"/>
    <w:rsid w:val="4CC254E6"/>
    <w:rsid w:val="4CC843D6"/>
    <w:rsid w:val="4CCE3E8B"/>
    <w:rsid w:val="4CCE79E7"/>
    <w:rsid w:val="4CD009E1"/>
    <w:rsid w:val="4CD26B56"/>
    <w:rsid w:val="4CD64AED"/>
    <w:rsid w:val="4CDC2CE3"/>
    <w:rsid w:val="4CDC5B92"/>
    <w:rsid w:val="4CDD40CE"/>
    <w:rsid w:val="4CDF7E46"/>
    <w:rsid w:val="4CE45E63"/>
    <w:rsid w:val="4CE4720A"/>
    <w:rsid w:val="4CE853CE"/>
    <w:rsid w:val="4CEA67EB"/>
    <w:rsid w:val="4CEE473D"/>
    <w:rsid w:val="4CF63551"/>
    <w:rsid w:val="4CF84A64"/>
    <w:rsid w:val="4CFC1132"/>
    <w:rsid w:val="4CFF4044"/>
    <w:rsid w:val="4D030E27"/>
    <w:rsid w:val="4D04464F"/>
    <w:rsid w:val="4D07114B"/>
    <w:rsid w:val="4D0E00FB"/>
    <w:rsid w:val="4D0F0ADB"/>
    <w:rsid w:val="4D176606"/>
    <w:rsid w:val="4D184EC9"/>
    <w:rsid w:val="4D1B499A"/>
    <w:rsid w:val="4D1C0555"/>
    <w:rsid w:val="4D1F6494"/>
    <w:rsid w:val="4D22429A"/>
    <w:rsid w:val="4D2B308B"/>
    <w:rsid w:val="4D2E777B"/>
    <w:rsid w:val="4D2F64B6"/>
    <w:rsid w:val="4D334D60"/>
    <w:rsid w:val="4D340718"/>
    <w:rsid w:val="4D350454"/>
    <w:rsid w:val="4D3929B9"/>
    <w:rsid w:val="4D3D2DBF"/>
    <w:rsid w:val="4D4001B9"/>
    <w:rsid w:val="4D4544C1"/>
    <w:rsid w:val="4D4D58E0"/>
    <w:rsid w:val="4D503223"/>
    <w:rsid w:val="4D5315AB"/>
    <w:rsid w:val="4D545710"/>
    <w:rsid w:val="4D551EB6"/>
    <w:rsid w:val="4D565C2E"/>
    <w:rsid w:val="4D574E8C"/>
    <w:rsid w:val="4D5A74CD"/>
    <w:rsid w:val="4D5C3245"/>
    <w:rsid w:val="4D5E00F5"/>
    <w:rsid w:val="4D5E13AE"/>
    <w:rsid w:val="4D604D4B"/>
    <w:rsid w:val="4D64659D"/>
    <w:rsid w:val="4D6754E9"/>
    <w:rsid w:val="4D705B66"/>
    <w:rsid w:val="4D73233C"/>
    <w:rsid w:val="4D761509"/>
    <w:rsid w:val="4D7935D0"/>
    <w:rsid w:val="4D7A7353"/>
    <w:rsid w:val="4D7A784B"/>
    <w:rsid w:val="4D7D31BB"/>
    <w:rsid w:val="4D7F0CE1"/>
    <w:rsid w:val="4D8031C4"/>
    <w:rsid w:val="4D8128A7"/>
    <w:rsid w:val="4D8C33FE"/>
    <w:rsid w:val="4D93478D"/>
    <w:rsid w:val="4D9A1FBF"/>
    <w:rsid w:val="4D9D560B"/>
    <w:rsid w:val="4DA14831"/>
    <w:rsid w:val="4DA16EA9"/>
    <w:rsid w:val="4DA62712"/>
    <w:rsid w:val="4DA92202"/>
    <w:rsid w:val="4DAA0962"/>
    <w:rsid w:val="4DAB49EF"/>
    <w:rsid w:val="4DAB5F7A"/>
    <w:rsid w:val="4DAD3AA0"/>
    <w:rsid w:val="4DB03590"/>
    <w:rsid w:val="4DBA7F6B"/>
    <w:rsid w:val="4DC464C6"/>
    <w:rsid w:val="4DC54880"/>
    <w:rsid w:val="4DC65D35"/>
    <w:rsid w:val="4DC808DA"/>
    <w:rsid w:val="4DC94652"/>
    <w:rsid w:val="4DC978E4"/>
    <w:rsid w:val="4DCB3B7F"/>
    <w:rsid w:val="4DCC3EE3"/>
    <w:rsid w:val="4DDF5C24"/>
    <w:rsid w:val="4DE05B34"/>
    <w:rsid w:val="4DE1374A"/>
    <w:rsid w:val="4DE1483E"/>
    <w:rsid w:val="4DE841A9"/>
    <w:rsid w:val="4DE94B51"/>
    <w:rsid w:val="4DE95C88"/>
    <w:rsid w:val="4DEC4FB0"/>
    <w:rsid w:val="4DEF5F99"/>
    <w:rsid w:val="4DF0398D"/>
    <w:rsid w:val="4DF10155"/>
    <w:rsid w:val="4DF304AF"/>
    <w:rsid w:val="4DF43D07"/>
    <w:rsid w:val="4DF5104E"/>
    <w:rsid w:val="4DF65160"/>
    <w:rsid w:val="4DF711BF"/>
    <w:rsid w:val="4DF74D1B"/>
    <w:rsid w:val="4DFB3AC0"/>
    <w:rsid w:val="4DFC6E26"/>
    <w:rsid w:val="4DFD4E42"/>
    <w:rsid w:val="4E037C78"/>
    <w:rsid w:val="4E071A4D"/>
    <w:rsid w:val="4E075D8A"/>
    <w:rsid w:val="4E076149"/>
    <w:rsid w:val="4E086F29"/>
    <w:rsid w:val="4E094D93"/>
    <w:rsid w:val="4E0D5249"/>
    <w:rsid w:val="4E0D53D9"/>
    <w:rsid w:val="4E1952EE"/>
    <w:rsid w:val="4E1E61D3"/>
    <w:rsid w:val="4E1F64C8"/>
    <w:rsid w:val="4E234C10"/>
    <w:rsid w:val="4E252003"/>
    <w:rsid w:val="4E2646DB"/>
    <w:rsid w:val="4E2B17E0"/>
    <w:rsid w:val="4E2D4BE1"/>
    <w:rsid w:val="4E31219A"/>
    <w:rsid w:val="4E3138C7"/>
    <w:rsid w:val="4E323FA5"/>
    <w:rsid w:val="4E3537A3"/>
    <w:rsid w:val="4E353A96"/>
    <w:rsid w:val="4E356AFE"/>
    <w:rsid w:val="4E366E1A"/>
    <w:rsid w:val="4E36799E"/>
    <w:rsid w:val="4E41068C"/>
    <w:rsid w:val="4E434405"/>
    <w:rsid w:val="4E45007C"/>
    <w:rsid w:val="4E473EF5"/>
    <w:rsid w:val="4E475A56"/>
    <w:rsid w:val="4E4762E4"/>
    <w:rsid w:val="4E481A1B"/>
    <w:rsid w:val="4E491D67"/>
    <w:rsid w:val="4E4C00AB"/>
    <w:rsid w:val="4E4F4759"/>
    <w:rsid w:val="4E52289A"/>
    <w:rsid w:val="4E557C94"/>
    <w:rsid w:val="4E5910D6"/>
    <w:rsid w:val="4E593C28"/>
    <w:rsid w:val="4E5A52AA"/>
    <w:rsid w:val="4E5B4E73"/>
    <w:rsid w:val="4E5C7274"/>
    <w:rsid w:val="4E6600F3"/>
    <w:rsid w:val="4E6B34D3"/>
    <w:rsid w:val="4E730BCD"/>
    <w:rsid w:val="4E7414EF"/>
    <w:rsid w:val="4E775E5C"/>
    <w:rsid w:val="4E7B3B9E"/>
    <w:rsid w:val="4E802F63"/>
    <w:rsid w:val="4E830F9E"/>
    <w:rsid w:val="4E8409A5"/>
    <w:rsid w:val="4E8567CB"/>
    <w:rsid w:val="4E863C6F"/>
    <w:rsid w:val="4E8739F4"/>
    <w:rsid w:val="4E8D051A"/>
    <w:rsid w:val="4E8D5680"/>
    <w:rsid w:val="4E8D742E"/>
    <w:rsid w:val="4E9133C2"/>
    <w:rsid w:val="4E943EEE"/>
    <w:rsid w:val="4E947478"/>
    <w:rsid w:val="4E993A44"/>
    <w:rsid w:val="4E99761F"/>
    <w:rsid w:val="4E9B1B4B"/>
    <w:rsid w:val="4E9C58C3"/>
    <w:rsid w:val="4E9E5ADF"/>
    <w:rsid w:val="4EA053B3"/>
    <w:rsid w:val="4EA65806"/>
    <w:rsid w:val="4EA76741"/>
    <w:rsid w:val="4EA773CC"/>
    <w:rsid w:val="4EAC43F9"/>
    <w:rsid w:val="4EAD7AD0"/>
    <w:rsid w:val="4EAF3848"/>
    <w:rsid w:val="4EB33338"/>
    <w:rsid w:val="4EB46FB4"/>
    <w:rsid w:val="4EB470B0"/>
    <w:rsid w:val="4EB946C7"/>
    <w:rsid w:val="4EBD6A8F"/>
    <w:rsid w:val="4EC00FAD"/>
    <w:rsid w:val="4EC458DE"/>
    <w:rsid w:val="4EC54E1A"/>
    <w:rsid w:val="4ED24BC6"/>
    <w:rsid w:val="4ED27537"/>
    <w:rsid w:val="4ED80859"/>
    <w:rsid w:val="4ED81BD9"/>
    <w:rsid w:val="4ED908C5"/>
    <w:rsid w:val="4EDE412D"/>
    <w:rsid w:val="4EDE7C89"/>
    <w:rsid w:val="4EE011FE"/>
    <w:rsid w:val="4EE01C53"/>
    <w:rsid w:val="4EE23C1E"/>
    <w:rsid w:val="4EE764E7"/>
    <w:rsid w:val="4EF53D52"/>
    <w:rsid w:val="4EF676C9"/>
    <w:rsid w:val="4F0040A4"/>
    <w:rsid w:val="4F00767D"/>
    <w:rsid w:val="4F043B94"/>
    <w:rsid w:val="4F06566B"/>
    <w:rsid w:val="4F082F58"/>
    <w:rsid w:val="4F0911AA"/>
    <w:rsid w:val="4F0A0A7E"/>
    <w:rsid w:val="4F0A4F22"/>
    <w:rsid w:val="4F0D4B7E"/>
    <w:rsid w:val="4F0E63CE"/>
    <w:rsid w:val="4F11005F"/>
    <w:rsid w:val="4F111E0D"/>
    <w:rsid w:val="4F155DA1"/>
    <w:rsid w:val="4F1D2EA8"/>
    <w:rsid w:val="4F1F277C"/>
    <w:rsid w:val="4F20588B"/>
    <w:rsid w:val="4F266C65"/>
    <w:rsid w:val="4F271630"/>
    <w:rsid w:val="4F2732DA"/>
    <w:rsid w:val="4F2F3C97"/>
    <w:rsid w:val="4F314814"/>
    <w:rsid w:val="4F322AC9"/>
    <w:rsid w:val="4F38521B"/>
    <w:rsid w:val="4F3B3C7C"/>
    <w:rsid w:val="4F3C03F9"/>
    <w:rsid w:val="4F3C6881"/>
    <w:rsid w:val="4F4C72E9"/>
    <w:rsid w:val="4F4E12B3"/>
    <w:rsid w:val="4F4E1725"/>
    <w:rsid w:val="4F50502B"/>
    <w:rsid w:val="4F530677"/>
    <w:rsid w:val="4F5379B6"/>
    <w:rsid w:val="4F576A76"/>
    <w:rsid w:val="4F585C8E"/>
    <w:rsid w:val="4F5A37B4"/>
    <w:rsid w:val="4F5F701C"/>
    <w:rsid w:val="4F61342E"/>
    <w:rsid w:val="4F666568"/>
    <w:rsid w:val="4F691C49"/>
    <w:rsid w:val="4F712E54"/>
    <w:rsid w:val="4F7314EF"/>
    <w:rsid w:val="4F7505EE"/>
    <w:rsid w:val="4F7800DE"/>
    <w:rsid w:val="4F7B4353"/>
    <w:rsid w:val="4F7D3946"/>
    <w:rsid w:val="4F7F2E3E"/>
    <w:rsid w:val="4F87191D"/>
    <w:rsid w:val="4F8905E5"/>
    <w:rsid w:val="4F891D00"/>
    <w:rsid w:val="4F934CCB"/>
    <w:rsid w:val="4F950761"/>
    <w:rsid w:val="4F9843DC"/>
    <w:rsid w:val="4F992A2E"/>
    <w:rsid w:val="4F9A62A6"/>
    <w:rsid w:val="4F9C201E"/>
    <w:rsid w:val="4FA5332D"/>
    <w:rsid w:val="4FAC4779"/>
    <w:rsid w:val="4FAD667C"/>
    <w:rsid w:val="4FAE58AE"/>
    <w:rsid w:val="4FAF69C7"/>
    <w:rsid w:val="4FB21842"/>
    <w:rsid w:val="4FB76E58"/>
    <w:rsid w:val="4FB82BD0"/>
    <w:rsid w:val="4FB87166"/>
    <w:rsid w:val="4FBA284E"/>
    <w:rsid w:val="4FC21359"/>
    <w:rsid w:val="4FC275AB"/>
    <w:rsid w:val="4FC34E3D"/>
    <w:rsid w:val="4FC357E8"/>
    <w:rsid w:val="4FC357FD"/>
    <w:rsid w:val="4FC62A8C"/>
    <w:rsid w:val="4FC6709B"/>
    <w:rsid w:val="4FC774A8"/>
    <w:rsid w:val="4FC8015F"/>
    <w:rsid w:val="4FCB1AB9"/>
    <w:rsid w:val="4FD00A0E"/>
    <w:rsid w:val="4FD12620"/>
    <w:rsid w:val="4FD506C1"/>
    <w:rsid w:val="4FD735FD"/>
    <w:rsid w:val="4FDA2B47"/>
    <w:rsid w:val="4FDE2637"/>
    <w:rsid w:val="4FE20F0D"/>
    <w:rsid w:val="4FE27A7A"/>
    <w:rsid w:val="4FE51552"/>
    <w:rsid w:val="4FEB0411"/>
    <w:rsid w:val="4FEB4D54"/>
    <w:rsid w:val="4FEB7D89"/>
    <w:rsid w:val="4FED4628"/>
    <w:rsid w:val="4FEE03A0"/>
    <w:rsid w:val="4FEE2F94"/>
    <w:rsid w:val="4FF0236A"/>
    <w:rsid w:val="4FF31800"/>
    <w:rsid w:val="4FF43C88"/>
    <w:rsid w:val="4FF51ACD"/>
    <w:rsid w:val="4FF63749"/>
    <w:rsid w:val="4FFC486B"/>
    <w:rsid w:val="4FFF25AD"/>
    <w:rsid w:val="5001388B"/>
    <w:rsid w:val="5005671C"/>
    <w:rsid w:val="500656EA"/>
    <w:rsid w:val="500F0A42"/>
    <w:rsid w:val="501778F7"/>
    <w:rsid w:val="501A0F72"/>
    <w:rsid w:val="501A1687"/>
    <w:rsid w:val="501D7113"/>
    <w:rsid w:val="501E0C85"/>
    <w:rsid w:val="501E227E"/>
    <w:rsid w:val="50203374"/>
    <w:rsid w:val="50210776"/>
    <w:rsid w:val="502135A5"/>
    <w:rsid w:val="502142D2"/>
    <w:rsid w:val="50243CF3"/>
    <w:rsid w:val="50277AA8"/>
    <w:rsid w:val="502B2A69"/>
    <w:rsid w:val="502B33A2"/>
    <w:rsid w:val="502D0EC8"/>
    <w:rsid w:val="502F4C40"/>
    <w:rsid w:val="5032028D"/>
    <w:rsid w:val="5039786D"/>
    <w:rsid w:val="503A35E5"/>
    <w:rsid w:val="503C55AF"/>
    <w:rsid w:val="503D6394"/>
    <w:rsid w:val="50416722"/>
    <w:rsid w:val="50462171"/>
    <w:rsid w:val="50474314"/>
    <w:rsid w:val="50483F54"/>
    <w:rsid w:val="504F7091"/>
    <w:rsid w:val="50502E09"/>
    <w:rsid w:val="50504C4B"/>
    <w:rsid w:val="5052092F"/>
    <w:rsid w:val="50586E5B"/>
    <w:rsid w:val="505C355C"/>
    <w:rsid w:val="505E040E"/>
    <w:rsid w:val="5069589A"/>
    <w:rsid w:val="506A647C"/>
    <w:rsid w:val="506B19F1"/>
    <w:rsid w:val="506B7C43"/>
    <w:rsid w:val="506D7517"/>
    <w:rsid w:val="5074708F"/>
    <w:rsid w:val="50795EBC"/>
    <w:rsid w:val="507960A6"/>
    <w:rsid w:val="507A1E30"/>
    <w:rsid w:val="507A7CD0"/>
    <w:rsid w:val="507B7E86"/>
    <w:rsid w:val="508036EE"/>
    <w:rsid w:val="5080549C"/>
    <w:rsid w:val="50812FC2"/>
    <w:rsid w:val="50821F1C"/>
    <w:rsid w:val="508825A3"/>
    <w:rsid w:val="508D51C5"/>
    <w:rsid w:val="50992972"/>
    <w:rsid w:val="509947B0"/>
    <w:rsid w:val="509C6E7C"/>
    <w:rsid w:val="50A85EBB"/>
    <w:rsid w:val="50AA60EF"/>
    <w:rsid w:val="50AB003F"/>
    <w:rsid w:val="50AD135C"/>
    <w:rsid w:val="50AD153D"/>
    <w:rsid w:val="50B058D6"/>
    <w:rsid w:val="50B1456A"/>
    <w:rsid w:val="50B25872"/>
    <w:rsid w:val="50B46AC0"/>
    <w:rsid w:val="50B52C6C"/>
    <w:rsid w:val="50BA3270"/>
    <w:rsid w:val="50BF262F"/>
    <w:rsid w:val="50C23D07"/>
    <w:rsid w:val="50C85B35"/>
    <w:rsid w:val="50CD34F7"/>
    <w:rsid w:val="50CE4264"/>
    <w:rsid w:val="50D92B4F"/>
    <w:rsid w:val="50DD28EE"/>
    <w:rsid w:val="50E21CB3"/>
    <w:rsid w:val="50E33C7D"/>
    <w:rsid w:val="50E63289"/>
    <w:rsid w:val="50E853D1"/>
    <w:rsid w:val="50EA6DB9"/>
    <w:rsid w:val="50EC48E0"/>
    <w:rsid w:val="50ED0658"/>
    <w:rsid w:val="50EF43D0"/>
    <w:rsid w:val="50F31B9A"/>
    <w:rsid w:val="50F6575E"/>
    <w:rsid w:val="50F87FAC"/>
    <w:rsid w:val="510042CE"/>
    <w:rsid w:val="510065DD"/>
    <w:rsid w:val="51047C53"/>
    <w:rsid w:val="510734C7"/>
    <w:rsid w:val="510C4F82"/>
    <w:rsid w:val="510D2153"/>
    <w:rsid w:val="510D30A1"/>
    <w:rsid w:val="510F4A72"/>
    <w:rsid w:val="51112598"/>
    <w:rsid w:val="51133F3C"/>
    <w:rsid w:val="51145BE4"/>
    <w:rsid w:val="51181D4C"/>
    <w:rsid w:val="511A2324"/>
    <w:rsid w:val="511B51C5"/>
    <w:rsid w:val="512247A5"/>
    <w:rsid w:val="51271DBC"/>
    <w:rsid w:val="51281690"/>
    <w:rsid w:val="51285CB7"/>
    <w:rsid w:val="512A365A"/>
    <w:rsid w:val="512F0C70"/>
    <w:rsid w:val="513242BC"/>
    <w:rsid w:val="51346287"/>
    <w:rsid w:val="51385D77"/>
    <w:rsid w:val="513C2280"/>
    <w:rsid w:val="51416568"/>
    <w:rsid w:val="514209A3"/>
    <w:rsid w:val="51453FF0"/>
    <w:rsid w:val="514839CF"/>
    <w:rsid w:val="51491D32"/>
    <w:rsid w:val="514A766A"/>
    <w:rsid w:val="514B553F"/>
    <w:rsid w:val="514F30C0"/>
    <w:rsid w:val="515108BD"/>
    <w:rsid w:val="515212D7"/>
    <w:rsid w:val="515272E8"/>
    <w:rsid w:val="515372AB"/>
    <w:rsid w:val="515D758B"/>
    <w:rsid w:val="515E50B1"/>
    <w:rsid w:val="51617AA8"/>
    <w:rsid w:val="5162104E"/>
    <w:rsid w:val="51674528"/>
    <w:rsid w:val="5167539E"/>
    <w:rsid w:val="5167665C"/>
    <w:rsid w:val="516C3570"/>
    <w:rsid w:val="51765D63"/>
    <w:rsid w:val="517F0F92"/>
    <w:rsid w:val="517F39A6"/>
    <w:rsid w:val="518014CC"/>
    <w:rsid w:val="5184720E"/>
    <w:rsid w:val="51864D34"/>
    <w:rsid w:val="5187285A"/>
    <w:rsid w:val="51873BC2"/>
    <w:rsid w:val="51874608"/>
    <w:rsid w:val="518B5659"/>
    <w:rsid w:val="518C7E71"/>
    <w:rsid w:val="518E2DCE"/>
    <w:rsid w:val="51940CA3"/>
    <w:rsid w:val="519531C9"/>
    <w:rsid w:val="5199174F"/>
    <w:rsid w:val="519A07DF"/>
    <w:rsid w:val="519F1952"/>
    <w:rsid w:val="519F7BA4"/>
    <w:rsid w:val="51A76A58"/>
    <w:rsid w:val="51A87F76"/>
    <w:rsid w:val="51AC0513"/>
    <w:rsid w:val="51BE685C"/>
    <w:rsid w:val="51BF7CD3"/>
    <w:rsid w:val="51C8234F"/>
    <w:rsid w:val="51D74AB3"/>
    <w:rsid w:val="51D8527A"/>
    <w:rsid w:val="51D90A22"/>
    <w:rsid w:val="51E23F34"/>
    <w:rsid w:val="51E43FE9"/>
    <w:rsid w:val="51E541D6"/>
    <w:rsid w:val="51E97E54"/>
    <w:rsid w:val="51EB2DE9"/>
    <w:rsid w:val="51EB4B97"/>
    <w:rsid w:val="51ED0921"/>
    <w:rsid w:val="51F22B48"/>
    <w:rsid w:val="51F242F7"/>
    <w:rsid w:val="51F3748D"/>
    <w:rsid w:val="51F532CA"/>
    <w:rsid w:val="51F64E82"/>
    <w:rsid w:val="51F779E0"/>
    <w:rsid w:val="51FF11C7"/>
    <w:rsid w:val="51FF4AE6"/>
    <w:rsid w:val="52043EAB"/>
    <w:rsid w:val="520642DD"/>
    <w:rsid w:val="52065479"/>
    <w:rsid w:val="52067C23"/>
    <w:rsid w:val="5208399B"/>
    <w:rsid w:val="520A3281"/>
    <w:rsid w:val="52104ACE"/>
    <w:rsid w:val="52196F0A"/>
    <w:rsid w:val="521B468E"/>
    <w:rsid w:val="5221129C"/>
    <w:rsid w:val="522602C5"/>
    <w:rsid w:val="522A797E"/>
    <w:rsid w:val="522D0A30"/>
    <w:rsid w:val="522D1654"/>
    <w:rsid w:val="523264AA"/>
    <w:rsid w:val="52326C6A"/>
    <w:rsid w:val="523522B6"/>
    <w:rsid w:val="52397FF8"/>
    <w:rsid w:val="523E560F"/>
    <w:rsid w:val="524644C3"/>
    <w:rsid w:val="52495D62"/>
    <w:rsid w:val="524A3FB4"/>
    <w:rsid w:val="525070F0"/>
    <w:rsid w:val="5252508D"/>
    <w:rsid w:val="52536A27"/>
    <w:rsid w:val="525420E5"/>
    <w:rsid w:val="52595FA5"/>
    <w:rsid w:val="525A4D5C"/>
    <w:rsid w:val="525D1CCF"/>
    <w:rsid w:val="525E1935"/>
    <w:rsid w:val="52603894"/>
    <w:rsid w:val="5265190D"/>
    <w:rsid w:val="52734B8D"/>
    <w:rsid w:val="527B708C"/>
    <w:rsid w:val="527F3531"/>
    <w:rsid w:val="528258A8"/>
    <w:rsid w:val="528374C6"/>
    <w:rsid w:val="52846D9A"/>
    <w:rsid w:val="52851C11"/>
    <w:rsid w:val="528656AE"/>
    <w:rsid w:val="5288688A"/>
    <w:rsid w:val="528C76D0"/>
    <w:rsid w:val="528D20F2"/>
    <w:rsid w:val="528E6335"/>
    <w:rsid w:val="5290573F"/>
    <w:rsid w:val="5296487D"/>
    <w:rsid w:val="52967C59"/>
    <w:rsid w:val="529B581A"/>
    <w:rsid w:val="52B23907"/>
    <w:rsid w:val="52B4639C"/>
    <w:rsid w:val="52B61649"/>
    <w:rsid w:val="52B87298"/>
    <w:rsid w:val="52BC29D7"/>
    <w:rsid w:val="52C13B4A"/>
    <w:rsid w:val="52C5188C"/>
    <w:rsid w:val="52C71AFC"/>
    <w:rsid w:val="52C74D84"/>
    <w:rsid w:val="52CB49C9"/>
    <w:rsid w:val="52CC3DEA"/>
    <w:rsid w:val="52D25D57"/>
    <w:rsid w:val="52D374D1"/>
    <w:rsid w:val="52D43E29"/>
    <w:rsid w:val="52D47D21"/>
    <w:rsid w:val="52D7361C"/>
    <w:rsid w:val="52D7511B"/>
    <w:rsid w:val="52D970E6"/>
    <w:rsid w:val="52DD61F2"/>
    <w:rsid w:val="52DE46FC"/>
    <w:rsid w:val="52E258A1"/>
    <w:rsid w:val="52E33AC0"/>
    <w:rsid w:val="52E46A6D"/>
    <w:rsid w:val="52E5007E"/>
    <w:rsid w:val="52E71802"/>
    <w:rsid w:val="52EF59D3"/>
    <w:rsid w:val="52F61A46"/>
    <w:rsid w:val="52F715A0"/>
    <w:rsid w:val="52FF0513"/>
    <w:rsid w:val="53037164"/>
    <w:rsid w:val="530443EF"/>
    <w:rsid w:val="53044CDD"/>
    <w:rsid w:val="530530D4"/>
    <w:rsid w:val="53091129"/>
    <w:rsid w:val="530E0072"/>
    <w:rsid w:val="531356F0"/>
    <w:rsid w:val="531445C2"/>
    <w:rsid w:val="53165C44"/>
    <w:rsid w:val="531B0C23"/>
    <w:rsid w:val="531E2D4A"/>
    <w:rsid w:val="532365B3"/>
    <w:rsid w:val="532A5B93"/>
    <w:rsid w:val="532C190B"/>
    <w:rsid w:val="532E5232"/>
    <w:rsid w:val="53394028"/>
    <w:rsid w:val="533F163E"/>
    <w:rsid w:val="53407D89"/>
    <w:rsid w:val="534126A3"/>
    <w:rsid w:val="53422EDD"/>
    <w:rsid w:val="53430A03"/>
    <w:rsid w:val="534327B1"/>
    <w:rsid w:val="53434365"/>
    <w:rsid w:val="534529CD"/>
    <w:rsid w:val="534530AA"/>
    <w:rsid w:val="534B52B4"/>
    <w:rsid w:val="534D0ABF"/>
    <w:rsid w:val="534F73A8"/>
    <w:rsid w:val="53513120"/>
    <w:rsid w:val="535350EA"/>
    <w:rsid w:val="5358770E"/>
    <w:rsid w:val="535D1AC5"/>
    <w:rsid w:val="536015B5"/>
    <w:rsid w:val="53654E1D"/>
    <w:rsid w:val="5366248E"/>
    <w:rsid w:val="536C0F21"/>
    <w:rsid w:val="536C630A"/>
    <w:rsid w:val="536D0954"/>
    <w:rsid w:val="5372133A"/>
    <w:rsid w:val="537A0781"/>
    <w:rsid w:val="53876B42"/>
    <w:rsid w:val="538B16E4"/>
    <w:rsid w:val="538D5DA0"/>
    <w:rsid w:val="53943AE8"/>
    <w:rsid w:val="53961250"/>
    <w:rsid w:val="53A039CC"/>
    <w:rsid w:val="53A1505A"/>
    <w:rsid w:val="53A44BBD"/>
    <w:rsid w:val="53A879CA"/>
    <w:rsid w:val="53AC65A8"/>
    <w:rsid w:val="53AF7399"/>
    <w:rsid w:val="53B042EA"/>
    <w:rsid w:val="53B26EE4"/>
    <w:rsid w:val="53B316E5"/>
    <w:rsid w:val="53B36E5E"/>
    <w:rsid w:val="53BA0CC5"/>
    <w:rsid w:val="53BB0FE1"/>
    <w:rsid w:val="53BF452D"/>
    <w:rsid w:val="53C86289"/>
    <w:rsid w:val="53CB2ED2"/>
    <w:rsid w:val="53CC456C"/>
    <w:rsid w:val="53D537C4"/>
    <w:rsid w:val="53D53D51"/>
    <w:rsid w:val="53D61877"/>
    <w:rsid w:val="53D6676E"/>
    <w:rsid w:val="53DC06BF"/>
    <w:rsid w:val="53DF697E"/>
    <w:rsid w:val="53E142ED"/>
    <w:rsid w:val="53E915AA"/>
    <w:rsid w:val="53EA4F69"/>
    <w:rsid w:val="53EC109A"/>
    <w:rsid w:val="53EC4BF7"/>
    <w:rsid w:val="53ED3E58"/>
    <w:rsid w:val="53F20A27"/>
    <w:rsid w:val="53F51CFD"/>
    <w:rsid w:val="53F73CC7"/>
    <w:rsid w:val="53FE5345"/>
    <w:rsid w:val="53FF4E44"/>
    <w:rsid w:val="54046603"/>
    <w:rsid w:val="54063E08"/>
    <w:rsid w:val="54097539"/>
    <w:rsid w:val="540E13C0"/>
    <w:rsid w:val="540F0C6A"/>
    <w:rsid w:val="5415239F"/>
    <w:rsid w:val="5415414D"/>
    <w:rsid w:val="541859EC"/>
    <w:rsid w:val="54197654"/>
    <w:rsid w:val="541D1934"/>
    <w:rsid w:val="54221624"/>
    <w:rsid w:val="54221F7B"/>
    <w:rsid w:val="542645AC"/>
    <w:rsid w:val="54273293"/>
    <w:rsid w:val="5427446D"/>
    <w:rsid w:val="54295E4B"/>
    <w:rsid w:val="542B1BC3"/>
    <w:rsid w:val="542E520F"/>
    <w:rsid w:val="54300F87"/>
    <w:rsid w:val="543437E8"/>
    <w:rsid w:val="5434795B"/>
    <w:rsid w:val="54354E9B"/>
    <w:rsid w:val="54355F96"/>
    <w:rsid w:val="54394593"/>
    <w:rsid w:val="543F11CA"/>
    <w:rsid w:val="543F741C"/>
    <w:rsid w:val="54416F62"/>
    <w:rsid w:val="54501629"/>
    <w:rsid w:val="54540089"/>
    <w:rsid w:val="54556C40"/>
    <w:rsid w:val="545A24A8"/>
    <w:rsid w:val="546155E5"/>
    <w:rsid w:val="54624EB9"/>
    <w:rsid w:val="54684BC5"/>
    <w:rsid w:val="546A7752"/>
    <w:rsid w:val="546E1AAF"/>
    <w:rsid w:val="547217D4"/>
    <w:rsid w:val="5474132A"/>
    <w:rsid w:val="54742D2A"/>
    <w:rsid w:val="547E7968"/>
    <w:rsid w:val="548136DA"/>
    <w:rsid w:val="548202E7"/>
    <w:rsid w:val="5486504B"/>
    <w:rsid w:val="548B60F4"/>
    <w:rsid w:val="549E05E7"/>
    <w:rsid w:val="54A01FF8"/>
    <w:rsid w:val="54A13C33"/>
    <w:rsid w:val="54A35BFD"/>
    <w:rsid w:val="54A61249"/>
    <w:rsid w:val="54A86D6F"/>
    <w:rsid w:val="54AA5530"/>
    <w:rsid w:val="54B43F19"/>
    <w:rsid w:val="54B5148C"/>
    <w:rsid w:val="54B73456"/>
    <w:rsid w:val="54C01DBA"/>
    <w:rsid w:val="54C3004D"/>
    <w:rsid w:val="54C811C0"/>
    <w:rsid w:val="54CB0CB0"/>
    <w:rsid w:val="54D02EA2"/>
    <w:rsid w:val="54D1276A"/>
    <w:rsid w:val="54D9517B"/>
    <w:rsid w:val="54D95365"/>
    <w:rsid w:val="54D9691A"/>
    <w:rsid w:val="54DC2EBD"/>
    <w:rsid w:val="54E51D72"/>
    <w:rsid w:val="54E87AB4"/>
    <w:rsid w:val="54EE0C49"/>
    <w:rsid w:val="54F02A10"/>
    <w:rsid w:val="54F2593F"/>
    <w:rsid w:val="54F2623D"/>
    <w:rsid w:val="54F63F7F"/>
    <w:rsid w:val="54F73313"/>
    <w:rsid w:val="54F75F49"/>
    <w:rsid w:val="54F80955"/>
    <w:rsid w:val="54FB1595"/>
    <w:rsid w:val="54FC332C"/>
    <w:rsid w:val="54FE72D7"/>
    <w:rsid w:val="550C37A2"/>
    <w:rsid w:val="550F6DEF"/>
    <w:rsid w:val="55110DB9"/>
    <w:rsid w:val="551268DF"/>
    <w:rsid w:val="55164621"/>
    <w:rsid w:val="55172147"/>
    <w:rsid w:val="55192D16"/>
    <w:rsid w:val="551A1CC2"/>
    <w:rsid w:val="551B39E5"/>
    <w:rsid w:val="5527238A"/>
    <w:rsid w:val="552761DC"/>
    <w:rsid w:val="552A00CC"/>
    <w:rsid w:val="552A1E7A"/>
    <w:rsid w:val="552D4FDB"/>
    <w:rsid w:val="55313209"/>
    <w:rsid w:val="553D00C3"/>
    <w:rsid w:val="554275E0"/>
    <w:rsid w:val="554747DA"/>
    <w:rsid w:val="554C748D"/>
    <w:rsid w:val="555170A7"/>
    <w:rsid w:val="555313D1"/>
    <w:rsid w:val="55583CBE"/>
    <w:rsid w:val="5559450E"/>
    <w:rsid w:val="555C3FD6"/>
    <w:rsid w:val="555D0627"/>
    <w:rsid w:val="555D2250"/>
    <w:rsid w:val="555E63C0"/>
    <w:rsid w:val="555E7D76"/>
    <w:rsid w:val="55630CE0"/>
    <w:rsid w:val="55684751"/>
    <w:rsid w:val="5571695E"/>
    <w:rsid w:val="557430F6"/>
    <w:rsid w:val="55747201"/>
    <w:rsid w:val="55763667"/>
    <w:rsid w:val="557B13D1"/>
    <w:rsid w:val="557C1D14"/>
    <w:rsid w:val="557C4123"/>
    <w:rsid w:val="5587536D"/>
    <w:rsid w:val="55884DB1"/>
    <w:rsid w:val="558A0B6B"/>
    <w:rsid w:val="558D37CC"/>
    <w:rsid w:val="558D77A7"/>
    <w:rsid w:val="55902691"/>
    <w:rsid w:val="55913CA7"/>
    <w:rsid w:val="559317CE"/>
    <w:rsid w:val="5595656E"/>
    <w:rsid w:val="559B174B"/>
    <w:rsid w:val="559B2D78"/>
    <w:rsid w:val="559D089E"/>
    <w:rsid w:val="559D43FA"/>
    <w:rsid w:val="559E08BC"/>
    <w:rsid w:val="55A06583"/>
    <w:rsid w:val="55A25EB5"/>
    <w:rsid w:val="55A35124"/>
    <w:rsid w:val="55A363DC"/>
    <w:rsid w:val="55A46BAD"/>
    <w:rsid w:val="55A625C8"/>
    <w:rsid w:val="55AA34E3"/>
    <w:rsid w:val="55AD1DF6"/>
    <w:rsid w:val="55B12F5F"/>
    <w:rsid w:val="55BD1AF8"/>
    <w:rsid w:val="55C220B3"/>
    <w:rsid w:val="55CC4ED6"/>
    <w:rsid w:val="55CE0A58"/>
    <w:rsid w:val="55CE0CF4"/>
    <w:rsid w:val="55DB4F23"/>
    <w:rsid w:val="55E335A1"/>
    <w:rsid w:val="55EB13F3"/>
    <w:rsid w:val="55EE10FA"/>
    <w:rsid w:val="55F06868"/>
    <w:rsid w:val="55F43DB4"/>
    <w:rsid w:val="55FD5D62"/>
    <w:rsid w:val="55FE41C5"/>
    <w:rsid w:val="56013882"/>
    <w:rsid w:val="56024BA5"/>
    <w:rsid w:val="560721BC"/>
    <w:rsid w:val="56087301"/>
    <w:rsid w:val="56095F34"/>
    <w:rsid w:val="560B1CAC"/>
    <w:rsid w:val="560F56FB"/>
    <w:rsid w:val="561843C9"/>
    <w:rsid w:val="561A52E3"/>
    <w:rsid w:val="561F2BA6"/>
    <w:rsid w:val="56221093"/>
    <w:rsid w:val="56235D52"/>
    <w:rsid w:val="562C1C22"/>
    <w:rsid w:val="562E7748"/>
    <w:rsid w:val="56310FE7"/>
    <w:rsid w:val="56327239"/>
    <w:rsid w:val="56333909"/>
    <w:rsid w:val="56387CEA"/>
    <w:rsid w:val="563A7E9B"/>
    <w:rsid w:val="564156CE"/>
    <w:rsid w:val="56496330"/>
    <w:rsid w:val="564D4072"/>
    <w:rsid w:val="564F474C"/>
    <w:rsid w:val="565365E0"/>
    <w:rsid w:val="56576C9F"/>
    <w:rsid w:val="56583527"/>
    <w:rsid w:val="565A22EB"/>
    <w:rsid w:val="565F7B5B"/>
    <w:rsid w:val="566273F2"/>
    <w:rsid w:val="566E3FE9"/>
    <w:rsid w:val="56701B0F"/>
    <w:rsid w:val="56707D61"/>
    <w:rsid w:val="56720BCE"/>
    <w:rsid w:val="56732ECD"/>
    <w:rsid w:val="567A298E"/>
    <w:rsid w:val="567A2F8D"/>
    <w:rsid w:val="567F473B"/>
    <w:rsid w:val="5681172A"/>
    <w:rsid w:val="568126DC"/>
    <w:rsid w:val="56824382"/>
    <w:rsid w:val="568747BA"/>
    <w:rsid w:val="56876E58"/>
    <w:rsid w:val="56927CD7"/>
    <w:rsid w:val="56936EBC"/>
    <w:rsid w:val="569972B8"/>
    <w:rsid w:val="569B2350"/>
    <w:rsid w:val="569C09D1"/>
    <w:rsid w:val="569C6DA8"/>
    <w:rsid w:val="56A30136"/>
    <w:rsid w:val="56A7023F"/>
    <w:rsid w:val="56A8574D"/>
    <w:rsid w:val="56B22A9C"/>
    <w:rsid w:val="56BA722E"/>
    <w:rsid w:val="56BC2FA6"/>
    <w:rsid w:val="56BE3ED2"/>
    <w:rsid w:val="56C105BC"/>
    <w:rsid w:val="56C11AAE"/>
    <w:rsid w:val="56C1236A"/>
    <w:rsid w:val="56C540E1"/>
    <w:rsid w:val="56C63E25"/>
    <w:rsid w:val="56D04896"/>
    <w:rsid w:val="56D77DE0"/>
    <w:rsid w:val="56DC53F6"/>
    <w:rsid w:val="56DE116E"/>
    <w:rsid w:val="56E46774"/>
    <w:rsid w:val="56E55C74"/>
    <w:rsid w:val="56E83D9B"/>
    <w:rsid w:val="56ED029F"/>
    <w:rsid w:val="56EE4F51"/>
    <w:rsid w:val="56F33C85"/>
    <w:rsid w:val="56F3629C"/>
    <w:rsid w:val="56F40992"/>
    <w:rsid w:val="56FB3ACE"/>
    <w:rsid w:val="57014E5D"/>
    <w:rsid w:val="57016C0B"/>
    <w:rsid w:val="570332CE"/>
    <w:rsid w:val="570A1F63"/>
    <w:rsid w:val="570A5ABF"/>
    <w:rsid w:val="570B2CBD"/>
    <w:rsid w:val="570C4711"/>
    <w:rsid w:val="570D3802"/>
    <w:rsid w:val="570E53B4"/>
    <w:rsid w:val="571050A0"/>
    <w:rsid w:val="5712706A"/>
    <w:rsid w:val="57146FBF"/>
    <w:rsid w:val="571C1C97"/>
    <w:rsid w:val="571E5B23"/>
    <w:rsid w:val="572052E3"/>
    <w:rsid w:val="57227457"/>
    <w:rsid w:val="57297951"/>
    <w:rsid w:val="572A43B4"/>
    <w:rsid w:val="572D5C52"/>
    <w:rsid w:val="57325016"/>
    <w:rsid w:val="57367EB4"/>
    <w:rsid w:val="5737262D"/>
    <w:rsid w:val="57393C58"/>
    <w:rsid w:val="573A347B"/>
    <w:rsid w:val="573B211D"/>
    <w:rsid w:val="573C5E95"/>
    <w:rsid w:val="573E1C0D"/>
    <w:rsid w:val="5740685D"/>
    <w:rsid w:val="57407733"/>
    <w:rsid w:val="574134AB"/>
    <w:rsid w:val="57437223"/>
    <w:rsid w:val="574674A4"/>
    <w:rsid w:val="574865E8"/>
    <w:rsid w:val="574A6804"/>
    <w:rsid w:val="574B7E86"/>
    <w:rsid w:val="575001A5"/>
    <w:rsid w:val="57560D05"/>
    <w:rsid w:val="575925A3"/>
    <w:rsid w:val="575E405D"/>
    <w:rsid w:val="5760151B"/>
    <w:rsid w:val="57605A0D"/>
    <w:rsid w:val="57637240"/>
    <w:rsid w:val="5765363E"/>
    <w:rsid w:val="576553EC"/>
    <w:rsid w:val="57672F12"/>
    <w:rsid w:val="576770D1"/>
    <w:rsid w:val="57691452"/>
    <w:rsid w:val="5769223F"/>
    <w:rsid w:val="576F4E40"/>
    <w:rsid w:val="576F626A"/>
    <w:rsid w:val="57707A82"/>
    <w:rsid w:val="577725CB"/>
    <w:rsid w:val="577B4C0F"/>
    <w:rsid w:val="577B69BD"/>
    <w:rsid w:val="577C3C28"/>
    <w:rsid w:val="577E46F5"/>
    <w:rsid w:val="57887AB4"/>
    <w:rsid w:val="57892EB7"/>
    <w:rsid w:val="578A4360"/>
    <w:rsid w:val="578D2339"/>
    <w:rsid w:val="57931F59"/>
    <w:rsid w:val="57934723"/>
    <w:rsid w:val="57961A49"/>
    <w:rsid w:val="57A564C1"/>
    <w:rsid w:val="57A94E1F"/>
    <w:rsid w:val="57AA2DFF"/>
    <w:rsid w:val="57AA386C"/>
    <w:rsid w:val="57AA3FFE"/>
    <w:rsid w:val="57AD6FAC"/>
    <w:rsid w:val="57AF6667"/>
    <w:rsid w:val="57B176C6"/>
    <w:rsid w:val="57B63E99"/>
    <w:rsid w:val="57B70543"/>
    <w:rsid w:val="57B72A76"/>
    <w:rsid w:val="57B73430"/>
    <w:rsid w:val="57B91294"/>
    <w:rsid w:val="57BC2B1E"/>
    <w:rsid w:val="57BE68AA"/>
    <w:rsid w:val="57C3426C"/>
    <w:rsid w:val="57CC546B"/>
    <w:rsid w:val="57CE1F93"/>
    <w:rsid w:val="57CF4D40"/>
    <w:rsid w:val="57D17792"/>
    <w:rsid w:val="57D87A93"/>
    <w:rsid w:val="57D9014C"/>
    <w:rsid w:val="57D97F8A"/>
    <w:rsid w:val="57DA6BF6"/>
    <w:rsid w:val="57DD1F86"/>
    <w:rsid w:val="57E00F16"/>
    <w:rsid w:val="57E02CC4"/>
    <w:rsid w:val="57E36310"/>
    <w:rsid w:val="57F04EB9"/>
    <w:rsid w:val="57F1209E"/>
    <w:rsid w:val="57F443B0"/>
    <w:rsid w:val="57F64296"/>
    <w:rsid w:val="57F65106"/>
    <w:rsid w:val="57F8000E"/>
    <w:rsid w:val="57FB7AFE"/>
    <w:rsid w:val="57FF37D8"/>
    <w:rsid w:val="5805272B"/>
    <w:rsid w:val="580B5F93"/>
    <w:rsid w:val="580E7831"/>
    <w:rsid w:val="58112E7E"/>
    <w:rsid w:val="5814296E"/>
    <w:rsid w:val="58186CDC"/>
    <w:rsid w:val="58190516"/>
    <w:rsid w:val="581B1F4E"/>
    <w:rsid w:val="581B3CFC"/>
    <w:rsid w:val="58256929"/>
    <w:rsid w:val="582708F3"/>
    <w:rsid w:val="582E1E3F"/>
    <w:rsid w:val="583004F8"/>
    <w:rsid w:val="58310E7B"/>
    <w:rsid w:val="58336D4A"/>
    <w:rsid w:val="58354144"/>
    <w:rsid w:val="58354DBE"/>
    <w:rsid w:val="583628E4"/>
    <w:rsid w:val="58382B00"/>
    <w:rsid w:val="583B7EFB"/>
    <w:rsid w:val="58417C07"/>
    <w:rsid w:val="5847689F"/>
    <w:rsid w:val="584D2F1D"/>
    <w:rsid w:val="585711D8"/>
    <w:rsid w:val="585A4825"/>
    <w:rsid w:val="585E7C8F"/>
    <w:rsid w:val="585F62DF"/>
    <w:rsid w:val="5860365A"/>
    <w:rsid w:val="58611413"/>
    <w:rsid w:val="58623249"/>
    <w:rsid w:val="58647451"/>
    <w:rsid w:val="58670CF0"/>
    <w:rsid w:val="586A7801"/>
    <w:rsid w:val="586B6A32"/>
    <w:rsid w:val="586C4558"/>
    <w:rsid w:val="586E7672"/>
    <w:rsid w:val="5871390D"/>
    <w:rsid w:val="58727DC0"/>
    <w:rsid w:val="5875165E"/>
    <w:rsid w:val="5878114F"/>
    <w:rsid w:val="587D49B7"/>
    <w:rsid w:val="587D6765"/>
    <w:rsid w:val="58810003"/>
    <w:rsid w:val="58816255"/>
    <w:rsid w:val="58847AF3"/>
    <w:rsid w:val="5886386C"/>
    <w:rsid w:val="588743D1"/>
    <w:rsid w:val="58874AA2"/>
    <w:rsid w:val="58875047"/>
    <w:rsid w:val="5887575A"/>
    <w:rsid w:val="5887701A"/>
    <w:rsid w:val="588E2720"/>
    <w:rsid w:val="58913D18"/>
    <w:rsid w:val="5893000F"/>
    <w:rsid w:val="589C6BEB"/>
    <w:rsid w:val="58A3441E"/>
    <w:rsid w:val="58A41F44"/>
    <w:rsid w:val="58A957AC"/>
    <w:rsid w:val="58AB32D2"/>
    <w:rsid w:val="58AB3744"/>
    <w:rsid w:val="58AB6E2E"/>
    <w:rsid w:val="58B167EE"/>
    <w:rsid w:val="58BE1257"/>
    <w:rsid w:val="58C12AF6"/>
    <w:rsid w:val="58C61EBA"/>
    <w:rsid w:val="58C75A8B"/>
    <w:rsid w:val="58C93758"/>
    <w:rsid w:val="58CB127E"/>
    <w:rsid w:val="58CD1630"/>
    <w:rsid w:val="58CF5213"/>
    <w:rsid w:val="58D26AB1"/>
    <w:rsid w:val="58D36385"/>
    <w:rsid w:val="58DF5113"/>
    <w:rsid w:val="58E41B6D"/>
    <w:rsid w:val="58E660B8"/>
    <w:rsid w:val="58F06F37"/>
    <w:rsid w:val="58F509F1"/>
    <w:rsid w:val="58F61A76"/>
    <w:rsid w:val="58F92290"/>
    <w:rsid w:val="58FA1B64"/>
    <w:rsid w:val="59032119"/>
    <w:rsid w:val="5906675A"/>
    <w:rsid w:val="590B1A0F"/>
    <w:rsid w:val="591137E1"/>
    <w:rsid w:val="5915074C"/>
    <w:rsid w:val="59154BEF"/>
    <w:rsid w:val="59180F87"/>
    <w:rsid w:val="5919648E"/>
    <w:rsid w:val="591A2206"/>
    <w:rsid w:val="591E3AA4"/>
    <w:rsid w:val="591F3BD0"/>
    <w:rsid w:val="591F781C"/>
    <w:rsid w:val="59250677"/>
    <w:rsid w:val="592E180D"/>
    <w:rsid w:val="592F5CB1"/>
    <w:rsid w:val="593060D3"/>
    <w:rsid w:val="5934151A"/>
    <w:rsid w:val="5934562A"/>
    <w:rsid w:val="593F488D"/>
    <w:rsid w:val="59407EBE"/>
    <w:rsid w:val="59414987"/>
    <w:rsid w:val="594554D5"/>
    <w:rsid w:val="595474C6"/>
    <w:rsid w:val="59590F80"/>
    <w:rsid w:val="59594F9B"/>
    <w:rsid w:val="595D1257"/>
    <w:rsid w:val="59600520"/>
    <w:rsid w:val="59605E6B"/>
    <w:rsid w:val="59610B9F"/>
    <w:rsid w:val="596247F9"/>
    <w:rsid w:val="59626D62"/>
    <w:rsid w:val="59637709"/>
    <w:rsid w:val="59653481"/>
    <w:rsid w:val="59685A85"/>
    <w:rsid w:val="596A4F3B"/>
    <w:rsid w:val="596A6CE9"/>
    <w:rsid w:val="597319E6"/>
    <w:rsid w:val="59750590"/>
    <w:rsid w:val="597B07F8"/>
    <w:rsid w:val="5980650D"/>
    <w:rsid w:val="598558D1"/>
    <w:rsid w:val="59874200"/>
    <w:rsid w:val="598853C1"/>
    <w:rsid w:val="598D70D4"/>
    <w:rsid w:val="59A0095D"/>
    <w:rsid w:val="59A14D2F"/>
    <w:rsid w:val="59A26483"/>
    <w:rsid w:val="59A33FA9"/>
    <w:rsid w:val="59A45D72"/>
    <w:rsid w:val="59A55F73"/>
    <w:rsid w:val="59AF79A9"/>
    <w:rsid w:val="59B56D87"/>
    <w:rsid w:val="59BA5201"/>
    <w:rsid w:val="59C0439F"/>
    <w:rsid w:val="59C10BE6"/>
    <w:rsid w:val="59C75EEA"/>
    <w:rsid w:val="59C81701"/>
    <w:rsid w:val="59CE7257"/>
    <w:rsid w:val="59D312AD"/>
    <w:rsid w:val="59D423B5"/>
    <w:rsid w:val="59D5087A"/>
    <w:rsid w:val="59D6612D"/>
    <w:rsid w:val="59DF76D7"/>
    <w:rsid w:val="59E06FAB"/>
    <w:rsid w:val="59E24AD2"/>
    <w:rsid w:val="59E66FC0"/>
    <w:rsid w:val="59EB23A0"/>
    <w:rsid w:val="59ED312F"/>
    <w:rsid w:val="59EE16C8"/>
    <w:rsid w:val="59EE791A"/>
    <w:rsid w:val="59FA4645"/>
    <w:rsid w:val="59FE3454"/>
    <w:rsid w:val="59FE5684"/>
    <w:rsid w:val="5A063596"/>
    <w:rsid w:val="5A094754"/>
    <w:rsid w:val="5A0A227A"/>
    <w:rsid w:val="5A0A5DD6"/>
    <w:rsid w:val="5A0E2615"/>
    <w:rsid w:val="5A1804F3"/>
    <w:rsid w:val="5A193510"/>
    <w:rsid w:val="5A1B6236"/>
    <w:rsid w:val="5A1D027A"/>
    <w:rsid w:val="5A1D1FAE"/>
    <w:rsid w:val="5A1D4000"/>
    <w:rsid w:val="5A2055FA"/>
    <w:rsid w:val="5A236E98"/>
    <w:rsid w:val="5A284CE3"/>
    <w:rsid w:val="5A2A4F77"/>
    <w:rsid w:val="5A2E5F69"/>
    <w:rsid w:val="5A2E6F78"/>
    <w:rsid w:val="5A303C95"/>
    <w:rsid w:val="5A30655D"/>
    <w:rsid w:val="5A366BCB"/>
    <w:rsid w:val="5A387C36"/>
    <w:rsid w:val="5A3A00FB"/>
    <w:rsid w:val="5A3D61AC"/>
    <w:rsid w:val="5A403EEE"/>
    <w:rsid w:val="5A455061"/>
    <w:rsid w:val="5A504B62"/>
    <w:rsid w:val="5A5342D1"/>
    <w:rsid w:val="5A5761B6"/>
    <w:rsid w:val="5A5A50AA"/>
    <w:rsid w:val="5A5D4BDB"/>
    <w:rsid w:val="5A5F25C6"/>
    <w:rsid w:val="5A690D4F"/>
    <w:rsid w:val="5A7140A7"/>
    <w:rsid w:val="5A736072"/>
    <w:rsid w:val="5A7A55ED"/>
    <w:rsid w:val="5A7B0A82"/>
    <w:rsid w:val="5A800520"/>
    <w:rsid w:val="5A871448"/>
    <w:rsid w:val="5A886203"/>
    <w:rsid w:val="5A8E2EAB"/>
    <w:rsid w:val="5A924E6D"/>
    <w:rsid w:val="5A9C7376"/>
    <w:rsid w:val="5AA165C3"/>
    <w:rsid w:val="5AA1673B"/>
    <w:rsid w:val="5AA636FF"/>
    <w:rsid w:val="5AAC3262"/>
    <w:rsid w:val="5AAC7348"/>
    <w:rsid w:val="5AAD1584"/>
    <w:rsid w:val="5AB07990"/>
    <w:rsid w:val="5AB126F6"/>
    <w:rsid w:val="5AB13C9A"/>
    <w:rsid w:val="5AB14005"/>
    <w:rsid w:val="5AB346C0"/>
    <w:rsid w:val="5AB61AD0"/>
    <w:rsid w:val="5ABA5A4E"/>
    <w:rsid w:val="5ABC3575"/>
    <w:rsid w:val="5ABE2233"/>
    <w:rsid w:val="5ABF3065"/>
    <w:rsid w:val="5ABF4E13"/>
    <w:rsid w:val="5AC66016"/>
    <w:rsid w:val="5AC90AD5"/>
    <w:rsid w:val="5AC91A28"/>
    <w:rsid w:val="5AC979A3"/>
    <w:rsid w:val="5AC97A40"/>
    <w:rsid w:val="5ACC4A7B"/>
    <w:rsid w:val="5AD07020"/>
    <w:rsid w:val="5AD20FEA"/>
    <w:rsid w:val="5AD54636"/>
    <w:rsid w:val="5AD563E4"/>
    <w:rsid w:val="5AD84127"/>
    <w:rsid w:val="5ADA7E9F"/>
    <w:rsid w:val="5AE34FA5"/>
    <w:rsid w:val="5AE456F3"/>
    <w:rsid w:val="5AE96334"/>
    <w:rsid w:val="5AEA090D"/>
    <w:rsid w:val="5AEB11FC"/>
    <w:rsid w:val="5AEB20AC"/>
    <w:rsid w:val="5AEC372E"/>
    <w:rsid w:val="5AEE3BE5"/>
    <w:rsid w:val="5AEE5A5C"/>
    <w:rsid w:val="5AEE74A6"/>
    <w:rsid w:val="5AF01470"/>
    <w:rsid w:val="5AF0321E"/>
    <w:rsid w:val="5AF51FFA"/>
    <w:rsid w:val="5AF86B29"/>
    <w:rsid w:val="5AFC7E15"/>
    <w:rsid w:val="5B046CCA"/>
    <w:rsid w:val="5B0647F0"/>
    <w:rsid w:val="5B0957E3"/>
    <w:rsid w:val="5B0B44FC"/>
    <w:rsid w:val="5B0D0F7A"/>
    <w:rsid w:val="5B0D3DD0"/>
    <w:rsid w:val="5B105EB0"/>
    <w:rsid w:val="5B170351"/>
    <w:rsid w:val="5B1A383E"/>
    <w:rsid w:val="5B1F079D"/>
    <w:rsid w:val="5B1F6672"/>
    <w:rsid w:val="5B2A2BD4"/>
    <w:rsid w:val="5B2D7FCE"/>
    <w:rsid w:val="5B2F5419"/>
    <w:rsid w:val="5B305D11"/>
    <w:rsid w:val="5B306BB7"/>
    <w:rsid w:val="5B307139"/>
    <w:rsid w:val="5B322FCC"/>
    <w:rsid w:val="5B33135D"/>
    <w:rsid w:val="5B336626"/>
    <w:rsid w:val="5B353327"/>
    <w:rsid w:val="5B365DCC"/>
    <w:rsid w:val="5B3F5F54"/>
    <w:rsid w:val="5B403B2D"/>
    <w:rsid w:val="5B415032"/>
    <w:rsid w:val="5B417F1E"/>
    <w:rsid w:val="5B436EF6"/>
    <w:rsid w:val="5B44356A"/>
    <w:rsid w:val="5B473814"/>
    <w:rsid w:val="5B4B48F9"/>
    <w:rsid w:val="5B597015"/>
    <w:rsid w:val="5B5A316B"/>
    <w:rsid w:val="5B5A3297"/>
    <w:rsid w:val="5B5A3CF2"/>
    <w:rsid w:val="5B5F2152"/>
    <w:rsid w:val="5B607C49"/>
    <w:rsid w:val="5B637E94"/>
    <w:rsid w:val="5B6B4F9B"/>
    <w:rsid w:val="5B6B758B"/>
    <w:rsid w:val="5B6E6663"/>
    <w:rsid w:val="5B70610D"/>
    <w:rsid w:val="5B7D7BBE"/>
    <w:rsid w:val="5B822213"/>
    <w:rsid w:val="5B857E0A"/>
    <w:rsid w:val="5B863B83"/>
    <w:rsid w:val="5B8A71CF"/>
    <w:rsid w:val="5B932D4D"/>
    <w:rsid w:val="5B94004E"/>
    <w:rsid w:val="5B942EAB"/>
    <w:rsid w:val="5B9938B6"/>
    <w:rsid w:val="5B9B44F1"/>
    <w:rsid w:val="5B9C5154"/>
    <w:rsid w:val="5B9E5DAF"/>
    <w:rsid w:val="5BA04C44"/>
    <w:rsid w:val="5BA477BA"/>
    <w:rsid w:val="5BA82DCA"/>
    <w:rsid w:val="5BA94567"/>
    <w:rsid w:val="5BAA7871"/>
    <w:rsid w:val="5BAC183B"/>
    <w:rsid w:val="5BAC35E9"/>
    <w:rsid w:val="5BAF2BC1"/>
    <w:rsid w:val="5BB2716C"/>
    <w:rsid w:val="5BB46942"/>
    <w:rsid w:val="5BB71F8E"/>
    <w:rsid w:val="5BB73D3C"/>
    <w:rsid w:val="5BC00E43"/>
    <w:rsid w:val="5BC07095"/>
    <w:rsid w:val="5BC528FD"/>
    <w:rsid w:val="5BCD17B1"/>
    <w:rsid w:val="5BD13050"/>
    <w:rsid w:val="5BD62414"/>
    <w:rsid w:val="5BD95B9B"/>
    <w:rsid w:val="5BDB7A2A"/>
    <w:rsid w:val="5BDF5D95"/>
    <w:rsid w:val="5BE07737"/>
    <w:rsid w:val="5BEC7FED"/>
    <w:rsid w:val="5BF34EC9"/>
    <w:rsid w:val="5BF9503A"/>
    <w:rsid w:val="5BFC518B"/>
    <w:rsid w:val="5BFE7528"/>
    <w:rsid w:val="5BFE794B"/>
    <w:rsid w:val="5C084598"/>
    <w:rsid w:val="5C0A6562"/>
    <w:rsid w:val="5C0C4088"/>
    <w:rsid w:val="5C0F3B78"/>
    <w:rsid w:val="5C0F47B3"/>
    <w:rsid w:val="5C12407C"/>
    <w:rsid w:val="5C133668"/>
    <w:rsid w:val="5C135D05"/>
    <w:rsid w:val="5C14118E"/>
    <w:rsid w:val="5C170194"/>
    <w:rsid w:val="5C1B42CB"/>
    <w:rsid w:val="5C1C22DC"/>
    <w:rsid w:val="5C225CAF"/>
    <w:rsid w:val="5C2313D1"/>
    <w:rsid w:val="5C2515ED"/>
    <w:rsid w:val="5C26663F"/>
    <w:rsid w:val="5C2E58F3"/>
    <w:rsid w:val="5C2F7D76"/>
    <w:rsid w:val="5C3039CB"/>
    <w:rsid w:val="5C311D40"/>
    <w:rsid w:val="5C326ED8"/>
    <w:rsid w:val="5C367984"/>
    <w:rsid w:val="5C3B496D"/>
    <w:rsid w:val="5C473312"/>
    <w:rsid w:val="5C4739C5"/>
    <w:rsid w:val="5C4A6129"/>
    <w:rsid w:val="5C4B3BA1"/>
    <w:rsid w:val="5C4C6B7A"/>
    <w:rsid w:val="5C553C81"/>
    <w:rsid w:val="5C5A57AB"/>
    <w:rsid w:val="5C69772C"/>
    <w:rsid w:val="5C6C2D27"/>
    <w:rsid w:val="5C6E089F"/>
    <w:rsid w:val="5C700ABB"/>
    <w:rsid w:val="5C7026BF"/>
    <w:rsid w:val="5C724ADE"/>
    <w:rsid w:val="5C7829FF"/>
    <w:rsid w:val="5C7A036A"/>
    <w:rsid w:val="5C7A36E7"/>
    <w:rsid w:val="5C7C320E"/>
    <w:rsid w:val="5C8021B4"/>
    <w:rsid w:val="5C814A76"/>
    <w:rsid w:val="5C846314"/>
    <w:rsid w:val="5C865AB6"/>
    <w:rsid w:val="5C922E5E"/>
    <w:rsid w:val="5C941A9F"/>
    <w:rsid w:val="5C967740"/>
    <w:rsid w:val="5C99723D"/>
    <w:rsid w:val="5CA3354E"/>
    <w:rsid w:val="5CA423E1"/>
    <w:rsid w:val="5CAC3FB1"/>
    <w:rsid w:val="5CAC7D41"/>
    <w:rsid w:val="5CAC7EE0"/>
    <w:rsid w:val="5CAE0A1A"/>
    <w:rsid w:val="5CB0535B"/>
    <w:rsid w:val="5CB415A6"/>
    <w:rsid w:val="5CB53E50"/>
    <w:rsid w:val="5CB62246"/>
    <w:rsid w:val="5CBB0364"/>
    <w:rsid w:val="5CBF559E"/>
    <w:rsid w:val="5CC3271E"/>
    <w:rsid w:val="5CC93D27"/>
    <w:rsid w:val="5CCB6A3F"/>
    <w:rsid w:val="5CCB6E96"/>
    <w:rsid w:val="5CCE3A33"/>
    <w:rsid w:val="5CD23113"/>
    <w:rsid w:val="5CD54DC2"/>
    <w:rsid w:val="5CD573E6"/>
    <w:rsid w:val="5CDD5A24"/>
    <w:rsid w:val="5CE903D4"/>
    <w:rsid w:val="5CEB6393"/>
    <w:rsid w:val="5CEE19DF"/>
    <w:rsid w:val="5CF35248"/>
    <w:rsid w:val="5CF53A3B"/>
    <w:rsid w:val="5CFC05B7"/>
    <w:rsid w:val="5CFF3025"/>
    <w:rsid w:val="5D017965"/>
    <w:rsid w:val="5D0440FF"/>
    <w:rsid w:val="5D0638AC"/>
    <w:rsid w:val="5D0B07E3"/>
    <w:rsid w:val="5D0E6B66"/>
    <w:rsid w:val="5D103AAF"/>
    <w:rsid w:val="5D11502E"/>
    <w:rsid w:val="5D1551BE"/>
    <w:rsid w:val="5D194ACB"/>
    <w:rsid w:val="5D1A469B"/>
    <w:rsid w:val="5D202983"/>
    <w:rsid w:val="5D221317"/>
    <w:rsid w:val="5D2573B8"/>
    <w:rsid w:val="5D276C9F"/>
    <w:rsid w:val="5D296EBB"/>
    <w:rsid w:val="5D2A007F"/>
    <w:rsid w:val="5D2B344E"/>
    <w:rsid w:val="5D2B49E2"/>
    <w:rsid w:val="5D2D4B48"/>
    <w:rsid w:val="5D2E6280"/>
    <w:rsid w:val="5D30024A"/>
    <w:rsid w:val="5D323FC2"/>
    <w:rsid w:val="5D3E4715"/>
    <w:rsid w:val="5D3F66DF"/>
    <w:rsid w:val="5D46181B"/>
    <w:rsid w:val="5D4B3932"/>
    <w:rsid w:val="5D504448"/>
    <w:rsid w:val="5D504B48"/>
    <w:rsid w:val="5D53561A"/>
    <w:rsid w:val="5D5551B2"/>
    <w:rsid w:val="5D573851"/>
    <w:rsid w:val="5D574ED5"/>
    <w:rsid w:val="5D59154F"/>
    <w:rsid w:val="5D5F468B"/>
    <w:rsid w:val="5D63417B"/>
    <w:rsid w:val="5D687E71"/>
    <w:rsid w:val="5D722610"/>
    <w:rsid w:val="5D753EAF"/>
    <w:rsid w:val="5D7A1EC1"/>
    <w:rsid w:val="5D7C6FEB"/>
    <w:rsid w:val="5D886189"/>
    <w:rsid w:val="5D8B2B4B"/>
    <w:rsid w:val="5D8B722E"/>
    <w:rsid w:val="5D8E6234"/>
    <w:rsid w:val="5D904D84"/>
    <w:rsid w:val="5D9174DC"/>
    <w:rsid w:val="5D9205BD"/>
    <w:rsid w:val="5D92680F"/>
    <w:rsid w:val="5D951EA0"/>
    <w:rsid w:val="5D982E7B"/>
    <w:rsid w:val="5D9C074F"/>
    <w:rsid w:val="5DA010A9"/>
    <w:rsid w:val="5DA060A4"/>
    <w:rsid w:val="5DA0717E"/>
    <w:rsid w:val="5DA54437"/>
    <w:rsid w:val="5DAB5B22"/>
    <w:rsid w:val="5DB14382"/>
    <w:rsid w:val="5DB2635B"/>
    <w:rsid w:val="5DB40B34"/>
    <w:rsid w:val="5DB449D7"/>
    <w:rsid w:val="5DB524FD"/>
    <w:rsid w:val="5DB9023F"/>
    <w:rsid w:val="5DBD47D0"/>
    <w:rsid w:val="5DC07EB0"/>
    <w:rsid w:val="5DC458CC"/>
    <w:rsid w:val="5DC6470A"/>
    <w:rsid w:val="5DCA7D57"/>
    <w:rsid w:val="5DCD157E"/>
    <w:rsid w:val="5DD13A18"/>
    <w:rsid w:val="5DD60DF1"/>
    <w:rsid w:val="5DDA12DA"/>
    <w:rsid w:val="5DE11901"/>
    <w:rsid w:val="5DE309A7"/>
    <w:rsid w:val="5DE3706A"/>
    <w:rsid w:val="5DE4677F"/>
    <w:rsid w:val="5DE74DAC"/>
    <w:rsid w:val="5DEB5F1F"/>
    <w:rsid w:val="5DF34FB1"/>
    <w:rsid w:val="5E062D59"/>
    <w:rsid w:val="5E0A7B48"/>
    <w:rsid w:val="5E0C1B5C"/>
    <w:rsid w:val="5E181EBE"/>
    <w:rsid w:val="5E19260A"/>
    <w:rsid w:val="5E192A8C"/>
    <w:rsid w:val="5E196F30"/>
    <w:rsid w:val="5E1D74D9"/>
    <w:rsid w:val="5E1E21D5"/>
    <w:rsid w:val="5E2467F1"/>
    <w:rsid w:val="5E2751A9"/>
    <w:rsid w:val="5E2D4789"/>
    <w:rsid w:val="5E2D7838"/>
    <w:rsid w:val="5E2E19DF"/>
    <w:rsid w:val="5E2E1BDE"/>
    <w:rsid w:val="5E3028FF"/>
    <w:rsid w:val="5E307D3A"/>
    <w:rsid w:val="5E337FF2"/>
    <w:rsid w:val="5E341D32"/>
    <w:rsid w:val="5E345B18"/>
    <w:rsid w:val="5E3A26B8"/>
    <w:rsid w:val="5E3D2503"/>
    <w:rsid w:val="5E3D2C1E"/>
    <w:rsid w:val="5E406E54"/>
    <w:rsid w:val="5E437B09"/>
    <w:rsid w:val="5E457D25"/>
    <w:rsid w:val="5E483371"/>
    <w:rsid w:val="5E4915C3"/>
    <w:rsid w:val="5E4A70E9"/>
    <w:rsid w:val="5E4F64AE"/>
    <w:rsid w:val="5E505C84"/>
    <w:rsid w:val="5E5166CA"/>
    <w:rsid w:val="5E607227"/>
    <w:rsid w:val="5E644C39"/>
    <w:rsid w:val="5E6463FD"/>
    <w:rsid w:val="5E653F23"/>
    <w:rsid w:val="5E6737F7"/>
    <w:rsid w:val="5E677CDF"/>
    <w:rsid w:val="5E7124CF"/>
    <w:rsid w:val="5E736640"/>
    <w:rsid w:val="5E766130"/>
    <w:rsid w:val="5E7C30F9"/>
    <w:rsid w:val="5E8034A2"/>
    <w:rsid w:val="5E8072DA"/>
    <w:rsid w:val="5E811505"/>
    <w:rsid w:val="5E821F1B"/>
    <w:rsid w:val="5E832564"/>
    <w:rsid w:val="5E8453AC"/>
    <w:rsid w:val="5E87550F"/>
    <w:rsid w:val="5E884C91"/>
    <w:rsid w:val="5E895E64"/>
    <w:rsid w:val="5E9345EC"/>
    <w:rsid w:val="5E96232F"/>
    <w:rsid w:val="5E994DEE"/>
    <w:rsid w:val="5E9B58CD"/>
    <w:rsid w:val="5E9F68D7"/>
    <w:rsid w:val="5EA060A0"/>
    <w:rsid w:val="5EA205F9"/>
    <w:rsid w:val="5EA20CD3"/>
    <w:rsid w:val="5EA410AC"/>
    <w:rsid w:val="5EAB6FE9"/>
    <w:rsid w:val="5EAC5B0F"/>
    <w:rsid w:val="5EAE3DE5"/>
    <w:rsid w:val="5EAF6F31"/>
    <w:rsid w:val="5EAF7A32"/>
    <w:rsid w:val="5EB17168"/>
    <w:rsid w:val="5EB32EE1"/>
    <w:rsid w:val="5EB5626F"/>
    <w:rsid w:val="5EB56C59"/>
    <w:rsid w:val="5EB760DF"/>
    <w:rsid w:val="5EBE53E1"/>
    <w:rsid w:val="5ECA6B27"/>
    <w:rsid w:val="5ECC5D50"/>
    <w:rsid w:val="5ED15115"/>
    <w:rsid w:val="5ED31927"/>
    <w:rsid w:val="5ED510A9"/>
    <w:rsid w:val="5ED6097D"/>
    <w:rsid w:val="5ED74E21"/>
    <w:rsid w:val="5EDB4A36"/>
    <w:rsid w:val="5EDC4FA5"/>
    <w:rsid w:val="5EDD1B51"/>
    <w:rsid w:val="5EDD1D0C"/>
    <w:rsid w:val="5EE05F8B"/>
    <w:rsid w:val="5EE17A4E"/>
    <w:rsid w:val="5EE412EC"/>
    <w:rsid w:val="5EE95C19"/>
    <w:rsid w:val="5EEA7A25"/>
    <w:rsid w:val="5EEC1F4F"/>
    <w:rsid w:val="5EEE3F19"/>
    <w:rsid w:val="5EF07C91"/>
    <w:rsid w:val="5EF37781"/>
    <w:rsid w:val="5EF377A9"/>
    <w:rsid w:val="5EF7638A"/>
    <w:rsid w:val="5EF808F3"/>
    <w:rsid w:val="5EFD23AE"/>
    <w:rsid w:val="5EFD5F0A"/>
    <w:rsid w:val="5F013C4C"/>
    <w:rsid w:val="5F0A2466"/>
    <w:rsid w:val="5F0B6879"/>
    <w:rsid w:val="5F1020E1"/>
    <w:rsid w:val="5F13397F"/>
    <w:rsid w:val="5F1576F7"/>
    <w:rsid w:val="5F183496"/>
    <w:rsid w:val="5F1A2B43"/>
    <w:rsid w:val="5F1C6CD8"/>
    <w:rsid w:val="5F1E4D57"/>
    <w:rsid w:val="5F24793A"/>
    <w:rsid w:val="5F2707DC"/>
    <w:rsid w:val="5F2711D9"/>
    <w:rsid w:val="5F2B64BA"/>
    <w:rsid w:val="5F3062DF"/>
    <w:rsid w:val="5F334021"/>
    <w:rsid w:val="5F347BB8"/>
    <w:rsid w:val="5F35040E"/>
    <w:rsid w:val="5F3538F6"/>
    <w:rsid w:val="5F3574A0"/>
    <w:rsid w:val="5F377628"/>
    <w:rsid w:val="5F37766E"/>
    <w:rsid w:val="5F396A7A"/>
    <w:rsid w:val="5F3A0508"/>
    <w:rsid w:val="5F3D09FC"/>
    <w:rsid w:val="5F4105C0"/>
    <w:rsid w:val="5F422AF8"/>
    <w:rsid w:val="5F441D8B"/>
    <w:rsid w:val="5F480E71"/>
    <w:rsid w:val="5F4B3119"/>
    <w:rsid w:val="5F4E49B7"/>
    <w:rsid w:val="5F4E75E8"/>
    <w:rsid w:val="5F531FCE"/>
    <w:rsid w:val="5F5425A7"/>
    <w:rsid w:val="5F546472"/>
    <w:rsid w:val="5F557AF4"/>
    <w:rsid w:val="5F5A7800"/>
    <w:rsid w:val="5F5C5326"/>
    <w:rsid w:val="5F5D3118"/>
    <w:rsid w:val="5F5F0972"/>
    <w:rsid w:val="5F665894"/>
    <w:rsid w:val="5F697A43"/>
    <w:rsid w:val="5F6A42C5"/>
    <w:rsid w:val="5F6C64CA"/>
    <w:rsid w:val="5F6E5059"/>
    <w:rsid w:val="5F700DD2"/>
    <w:rsid w:val="5F7355AC"/>
    <w:rsid w:val="5F740B3A"/>
    <w:rsid w:val="5F744F17"/>
    <w:rsid w:val="5F756D19"/>
    <w:rsid w:val="5F773F0E"/>
    <w:rsid w:val="5F774D66"/>
    <w:rsid w:val="5F781A34"/>
    <w:rsid w:val="5F795FCF"/>
    <w:rsid w:val="5F7A39FE"/>
    <w:rsid w:val="5F822B97"/>
    <w:rsid w:val="5F830B05"/>
    <w:rsid w:val="5F887EC9"/>
    <w:rsid w:val="5F8959EF"/>
    <w:rsid w:val="5F92798F"/>
    <w:rsid w:val="5F97635E"/>
    <w:rsid w:val="5F993E84"/>
    <w:rsid w:val="5F9A1C76"/>
    <w:rsid w:val="5FA16C56"/>
    <w:rsid w:val="5FA2743C"/>
    <w:rsid w:val="5FA32F55"/>
    <w:rsid w:val="5FA43509"/>
    <w:rsid w:val="5FA8056B"/>
    <w:rsid w:val="5FAB005C"/>
    <w:rsid w:val="5FAF237A"/>
    <w:rsid w:val="5FB07420"/>
    <w:rsid w:val="5FB23534"/>
    <w:rsid w:val="5FB54A36"/>
    <w:rsid w:val="5FB57A3D"/>
    <w:rsid w:val="5FB707AE"/>
    <w:rsid w:val="5FB837BB"/>
    <w:rsid w:val="5FC95A7A"/>
    <w:rsid w:val="5FCB317A"/>
    <w:rsid w:val="5FD27396"/>
    <w:rsid w:val="5FDC0215"/>
    <w:rsid w:val="5FE67A17"/>
    <w:rsid w:val="5FE80968"/>
    <w:rsid w:val="5FED2422"/>
    <w:rsid w:val="5FEF7F48"/>
    <w:rsid w:val="5FF437B1"/>
    <w:rsid w:val="5FF5385E"/>
    <w:rsid w:val="5FF612D7"/>
    <w:rsid w:val="5FF67C26"/>
    <w:rsid w:val="60023E8E"/>
    <w:rsid w:val="600339F4"/>
    <w:rsid w:val="6005246F"/>
    <w:rsid w:val="60077352"/>
    <w:rsid w:val="60090296"/>
    <w:rsid w:val="60091FC0"/>
    <w:rsid w:val="600A1178"/>
    <w:rsid w:val="600A4D82"/>
    <w:rsid w:val="601259E5"/>
    <w:rsid w:val="601654D5"/>
    <w:rsid w:val="6017124D"/>
    <w:rsid w:val="60192532"/>
    <w:rsid w:val="601B0D3D"/>
    <w:rsid w:val="601B50D8"/>
    <w:rsid w:val="601C6864"/>
    <w:rsid w:val="6022031E"/>
    <w:rsid w:val="60234096"/>
    <w:rsid w:val="60255718"/>
    <w:rsid w:val="602704B4"/>
    <w:rsid w:val="6028345A"/>
    <w:rsid w:val="6031230F"/>
    <w:rsid w:val="6038114B"/>
    <w:rsid w:val="603C0CB4"/>
    <w:rsid w:val="603E2C7E"/>
    <w:rsid w:val="603E67DA"/>
    <w:rsid w:val="604007A4"/>
    <w:rsid w:val="604069F6"/>
    <w:rsid w:val="60442369"/>
    <w:rsid w:val="60476939"/>
    <w:rsid w:val="60495B45"/>
    <w:rsid w:val="604C09AD"/>
    <w:rsid w:val="604E7C68"/>
    <w:rsid w:val="604F345F"/>
    <w:rsid w:val="604F35E3"/>
    <w:rsid w:val="60500D00"/>
    <w:rsid w:val="60506F00"/>
    <w:rsid w:val="6051650D"/>
    <w:rsid w:val="60561D75"/>
    <w:rsid w:val="605E6E7C"/>
    <w:rsid w:val="60617581"/>
    <w:rsid w:val="60622778"/>
    <w:rsid w:val="6065645C"/>
    <w:rsid w:val="60675D31"/>
    <w:rsid w:val="607448F1"/>
    <w:rsid w:val="607466A0"/>
    <w:rsid w:val="607618B8"/>
    <w:rsid w:val="60765F74"/>
    <w:rsid w:val="60787E19"/>
    <w:rsid w:val="607B5C80"/>
    <w:rsid w:val="607C4315"/>
    <w:rsid w:val="607C5421"/>
    <w:rsid w:val="607D004F"/>
    <w:rsid w:val="6082251F"/>
    <w:rsid w:val="60824488"/>
    <w:rsid w:val="608711EF"/>
    <w:rsid w:val="608D0C1C"/>
    <w:rsid w:val="60902F4F"/>
    <w:rsid w:val="60911000"/>
    <w:rsid w:val="6098238E"/>
    <w:rsid w:val="609B7910"/>
    <w:rsid w:val="609D3831"/>
    <w:rsid w:val="609E3227"/>
    <w:rsid w:val="60A41A75"/>
    <w:rsid w:val="60A61CD8"/>
    <w:rsid w:val="60AA20C1"/>
    <w:rsid w:val="60AA24C4"/>
    <w:rsid w:val="60B46A9C"/>
    <w:rsid w:val="60B53531"/>
    <w:rsid w:val="60B62814"/>
    <w:rsid w:val="60B92304"/>
    <w:rsid w:val="60BD3BA3"/>
    <w:rsid w:val="60BF2442"/>
    <w:rsid w:val="60C70EC5"/>
    <w:rsid w:val="60C72C73"/>
    <w:rsid w:val="60CA5515"/>
    <w:rsid w:val="60CC2038"/>
    <w:rsid w:val="60CC405A"/>
    <w:rsid w:val="60CD5DBF"/>
    <w:rsid w:val="60D33262"/>
    <w:rsid w:val="60DB671F"/>
    <w:rsid w:val="60E2185B"/>
    <w:rsid w:val="60E540DB"/>
    <w:rsid w:val="60E70C20"/>
    <w:rsid w:val="60E73121"/>
    <w:rsid w:val="60EC2117"/>
    <w:rsid w:val="60EC2541"/>
    <w:rsid w:val="60F11A9E"/>
    <w:rsid w:val="60FA1F45"/>
    <w:rsid w:val="60FD5A3B"/>
    <w:rsid w:val="60FF56E8"/>
    <w:rsid w:val="610125B0"/>
    <w:rsid w:val="6104052C"/>
    <w:rsid w:val="61043D59"/>
    <w:rsid w:val="61045C75"/>
    <w:rsid w:val="61050A1F"/>
    <w:rsid w:val="6106379C"/>
    <w:rsid w:val="61091EFD"/>
    <w:rsid w:val="610D2B35"/>
    <w:rsid w:val="61131A15"/>
    <w:rsid w:val="61171CE9"/>
    <w:rsid w:val="6118702B"/>
    <w:rsid w:val="611A2DA3"/>
    <w:rsid w:val="6121079E"/>
    <w:rsid w:val="612260FC"/>
    <w:rsid w:val="61227EAA"/>
    <w:rsid w:val="61252B10"/>
    <w:rsid w:val="61273712"/>
    <w:rsid w:val="61281730"/>
    <w:rsid w:val="61293C2F"/>
    <w:rsid w:val="61295F97"/>
    <w:rsid w:val="613846E1"/>
    <w:rsid w:val="61406582"/>
    <w:rsid w:val="61412A26"/>
    <w:rsid w:val="61444A27"/>
    <w:rsid w:val="6146003C"/>
    <w:rsid w:val="61471C93"/>
    <w:rsid w:val="61483574"/>
    <w:rsid w:val="61497B2C"/>
    <w:rsid w:val="614C14DD"/>
    <w:rsid w:val="6151253D"/>
    <w:rsid w:val="61534507"/>
    <w:rsid w:val="615362B5"/>
    <w:rsid w:val="61587D6F"/>
    <w:rsid w:val="615D1AB0"/>
    <w:rsid w:val="615E0043"/>
    <w:rsid w:val="615E3C0C"/>
    <w:rsid w:val="615F2EAC"/>
    <w:rsid w:val="615F6CBE"/>
    <w:rsid w:val="6161613B"/>
    <w:rsid w:val="6162474A"/>
    <w:rsid w:val="616404C2"/>
    <w:rsid w:val="6166248C"/>
    <w:rsid w:val="61665FE8"/>
    <w:rsid w:val="616E5E75"/>
    <w:rsid w:val="61776447"/>
    <w:rsid w:val="617F0441"/>
    <w:rsid w:val="61801BEF"/>
    <w:rsid w:val="6183303E"/>
    <w:rsid w:val="6186668A"/>
    <w:rsid w:val="61882403"/>
    <w:rsid w:val="61897900"/>
    <w:rsid w:val="618B3CA1"/>
    <w:rsid w:val="619229C7"/>
    <w:rsid w:val="61923277"/>
    <w:rsid w:val="6192502F"/>
    <w:rsid w:val="619568CD"/>
    <w:rsid w:val="619743F4"/>
    <w:rsid w:val="6198016C"/>
    <w:rsid w:val="619F1863"/>
    <w:rsid w:val="61A36343"/>
    <w:rsid w:val="61A905CB"/>
    <w:rsid w:val="61A960FA"/>
    <w:rsid w:val="61AD00BB"/>
    <w:rsid w:val="61AE798F"/>
    <w:rsid w:val="61AF3E33"/>
    <w:rsid w:val="61B31B18"/>
    <w:rsid w:val="61BB52E0"/>
    <w:rsid w:val="61BC02FE"/>
    <w:rsid w:val="61BF3BE6"/>
    <w:rsid w:val="61C64CD9"/>
    <w:rsid w:val="61C827FF"/>
    <w:rsid w:val="61D4389A"/>
    <w:rsid w:val="61D54F1C"/>
    <w:rsid w:val="61D60CCD"/>
    <w:rsid w:val="61D61932"/>
    <w:rsid w:val="61DA0EC2"/>
    <w:rsid w:val="61DB4C28"/>
    <w:rsid w:val="61DC62AA"/>
    <w:rsid w:val="61E03A3B"/>
    <w:rsid w:val="61E11B13"/>
    <w:rsid w:val="61E215D8"/>
    <w:rsid w:val="61E36B13"/>
    <w:rsid w:val="61EB4DDB"/>
    <w:rsid w:val="61EF2482"/>
    <w:rsid w:val="61F3782F"/>
    <w:rsid w:val="61F53810"/>
    <w:rsid w:val="6208709F"/>
    <w:rsid w:val="620D46B6"/>
    <w:rsid w:val="620F48D2"/>
    <w:rsid w:val="62153F6B"/>
    <w:rsid w:val="621B3775"/>
    <w:rsid w:val="621C1F04"/>
    <w:rsid w:val="62214605"/>
    <w:rsid w:val="6223212B"/>
    <w:rsid w:val="6225736E"/>
    <w:rsid w:val="6226514C"/>
    <w:rsid w:val="622D2FAA"/>
    <w:rsid w:val="623152C1"/>
    <w:rsid w:val="623460E6"/>
    <w:rsid w:val="623524FF"/>
    <w:rsid w:val="6236244C"/>
    <w:rsid w:val="62364782"/>
    <w:rsid w:val="62373E29"/>
    <w:rsid w:val="62391B1B"/>
    <w:rsid w:val="623C143F"/>
    <w:rsid w:val="623E4EAA"/>
    <w:rsid w:val="624251A1"/>
    <w:rsid w:val="62447516"/>
    <w:rsid w:val="62487DE4"/>
    <w:rsid w:val="624D3785"/>
    <w:rsid w:val="624D4C50"/>
    <w:rsid w:val="625C1AFB"/>
    <w:rsid w:val="6260512D"/>
    <w:rsid w:val="62612C54"/>
    <w:rsid w:val="6265307B"/>
    <w:rsid w:val="626544F2"/>
    <w:rsid w:val="626F711E"/>
    <w:rsid w:val="627055B2"/>
    <w:rsid w:val="62707008"/>
    <w:rsid w:val="62724E61"/>
    <w:rsid w:val="627604AD"/>
    <w:rsid w:val="627666FF"/>
    <w:rsid w:val="62790460"/>
    <w:rsid w:val="627B15C2"/>
    <w:rsid w:val="627B3D15"/>
    <w:rsid w:val="627E00A2"/>
    <w:rsid w:val="627F48F3"/>
    <w:rsid w:val="62845813"/>
    <w:rsid w:val="628C5F22"/>
    <w:rsid w:val="628F77C1"/>
    <w:rsid w:val="62922E0D"/>
    <w:rsid w:val="629372B1"/>
    <w:rsid w:val="62950C57"/>
    <w:rsid w:val="629628FD"/>
    <w:rsid w:val="6299419B"/>
    <w:rsid w:val="62997C20"/>
    <w:rsid w:val="629B3E2D"/>
    <w:rsid w:val="62A019CE"/>
    <w:rsid w:val="62A0552A"/>
    <w:rsid w:val="62A274F4"/>
    <w:rsid w:val="62A3501A"/>
    <w:rsid w:val="62A414BE"/>
    <w:rsid w:val="62A80882"/>
    <w:rsid w:val="62AC7412"/>
    <w:rsid w:val="62B611F1"/>
    <w:rsid w:val="62BA5DD6"/>
    <w:rsid w:val="62C03E1E"/>
    <w:rsid w:val="62C1160E"/>
    <w:rsid w:val="62C27B96"/>
    <w:rsid w:val="62C31218"/>
    <w:rsid w:val="62C35B09"/>
    <w:rsid w:val="62C531E2"/>
    <w:rsid w:val="62CE653B"/>
    <w:rsid w:val="62CF17FE"/>
    <w:rsid w:val="62D3765F"/>
    <w:rsid w:val="62D40B35"/>
    <w:rsid w:val="62DA4EE0"/>
    <w:rsid w:val="62DA54F3"/>
    <w:rsid w:val="62E02C69"/>
    <w:rsid w:val="62E278F0"/>
    <w:rsid w:val="62E33669"/>
    <w:rsid w:val="62E55633"/>
    <w:rsid w:val="62E96ED1"/>
    <w:rsid w:val="62EE2739"/>
    <w:rsid w:val="62F31AFE"/>
    <w:rsid w:val="62F67840"/>
    <w:rsid w:val="62F85366"/>
    <w:rsid w:val="62FA388F"/>
    <w:rsid w:val="62FD6CA8"/>
    <w:rsid w:val="63001AC8"/>
    <w:rsid w:val="63027F93"/>
    <w:rsid w:val="63034D55"/>
    <w:rsid w:val="630A499F"/>
    <w:rsid w:val="630A5BB9"/>
    <w:rsid w:val="630C2BBF"/>
    <w:rsid w:val="630C7063"/>
    <w:rsid w:val="63110A97"/>
    <w:rsid w:val="6311467A"/>
    <w:rsid w:val="63121E7C"/>
    <w:rsid w:val="631303F2"/>
    <w:rsid w:val="63185A08"/>
    <w:rsid w:val="63201202"/>
    <w:rsid w:val="63212B0F"/>
    <w:rsid w:val="632F3D51"/>
    <w:rsid w:val="63381C06"/>
    <w:rsid w:val="633839B4"/>
    <w:rsid w:val="633D592E"/>
    <w:rsid w:val="633D721D"/>
    <w:rsid w:val="63402869"/>
    <w:rsid w:val="63410636"/>
    <w:rsid w:val="63414F5F"/>
    <w:rsid w:val="63422A85"/>
    <w:rsid w:val="634E142A"/>
    <w:rsid w:val="63505631"/>
    <w:rsid w:val="63506F50"/>
    <w:rsid w:val="63576530"/>
    <w:rsid w:val="635B58F5"/>
    <w:rsid w:val="635B76A3"/>
    <w:rsid w:val="635C3945"/>
    <w:rsid w:val="63604BF0"/>
    <w:rsid w:val="636649C5"/>
    <w:rsid w:val="636724EC"/>
    <w:rsid w:val="63690012"/>
    <w:rsid w:val="637013A0"/>
    <w:rsid w:val="63755B76"/>
    <w:rsid w:val="63773304"/>
    <w:rsid w:val="637C1792"/>
    <w:rsid w:val="637F626F"/>
    <w:rsid w:val="638210D3"/>
    <w:rsid w:val="6384309D"/>
    <w:rsid w:val="638766EA"/>
    <w:rsid w:val="63894210"/>
    <w:rsid w:val="638C0940"/>
    <w:rsid w:val="638E1826"/>
    <w:rsid w:val="63927AF6"/>
    <w:rsid w:val="6394356A"/>
    <w:rsid w:val="63972DD1"/>
    <w:rsid w:val="6397692D"/>
    <w:rsid w:val="63A2226E"/>
    <w:rsid w:val="63AC7EFE"/>
    <w:rsid w:val="63B350F7"/>
    <w:rsid w:val="63BE035D"/>
    <w:rsid w:val="63BF7ED9"/>
    <w:rsid w:val="63C35C1C"/>
    <w:rsid w:val="63C37A41"/>
    <w:rsid w:val="63C416EC"/>
    <w:rsid w:val="63C61B2C"/>
    <w:rsid w:val="63CB65D6"/>
    <w:rsid w:val="63CB7D1B"/>
    <w:rsid w:val="63D04086"/>
    <w:rsid w:val="63D40BE9"/>
    <w:rsid w:val="63DC4C88"/>
    <w:rsid w:val="63DD630A"/>
    <w:rsid w:val="63DD700C"/>
    <w:rsid w:val="63E63410"/>
    <w:rsid w:val="63EA034B"/>
    <w:rsid w:val="63EA73A4"/>
    <w:rsid w:val="63ED0C43"/>
    <w:rsid w:val="63F0428F"/>
    <w:rsid w:val="63F0603D"/>
    <w:rsid w:val="63F54C8B"/>
    <w:rsid w:val="63F55D49"/>
    <w:rsid w:val="63F84A67"/>
    <w:rsid w:val="63FB1B4E"/>
    <w:rsid w:val="64047D3A"/>
    <w:rsid w:val="640F6E0B"/>
    <w:rsid w:val="64102431"/>
    <w:rsid w:val="641206A9"/>
    <w:rsid w:val="641B0D30"/>
    <w:rsid w:val="641B57B0"/>
    <w:rsid w:val="641E0DFC"/>
    <w:rsid w:val="64216B3E"/>
    <w:rsid w:val="642503DD"/>
    <w:rsid w:val="64250F8F"/>
    <w:rsid w:val="642548B0"/>
    <w:rsid w:val="642A59F3"/>
    <w:rsid w:val="642A6FCC"/>
    <w:rsid w:val="642A77A1"/>
    <w:rsid w:val="642B41B1"/>
    <w:rsid w:val="642D103F"/>
    <w:rsid w:val="642D782D"/>
    <w:rsid w:val="643E324C"/>
    <w:rsid w:val="6440340D"/>
    <w:rsid w:val="64487C27"/>
    <w:rsid w:val="6449399F"/>
    <w:rsid w:val="644A6332"/>
    <w:rsid w:val="644D4854"/>
    <w:rsid w:val="644E54AA"/>
    <w:rsid w:val="64526CF8"/>
    <w:rsid w:val="64562410"/>
    <w:rsid w:val="64572560"/>
    <w:rsid w:val="64587714"/>
    <w:rsid w:val="645B6EED"/>
    <w:rsid w:val="645E744B"/>
    <w:rsid w:val="645F7349"/>
    <w:rsid w:val="64664551"/>
    <w:rsid w:val="646802C9"/>
    <w:rsid w:val="646A2293"/>
    <w:rsid w:val="646A4041"/>
    <w:rsid w:val="646D34E5"/>
    <w:rsid w:val="64701C7F"/>
    <w:rsid w:val="64740A1C"/>
    <w:rsid w:val="647A695C"/>
    <w:rsid w:val="647B7FFD"/>
    <w:rsid w:val="64803865"/>
    <w:rsid w:val="64840487"/>
    <w:rsid w:val="648D601A"/>
    <w:rsid w:val="648E18DE"/>
    <w:rsid w:val="648E660E"/>
    <w:rsid w:val="649317EA"/>
    <w:rsid w:val="649376F5"/>
    <w:rsid w:val="64950BBA"/>
    <w:rsid w:val="64994282"/>
    <w:rsid w:val="64A00315"/>
    <w:rsid w:val="64A05CB5"/>
    <w:rsid w:val="64A5243A"/>
    <w:rsid w:val="64A532CB"/>
    <w:rsid w:val="64A86918"/>
    <w:rsid w:val="64AD3F2E"/>
    <w:rsid w:val="64AF414A"/>
    <w:rsid w:val="64B21544"/>
    <w:rsid w:val="64B229AA"/>
    <w:rsid w:val="64B61035"/>
    <w:rsid w:val="64BD6867"/>
    <w:rsid w:val="64BD73CE"/>
    <w:rsid w:val="64C5571C"/>
    <w:rsid w:val="64CA4413"/>
    <w:rsid w:val="64CD15F1"/>
    <w:rsid w:val="64CF20F6"/>
    <w:rsid w:val="64D84C97"/>
    <w:rsid w:val="64D911C7"/>
    <w:rsid w:val="64DB6CED"/>
    <w:rsid w:val="64E2007C"/>
    <w:rsid w:val="64E7390D"/>
    <w:rsid w:val="64E8140A"/>
    <w:rsid w:val="64EC5DC6"/>
    <w:rsid w:val="64EE6031"/>
    <w:rsid w:val="64F0616E"/>
    <w:rsid w:val="64F531DE"/>
    <w:rsid w:val="64F8164D"/>
    <w:rsid w:val="6502427A"/>
    <w:rsid w:val="650D376B"/>
    <w:rsid w:val="65110961"/>
    <w:rsid w:val="6511270F"/>
    <w:rsid w:val="651165AF"/>
    <w:rsid w:val="65130235"/>
    <w:rsid w:val="65136487"/>
    <w:rsid w:val="65195EE4"/>
    <w:rsid w:val="65197815"/>
    <w:rsid w:val="651B5C6C"/>
    <w:rsid w:val="652A1A23"/>
    <w:rsid w:val="652A37D1"/>
    <w:rsid w:val="652A557F"/>
    <w:rsid w:val="652E1513"/>
    <w:rsid w:val="65332B38"/>
    <w:rsid w:val="6535464F"/>
    <w:rsid w:val="65373578"/>
    <w:rsid w:val="653B59DE"/>
    <w:rsid w:val="65444892"/>
    <w:rsid w:val="654523B9"/>
    <w:rsid w:val="654A5C21"/>
    <w:rsid w:val="654C7BEB"/>
    <w:rsid w:val="654E6A2A"/>
    <w:rsid w:val="65536629"/>
    <w:rsid w:val="65562818"/>
    <w:rsid w:val="655A2308"/>
    <w:rsid w:val="655B7E2E"/>
    <w:rsid w:val="655E0773"/>
    <w:rsid w:val="656211BC"/>
    <w:rsid w:val="65643ABA"/>
    <w:rsid w:val="65663C4D"/>
    <w:rsid w:val="65673681"/>
    <w:rsid w:val="65674A25"/>
    <w:rsid w:val="656A1E1F"/>
    <w:rsid w:val="656B62C3"/>
    <w:rsid w:val="656D7044"/>
    <w:rsid w:val="65723D46"/>
    <w:rsid w:val="65774B59"/>
    <w:rsid w:val="657A6506"/>
    <w:rsid w:val="657D7DA4"/>
    <w:rsid w:val="65815AE7"/>
    <w:rsid w:val="6583159D"/>
    <w:rsid w:val="65856C59"/>
    <w:rsid w:val="6586391D"/>
    <w:rsid w:val="65887A32"/>
    <w:rsid w:val="65924308"/>
    <w:rsid w:val="6594028C"/>
    <w:rsid w:val="65960E66"/>
    <w:rsid w:val="659962E6"/>
    <w:rsid w:val="659B4699"/>
    <w:rsid w:val="659D1604"/>
    <w:rsid w:val="65A200F0"/>
    <w:rsid w:val="65A43583"/>
    <w:rsid w:val="65AD68DC"/>
    <w:rsid w:val="65B732B6"/>
    <w:rsid w:val="65B75E88"/>
    <w:rsid w:val="65BA6903"/>
    <w:rsid w:val="65BE5407"/>
    <w:rsid w:val="65BE569D"/>
    <w:rsid w:val="65CB6D62"/>
    <w:rsid w:val="65D5198E"/>
    <w:rsid w:val="65D530C1"/>
    <w:rsid w:val="65D613C8"/>
    <w:rsid w:val="65D774B5"/>
    <w:rsid w:val="65E676F8"/>
    <w:rsid w:val="65E9368C"/>
    <w:rsid w:val="65F067C8"/>
    <w:rsid w:val="65F22540"/>
    <w:rsid w:val="65F55B8D"/>
    <w:rsid w:val="65FC161E"/>
    <w:rsid w:val="660032AC"/>
    <w:rsid w:val="660404C6"/>
    <w:rsid w:val="66065F8A"/>
    <w:rsid w:val="66065FEC"/>
    <w:rsid w:val="660724BC"/>
    <w:rsid w:val="660758C0"/>
    <w:rsid w:val="66091638"/>
    <w:rsid w:val="660A5ADC"/>
    <w:rsid w:val="660D17C1"/>
    <w:rsid w:val="661068EE"/>
    <w:rsid w:val="66107FCF"/>
    <w:rsid w:val="66110D10"/>
    <w:rsid w:val="66124991"/>
    <w:rsid w:val="661334EF"/>
    <w:rsid w:val="66171FA7"/>
    <w:rsid w:val="661A1459"/>
    <w:rsid w:val="66206484"/>
    <w:rsid w:val="66224E6B"/>
    <w:rsid w:val="662B15AE"/>
    <w:rsid w:val="66375E48"/>
    <w:rsid w:val="664A237C"/>
    <w:rsid w:val="66516D76"/>
    <w:rsid w:val="66522FDF"/>
    <w:rsid w:val="665578D7"/>
    <w:rsid w:val="66567B85"/>
    <w:rsid w:val="665808D4"/>
    <w:rsid w:val="665C3E5E"/>
    <w:rsid w:val="665D6480"/>
    <w:rsid w:val="665D7FDF"/>
    <w:rsid w:val="665F56FC"/>
    <w:rsid w:val="66652D12"/>
    <w:rsid w:val="66662B3C"/>
    <w:rsid w:val="66677675"/>
    <w:rsid w:val="666A6355"/>
    <w:rsid w:val="666D220A"/>
    <w:rsid w:val="66716863"/>
    <w:rsid w:val="667B0788"/>
    <w:rsid w:val="667E04D7"/>
    <w:rsid w:val="66805D9E"/>
    <w:rsid w:val="6683763C"/>
    <w:rsid w:val="668A19AF"/>
    <w:rsid w:val="668D6370"/>
    <w:rsid w:val="668F1B3D"/>
    <w:rsid w:val="668F3B89"/>
    <w:rsid w:val="668F69C2"/>
    <w:rsid w:val="66903B07"/>
    <w:rsid w:val="669432D4"/>
    <w:rsid w:val="669435F8"/>
    <w:rsid w:val="669453A6"/>
    <w:rsid w:val="6699265D"/>
    <w:rsid w:val="669F37FC"/>
    <w:rsid w:val="669F4100"/>
    <w:rsid w:val="66A54FAE"/>
    <w:rsid w:val="66AA556B"/>
    <w:rsid w:val="66AD6467"/>
    <w:rsid w:val="66AE5783"/>
    <w:rsid w:val="66AF21DF"/>
    <w:rsid w:val="66B002A9"/>
    <w:rsid w:val="66B21CD0"/>
    <w:rsid w:val="66C0263F"/>
    <w:rsid w:val="66C13CC1"/>
    <w:rsid w:val="66CB7C1F"/>
    <w:rsid w:val="66CC2D91"/>
    <w:rsid w:val="66CD6B09"/>
    <w:rsid w:val="66CF2882"/>
    <w:rsid w:val="66D042B2"/>
    <w:rsid w:val="66D1515F"/>
    <w:rsid w:val="66D20BDB"/>
    <w:rsid w:val="66D24120"/>
    <w:rsid w:val="66DB00B9"/>
    <w:rsid w:val="66E3632D"/>
    <w:rsid w:val="66E520A5"/>
    <w:rsid w:val="66E71979"/>
    <w:rsid w:val="66E8749F"/>
    <w:rsid w:val="66EC1117"/>
    <w:rsid w:val="66EC6F90"/>
    <w:rsid w:val="66F127F8"/>
    <w:rsid w:val="66F34C71"/>
    <w:rsid w:val="66F61BBC"/>
    <w:rsid w:val="66F67E0E"/>
    <w:rsid w:val="670544F5"/>
    <w:rsid w:val="67090E09"/>
    <w:rsid w:val="6709781C"/>
    <w:rsid w:val="670B5423"/>
    <w:rsid w:val="670F1F3D"/>
    <w:rsid w:val="67181231"/>
    <w:rsid w:val="671F124A"/>
    <w:rsid w:val="67222B43"/>
    <w:rsid w:val="6726659E"/>
    <w:rsid w:val="67277FC8"/>
    <w:rsid w:val="67281F92"/>
    <w:rsid w:val="672A0BF1"/>
    <w:rsid w:val="672C3830"/>
    <w:rsid w:val="672D1356"/>
    <w:rsid w:val="672F65EE"/>
    <w:rsid w:val="673152EA"/>
    <w:rsid w:val="67380427"/>
    <w:rsid w:val="673A02B8"/>
    <w:rsid w:val="673D3C8F"/>
    <w:rsid w:val="673D77EB"/>
    <w:rsid w:val="673F3B40"/>
    <w:rsid w:val="674473E3"/>
    <w:rsid w:val="674B5BB6"/>
    <w:rsid w:val="674C1A45"/>
    <w:rsid w:val="674C5C80"/>
    <w:rsid w:val="674F5770"/>
    <w:rsid w:val="675039C2"/>
    <w:rsid w:val="675114E9"/>
    <w:rsid w:val="67561D44"/>
    <w:rsid w:val="6759333E"/>
    <w:rsid w:val="675966CC"/>
    <w:rsid w:val="675F3C06"/>
    <w:rsid w:val="676927E5"/>
    <w:rsid w:val="67694116"/>
    <w:rsid w:val="676B07FC"/>
    <w:rsid w:val="677108A1"/>
    <w:rsid w:val="677304EC"/>
    <w:rsid w:val="67780823"/>
    <w:rsid w:val="677A33C6"/>
    <w:rsid w:val="677A5B20"/>
    <w:rsid w:val="677B0314"/>
    <w:rsid w:val="677D0530"/>
    <w:rsid w:val="677D5E3A"/>
    <w:rsid w:val="677F2331"/>
    <w:rsid w:val="677F7E04"/>
    <w:rsid w:val="67875FF6"/>
    <w:rsid w:val="6787618F"/>
    <w:rsid w:val="67892A30"/>
    <w:rsid w:val="678A7E42"/>
    <w:rsid w:val="678E6299"/>
    <w:rsid w:val="678F3DBF"/>
    <w:rsid w:val="67964180"/>
    <w:rsid w:val="67A1421E"/>
    <w:rsid w:val="67A21D44"/>
    <w:rsid w:val="67A27F96"/>
    <w:rsid w:val="67A55390"/>
    <w:rsid w:val="67AE2497"/>
    <w:rsid w:val="67B101D9"/>
    <w:rsid w:val="67B11F87"/>
    <w:rsid w:val="67B6134C"/>
    <w:rsid w:val="67BA20FD"/>
    <w:rsid w:val="67BA708E"/>
    <w:rsid w:val="67BC2E06"/>
    <w:rsid w:val="67BF6452"/>
    <w:rsid w:val="67C41CBB"/>
    <w:rsid w:val="67C63C85"/>
    <w:rsid w:val="67C717AB"/>
    <w:rsid w:val="67CC4524"/>
    <w:rsid w:val="67CD1E66"/>
    <w:rsid w:val="67D55C76"/>
    <w:rsid w:val="67D85766"/>
    <w:rsid w:val="67DB0DB2"/>
    <w:rsid w:val="67DF1992"/>
    <w:rsid w:val="67E1286C"/>
    <w:rsid w:val="67E4235D"/>
    <w:rsid w:val="67E43684"/>
    <w:rsid w:val="67E81B99"/>
    <w:rsid w:val="67E8467C"/>
    <w:rsid w:val="67F03E7F"/>
    <w:rsid w:val="67F66A9F"/>
    <w:rsid w:val="67F81964"/>
    <w:rsid w:val="67F9245C"/>
    <w:rsid w:val="67FA1B80"/>
    <w:rsid w:val="67FA230B"/>
    <w:rsid w:val="67FF0F45"/>
    <w:rsid w:val="680058B9"/>
    <w:rsid w:val="68030A35"/>
    <w:rsid w:val="680315E9"/>
    <w:rsid w:val="68060525"/>
    <w:rsid w:val="680A1939"/>
    <w:rsid w:val="680E1188"/>
    <w:rsid w:val="68136F6D"/>
    <w:rsid w:val="68155A75"/>
    <w:rsid w:val="681840BE"/>
    <w:rsid w:val="681F6961"/>
    <w:rsid w:val="68212685"/>
    <w:rsid w:val="682126DE"/>
    <w:rsid w:val="68307A21"/>
    <w:rsid w:val="6833299C"/>
    <w:rsid w:val="68376930"/>
    <w:rsid w:val="6838096D"/>
    <w:rsid w:val="683A3D2B"/>
    <w:rsid w:val="683E0BCB"/>
    <w:rsid w:val="683E676D"/>
    <w:rsid w:val="68442DFB"/>
    <w:rsid w:val="684626D0"/>
    <w:rsid w:val="68491856"/>
    <w:rsid w:val="684B58E3"/>
    <w:rsid w:val="684C5A3C"/>
    <w:rsid w:val="684D3079"/>
    <w:rsid w:val="685036D3"/>
    <w:rsid w:val="6852376A"/>
    <w:rsid w:val="68533F35"/>
    <w:rsid w:val="685A706C"/>
    <w:rsid w:val="685C1945"/>
    <w:rsid w:val="685D3E2D"/>
    <w:rsid w:val="685E10D7"/>
    <w:rsid w:val="685E3EBD"/>
    <w:rsid w:val="685F2FA6"/>
    <w:rsid w:val="68610A2F"/>
    <w:rsid w:val="686142B9"/>
    <w:rsid w:val="6861575B"/>
    <w:rsid w:val="68625CD8"/>
    <w:rsid w:val="6864524C"/>
    <w:rsid w:val="68662D72"/>
    <w:rsid w:val="6870620A"/>
    <w:rsid w:val="68753131"/>
    <w:rsid w:val="687C4877"/>
    <w:rsid w:val="687C7BEE"/>
    <w:rsid w:val="687F14F3"/>
    <w:rsid w:val="68805514"/>
    <w:rsid w:val="688B43B1"/>
    <w:rsid w:val="688B44B8"/>
    <w:rsid w:val="688D2FE3"/>
    <w:rsid w:val="68975621"/>
    <w:rsid w:val="689773CF"/>
    <w:rsid w:val="689A0C6D"/>
    <w:rsid w:val="689D78B9"/>
    <w:rsid w:val="68AD6DB4"/>
    <w:rsid w:val="68B25A40"/>
    <w:rsid w:val="68B25FB7"/>
    <w:rsid w:val="68B52CC7"/>
    <w:rsid w:val="68B72F1C"/>
    <w:rsid w:val="68BC01EC"/>
    <w:rsid w:val="68BC0BE4"/>
    <w:rsid w:val="68BC6E36"/>
    <w:rsid w:val="68C105FD"/>
    <w:rsid w:val="68C115DC"/>
    <w:rsid w:val="68C22AFA"/>
    <w:rsid w:val="68CA2EDC"/>
    <w:rsid w:val="68CB245D"/>
    <w:rsid w:val="68CF4DBB"/>
    <w:rsid w:val="68D20407"/>
    <w:rsid w:val="68D45F2D"/>
    <w:rsid w:val="68DB3760"/>
    <w:rsid w:val="68E1689C"/>
    <w:rsid w:val="68E24AEE"/>
    <w:rsid w:val="68E81C4C"/>
    <w:rsid w:val="68F01271"/>
    <w:rsid w:val="68F16ADF"/>
    <w:rsid w:val="68F26745"/>
    <w:rsid w:val="68F559CB"/>
    <w:rsid w:val="68F71C1C"/>
    <w:rsid w:val="68F96EBD"/>
    <w:rsid w:val="68FA2CDC"/>
    <w:rsid w:val="68FE2FAA"/>
    <w:rsid w:val="690069D6"/>
    <w:rsid w:val="69047AC8"/>
    <w:rsid w:val="690507DD"/>
    <w:rsid w:val="69072CDE"/>
    <w:rsid w:val="690A339E"/>
    <w:rsid w:val="691837FD"/>
    <w:rsid w:val="691E189E"/>
    <w:rsid w:val="691F15AB"/>
    <w:rsid w:val="69207721"/>
    <w:rsid w:val="69252C2D"/>
    <w:rsid w:val="69286279"/>
    <w:rsid w:val="692D1AE1"/>
    <w:rsid w:val="692E1AC6"/>
    <w:rsid w:val="693115D2"/>
    <w:rsid w:val="69316E2F"/>
    <w:rsid w:val="69317AAB"/>
    <w:rsid w:val="69381D5F"/>
    <w:rsid w:val="693C6044"/>
    <w:rsid w:val="693E3CEF"/>
    <w:rsid w:val="693E784B"/>
    <w:rsid w:val="693F065E"/>
    <w:rsid w:val="694A2693"/>
    <w:rsid w:val="694A377B"/>
    <w:rsid w:val="694E2071"/>
    <w:rsid w:val="694E356F"/>
    <w:rsid w:val="694E3F32"/>
    <w:rsid w:val="69513A22"/>
    <w:rsid w:val="69517B1E"/>
    <w:rsid w:val="69601EB7"/>
    <w:rsid w:val="69766163"/>
    <w:rsid w:val="69794D27"/>
    <w:rsid w:val="697A3B33"/>
    <w:rsid w:val="697B3427"/>
    <w:rsid w:val="697C5D38"/>
    <w:rsid w:val="69885E85"/>
    <w:rsid w:val="698A2A81"/>
    <w:rsid w:val="698C7D63"/>
    <w:rsid w:val="698E7A0E"/>
    <w:rsid w:val="698F00A6"/>
    <w:rsid w:val="699102C2"/>
    <w:rsid w:val="69920F8D"/>
    <w:rsid w:val="69925248"/>
    <w:rsid w:val="699658D9"/>
    <w:rsid w:val="699833FF"/>
    <w:rsid w:val="699D27C3"/>
    <w:rsid w:val="699E66D4"/>
    <w:rsid w:val="699F7E00"/>
    <w:rsid w:val="69A47FF6"/>
    <w:rsid w:val="69A73642"/>
    <w:rsid w:val="69A90240"/>
    <w:rsid w:val="69AF4317"/>
    <w:rsid w:val="69B12712"/>
    <w:rsid w:val="69B13904"/>
    <w:rsid w:val="69B271C7"/>
    <w:rsid w:val="69B53FB1"/>
    <w:rsid w:val="69B67D29"/>
    <w:rsid w:val="69BF041A"/>
    <w:rsid w:val="69BF17E2"/>
    <w:rsid w:val="69C45FA2"/>
    <w:rsid w:val="69C97A5C"/>
    <w:rsid w:val="69D02B99"/>
    <w:rsid w:val="69D33990"/>
    <w:rsid w:val="69D44760"/>
    <w:rsid w:val="69D65CD5"/>
    <w:rsid w:val="69DA7573"/>
    <w:rsid w:val="69DB150E"/>
    <w:rsid w:val="69DD3507"/>
    <w:rsid w:val="69DF102E"/>
    <w:rsid w:val="69E16283"/>
    <w:rsid w:val="69E83666"/>
    <w:rsid w:val="69E860BE"/>
    <w:rsid w:val="69ED6602"/>
    <w:rsid w:val="69ED6697"/>
    <w:rsid w:val="69EE74C3"/>
    <w:rsid w:val="69EF0838"/>
    <w:rsid w:val="69F10D61"/>
    <w:rsid w:val="69F33B01"/>
    <w:rsid w:val="69F72041"/>
    <w:rsid w:val="69FD110F"/>
    <w:rsid w:val="69FD3262"/>
    <w:rsid w:val="69FD7706"/>
    <w:rsid w:val="6A040A94"/>
    <w:rsid w:val="6A06480C"/>
    <w:rsid w:val="6A136F29"/>
    <w:rsid w:val="6A1707C7"/>
    <w:rsid w:val="6A1D00C0"/>
    <w:rsid w:val="6A1F6E67"/>
    <w:rsid w:val="6A206591"/>
    <w:rsid w:val="6A250911"/>
    <w:rsid w:val="6A276531"/>
    <w:rsid w:val="6A28694E"/>
    <w:rsid w:val="6A2D7FEB"/>
    <w:rsid w:val="6A3002BD"/>
    <w:rsid w:val="6A331379"/>
    <w:rsid w:val="6A37344E"/>
    <w:rsid w:val="6A3C2EA7"/>
    <w:rsid w:val="6A3D7EF0"/>
    <w:rsid w:val="6A3E1614"/>
    <w:rsid w:val="6A4175F2"/>
    <w:rsid w:val="6A4A4974"/>
    <w:rsid w:val="6A4B66C3"/>
    <w:rsid w:val="6A505A87"/>
    <w:rsid w:val="6A517688"/>
    <w:rsid w:val="6A520EC7"/>
    <w:rsid w:val="6A54388A"/>
    <w:rsid w:val="6A593EEE"/>
    <w:rsid w:val="6A5D5710"/>
    <w:rsid w:val="6A607681"/>
    <w:rsid w:val="6A647492"/>
    <w:rsid w:val="6A661111"/>
    <w:rsid w:val="6A681023"/>
    <w:rsid w:val="6A694D9B"/>
    <w:rsid w:val="6A6B28C1"/>
    <w:rsid w:val="6A6D6639"/>
    <w:rsid w:val="6A701C86"/>
    <w:rsid w:val="6A71662E"/>
    <w:rsid w:val="6A753740"/>
    <w:rsid w:val="6A773014"/>
    <w:rsid w:val="6A7A2B04"/>
    <w:rsid w:val="6A7D1F7C"/>
    <w:rsid w:val="6A822EB7"/>
    <w:rsid w:val="6A874465"/>
    <w:rsid w:val="6A8D0A8A"/>
    <w:rsid w:val="6A8F07C7"/>
    <w:rsid w:val="6A9516EC"/>
    <w:rsid w:val="6A986E80"/>
    <w:rsid w:val="6A99742E"/>
    <w:rsid w:val="6A9C6F1F"/>
    <w:rsid w:val="6A9D62C5"/>
    <w:rsid w:val="6AA031D0"/>
    <w:rsid w:val="6AA10091"/>
    <w:rsid w:val="6AA162E3"/>
    <w:rsid w:val="6AA23D91"/>
    <w:rsid w:val="6AA3205B"/>
    <w:rsid w:val="6AA37B22"/>
    <w:rsid w:val="6AA95198"/>
    <w:rsid w:val="6AAB05D4"/>
    <w:rsid w:val="6AAD6A36"/>
    <w:rsid w:val="6AB343F1"/>
    <w:rsid w:val="6ABA45C1"/>
    <w:rsid w:val="6ABF49BB"/>
    <w:rsid w:val="6AC10733"/>
    <w:rsid w:val="6AC173F6"/>
    <w:rsid w:val="6AC41FD2"/>
    <w:rsid w:val="6ACB15B2"/>
    <w:rsid w:val="6ACD532A"/>
    <w:rsid w:val="6AD62431"/>
    <w:rsid w:val="6ADB7A47"/>
    <w:rsid w:val="6AE0505D"/>
    <w:rsid w:val="6AEA3F05"/>
    <w:rsid w:val="6AEA6711"/>
    <w:rsid w:val="6AEA7C8A"/>
    <w:rsid w:val="6AED1559"/>
    <w:rsid w:val="6AEF52A0"/>
    <w:rsid w:val="6AEF704E"/>
    <w:rsid w:val="6AF24D91"/>
    <w:rsid w:val="6AF758B5"/>
    <w:rsid w:val="6AF87E20"/>
    <w:rsid w:val="6AFA082D"/>
    <w:rsid w:val="6AFB3C45"/>
    <w:rsid w:val="6AFC7B7C"/>
    <w:rsid w:val="6AFE6FAA"/>
    <w:rsid w:val="6AFF300A"/>
    <w:rsid w:val="6B0074AE"/>
    <w:rsid w:val="6B046D05"/>
    <w:rsid w:val="6B076A6C"/>
    <w:rsid w:val="6B0D3978"/>
    <w:rsid w:val="6B106FC5"/>
    <w:rsid w:val="6B140DF8"/>
    <w:rsid w:val="6B1417BB"/>
    <w:rsid w:val="6B142F59"/>
    <w:rsid w:val="6B1765A5"/>
    <w:rsid w:val="6B19231D"/>
    <w:rsid w:val="6B1D1097"/>
    <w:rsid w:val="6B1E7934"/>
    <w:rsid w:val="6B2955A5"/>
    <w:rsid w:val="6B2D197B"/>
    <w:rsid w:val="6B2D401B"/>
    <w:rsid w:val="6B322639"/>
    <w:rsid w:val="6B32518D"/>
    <w:rsid w:val="6B3378BD"/>
    <w:rsid w:val="6B3453A9"/>
    <w:rsid w:val="6B39651C"/>
    <w:rsid w:val="6B476812"/>
    <w:rsid w:val="6B4C26F3"/>
    <w:rsid w:val="6B5415A7"/>
    <w:rsid w:val="6B580B82"/>
    <w:rsid w:val="6B5C045C"/>
    <w:rsid w:val="6B5C083C"/>
    <w:rsid w:val="6B5E41D4"/>
    <w:rsid w:val="6B6535F5"/>
    <w:rsid w:val="6B6562D0"/>
    <w:rsid w:val="6B686E01"/>
    <w:rsid w:val="6B6D35B4"/>
    <w:rsid w:val="6B7068C8"/>
    <w:rsid w:val="6B775726"/>
    <w:rsid w:val="6B79100E"/>
    <w:rsid w:val="6B8312D6"/>
    <w:rsid w:val="6B882FFF"/>
    <w:rsid w:val="6B885886"/>
    <w:rsid w:val="6B8C0D41"/>
    <w:rsid w:val="6B8C6F93"/>
    <w:rsid w:val="6B8F2421"/>
    <w:rsid w:val="6B910106"/>
    <w:rsid w:val="6B914E9E"/>
    <w:rsid w:val="6B915AA3"/>
    <w:rsid w:val="6B933430"/>
    <w:rsid w:val="6B9C3CB7"/>
    <w:rsid w:val="6B9D33DE"/>
    <w:rsid w:val="6B9D4CFC"/>
    <w:rsid w:val="6BA02A3F"/>
    <w:rsid w:val="6BA51E03"/>
    <w:rsid w:val="6BA60733"/>
    <w:rsid w:val="6BA72DEE"/>
    <w:rsid w:val="6BA75B7B"/>
    <w:rsid w:val="6BAC0503"/>
    <w:rsid w:val="6BB66D52"/>
    <w:rsid w:val="6BB7316F"/>
    <w:rsid w:val="6BBC41B5"/>
    <w:rsid w:val="6BBF1117"/>
    <w:rsid w:val="6BC02799"/>
    <w:rsid w:val="6BC56001"/>
    <w:rsid w:val="6BCD2E8B"/>
    <w:rsid w:val="6BCF0C2E"/>
    <w:rsid w:val="6BD46244"/>
    <w:rsid w:val="6BE0108D"/>
    <w:rsid w:val="6BE05D30"/>
    <w:rsid w:val="6BE7241B"/>
    <w:rsid w:val="6BE96194"/>
    <w:rsid w:val="6BED59C8"/>
    <w:rsid w:val="6BED6CE1"/>
    <w:rsid w:val="6BF14D2F"/>
    <w:rsid w:val="6BF16408"/>
    <w:rsid w:val="6BF16D52"/>
    <w:rsid w:val="6BF40694"/>
    <w:rsid w:val="6BF91FF2"/>
    <w:rsid w:val="6BFA3EFD"/>
    <w:rsid w:val="6BFA6E39"/>
    <w:rsid w:val="6BFB0E5C"/>
    <w:rsid w:val="6BFB5E4D"/>
    <w:rsid w:val="6BFD7E31"/>
    <w:rsid w:val="6C0703C8"/>
    <w:rsid w:val="6C0905E4"/>
    <w:rsid w:val="6C124A4D"/>
    <w:rsid w:val="6C13106C"/>
    <w:rsid w:val="6C132E5F"/>
    <w:rsid w:val="6C162E52"/>
    <w:rsid w:val="6C187EE7"/>
    <w:rsid w:val="6C1D6024"/>
    <w:rsid w:val="6C1E7E65"/>
    <w:rsid w:val="6C2076DB"/>
    <w:rsid w:val="6C256267"/>
    <w:rsid w:val="6C375B66"/>
    <w:rsid w:val="6C376EFF"/>
    <w:rsid w:val="6C3D04B5"/>
    <w:rsid w:val="6C3D6CC4"/>
    <w:rsid w:val="6C4B0A40"/>
    <w:rsid w:val="6C4B6D67"/>
    <w:rsid w:val="6C53185F"/>
    <w:rsid w:val="6C554E98"/>
    <w:rsid w:val="6C586E75"/>
    <w:rsid w:val="6C5A0B52"/>
    <w:rsid w:val="6C5A2BED"/>
    <w:rsid w:val="6C5C1314"/>
    <w:rsid w:val="6C5C6984"/>
    <w:rsid w:val="6C5D623A"/>
    <w:rsid w:val="6C5F6456"/>
    <w:rsid w:val="6C613F7C"/>
    <w:rsid w:val="6C635F46"/>
    <w:rsid w:val="6C636C38"/>
    <w:rsid w:val="6C64581A"/>
    <w:rsid w:val="6C663340"/>
    <w:rsid w:val="6C6725D8"/>
    <w:rsid w:val="6C674488"/>
    <w:rsid w:val="6C6C4469"/>
    <w:rsid w:val="6C6C6EB0"/>
    <w:rsid w:val="6C702411"/>
    <w:rsid w:val="6C741194"/>
    <w:rsid w:val="6C7517D5"/>
    <w:rsid w:val="6C761219"/>
    <w:rsid w:val="6C7D4B2E"/>
    <w:rsid w:val="6C8313EB"/>
    <w:rsid w:val="6C835DF0"/>
    <w:rsid w:val="6C8C4C05"/>
    <w:rsid w:val="6C943D1E"/>
    <w:rsid w:val="6C9500C9"/>
    <w:rsid w:val="6C963E60"/>
    <w:rsid w:val="6C965D26"/>
    <w:rsid w:val="6C967816"/>
    <w:rsid w:val="6C991968"/>
    <w:rsid w:val="6CA1081C"/>
    <w:rsid w:val="6CA42148"/>
    <w:rsid w:val="6CB036C6"/>
    <w:rsid w:val="6CB318B4"/>
    <w:rsid w:val="6CB31998"/>
    <w:rsid w:val="6CC12C6C"/>
    <w:rsid w:val="6CC1614B"/>
    <w:rsid w:val="6CC70929"/>
    <w:rsid w:val="6CC70A14"/>
    <w:rsid w:val="6CCB5899"/>
    <w:rsid w:val="6CD81D64"/>
    <w:rsid w:val="6CE55163"/>
    <w:rsid w:val="6CEB1A97"/>
    <w:rsid w:val="6CEB7CE9"/>
    <w:rsid w:val="6CEE3336"/>
    <w:rsid w:val="6CEE6086"/>
    <w:rsid w:val="6CEE6218"/>
    <w:rsid w:val="6CF43042"/>
    <w:rsid w:val="6CF50B68"/>
    <w:rsid w:val="6CF7421D"/>
    <w:rsid w:val="6CF7668E"/>
    <w:rsid w:val="6CFC3CA5"/>
    <w:rsid w:val="6CFC6C30"/>
    <w:rsid w:val="6CFF5543"/>
    <w:rsid w:val="6CFF5E84"/>
    <w:rsid w:val="6D031098"/>
    <w:rsid w:val="6D035033"/>
    <w:rsid w:val="6D0D4104"/>
    <w:rsid w:val="6D0F4A3E"/>
    <w:rsid w:val="6D134E6B"/>
    <w:rsid w:val="6D140CF4"/>
    <w:rsid w:val="6D170ADE"/>
    <w:rsid w:val="6D176D30"/>
    <w:rsid w:val="6D1C7394"/>
    <w:rsid w:val="6D1D2957"/>
    <w:rsid w:val="6D2154B9"/>
    <w:rsid w:val="6D2C569C"/>
    <w:rsid w:val="6D2F407A"/>
    <w:rsid w:val="6D3276C6"/>
    <w:rsid w:val="6D371181"/>
    <w:rsid w:val="6D3C3782"/>
    <w:rsid w:val="6D401DE3"/>
    <w:rsid w:val="6D413DAD"/>
    <w:rsid w:val="6D417958"/>
    <w:rsid w:val="6D437B25"/>
    <w:rsid w:val="6D464F20"/>
    <w:rsid w:val="6D4D4500"/>
    <w:rsid w:val="6D556455"/>
    <w:rsid w:val="6D617FAC"/>
    <w:rsid w:val="6D6261FE"/>
    <w:rsid w:val="6D6C3217"/>
    <w:rsid w:val="6D6D06FE"/>
    <w:rsid w:val="6D6F4477"/>
    <w:rsid w:val="6D741A8D"/>
    <w:rsid w:val="6D793547"/>
    <w:rsid w:val="6D8018BE"/>
    <w:rsid w:val="6D831B87"/>
    <w:rsid w:val="6D8617C0"/>
    <w:rsid w:val="6D8669BA"/>
    <w:rsid w:val="6D8819DC"/>
    <w:rsid w:val="6D8D0DA1"/>
    <w:rsid w:val="6D8D4EC4"/>
    <w:rsid w:val="6D9143ED"/>
    <w:rsid w:val="6D986116"/>
    <w:rsid w:val="6D9B170F"/>
    <w:rsid w:val="6DA06D26"/>
    <w:rsid w:val="6DA47010"/>
    <w:rsid w:val="6DAE1E93"/>
    <w:rsid w:val="6DB30807"/>
    <w:rsid w:val="6DB33371"/>
    <w:rsid w:val="6DB33789"/>
    <w:rsid w:val="6DB34098"/>
    <w:rsid w:val="6DB545B6"/>
    <w:rsid w:val="6DB56BE2"/>
    <w:rsid w:val="6DB63E53"/>
    <w:rsid w:val="6DB86795"/>
    <w:rsid w:val="6DBD1686"/>
    <w:rsid w:val="6DBD3434"/>
    <w:rsid w:val="6DBE0F5A"/>
    <w:rsid w:val="6DC56B21"/>
    <w:rsid w:val="6DC72BE1"/>
    <w:rsid w:val="6DC96B9A"/>
    <w:rsid w:val="6DD12DF0"/>
    <w:rsid w:val="6DD8026E"/>
    <w:rsid w:val="6DDE15FC"/>
    <w:rsid w:val="6DE02FB4"/>
    <w:rsid w:val="6DE44E65"/>
    <w:rsid w:val="6DE95E0F"/>
    <w:rsid w:val="6DEC288D"/>
    <w:rsid w:val="6DEE183F"/>
    <w:rsid w:val="6DF25B0C"/>
    <w:rsid w:val="6DF40E20"/>
    <w:rsid w:val="6DF61446"/>
    <w:rsid w:val="6DF80910"/>
    <w:rsid w:val="6DF84ABD"/>
    <w:rsid w:val="6DFA3DB4"/>
    <w:rsid w:val="6DFD7CD4"/>
    <w:rsid w:val="6DFF56C3"/>
    <w:rsid w:val="6E070B53"/>
    <w:rsid w:val="6E0813FF"/>
    <w:rsid w:val="6E0A23F1"/>
    <w:rsid w:val="6E0A6D4E"/>
    <w:rsid w:val="6E0B2D4F"/>
    <w:rsid w:val="6E0C7F17"/>
    <w:rsid w:val="6E1119FB"/>
    <w:rsid w:val="6E1312A6"/>
    <w:rsid w:val="6E13397E"/>
    <w:rsid w:val="6E153FB5"/>
    <w:rsid w:val="6E181F02"/>
    <w:rsid w:val="6E184B0E"/>
    <w:rsid w:val="6E1F40EF"/>
    <w:rsid w:val="6E217E67"/>
    <w:rsid w:val="6E270359"/>
    <w:rsid w:val="6E272310"/>
    <w:rsid w:val="6E2B134B"/>
    <w:rsid w:val="6E2C680B"/>
    <w:rsid w:val="6E2D3FEB"/>
    <w:rsid w:val="6E2F3C06"/>
    <w:rsid w:val="6E31378F"/>
    <w:rsid w:val="6E31797E"/>
    <w:rsid w:val="6E336DE8"/>
    <w:rsid w:val="6E38387A"/>
    <w:rsid w:val="6E427644"/>
    <w:rsid w:val="6E427DDD"/>
    <w:rsid w:val="6E4A73F0"/>
    <w:rsid w:val="6E4B6196"/>
    <w:rsid w:val="6E4C6576"/>
    <w:rsid w:val="6E4D57C7"/>
    <w:rsid w:val="6E511517"/>
    <w:rsid w:val="6E514CED"/>
    <w:rsid w:val="6E5518BE"/>
    <w:rsid w:val="6E58315D"/>
    <w:rsid w:val="6E6164B5"/>
    <w:rsid w:val="6E655AB1"/>
    <w:rsid w:val="6E662F59"/>
    <w:rsid w:val="6E69536A"/>
    <w:rsid w:val="6E6A37AF"/>
    <w:rsid w:val="6E703D36"/>
    <w:rsid w:val="6E712470"/>
    <w:rsid w:val="6E713512"/>
    <w:rsid w:val="6E731D44"/>
    <w:rsid w:val="6E744B15"/>
    <w:rsid w:val="6E755ABD"/>
    <w:rsid w:val="6E775CD9"/>
    <w:rsid w:val="6E792698"/>
    <w:rsid w:val="6E7C3ACA"/>
    <w:rsid w:val="6E7D7067"/>
    <w:rsid w:val="6E7F06E9"/>
    <w:rsid w:val="6E801813"/>
    <w:rsid w:val="6E8020C0"/>
    <w:rsid w:val="6E82642B"/>
    <w:rsid w:val="6E851A78"/>
    <w:rsid w:val="6E855956"/>
    <w:rsid w:val="6E8B6B29"/>
    <w:rsid w:val="6E8D72AA"/>
    <w:rsid w:val="6E92169B"/>
    <w:rsid w:val="6E985C4F"/>
    <w:rsid w:val="6EA55627"/>
    <w:rsid w:val="6EAD16FA"/>
    <w:rsid w:val="6EB04D47"/>
    <w:rsid w:val="6EB26D11"/>
    <w:rsid w:val="6EB563D5"/>
    <w:rsid w:val="6EB81E4D"/>
    <w:rsid w:val="6EBB2A73"/>
    <w:rsid w:val="6EC30F1E"/>
    <w:rsid w:val="6EC34705"/>
    <w:rsid w:val="6ECE3A37"/>
    <w:rsid w:val="6ED6166D"/>
    <w:rsid w:val="6ED92677"/>
    <w:rsid w:val="6EDA6267"/>
    <w:rsid w:val="6EDC1FE0"/>
    <w:rsid w:val="6EDD3949"/>
    <w:rsid w:val="6EE22835"/>
    <w:rsid w:val="6EE353F4"/>
    <w:rsid w:val="6EE375E6"/>
    <w:rsid w:val="6EEE06E4"/>
    <w:rsid w:val="6EEE3AC1"/>
    <w:rsid w:val="6EEF0E44"/>
    <w:rsid w:val="6EF015E7"/>
    <w:rsid w:val="6EF94940"/>
    <w:rsid w:val="6EFD36EC"/>
    <w:rsid w:val="6EFD5AB2"/>
    <w:rsid w:val="6F0357BE"/>
    <w:rsid w:val="6F051E80"/>
    <w:rsid w:val="6F15104E"/>
    <w:rsid w:val="6F166CB7"/>
    <w:rsid w:val="6F1C3F38"/>
    <w:rsid w:val="6F1F1ECC"/>
    <w:rsid w:val="6F2179F2"/>
    <w:rsid w:val="6F223AF6"/>
    <w:rsid w:val="6F225983"/>
    <w:rsid w:val="6F243C90"/>
    <w:rsid w:val="6F2A5C70"/>
    <w:rsid w:val="6F2B6AC3"/>
    <w:rsid w:val="6F3239AE"/>
    <w:rsid w:val="6F3251F0"/>
    <w:rsid w:val="6F327E52"/>
    <w:rsid w:val="6F362522"/>
    <w:rsid w:val="6F370FC4"/>
    <w:rsid w:val="6F3755D1"/>
    <w:rsid w:val="6F3C482C"/>
    <w:rsid w:val="6F4157E9"/>
    <w:rsid w:val="6F4162E7"/>
    <w:rsid w:val="6F435BBB"/>
    <w:rsid w:val="6F453457"/>
    <w:rsid w:val="6F46060C"/>
    <w:rsid w:val="6F464A38"/>
    <w:rsid w:val="6F4A5606"/>
    <w:rsid w:val="6F4F27B2"/>
    <w:rsid w:val="6F4F4560"/>
    <w:rsid w:val="6F5002D8"/>
    <w:rsid w:val="6F5755BF"/>
    <w:rsid w:val="6F5953DE"/>
    <w:rsid w:val="6F5E47A3"/>
    <w:rsid w:val="6F5F5F6E"/>
    <w:rsid w:val="6F6061B4"/>
    <w:rsid w:val="6F637C2C"/>
    <w:rsid w:val="6F643647"/>
    <w:rsid w:val="6F665B7C"/>
    <w:rsid w:val="6F6873CF"/>
    <w:rsid w:val="6F6F075E"/>
    <w:rsid w:val="6F712728"/>
    <w:rsid w:val="6F726C1F"/>
    <w:rsid w:val="6F74582E"/>
    <w:rsid w:val="6F7642FD"/>
    <w:rsid w:val="6F7A732F"/>
    <w:rsid w:val="6F7C10CD"/>
    <w:rsid w:val="6F7C486D"/>
    <w:rsid w:val="6F7F4719"/>
    <w:rsid w:val="6F814935"/>
    <w:rsid w:val="6F825E68"/>
    <w:rsid w:val="6F827EC5"/>
    <w:rsid w:val="6F8F7A5B"/>
    <w:rsid w:val="6F912DCA"/>
    <w:rsid w:val="6F962FBC"/>
    <w:rsid w:val="6F985649"/>
    <w:rsid w:val="6F986848"/>
    <w:rsid w:val="6F991C7F"/>
    <w:rsid w:val="6F9E25D4"/>
    <w:rsid w:val="6F9F0AFF"/>
    <w:rsid w:val="6FA10D10"/>
    <w:rsid w:val="6FA36815"/>
    <w:rsid w:val="6FA7439C"/>
    <w:rsid w:val="6FB10D76"/>
    <w:rsid w:val="6FB74D42"/>
    <w:rsid w:val="6FBD3BBF"/>
    <w:rsid w:val="6FBF6270"/>
    <w:rsid w:val="6FC00FB9"/>
    <w:rsid w:val="6FC32B00"/>
    <w:rsid w:val="6FC36CFC"/>
    <w:rsid w:val="6FC64095"/>
    <w:rsid w:val="6FC7059A"/>
    <w:rsid w:val="6FC767EC"/>
    <w:rsid w:val="6FD22E10"/>
    <w:rsid w:val="6FD277BB"/>
    <w:rsid w:val="6FD64CD8"/>
    <w:rsid w:val="6FD74555"/>
    <w:rsid w:val="6FD827A7"/>
    <w:rsid w:val="6FD9689F"/>
    <w:rsid w:val="6FDB2297"/>
    <w:rsid w:val="6FDE231C"/>
    <w:rsid w:val="6FE45318"/>
    <w:rsid w:val="6FE80510"/>
    <w:rsid w:val="6FF05272"/>
    <w:rsid w:val="6FF173C5"/>
    <w:rsid w:val="6FF46EB5"/>
    <w:rsid w:val="6FF84BF7"/>
    <w:rsid w:val="6FF869A5"/>
    <w:rsid w:val="6FF9271D"/>
    <w:rsid w:val="6FF94465"/>
    <w:rsid w:val="6FFC5590"/>
    <w:rsid w:val="6FFE5A04"/>
    <w:rsid w:val="70003AAC"/>
    <w:rsid w:val="70064935"/>
    <w:rsid w:val="70082960"/>
    <w:rsid w:val="70100CCB"/>
    <w:rsid w:val="70121783"/>
    <w:rsid w:val="70121EF0"/>
    <w:rsid w:val="70125550"/>
    <w:rsid w:val="70180DF5"/>
    <w:rsid w:val="7019691C"/>
    <w:rsid w:val="701C4660"/>
    <w:rsid w:val="70204502"/>
    <w:rsid w:val="70205EFC"/>
    <w:rsid w:val="70223344"/>
    <w:rsid w:val="70247817"/>
    <w:rsid w:val="702B07A3"/>
    <w:rsid w:val="70311EB7"/>
    <w:rsid w:val="70342CAF"/>
    <w:rsid w:val="70351D46"/>
    <w:rsid w:val="70383246"/>
    <w:rsid w:val="703B52D0"/>
    <w:rsid w:val="703D085C"/>
    <w:rsid w:val="703D2510"/>
    <w:rsid w:val="703E6382"/>
    <w:rsid w:val="70411BB9"/>
    <w:rsid w:val="70441BEA"/>
    <w:rsid w:val="70466442"/>
    <w:rsid w:val="70481468"/>
    <w:rsid w:val="70501F1F"/>
    <w:rsid w:val="705067E1"/>
    <w:rsid w:val="7051343B"/>
    <w:rsid w:val="70540E46"/>
    <w:rsid w:val="70611B8C"/>
    <w:rsid w:val="706C452F"/>
    <w:rsid w:val="706D1DD0"/>
    <w:rsid w:val="707324D0"/>
    <w:rsid w:val="70763D6E"/>
    <w:rsid w:val="70781894"/>
    <w:rsid w:val="707D50FC"/>
    <w:rsid w:val="7080699B"/>
    <w:rsid w:val="70820965"/>
    <w:rsid w:val="70821C8C"/>
    <w:rsid w:val="70826104"/>
    <w:rsid w:val="7084790A"/>
    <w:rsid w:val="7085197A"/>
    <w:rsid w:val="70856B87"/>
    <w:rsid w:val="708741CD"/>
    <w:rsid w:val="708C3591"/>
    <w:rsid w:val="70950698"/>
    <w:rsid w:val="70A00DEB"/>
    <w:rsid w:val="70A66401"/>
    <w:rsid w:val="70A81F46"/>
    <w:rsid w:val="70A95017"/>
    <w:rsid w:val="70A97C9F"/>
    <w:rsid w:val="70AD6FB2"/>
    <w:rsid w:val="70B0102E"/>
    <w:rsid w:val="70B2100A"/>
    <w:rsid w:val="70B23BE9"/>
    <w:rsid w:val="70B30B1E"/>
    <w:rsid w:val="70B328CC"/>
    <w:rsid w:val="70B732A1"/>
    <w:rsid w:val="70BC4122"/>
    <w:rsid w:val="70BF27A7"/>
    <w:rsid w:val="70C66AA3"/>
    <w:rsid w:val="70CC7967"/>
    <w:rsid w:val="70D527EE"/>
    <w:rsid w:val="70D66F9D"/>
    <w:rsid w:val="70DA254F"/>
    <w:rsid w:val="70DF7B65"/>
    <w:rsid w:val="70F01D72"/>
    <w:rsid w:val="70F03B20"/>
    <w:rsid w:val="70F25AEA"/>
    <w:rsid w:val="70F52EE5"/>
    <w:rsid w:val="71015D2D"/>
    <w:rsid w:val="710249ED"/>
    <w:rsid w:val="71055929"/>
    <w:rsid w:val="710870BC"/>
    <w:rsid w:val="710B7EEF"/>
    <w:rsid w:val="710F044A"/>
    <w:rsid w:val="711A6DEF"/>
    <w:rsid w:val="711B0821"/>
    <w:rsid w:val="711C1A04"/>
    <w:rsid w:val="711E6CD9"/>
    <w:rsid w:val="711F61B4"/>
    <w:rsid w:val="71246DF1"/>
    <w:rsid w:val="71290DE0"/>
    <w:rsid w:val="712E63F7"/>
    <w:rsid w:val="712F289B"/>
    <w:rsid w:val="71312C91"/>
    <w:rsid w:val="713270CA"/>
    <w:rsid w:val="71330B4C"/>
    <w:rsid w:val="7137174F"/>
    <w:rsid w:val="71373925"/>
    <w:rsid w:val="713B7D60"/>
    <w:rsid w:val="71431EA2"/>
    <w:rsid w:val="71440868"/>
    <w:rsid w:val="714678F4"/>
    <w:rsid w:val="71540913"/>
    <w:rsid w:val="71573B9F"/>
    <w:rsid w:val="715776FB"/>
    <w:rsid w:val="715916C6"/>
    <w:rsid w:val="715B5300"/>
    <w:rsid w:val="7161057A"/>
    <w:rsid w:val="7162677A"/>
    <w:rsid w:val="716342F2"/>
    <w:rsid w:val="71677537"/>
    <w:rsid w:val="716C7693"/>
    <w:rsid w:val="717209D9"/>
    <w:rsid w:val="71722787"/>
    <w:rsid w:val="717402AD"/>
    <w:rsid w:val="71741A48"/>
    <w:rsid w:val="71744751"/>
    <w:rsid w:val="71775FF0"/>
    <w:rsid w:val="717C53B4"/>
    <w:rsid w:val="717E2EDA"/>
    <w:rsid w:val="718030F6"/>
    <w:rsid w:val="71864485"/>
    <w:rsid w:val="71884DC5"/>
    <w:rsid w:val="71896C8F"/>
    <w:rsid w:val="719171AE"/>
    <w:rsid w:val="71922E29"/>
    <w:rsid w:val="71950224"/>
    <w:rsid w:val="719646C8"/>
    <w:rsid w:val="719C7EFF"/>
    <w:rsid w:val="719E532A"/>
    <w:rsid w:val="71A1306D"/>
    <w:rsid w:val="71A3115B"/>
    <w:rsid w:val="71A462ED"/>
    <w:rsid w:val="71A768D5"/>
    <w:rsid w:val="71A843FB"/>
    <w:rsid w:val="71AE5D56"/>
    <w:rsid w:val="71AF12E6"/>
    <w:rsid w:val="71B608C6"/>
    <w:rsid w:val="71B92946"/>
    <w:rsid w:val="71C07997"/>
    <w:rsid w:val="71C1721C"/>
    <w:rsid w:val="71C23F7E"/>
    <w:rsid w:val="71C25D77"/>
    <w:rsid w:val="71C6221A"/>
    <w:rsid w:val="71C76119"/>
    <w:rsid w:val="71C823A7"/>
    <w:rsid w:val="71C93F61"/>
    <w:rsid w:val="71CA4371"/>
    <w:rsid w:val="71CD0A4E"/>
    <w:rsid w:val="71CD6589"/>
    <w:rsid w:val="71D27F8A"/>
    <w:rsid w:val="71D60506"/>
    <w:rsid w:val="71D95DCE"/>
    <w:rsid w:val="71D963A4"/>
    <w:rsid w:val="71E05943"/>
    <w:rsid w:val="71E116BB"/>
    <w:rsid w:val="71E60A7F"/>
    <w:rsid w:val="71E76CD1"/>
    <w:rsid w:val="71E80C9B"/>
    <w:rsid w:val="71EB4EDE"/>
    <w:rsid w:val="71ED1E0E"/>
    <w:rsid w:val="71F17B50"/>
    <w:rsid w:val="71F65166"/>
    <w:rsid w:val="71F66C04"/>
    <w:rsid w:val="71F92EA9"/>
    <w:rsid w:val="72023B0B"/>
    <w:rsid w:val="7203001D"/>
    <w:rsid w:val="72070B3D"/>
    <w:rsid w:val="72081F9B"/>
    <w:rsid w:val="720930EC"/>
    <w:rsid w:val="720D20DA"/>
    <w:rsid w:val="720E1E50"/>
    <w:rsid w:val="72114980"/>
    <w:rsid w:val="721675B7"/>
    <w:rsid w:val="72170B15"/>
    <w:rsid w:val="72203F91"/>
    <w:rsid w:val="72233A82"/>
    <w:rsid w:val="7225308B"/>
    <w:rsid w:val="722A3062"/>
    <w:rsid w:val="722A42E2"/>
    <w:rsid w:val="72315845"/>
    <w:rsid w:val="7234129A"/>
    <w:rsid w:val="723511AD"/>
    <w:rsid w:val="723B7CFE"/>
    <w:rsid w:val="723D4B43"/>
    <w:rsid w:val="724265FE"/>
    <w:rsid w:val="72430BC0"/>
    <w:rsid w:val="72435BC0"/>
    <w:rsid w:val="72444124"/>
    <w:rsid w:val="724759C2"/>
    <w:rsid w:val="72495A79"/>
    <w:rsid w:val="724E6D50"/>
    <w:rsid w:val="725105EF"/>
    <w:rsid w:val="72553024"/>
    <w:rsid w:val="72556331"/>
    <w:rsid w:val="72574E57"/>
    <w:rsid w:val="725956F5"/>
    <w:rsid w:val="725A2021"/>
    <w:rsid w:val="725D6F93"/>
    <w:rsid w:val="726F4F19"/>
    <w:rsid w:val="727050CA"/>
    <w:rsid w:val="72866EC3"/>
    <w:rsid w:val="728E76C6"/>
    <w:rsid w:val="728F133B"/>
    <w:rsid w:val="72907369"/>
    <w:rsid w:val="7298446F"/>
    <w:rsid w:val="729C3F60"/>
    <w:rsid w:val="72A252EE"/>
    <w:rsid w:val="72AA71E9"/>
    <w:rsid w:val="72AE5A41"/>
    <w:rsid w:val="72B8241C"/>
    <w:rsid w:val="72BB0D0F"/>
    <w:rsid w:val="72C139C6"/>
    <w:rsid w:val="72C241AB"/>
    <w:rsid w:val="72C43C4E"/>
    <w:rsid w:val="72C62D8B"/>
    <w:rsid w:val="72C90F6B"/>
    <w:rsid w:val="72CB65F3"/>
    <w:rsid w:val="72CF55E1"/>
    <w:rsid w:val="72D03C09"/>
    <w:rsid w:val="72D130E8"/>
    <w:rsid w:val="72D265ED"/>
    <w:rsid w:val="72D47C59"/>
    <w:rsid w:val="72D97F16"/>
    <w:rsid w:val="72DD1E82"/>
    <w:rsid w:val="72DF209E"/>
    <w:rsid w:val="72E01973"/>
    <w:rsid w:val="72E05368"/>
    <w:rsid w:val="72E90827"/>
    <w:rsid w:val="72FA0C86"/>
    <w:rsid w:val="72FA6ED8"/>
    <w:rsid w:val="72FB64EF"/>
    <w:rsid w:val="730168F4"/>
    <w:rsid w:val="73027B3B"/>
    <w:rsid w:val="730343CE"/>
    <w:rsid w:val="73060F5E"/>
    <w:rsid w:val="73075151"/>
    <w:rsid w:val="73076EFF"/>
    <w:rsid w:val="73090EC9"/>
    <w:rsid w:val="730A6BA6"/>
    <w:rsid w:val="730B2E93"/>
    <w:rsid w:val="730F7253"/>
    <w:rsid w:val="73122968"/>
    <w:rsid w:val="73142A39"/>
    <w:rsid w:val="731C6E4F"/>
    <w:rsid w:val="731E4248"/>
    <w:rsid w:val="731F5D5E"/>
    <w:rsid w:val="732653D3"/>
    <w:rsid w:val="732B52E4"/>
    <w:rsid w:val="732C5D20"/>
    <w:rsid w:val="732D105C"/>
    <w:rsid w:val="73307800"/>
    <w:rsid w:val="73351CBE"/>
    <w:rsid w:val="73371E33"/>
    <w:rsid w:val="734069EF"/>
    <w:rsid w:val="73465C7A"/>
    <w:rsid w:val="734939BC"/>
    <w:rsid w:val="734A27AC"/>
    <w:rsid w:val="734B14E2"/>
    <w:rsid w:val="734E4B69"/>
    <w:rsid w:val="734F0FD2"/>
    <w:rsid w:val="73505624"/>
    <w:rsid w:val="73526D91"/>
    <w:rsid w:val="73536D73"/>
    <w:rsid w:val="735A1725"/>
    <w:rsid w:val="73614861"/>
    <w:rsid w:val="73634A7D"/>
    <w:rsid w:val="736D3206"/>
    <w:rsid w:val="736D799B"/>
    <w:rsid w:val="7372081D"/>
    <w:rsid w:val="73732C84"/>
    <w:rsid w:val="7375030D"/>
    <w:rsid w:val="73767605"/>
    <w:rsid w:val="737D1A8E"/>
    <w:rsid w:val="737F2F9A"/>
    <w:rsid w:val="73811B30"/>
    <w:rsid w:val="738528D9"/>
    <w:rsid w:val="738535A7"/>
    <w:rsid w:val="73862967"/>
    <w:rsid w:val="738C38C8"/>
    <w:rsid w:val="738E13CF"/>
    <w:rsid w:val="7392291A"/>
    <w:rsid w:val="739369E5"/>
    <w:rsid w:val="73966C01"/>
    <w:rsid w:val="73974727"/>
    <w:rsid w:val="739D41C5"/>
    <w:rsid w:val="73A27303"/>
    <w:rsid w:val="73A330CC"/>
    <w:rsid w:val="73A34E7A"/>
    <w:rsid w:val="73A702D9"/>
    <w:rsid w:val="73A925B8"/>
    <w:rsid w:val="73AD3F4B"/>
    <w:rsid w:val="73AE39E8"/>
    <w:rsid w:val="73B250BD"/>
    <w:rsid w:val="73B61D45"/>
    <w:rsid w:val="73BA21C4"/>
    <w:rsid w:val="73C3551C"/>
    <w:rsid w:val="73C51AD5"/>
    <w:rsid w:val="73C66DBA"/>
    <w:rsid w:val="73C82B32"/>
    <w:rsid w:val="73C86B31"/>
    <w:rsid w:val="73CB3AE2"/>
    <w:rsid w:val="73CB43D1"/>
    <w:rsid w:val="73D107FD"/>
    <w:rsid w:val="73D74111"/>
    <w:rsid w:val="73DA5D85"/>
    <w:rsid w:val="73DC6B05"/>
    <w:rsid w:val="73DF3DC7"/>
    <w:rsid w:val="73E22D96"/>
    <w:rsid w:val="73E323AC"/>
    <w:rsid w:val="73E3796C"/>
    <w:rsid w:val="73EA0CFB"/>
    <w:rsid w:val="73EA5CF5"/>
    <w:rsid w:val="73EB05CF"/>
    <w:rsid w:val="73EB27AA"/>
    <w:rsid w:val="73EE6D18"/>
    <w:rsid w:val="73EF6F82"/>
    <w:rsid w:val="73F34460"/>
    <w:rsid w:val="73F367C4"/>
    <w:rsid w:val="73F51CD5"/>
    <w:rsid w:val="73F53EF2"/>
    <w:rsid w:val="73FC0A2E"/>
    <w:rsid w:val="73FD750E"/>
    <w:rsid w:val="74066A0D"/>
    <w:rsid w:val="7407365B"/>
    <w:rsid w:val="74074AEC"/>
    <w:rsid w:val="740873D3"/>
    <w:rsid w:val="740C6868"/>
    <w:rsid w:val="74100036"/>
    <w:rsid w:val="7411148D"/>
    <w:rsid w:val="74145D78"/>
    <w:rsid w:val="74185868"/>
    <w:rsid w:val="741B7106"/>
    <w:rsid w:val="741E793C"/>
    <w:rsid w:val="74237D69"/>
    <w:rsid w:val="742A7349"/>
    <w:rsid w:val="7431692A"/>
    <w:rsid w:val="74372A51"/>
    <w:rsid w:val="74382CF5"/>
    <w:rsid w:val="743957DE"/>
    <w:rsid w:val="743976B7"/>
    <w:rsid w:val="743B7929"/>
    <w:rsid w:val="743D707D"/>
    <w:rsid w:val="743E2DF5"/>
    <w:rsid w:val="74455F31"/>
    <w:rsid w:val="744A1799"/>
    <w:rsid w:val="7452064E"/>
    <w:rsid w:val="74535B2F"/>
    <w:rsid w:val="74554C72"/>
    <w:rsid w:val="74561EEC"/>
    <w:rsid w:val="745B5755"/>
    <w:rsid w:val="745E3944"/>
    <w:rsid w:val="745F0FFE"/>
    <w:rsid w:val="74640AAD"/>
    <w:rsid w:val="74681C20"/>
    <w:rsid w:val="746A3BEA"/>
    <w:rsid w:val="746D5D1A"/>
    <w:rsid w:val="74721F92"/>
    <w:rsid w:val="74786307"/>
    <w:rsid w:val="747B74EE"/>
    <w:rsid w:val="747B7C0F"/>
    <w:rsid w:val="74806F69"/>
    <w:rsid w:val="74822CE1"/>
    <w:rsid w:val="74827185"/>
    <w:rsid w:val="74864704"/>
    <w:rsid w:val="74890514"/>
    <w:rsid w:val="748A3CDB"/>
    <w:rsid w:val="748A603A"/>
    <w:rsid w:val="748E624C"/>
    <w:rsid w:val="749018A2"/>
    <w:rsid w:val="74906915"/>
    <w:rsid w:val="74911176"/>
    <w:rsid w:val="749E3893"/>
    <w:rsid w:val="74A013B9"/>
    <w:rsid w:val="74A06E4F"/>
    <w:rsid w:val="74A16328"/>
    <w:rsid w:val="74A40EAA"/>
    <w:rsid w:val="74A748A2"/>
    <w:rsid w:val="74A92964"/>
    <w:rsid w:val="74B027DB"/>
    <w:rsid w:val="74B17A6A"/>
    <w:rsid w:val="74B54387"/>
    <w:rsid w:val="74B833FB"/>
    <w:rsid w:val="74B94727"/>
    <w:rsid w:val="74BC0906"/>
    <w:rsid w:val="74C50E20"/>
    <w:rsid w:val="74CE4179"/>
    <w:rsid w:val="74D07EF1"/>
    <w:rsid w:val="74D12A5E"/>
    <w:rsid w:val="74D3178F"/>
    <w:rsid w:val="74D86DA5"/>
    <w:rsid w:val="74DA0D6F"/>
    <w:rsid w:val="74DA49A5"/>
    <w:rsid w:val="74DD616A"/>
    <w:rsid w:val="74E03EAC"/>
    <w:rsid w:val="74E4399C"/>
    <w:rsid w:val="74E67714"/>
    <w:rsid w:val="74EB4D2A"/>
    <w:rsid w:val="74EC2851"/>
    <w:rsid w:val="74FA4F6E"/>
    <w:rsid w:val="74FD3F03"/>
    <w:rsid w:val="74FF6492"/>
    <w:rsid w:val="750C6A4F"/>
    <w:rsid w:val="75110B58"/>
    <w:rsid w:val="75145C30"/>
    <w:rsid w:val="75174DA3"/>
    <w:rsid w:val="75175B20"/>
    <w:rsid w:val="752210EB"/>
    <w:rsid w:val="752913AF"/>
    <w:rsid w:val="75295853"/>
    <w:rsid w:val="752B1E6F"/>
    <w:rsid w:val="753164B5"/>
    <w:rsid w:val="75322959"/>
    <w:rsid w:val="75385A96"/>
    <w:rsid w:val="753A7A60"/>
    <w:rsid w:val="754157DE"/>
    <w:rsid w:val="7542400F"/>
    <w:rsid w:val="754937FF"/>
    <w:rsid w:val="754B7057"/>
    <w:rsid w:val="75526B58"/>
    <w:rsid w:val="75583F30"/>
    <w:rsid w:val="755D1755"/>
    <w:rsid w:val="755F365A"/>
    <w:rsid w:val="75610B49"/>
    <w:rsid w:val="75614FED"/>
    <w:rsid w:val="75640268"/>
    <w:rsid w:val="756845CD"/>
    <w:rsid w:val="757044A0"/>
    <w:rsid w:val="75713F63"/>
    <w:rsid w:val="757B5576"/>
    <w:rsid w:val="75846F2D"/>
    <w:rsid w:val="75874327"/>
    <w:rsid w:val="75897CC2"/>
    <w:rsid w:val="758D5DE2"/>
    <w:rsid w:val="758F0772"/>
    <w:rsid w:val="759233F8"/>
    <w:rsid w:val="75936D7D"/>
    <w:rsid w:val="759A7BB2"/>
    <w:rsid w:val="759C7DD3"/>
    <w:rsid w:val="75A34D0C"/>
    <w:rsid w:val="75A90742"/>
    <w:rsid w:val="75AE09DC"/>
    <w:rsid w:val="75AE7B06"/>
    <w:rsid w:val="75B00A0E"/>
    <w:rsid w:val="75B710B1"/>
    <w:rsid w:val="75B74776"/>
    <w:rsid w:val="75C057B1"/>
    <w:rsid w:val="75C31803"/>
    <w:rsid w:val="75C6129B"/>
    <w:rsid w:val="75C630A2"/>
    <w:rsid w:val="75CD61DE"/>
    <w:rsid w:val="75CF63FA"/>
    <w:rsid w:val="75D06B4B"/>
    <w:rsid w:val="75D21A46"/>
    <w:rsid w:val="75D8109E"/>
    <w:rsid w:val="75D85B38"/>
    <w:rsid w:val="75D94B83"/>
    <w:rsid w:val="75DD76E0"/>
    <w:rsid w:val="75DF5F11"/>
    <w:rsid w:val="75E50446"/>
    <w:rsid w:val="75E8126A"/>
    <w:rsid w:val="75EB0D5A"/>
    <w:rsid w:val="75F44DBA"/>
    <w:rsid w:val="75F50C40"/>
    <w:rsid w:val="75F6664F"/>
    <w:rsid w:val="7601057E"/>
    <w:rsid w:val="76013C93"/>
    <w:rsid w:val="760360A4"/>
    <w:rsid w:val="76053BCA"/>
    <w:rsid w:val="7605530C"/>
    <w:rsid w:val="76061B84"/>
    <w:rsid w:val="76085468"/>
    <w:rsid w:val="7609728D"/>
    <w:rsid w:val="760B4F58"/>
    <w:rsid w:val="760B6D06"/>
    <w:rsid w:val="760F2C9B"/>
    <w:rsid w:val="760F67F7"/>
    <w:rsid w:val="760F73BE"/>
    <w:rsid w:val="76116A13"/>
    <w:rsid w:val="76165DD7"/>
    <w:rsid w:val="761B163F"/>
    <w:rsid w:val="761C7166"/>
    <w:rsid w:val="761D3DE5"/>
    <w:rsid w:val="762027B2"/>
    <w:rsid w:val="76204E7F"/>
    <w:rsid w:val="76206C56"/>
    <w:rsid w:val="76236746"/>
    <w:rsid w:val="76240FA0"/>
    <w:rsid w:val="7625426C"/>
    <w:rsid w:val="762878B8"/>
    <w:rsid w:val="7629727C"/>
    <w:rsid w:val="762A1882"/>
    <w:rsid w:val="762A646F"/>
    <w:rsid w:val="762C55FB"/>
    <w:rsid w:val="762F50EB"/>
    <w:rsid w:val="763149BF"/>
    <w:rsid w:val="7635099D"/>
    <w:rsid w:val="76377AFB"/>
    <w:rsid w:val="763C5112"/>
    <w:rsid w:val="763C5E07"/>
    <w:rsid w:val="76414B86"/>
    <w:rsid w:val="764D731F"/>
    <w:rsid w:val="765015DC"/>
    <w:rsid w:val="76522B87"/>
    <w:rsid w:val="7656399C"/>
    <w:rsid w:val="765C57B4"/>
    <w:rsid w:val="765D3A06"/>
    <w:rsid w:val="765E152C"/>
    <w:rsid w:val="765E777E"/>
    <w:rsid w:val="76654812"/>
    <w:rsid w:val="766703E1"/>
    <w:rsid w:val="766C3C49"/>
    <w:rsid w:val="766C666A"/>
    <w:rsid w:val="766F35DD"/>
    <w:rsid w:val="76740D50"/>
    <w:rsid w:val="76746FA2"/>
    <w:rsid w:val="7677439C"/>
    <w:rsid w:val="767820F9"/>
    <w:rsid w:val="768A40CF"/>
    <w:rsid w:val="768F16E6"/>
    <w:rsid w:val="769C570D"/>
    <w:rsid w:val="769E7B7B"/>
    <w:rsid w:val="769F401E"/>
    <w:rsid w:val="76A809F9"/>
    <w:rsid w:val="76A827A7"/>
    <w:rsid w:val="76BB072D"/>
    <w:rsid w:val="76BD26F7"/>
    <w:rsid w:val="76BF021D"/>
    <w:rsid w:val="76D96E05"/>
    <w:rsid w:val="76DA5EF6"/>
    <w:rsid w:val="76DD68F5"/>
    <w:rsid w:val="76DF18DF"/>
    <w:rsid w:val="76E2215D"/>
    <w:rsid w:val="76E22A9F"/>
    <w:rsid w:val="76E51777"/>
    <w:rsid w:val="76E83D71"/>
    <w:rsid w:val="76EA2DC0"/>
    <w:rsid w:val="76EB7264"/>
    <w:rsid w:val="76EC08E6"/>
    <w:rsid w:val="76EF79CF"/>
    <w:rsid w:val="76F05B4B"/>
    <w:rsid w:val="76F105F2"/>
    <w:rsid w:val="76F25E15"/>
    <w:rsid w:val="77000835"/>
    <w:rsid w:val="770245AD"/>
    <w:rsid w:val="7709510F"/>
    <w:rsid w:val="770B219A"/>
    <w:rsid w:val="7712127E"/>
    <w:rsid w:val="7717683B"/>
    <w:rsid w:val="771F2A69"/>
    <w:rsid w:val="7725204A"/>
    <w:rsid w:val="77272E3B"/>
    <w:rsid w:val="77274014"/>
    <w:rsid w:val="7727782A"/>
    <w:rsid w:val="7728305F"/>
    <w:rsid w:val="772A20B9"/>
    <w:rsid w:val="773C3102"/>
    <w:rsid w:val="77422BFC"/>
    <w:rsid w:val="77470212"/>
    <w:rsid w:val="7747223C"/>
    <w:rsid w:val="774B7D02"/>
    <w:rsid w:val="7758241F"/>
    <w:rsid w:val="775869E5"/>
    <w:rsid w:val="775A6197"/>
    <w:rsid w:val="775A7F45"/>
    <w:rsid w:val="775B5A6C"/>
    <w:rsid w:val="775B6FB3"/>
    <w:rsid w:val="775D2D9A"/>
    <w:rsid w:val="775D63F7"/>
    <w:rsid w:val="775F34D3"/>
    <w:rsid w:val="77606F0A"/>
    <w:rsid w:val="77626161"/>
    <w:rsid w:val="776963DA"/>
    <w:rsid w:val="776B2153"/>
    <w:rsid w:val="776C7C79"/>
    <w:rsid w:val="776E1C43"/>
    <w:rsid w:val="77707769"/>
    <w:rsid w:val="7771703D"/>
    <w:rsid w:val="77722A89"/>
    <w:rsid w:val="77762421"/>
    <w:rsid w:val="77770AF7"/>
    <w:rsid w:val="77780E9B"/>
    <w:rsid w:val="777A05E8"/>
    <w:rsid w:val="777A2396"/>
    <w:rsid w:val="777C610E"/>
    <w:rsid w:val="77884AB3"/>
    <w:rsid w:val="778A0CAD"/>
    <w:rsid w:val="778D031B"/>
    <w:rsid w:val="778E4599"/>
    <w:rsid w:val="77906835"/>
    <w:rsid w:val="779E42D6"/>
    <w:rsid w:val="77A13DC6"/>
    <w:rsid w:val="77A6318B"/>
    <w:rsid w:val="77A76BB2"/>
    <w:rsid w:val="77AB69F3"/>
    <w:rsid w:val="77AD4519"/>
    <w:rsid w:val="77B07B65"/>
    <w:rsid w:val="77B358A8"/>
    <w:rsid w:val="77B533CE"/>
    <w:rsid w:val="77B56B1F"/>
    <w:rsid w:val="77B740AC"/>
    <w:rsid w:val="77BC475C"/>
    <w:rsid w:val="77C005BD"/>
    <w:rsid w:val="77C36AC4"/>
    <w:rsid w:val="77C80A37"/>
    <w:rsid w:val="77C93268"/>
    <w:rsid w:val="77CB1D1A"/>
    <w:rsid w:val="77D56A02"/>
    <w:rsid w:val="77D575CC"/>
    <w:rsid w:val="77D92A37"/>
    <w:rsid w:val="77DB7101"/>
    <w:rsid w:val="77E30CBB"/>
    <w:rsid w:val="77E32CA3"/>
    <w:rsid w:val="77ED0DBA"/>
    <w:rsid w:val="77EE13A7"/>
    <w:rsid w:val="77EE4792"/>
    <w:rsid w:val="77EF7648"/>
    <w:rsid w:val="77F02658"/>
    <w:rsid w:val="77F35CA4"/>
    <w:rsid w:val="77F52384"/>
    <w:rsid w:val="77F57C58"/>
    <w:rsid w:val="77F57C6E"/>
    <w:rsid w:val="77F60C91"/>
    <w:rsid w:val="77F61967"/>
    <w:rsid w:val="77F95F9C"/>
    <w:rsid w:val="78063C29"/>
    <w:rsid w:val="78095792"/>
    <w:rsid w:val="780D428F"/>
    <w:rsid w:val="780F09F4"/>
    <w:rsid w:val="78122FF0"/>
    <w:rsid w:val="78126A72"/>
    <w:rsid w:val="78171398"/>
    <w:rsid w:val="7819395D"/>
    <w:rsid w:val="781C344D"/>
    <w:rsid w:val="781E0F73"/>
    <w:rsid w:val="78216CB5"/>
    <w:rsid w:val="782628B8"/>
    <w:rsid w:val="78267E28"/>
    <w:rsid w:val="782B5746"/>
    <w:rsid w:val="782D3AA0"/>
    <w:rsid w:val="782F4F2E"/>
    <w:rsid w:val="783764D9"/>
    <w:rsid w:val="783D5770"/>
    <w:rsid w:val="78411105"/>
    <w:rsid w:val="78417A70"/>
    <w:rsid w:val="78441237"/>
    <w:rsid w:val="784825A1"/>
    <w:rsid w:val="784C30A3"/>
    <w:rsid w:val="78542BE7"/>
    <w:rsid w:val="78547E94"/>
    <w:rsid w:val="785B5D23"/>
    <w:rsid w:val="785E1CB7"/>
    <w:rsid w:val="7860799F"/>
    <w:rsid w:val="786363E1"/>
    <w:rsid w:val="7867302D"/>
    <w:rsid w:val="786B7DDD"/>
    <w:rsid w:val="786F17CF"/>
    <w:rsid w:val="78715547"/>
    <w:rsid w:val="78726E2E"/>
    <w:rsid w:val="787B2C45"/>
    <w:rsid w:val="787D213D"/>
    <w:rsid w:val="78811502"/>
    <w:rsid w:val="788172EA"/>
    <w:rsid w:val="78827754"/>
    <w:rsid w:val="788F3C1F"/>
    <w:rsid w:val="7896124B"/>
    <w:rsid w:val="789E3E62"/>
    <w:rsid w:val="78A1562B"/>
    <w:rsid w:val="78A771BA"/>
    <w:rsid w:val="78A90480"/>
    <w:rsid w:val="78AA2807"/>
    <w:rsid w:val="78AC02AD"/>
    <w:rsid w:val="78AC47D1"/>
    <w:rsid w:val="78AF42C1"/>
    <w:rsid w:val="78B561E6"/>
    <w:rsid w:val="78B60A34"/>
    <w:rsid w:val="78BB2C66"/>
    <w:rsid w:val="78BE62B2"/>
    <w:rsid w:val="78C0027C"/>
    <w:rsid w:val="78CB71A1"/>
    <w:rsid w:val="78D9665B"/>
    <w:rsid w:val="78DA314D"/>
    <w:rsid w:val="78E26444"/>
    <w:rsid w:val="78EC1071"/>
    <w:rsid w:val="78EC72C3"/>
    <w:rsid w:val="78F25F8F"/>
    <w:rsid w:val="78FB5758"/>
    <w:rsid w:val="79077C59"/>
    <w:rsid w:val="7908577F"/>
    <w:rsid w:val="790C6FF3"/>
    <w:rsid w:val="790F04C5"/>
    <w:rsid w:val="79206034"/>
    <w:rsid w:val="79224A93"/>
    <w:rsid w:val="79226841"/>
    <w:rsid w:val="7924080B"/>
    <w:rsid w:val="792720A9"/>
    <w:rsid w:val="792A3D2A"/>
    <w:rsid w:val="792B7DEB"/>
    <w:rsid w:val="792E51E6"/>
    <w:rsid w:val="792F71B0"/>
    <w:rsid w:val="79344C86"/>
    <w:rsid w:val="793A1DDD"/>
    <w:rsid w:val="793F73F3"/>
    <w:rsid w:val="79442C5B"/>
    <w:rsid w:val="79460EC9"/>
    <w:rsid w:val="794750FE"/>
    <w:rsid w:val="794A5D98"/>
    <w:rsid w:val="79534C4C"/>
    <w:rsid w:val="79564679"/>
    <w:rsid w:val="795B7E31"/>
    <w:rsid w:val="795D5ACB"/>
    <w:rsid w:val="7961380D"/>
    <w:rsid w:val="796404F6"/>
    <w:rsid w:val="79673DF7"/>
    <w:rsid w:val="796B643A"/>
    <w:rsid w:val="796C21B2"/>
    <w:rsid w:val="796F62A7"/>
    <w:rsid w:val="79725274"/>
    <w:rsid w:val="79725A1A"/>
    <w:rsid w:val="79742272"/>
    <w:rsid w:val="79752E15"/>
    <w:rsid w:val="79780B57"/>
    <w:rsid w:val="79791865"/>
    <w:rsid w:val="797B119D"/>
    <w:rsid w:val="797B7075"/>
    <w:rsid w:val="797F0137"/>
    <w:rsid w:val="79856BA0"/>
    <w:rsid w:val="798B3BAA"/>
    <w:rsid w:val="798E037A"/>
    <w:rsid w:val="798E2128"/>
    <w:rsid w:val="79915775"/>
    <w:rsid w:val="79920BE0"/>
    <w:rsid w:val="79922FCC"/>
    <w:rsid w:val="79935991"/>
    <w:rsid w:val="7993773F"/>
    <w:rsid w:val="799534B7"/>
    <w:rsid w:val="799A0ACD"/>
    <w:rsid w:val="799B5123"/>
    <w:rsid w:val="79A25187"/>
    <w:rsid w:val="79A822B4"/>
    <w:rsid w:val="79AB6B94"/>
    <w:rsid w:val="79AE4579"/>
    <w:rsid w:val="79B111C0"/>
    <w:rsid w:val="79B150E2"/>
    <w:rsid w:val="79B2048F"/>
    <w:rsid w:val="79B24DBC"/>
    <w:rsid w:val="79B569C7"/>
    <w:rsid w:val="79B60053"/>
    <w:rsid w:val="79B61ECB"/>
    <w:rsid w:val="79BA116F"/>
    <w:rsid w:val="79BC6C95"/>
    <w:rsid w:val="79C124FE"/>
    <w:rsid w:val="79C21DD2"/>
    <w:rsid w:val="79C610A2"/>
    <w:rsid w:val="79C63670"/>
    <w:rsid w:val="79C80AF5"/>
    <w:rsid w:val="79CB1B91"/>
    <w:rsid w:val="79D10355"/>
    <w:rsid w:val="79D532DB"/>
    <w:rsid w:val="79D833A4"/>
    <w:rsid w:val="79D92F4C"/>
    <w:rsid w:val="79DE3E08"/>
    <w:rsid w:val="79E24BD0"/>
    <w:rsid w:val="79F00D89"/>
    <w:rsid w:val="79F521A7"/>
    <w:rsid w:val="79F611B9"/>
    <w:rsid w:val="7A007411"/>
    <w:rsid w:val="7A015DCF"/>
    <w:rsid w:val="7A0348C4"/>
    <w:rsid w:val="7A04063C"/>
    <w:rsid w:val="7A0423EA"/>
    <w:rsid w:val="7A06419A"/>
    <w:rsid w:val="7A091CAF"/>
    <w:rsid w:val="7A0A00F4"/>
    <w:rsid w:val="7A173ECC"/>
    <w:rsid w:val="7A195E96"/>
    <w:rsid w:val="7A1F66B5"/>
    <w:rsid w:val="7A230AC3"/>
    <w:rsid w:val="7A2605B3"/>
    <w:rsid w:val="7A2922F7"/>
    <w:rsid w:val="7A2D36EF"/>
    <w:rsid w:val="7A2E1215"/>
    <w:rsid w:val="7A364017"/>
    <w:rsid w:val="7A37631C"/>
    <w:rsid w:val="7A410F49"/>
    <w:rsid w:val="7A431165"/>
    <w:rsid w:val="7A4642E6"/>
    <w:rsid w:val="7A48677B"/>
    <w:rsid w:val="7A4B070A"/>
    <w:rsid w:val="7A505630"/>
    <w:rsid w:val="7A5213C6"/>
    <w:rsid w:val="7A554187"/>
    <w:rsid w:val="7A56130E"/>
    <w:rsid w:val="7A61783D"/>
    <w:rsid w:val="7A6C50C0"/>
    <w:rsid w:val="7A6D2E31"/>
    <w:rsid w:val="7A6D7F90"/>
    <w:rsid w:val="7A6F1F5A"/>
    <w:rsid w:val="7A7237F8"/>
    <w:rsid w:val="7A7632E8"/>
    <w:rsid w:val="7A7C34E6"/>
    <w:rsid w:val="7A7D43B5"/>
    <w:rsid w:val="7A805F15"/>
    <w:rsid w:val="7A8265E1"/>
    <w:rsid w:val="7A844AA3"/>
    <w:rsid w:val="7A8D2A12"/>
    <w:rsid w:val="7A902BE2"/>
    <w:rsid w:val="7A913D38"/>
    <w:rsid w:val="7A9E0413"/>
    <w:rsid w:val="7AA21356"/>
    <w:rsid w:val="7AA63BC3"/>
    <w:rsid w:val="7AAA2F92"/>
    <w:rsid w:val="7AAC6D0A"/>
    <w:rsid w:val="7AAC6D82"/>
    <w:rsid w:val="7AB02A24"/>
    <w:rsid w:val="7AB160CE"/>
    <w:rsid w:val="7ABD6615"/>
    <w:rsid w:val="7ABF3E47"/>
    <w:rsid w:val="7AC022BD"/>
    <w:rsid w:val="7AC45D3E"/>
    <w:rsid w:val="7AC73B44"/>
    <w:rsid w:val="7ACB4769"/>
    <w:rsid w:val="7ACC2F08"/>
    <w:rsid w:val="7AD4000F"/>
    <w:rsid w:val="7AD41DBD"/>
    <w:rsid w:val="7AD63D87"/>
    <w:rsid w:val="7AD87AFF"/>
    <w:rsid w:val="7ADE49EA"/>
    <w:rsid w:val="7ADF08FE"/>
    <w:rsid w:val="7ADF2293"/>
    <w:rsid w:val="7AE01819"/>
    <w:rsid w:val="7AE573F8"/>
    <w:rsid w:val="7AEA7832"/>
    <w:rsid w:val="7AEF4E49"/>
    <w:rsid w:val="7AF661D7"/>
    <w:rsid w:val="7AF746FB"/>
    <w:rsid w:val="7AF75AAB"/>
    <w:rsid w:val="7AF91823"/>
    <w:rsid w:val="7AF92531"/>
    <w:rsid w:val="7AFA5BCD"/>
    <w:rsid w:val="7AFB3E71"/>
    <w:rsid w:val="7AFE28B3"/>
    <w:rsid w:val="7B022DCE"/>
    <w:rsid w:val="7B051E9F"/>
    <w:rsid w:val="7B09415C"/>
    <w:rsid w:val="7B0A0EDB"/>
    <w:rsid w:val="7B0B47FE"/>
    <w:rsid w:val="7B0E3521"/>
    <w:rsid w:val="7B14665D"/>
    <w:rsid w:val="7B152B01"/>
    <w:rsid w:val="7B183395"/>
    <w:rsid w:val="7B18614D"/>
    <w:rsid w:val="7B1C2915"/>
    <w:rsid w:val="7B22521E"/>
    <w:rsid w:val="7B2542CE"/>
    <w:rsid w:val="7B272834"/>
    <w:rsid w:val="7B286449"/>
    <w:rsid w:val="7B2A1C68"/>
    <w:rsid w:val="7B2A40D3"/>
    <w:rsid w:val="7B2B4347"/>
    <w:rsid w:val="7B2F5B90"/>
    <w:rsid w:val="7B301B08"/>
    <w:rsid w:val="7B332F87"/>
    <w:rsid w:val="7B340AAD"/>
    <w:rsid w:val="7B3665D4"/>
    <w:rsid w:val="7B395C50"/>
    <w:rsid w:val="7B3B5C5D"/>
    <w:rsid w:val="7B4056A4"/>
    <w:rsid w:val="7B452510"/>
    <w:rsid w:val="7B4C229B"/>
    <w:rsid w:val="7B4D6575"/>
    <w:rsid w:val="7B4E6013"/>
    <w:rsid w:val="7B542EFE"/>
    <w:rsid w:val="7B5A6766"/>
    <w:rsid w:val="7B5B428C"/>
    <w:rsid w:val="7B5D6256"/>
    <w:rsid w:val="7B5F6136"/>
    <w:rsid w:val="7B607AC7"/>
    <w:rsid w:val="7B686D42"/>
    <w:rsid w:val="7B6B0973"/>
    <w:rsid w:val="7B705F89"/>
    <w:rsid w:val="7B71585E"/>
    <w:rsid w:val="7B784E3E"/>
    <w:rsid w:val="7B793932"/>
    <w:rsid w:val="7B7A0BB6"/>
    <w:rsid w:val="7B7C5503"/>
    <w:rsid w:val="7B7D65C9"/>
    <w:rsid w:val="7B841746"/>
    <w:rsid w:val="7B8509AE"/>
    <w:rsid w:val="7B85590D"/>
    <w:rsid w:val="7B892BA7"/>
    <w:rsid w:val="7B8C08E9"/>
    <w:rsid w:val="7B915F00"/>
    <w:rsid w:val="7B94617F"/>
    <w:rsid w:val="7B95154C"/>
    <w:rsid w:val="7B95779E"/>
    <w:rsid w:val="7B9C21F3"/>
    <w:rsid w:val="7BA2010D"/>
    <w:rsid w:val="7BA21EBB"/>
    <w:rsid w:val="7BA43E85"/>
    <w:rsid w:val="7BAB6FC2"/>
    <w:rsid w:val="7BB06386"/>
    <w:rsid w:val="7BB340C8"/>
    <w:rsid w:val="7BB5399C"/>
    <w:rsid w:val="7BB62D2A"/>
    <w:rsid w:val="7BB9515C"/>
    <w:rsid w:val="7BBA0FB3"/>
    <w:rsid w:val="7BBA5457"/>
    <w:rsid w:val="7BC63DFB"/>
    <w:rsid w:val="7BC8057C"/>
    <w:rsid w:val="7BC82BFF"/>
    <w:rsid w:val="7BC9569A"/>
    <w:rsid w:val="7BD076F4"/>
    <w:rsid w:val="7BD11B1C"/>
    <w:rsid w:val="7BD156AE"/>
    <w:rsid w:val="7BD227A0"/>
    <w:rsid w:val="7BD32074"/>
    <w:rsid w:val="7BD55DED"/>
    <w:rsid w:val="7BD61B65"/>
    <w:rsid w:val="7BDD1145"/>
    <w:rsid w:val="7BE168DA"/>
    <w:rsid w:val="7BE40725"/>
    <w:rsid w:val="7BE60210"/>
    <w:rsid w:val="7BE94022"/>
    <w:rsid w:val="7BE97AEA"/>
    <w:rsid w:val="7BED75DA"/>
    <w:rsid w:val="7BF042C6"/>
    <w:rsid w:val="7BF24828"/>
    <w:rsid w:val="7BF72207"/>
    <w:rsid w:val="7BF869BE"/>
    <w:rsid w:val="7C050E74"/>
    <w:rsid w:val="7C0B3B12"/>
    <w:rsid w:val="7C136915"/>
    <w:rsid w:val="7C1728A9"/>
    <w:rsid w:val="7C196FF2"/>
    <w:rsid w:val="7C1C1C6D"/>
    <w:rsid w:val="7C1D7581"/>
    <w:rsid w:val="7C1E2884"/>
    <w:rsid w:val="7C1F46DE"/>
    <w:rsid w:val="7C23381E"/>
    <w:rsid w:val="7C282F7F"/>
    <w:rsid w:val="7C2F7BF3"/>
    <w:rsid w:val="7C350F81"/>
    <w:rsid w:val="7C3945CD"/>
    <w:rsid w:val="7C3B3F3B"/>
    <w:rsid w:val="7C3C2310"/>
    <w:rsid w:val="7C3E721E"/>
    <w:rsid w:val="7C3F770A"/>
    <w:rsid w:val="7C440ADF"/>
    <w:rsid w:val="7C445A66"/>
    <w:rsid w:val="7C464F3C"/>
    <w:rsid w:val="7C53719D"/>
    <w:rsid w:val="7C570EF7"/>
    <w:rsid w:val="7C5C4760"/>
    <w:rsid w:val="7C5D4691"/>
    <w:rsid w:val="7C5E5083"/>
    <w:rsid w:val="7C611D76"/>
    <w:rsid w:val="7C6158D2"/>
    <w:rsid w:val="7C633215"/>
    <w:rsid w:val="7C634A09"/>
    <w:rsid w:val="7C64440A"/>
    <w:rsid w:val="7C690046"/>
    <w:rsid w:val="7C69033E"/>
    <w:rsid w:val="7C6C5AC7"/>
    <w:rsid w:val="7C75184C"/>
    <w:rsid w:val="7C772F8A"/>
    <w:rsid w:val="7C775365"/>
    <w:rsid w:val="7C7A6994"/>
    <w:rsid w:val="7C7C095E"/>
    <w:rsid w:val="7C7D65A8"/>
    <w:rsid w:val="7C7E46D6"/>
    <w:rsid w:val="7C833A9B"/>
    <w:rsid w:val="7C843784"/>
    <w:rsid w:val="7C857813"/>
    <w:rsid w:val="7C876DB8"/>
    <w:rsid w:val="7C885555"/>
    <w:rsid w:val="7C9D4A53"/>
    <w:rsid w:val="7C9F32AD"/>
    <w:rsid w:val="7CA3073B"/>
    <w:rsid w:val="7CA3413D"/>
    <w:rsid w:val="7CA35EEB"/>
    <w:rsid w:val="7CA50FE9"/>
    <w:rsid w:val="7CA67789"/>
    <w:rsid w:val="7CAA0691"/>
    <w:rsid w:val="7CAA54CB"/>
    <w:rsid w:val="7CAF7EB6"/>
    <w:rsid w:val="7CB25F06"/>
    <w:rsid w:val="7CB77E6C"/>
    <w:rsid w:val="7CBC08B6"/>
    <w:rsid w:val="7CBC0D5A"/>
    <w:rsid w:val="7CBD433F"/>
    <w:rsid w:val="7CBE0F77"/>
    <w:rsid w:val="7CBE2D25"/>
    <w:rsid w:val="7CBE4AA9"/>
    <w:rsid w:val="7CC07361"/>
    <w:rsid w:val="7CC52305"/>
    <w:rsid w:val="7CC52470"/>
    <w:rsid w:val="7CC6544B"/>
    <w:rsid w:val="7CCD11BA"/>
    <w:rsid w:val="7CCD4DCC"/>
    <w:rsid w:val="7CCD71C2"/>
    <w:rsid w:val="7CD07C4A"/>
    <w:rsid w:val="7CD662C0"/>
    <w:rsid w:val="7CD9190C"/>
    <w:rsid w:val="7CDB5685"/>
    <w:rsid w:val="7CE12762"/>
    <w:rsid w:val="7CE502B1"/>
    <w:rsid w:val="7CE55081"/>
    <w:rsid w:val="7CEC1640"/>
    <w:rsid w:val="7CEC5AE4"/>
    <w:rsid w:val="7CF130FA"/>
    <w:rsid w:val="7CF378E2"/>
    <w:rsid w:val="7CF96AA8"/>
    <w:rsid w:val="7CFD610B"/>
    <w:rsid w:val="7D006E99"/>
    <w:rsid w:val="7D0117D2"/>
    <w:rsid w:val="7D0239FF"/>
    <w:rsid w:val="7D0746CC"/>
    <w:rsid w:val="7D07647A"/>
    <w:rsid w:val="7D0859CB"/>
    <w:rsid w:val="7D146DE8"/>
    <w:rsid w:val="7D1B1F25"/>
    <w:rsid w:val="7D1B3CD3"/>
    <w:rsid w:val="7D1C7A4B"/>
    <w:rsid w:val="7D1D794F"/>
    <w:rsid w:val="7D1E1DE6"/>
    <w:rsid w:val="7D20753B"/>
    <w:rsid w:val="7D2232B3"/>
    <w:rsid w:val="7D227EB9"/>
    <w:rsid w:val="7D2D711D"/>
    <w:rsid w:val="7D3117F9"/>
    <w:rsid w:val="7D337F50"/>
    <w:rsid w:val="7D3905FD"/>
    <w:rsid w:val="7D3908C9"/>
    <w:rsid w:val="7D3923AB"/>
    <w:rsid w:val="7D3B2348"/>
    <w:rsid w:val="7D3D00ED"/>
    <w:rsid w:val="7D3E3E65"/>
    <w:rsid w:val="7D421DE0"/>
    <w:rsid w:val="7D48439C"/>
    <w:rsid w:val="7D4C295A"/>
    <w:rsid w:val="7D4E40A8"/>
    <w:rsid w:val="7D545437"/>
    <w:rsid w:val="7D591FE5"/>
    <w:rsid w:val="7D595C5C"/>
    <w:rsid w:val="7D5A1DEA"/>
    <w:rsid w:val="7D5A7529"/>
    <w:rsid w:val="7D5B67C5"/>
    <w:rsid w:val="7D5D253D"/>
    <w:rsid w:val="7D5E40CD"/>
    <w:rsid w:val="7D6361D5"/>
    <w:rsid w:val="7D641B1E"/>
    <w:rsid w:val="7D676F18"/>
    <w:rsid w:val="7D6A07B6"/>
    <w:rsid w:val="7D6E02A7"/>
    <w:rsid w:val="7D715917"/>
    <w:rsid w:val="7D731D61"/>
    <w:rsid w:val="7D75423C"/>
    <w:rsid w:val="7D756B20"/>
    <w:rsid w:val="7D762483"/>
    <w:rsid w:val="7D782ED3"/>
    <w:rsid w:val="7D7D673C"/>
    <w:rsid w:val="7D8253F9"/>
    <w:rsid w:val="7D831878"/>
    <w:rsid w:val="7D840179"/>
    <w:rsid w:val="7D8950E1"/>
    <w:rsid w:val="7D8C697F"/>
    <w:rsid w:val="7D8E36F9"/>
    <w:rsid w:val="7D8F646F"/>
    <w:rsid w:val="7D932AED"/>
    <w:rsid w:val="7D955A0C"/>
    <w:rsid w:val="7D9A0F4F"/>
    <w:rsid w:val="7D9A72EE"/>
    <w:rsid w:val="7D9B4E14"/>
    <w:rsid w:val="7D9D0B8C"/>
    <w:rsid w:val="7D9F0616"/>
    <w:rsid w:val="7DA64827"/>
    <w:rsid w:val="7DA82101"/>
    <w:rsid w:val="7DAE2D99"/>
    <w:rsid w:val="7DAE3DE3"/>
    <w:rsid w:val="7DB76DAD"/>
    <w:rsid w:val="7DB85132"/>
    <w:rsid w:val="7DB859C6"/>
    <w:rsid w:val="7DBB54B6"/>
    <w:rsid w:val="7DBD5D35"/>
    <w:rsid w:val="7DBF0B02"/>
    <w:rsid w:val="7DBF33C3"/>
    <w:rsid w:val="7DBF6D54"/>
    <w:rsid w:val="7DC97BD3"/>
    <w:rsid w:val="7DCD56F2"/>
    <w:rsid w:val="7DD16A88"/>
    <w:rsid w:val="7DD30A52"/>
    <w:rsid w:val="7DD50326"/>
    <w:rsid w:val="7DD85612"/>
    <w:rsid w:val="7DDA3B8E"/>
    <w:rsid w:val="7DDC7906"/>
    <w:rsid w:val="7DDF73F6"/>
    <w:rsid w:val="7DE03B48"/>
    <w:rsid w:val="7DE467BB"/>
    <w:rsid w:val="7DE631DE"/>
    <w:rsid w:val="7DE93DD1"/>
    <w:rsid w:val="7DEB7B49"/>
    <w:rsid w:val="7DEE13E8"/>
    <w:rsid w:val="7DFD3140"/>
    <w:rsid w:val="7E0230E5"/>
    <w:rsid w:val="7E04461C"/>
    <w:rsid w:val="7E052E04"/>
    <w:rsid w:val="7E064983"/>
    <w:rsid w:val="7E0B407C"/>
    <w:rsid w:val="7E0C3F7D"/>
    <w:rsid w:val="7E0E3838"/>
    <w:rsid w:val="7E105802"/>
    <w:rsid w:val="7E15575E"/>
    <w:rsid w:val="7E1C0BDB"/>
    <w:rsid w:val="7E1C41A7"/>
    <w:rsid w:val="7E1C5F55"/>
    <w:rsid w:val="7E1E756D"/>
    <w:rsid w:val="7E1E7F1F"/>
    <w:rsid w:val="7E21356B"/>
    <w:rsid w:val="7E290672"/>
    <w:rsid w:val="7E2D63B4"/>
    <w:rsid w:val="7E2E7A36"/>
    <w:rsid w:val="7E3374CC"/>
    <w:rsid w:val="7E355268"/>
    <w:rsid w:val="7E395009"/>
    <w:rsid w:val="7E3E236F"/>
    <w:rsid w:val="7E3E4DD9"/>
    <w:rsid w:val="7E40506C"/>
    <w:rsid w:val="7E41627A"/>
    <w:rsid w:val="7E4234E1"/>
    <w:rsid w:val="7E423BEE"/>
    <w:rsid w:val="7E464D80"/>
    <w:rsid w:val="7E4668A5"/>
    <w:rsid w:val="7E4B05E8"/>
    <w:rsid w:val="7E4E01D4"/>
    <w:rsid w:val="7E525E1A"/>
    <w:rsid w:val="7E5B02B6"/>
    <w:rsid w:val="7E5C27F5"/>
    <w:rsid w:val="7E61605D"/>
    <w:rsid w:val="7E62343F"/>
    <w:rsid w:val="7E643124"/>
    <w:rsid w:val="7E670B21"/>
    <w:rsid w:val="7E673213"/>
    <w:rsid w:val="7E687003"/>
    <w:rsid w:val="7E694F12"/>
    <w:rsid w:val="7E6B2A38"/>
    <w:rsid w:val="7E6E693D"/>
    <w:rsid w:val="7E6F0022"/>
    <w:rsid w:val="7E765B8B"/>
    <w:rsid w:val="7E786327"/>
    <w:rsid w:val="7E802BB7"/>
    <w:rsid w:val="7E81400A"/>
    <w:rsid w:val="7E896122"/>
    <w:rsid w:val="7E8B7C0A"/>
    <w:rsid w:val="7E8F7EC5"/>
    <w:rsid w:val="7E917BE5"/>
    <w:rsid w:val="7E9755DB"/>
    <w:rsid w:val="7E9F38CD"/>
    <w:rsid w:val="7EA1212E"/>
    <w:rsid w:val="7EA2426D"/>
    <w:rsid w:val="7EA45F4A"/>
    <w:rsid w:val="7EA47B7B"/>
    <w:rsid w:val="7EA63A70"/>
    <w:rsid w:val="7EA96C28"/>
    <w:rsid w:val="7EAC09C7"/>
    <w:rsid w:val="7EB10D93"/>
    <w:rsid w:val="7EB34363"/>
    <w:rsid w:val="7EB443DF"/>
    <w:rsid w:val="7EB63342"/>
    <w:rsid w:val="7EB663A9"/>
    <w:rsid w:val="7EB73ECF"/>
    <w:rsid w:val="7EBB576E"/>
    <w:rsid w:val="7EC04F15"/>
    <w:rsid w:val="7EC108AA"/>
    <w:rsid w:val="7ED67EFB"/>
    <w:rsid w:val="7EDB0254"/>
    <w:rsid w:val="7EDB5E10"/>
    <w:rsid w:val="7EDE76AE"/>
    <w:rsid w:val="7EE10F4C"/>
    <w:rsid w:val="7EE30820"/>
    <w:rsid w:val="7EE47B1D"/>
    <w:rsid w:val="7EE60311"/>
    <w:rsid w:val="7EE66563"/>
    <w:rsid w:val="7EEA1604"/>
    <w:rsid w:val="7EEB5927"/>
    <w:rsid w:val="7EED78F1"/>
    <w:rsid w:val="7EF40782"/>
    <w:rsid w:val="7EFD1016"/>
    <w:rsid w:val="7EFF6F9C"/>
    <w:rsid w:val="7F001CE7"/>
    <w:rsid w:val="7F005876"/>
    <w:rsid w:val="7F06150E"/>
    <w:rsid w:val="7F074F02"/>
    <w:rsid w:val="7F0864D9"/>
    <w:rsid w:val="7F0B7D77"/>
    <w:rsid w:val="7F0D1D41"/>
    <w:rsid w:val="7F0D52EA"/>
    <w:rsid w:val="7F1046F2"/>
    <w:rsid w:val="7F167AA4"/>
    <w:rsid w:val="7F1725CE"/>
    <w:rsid w:val="7F174669"/>
    <w:rsid w:val="7F17496E"/>
    <w:rsid w:val="7F192494"/>
    <w:rsid w:val="7F1B7FBA"/>
    <w:rsid w:val="7F1C1F84"/>
    <w:rsid w:val="7F1D2F30"/>
    <w:rsid w:val="7F1E3F4E"/>
    <w:rsid w:val="7F201706"/>
    <w:rsid w:val="7F2135AC"/>
    <w:rsid w:val="7F2552DD"/>
    <w:rsid w:val="7F271055"/>
    <w:rsid w:val="7F2A1DFE"/>
    <w:rsid w:val="7F315A30"/>
    <w:rsid w:val="7F355D9E"/>
    <w:rsid w:val="7F37317E"/>
    <w:rsid w:val="7F390D88"/>
    <w:rsid w:val="7F3B68AE"/>
    <w:rsid w:val="7F3E639F"/>
    <w:rsid w:val="7F42628D"/>
    <w:rsid w:val="7F4A08A0"/>
    <w:rsid w:val="7F4A4D43"/>
    <w:rsid w:val="7F4F373A"/>
    <w:rsid w:val="7F5363C3"/>
    <w:rsid w:val="7F572FBC"/>
    <w:rsid w:val="7F587E70"/>
    <w:rsid w:val="7F5D4A77"/>
    <w:rsid w:val="7F6000C3"/>
    <w:rsid w:val="7F605D4B"/>
    <w:rsid w:val="7F610D46"/>
    <w:rsid w:val="7F612812"/>
    <w:rsid w:val="7F67721B"/>
    <w:rsid w:val="7F67755C"/>
    <w:rsid w:val="7F6A04DA"/>
    <w:rsid w:val="7F6B2F97"/>
    <w:rsid w:val="7F6C6A68"/>
    <w:rsid w:val="7F6D458E"/>
    <w:rsid w:val="7F707618"/>
    <w:rsid w:val="7F74049E"/>
    <w:rsid w:val="7F7D0C75"/>
    <w:rsid w:val="7F802513"/>
    <w:rsid w:val="7F803438"/>
    <w:rsid w:val="7F870C79"/>
    <w:rsid w:val="7F8A15E4"/>
    <w:rsid w:val="7F8C2C66"/>
    <w:rsid w:val="7F8F61BD"/>
    <w:rsid w:val="7F912972"/>
    <w:rsid w:val="7F9F0E2D"/>
    <w:rsid w:val="7FA523E6"/>
    <w:rsid w:val="7FA9115C"/>
    <w:rsid w:val="7FAC7558"/>
    <w:rsid w:val="7FBD72C3"/>
    <w:rsid w:val="7FC22B2C"/>
    <w:rsid w:val="7FC92BA5"/>
    <w:rsid w:val="7FCB5E84"/>
    <w:rsid w:val="7FCB7C32"/>
    <w:rsid w:val="7FD060B9"/>
    <w:rsid w:val="7FD20715"/>
    <w:rsid w:val="7FD33E7F"/>
    <w:rsid w:val="7FD50AB1"/>
    <w:rsid w:val="7FDA60C7"/>
    <w:rsid w:val="7FDB3BED"/>
    <w:rsid w:val="7FDC4D33"/>
    <w:rsid w:val="7FDF4D73"/>
    <w:rsid w:val="7FE02FB2"/>
    <w:rsid w:val="7FE24F7C"/>
    <w:rsid w:val="7FE47E50"/>
    <w:rsid w:val="7FE5681A"/>
    <w:rsid w:val="7FED470B"/>
    <w:rsid w:val="7FEE1B73"/>
    <w:rsid w:val="7FEE2B34"/>
    <w:rsid w:val="7FF8479F"/>
    <w:rsid w:val="7FFA22C6"/>
    <w:rsid w:val="7FFA3DD9"/>
    <w:rsid w:val="7FFA4074"/>
    <w:rsid w:val="7FFD1970"/>
    <w:rsid w:val="7FFD7361"/>
    <w:rsid w:val="7FFF168A"/>
    <w:rsid w:val="7FFF78D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qFormat="1"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iPriority="99"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5">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unhideWhenUsed/>
    <w:qFormat/>
    <w:locked/>
    <w:uiPriority w:val="0"/>
    <w:pPr>
      <w:keepNext/>
      <w:keepLines/>
      <w:spacing w:before="50" w:beforeLines="50" w:beforeAutospacing="0" w:after="50" w:afterLines="50" w:afterAutospacing="0" w:line="360" w:lineRule="auto"/>
      <w:outlineLvl w:val="1"/>
    </w:pPr>
    <w:rPr>
      <w:rFonts w:ascii="Arial" w:hAnsi="Arial" w:eastAsia="宋体"/>
      <w:b/>
      <w:sz w:val="24"/>
    </w:rPr>
  </w:style>
  <w:style w:type="paragraph" w:styleId="7">
    <w:name w:val="heading 3"/>
    <w:basedOn w:val="1"/>
    <w:next w:val="1"/>
    <w:unhideWhenUsed/>
    <w:qFormat/>
    <w:locked/>
    <w:uiPriority w:val="0"/>
    <w:pPr>
      <w:keepNext/>
      <w:keepLines/>
      <w:numPr>
        <w:ilvl w:val="2"/>
        <w:numId w:val="1"/>
      </w:numPr>
      <w:spacing w:before="20" w:after="20" w:line="360" w:lineRule="auto"/>
      <w:ind w:left="0" w:firstLine="0" w:firstLineChars="0"/>
      <w:jc w:val="left"/>
      <w:outlineLvl w:val="2"/>
    </w:pPr>
    <w:rPr>
      <w:rFonts w:ascii="Times New Roman" w:hAnsi="Times New Roman" w:eastAsia="宋体" w:cs="Times New Roman"/>
      <w:b/>
      <w:bCs/>
      <w:kern w:val="2"/>
      <w:sz w:val="32"/>
      <w:szCs w:val="32"/>
    </w:rPr>
  </w:style>
  <w:style w:type="character" w:default="1" w:styleId="31">
    <w:name w:val="Default Paragraph Font"/>
    <w:link w:val="32"/>
    <w:semiHidden/>
    <w:qFormat/>
    <w:uiPriority w:val="0"/>
    <w:rPr>
      <w:rFonts w:ascii="宋体" w:hAnsi="宋体" w:eastAsia="宋体"/>
      <w:kern w:val="2"/>
      <w:sz w:val="24"/>
      <w:szCs w:val="24"/>
      <w:lang w:val="en-US" w:eastAsia="zh-CN" w:bidi="ar-SA"/>
    </w:rPr>
  </w:style>
  <w:style w:type="table" w:default="1" w:styleId="29">
    <w:name w:val="Normal Table"/>
    <w:semiHidden/>
    <w:qFormat/>
    <w:uiPriority w:val="0"/>
    <w:tblPr>
      <w:tblCellMar>
        <w:top w:w="0" w:type="dxa"/>
        <w:left w:w="108" w:type="dxa"/>
        <w:bottom w:w="0" w:type="dxa"/>
        <w:right w:w="108" w:type="dxa"/>
      </w:tblCellMar>
    </w:tblPr>
  </w:style>
  <w:style w:type="paragraph" w:styleId="2">
    <w:name w:val="Body Text First Indent 2"/>
    <w:basedOn w:val="1"/>
    <w:next w:val="3"/>
    <w:qFormat/>
    <w:locked/>
    <w:uiPriority w:val="0"/>
    <w:pPr>
      <w:ind w:firstLine="420" w:firstLineChars="200"/>
    </w:pPr>
  </w:style>
  <w:style w:type="paragraph" w:styleId="3">
    <w:name w:val="Body Text First Indent"/>
    <w:basedOn w:val="4"/>
    <w:next w:val="1"/>
    <w:unhideWhenUsed/>
    <w:qFormat/>
    <w:locked/>
    <w:uiPriority w:val="99"/>
    <w:pPr>
      <w:ind w:firstLine="420" w:firstLineChars="100"/>
    </w:pPr>
  </w:style>
  <w:style w:type="paragraph" w:styleId="4">
    <w:name w:val="Body Text"/>
    <w:basedOn w:val="1"/>
    <w:next w:val="1"/>
    <w:link w:val="37"/>
    <w:qFormat/>
    <w:uiPriority w:val="0"/>
    <w:pPr>
      <w:widowControl/>
      <w:snapToGrid w:val="0"/>
      <w:spacing w:before="60" w:after="160" w:line="259" w:lineRule="auto"/>
      <w:ind w:right="113"/>
    </w:pPr>
    <w:rPr>
      <w:kern w:val="0"/>
      <w:sz w:val="18"/>
      <w:szCs w:val="20"/>
    </w:rPr>
  </w:style>
  <w:style w:type="paragraph" w:styleId="8">
    <w:name w:val="Normal Indent"/>
    <w:basedOn w:val="1"/>
    <w:next w:val="1"/>
    <w:qFormat/>
    <w:locked/>
    <w:uiPriority w:val="0"/>
    <w:pPr>
      <w:adjustRightInd w:val="0"/>
      <w:spacing w:line="312" w:lineRule="atLeast"/>
      <w:ind w:firstLine="420"/>
      <w:textAlignment w:val="baseline"/>
    </w:pPr>
    <w:rPr>
      <w:kern w:val="0"/>
      <w:szCs w:val="20"/>
    </w:rPr>
  </w:style>
  <w:style w:type="paragraph" w:styleId="9">
    <w:name w:val="caption"/>
    <w:basedOn w:val="1"/>
    <w:next w:val="1"/>
    <w:qFormat/>
    <w:locked/>
    <w:uiPriority w:val="0"/>
    <w:pPr>
      <w:widowControl/>
      <w:jc w:val="left"/>
    </w:pPr>
    <w:rPr>
      <w:rFonts w:ascii="Arial" w:hAnsi="Arial" w:eastAsia="黑体" w:cs="Arial"/>
      <w:sz w:val="20"/>
      <w:szCs w:val="20"/>
    </w:rPr>
  </w:style>
  <w:style w:type="paragraph" w:styleId="10">
    <w:name w:val="annotation text"/>
    <w:basedOn w:val="1"/>
    <w:link w:val="38"/>
    <w:semiHidden/>
    <w:qFormat/>
    <w:uiPriority w:val="0"/>
    <w:pPr>
      <w:jc w:val="left"/>
    </w:pPr>
    <w:rPr>
      <w:kern w:val="0"/>
      <w:sz w:val="24"/>
      <w:szCs w:val="20"/>
    </w:rPr>
  </w:style>
  <w:style w:type="paragraph" w:styleId="11">
    <w:name w:val="Body Text Indent"/>
    <w:basedOn w:val="1"/>
    <w:next w:val="12"/>
    <w:link w:val="39"/>
    <w:qFormat/>
    <w:uiPriority w:val="0"/>
    <w:pPr>
      <w:spacing w:after="120"/>
      <w:ind w:left="420" w:leftChars="200"/>
    </w:pPr>
    <w:rPr>
      <w:kern w:val="0"/>
      <w:sz w:val="24"/>
      <w:szCs w:val="20"/>
    </w:rPr>
  </w:style>
  <w:style w:type="paragraph" w:customStyle="1" w:styleId="12">
    <w:name w:val="样式 正文文本缩进 + 行距: 1.5 倍行距"/>
    <w:basedOn w:val="11"/>
    <w:qFormat/>
    <w:uiPriority w:val="0"/>
    <w:pPr>
      <w:spacing w:line="360" w:lineRule="auto"/>
      <w:ind w:left="0" w:leftChars="0" w:firstLine="560" w:firstLineChars="200"/>
    </w:pPr>
    <w:rPr>
      <w:b/>
      <w:bCs/>
      <w:sz w:val="28"/>
    </w:rPr>
  </w:style>
  <w:style w:type="paragraph" w:styleId="13">
    <w:name w:val="List 2"/>
    <w:basedOn w:val="1"/>
    <w:qFormat/>
    <w:locked/>
    <w:uiPriority w:val="0"/>
    <w:pPr>
      <w:ind w:left="100" w:leftChars="200" w:hanging="200" w:hangingChars="200"/>
    </w:pPr>
  </w:style>
  <w:style w:type="paragraph" w:styleId="14">
    <w:name w:val="Block Text"/>
    <w:basedOn w:val="1"/>
    <w:qFormat/>
    <w:locked/>
    <w:uiPriority w:val="0"/>
    <w:pPr>
      <w:spacing w:after="120"/>
      <w:ind w:left="1440" w:leftChars="700" w:right="1440" w:rightChars="700"/>
    </w:pPr>
  </w:style>
  <w:style w:type="paragraph" w:styleId="15">
    <w:name w:val="Plain Text"/>
    <w:basedOn w:val="1"/>
    <w:qFormat/>
    <w:locked/>
    <w:uiPriority w:val="0"/>
    <w:pPr>
      <w:spacing w:line="240" w:lineRule="atLeast"/>
    </w:pPr>
    <w:rPr>
      <w:rFonts w:hint="eastAsia" w:ascii="宋体" w:hAnsi="Courier New"/>
      <w:sz w:val="28"/>
      <w:szCs w:val="21"/>
    </w:rPr>
  </w:style>
  <w:style w:type="paragraph" w:styleId="16">
    <w:name w:val="List Bullet 5"/>
    <w:basedOn w:val="1"/>
    <w:qFormat/>
    <w:locked/>
    <w:uiPriority w:val="0"/>
    <w:pPr>
      <w:numPr>
        <w:ilvl w:val="0"/>
        <w:numId w:val="2"/>
      </w:numPr>
    </w:pPr>
  </w:style>
  <w:style w:type="paragraph" w:styleId="17">
    <w:name w:val="Date"/>
    <w:basedOn w:val="1"/>
    <w:next w:val="1"/>
    <w:link w:val="40"/>
    <w:qFormat/>
    <w:uiPriority w:val="0"/>
    <w:pPr>
      <w:ind w:left="100" w:leftChars="2500"/>
    </w:pPr>
    <w:rPr>
      <w:kern w:val="0"/>
      <w:sz w:val="24"/>
      <w:szCs w:val="20"/>
    </w:rPr>
  </w:style>
  <w:style w:type="paragraph" w:styleId="18">
    <w:name w:val="Body Text Indent 2"/>
    <w:basedOn w:val="1"/>
    <w:qFormat/>
    <w:locked/>
    <w:uiPriority w:val="0"/>
    <w:pPr>
      <w:spacing w:after="120" w:line="480" w:lineRule="auto"/>
      <w:ind w:left="420" w:leftChars="200"/>
    </w:pPr>
  </w:style>
  <w:style w:type="paragraph" w:styleId="19">
    <w:name w:val="Balloon Text"/>
    <w:basedOn w:val="1"/>
    <w:link w:val="41"/>
    <w:semiHidden/>
    <w:qFormat/>
    <w:uiPriority w:val="0"/>
    <w:rPr>
      <w:kern w:val="0"/>
      <w:sz w:val="18"/>
      <w:szCs w:val="20"/>
    </w:rPr>
  </w:style>
  <w:style w:type="paragraph" w:styleId="20">
    <w:name w:val="footer"/>
    <w:basedOn w:val="1"/>
    <w:next w:val="1"/>
    <w:link w:val="42"/>
    <w:qFormat/>
    <w:uiPriority w:val="99"/>
    <w:pPr>
      <w:tabs>
        <w:tab w:val="center" w:pos="4153"/>
        <w:tab w:val="right" w:pos="8306"/>
      </w:tabs>
      <w:snapToGrid w:val="0"/>
      <w:jc w:val="left"/>
    </w:pPr>
    <w:rPr>
      <w:kern w:val="0"/>
      <w:sz w:val="18"/>
      <w:szCs w:val="20"/>
    </w:rPr>
  </w:style>
  <w:style w:type="paragraph" w:styleId="21">
    <w:name w:val="header"/>
    <w:basedOn w:val="1"/>
    <w:next w:val="4"/>
    <w:link w:val="43"/>
    <w:qFormat/>
    <w:uiPriority w:val="0"/>
    <w:pPr>
      <w:pBdr>
        <w:bottom w:val="single" w:color="auto" w:sz="6" w:space="1"/>
      </w:pBdr>
      <w:tabs>
        <w:tab w:val="center" w:pos="4153"/>
        <w:tab w:val="right" w:pos="8306"/>
      </w:tabs>
      <w:snapToGrid w:val="0"/>
      <w:jc w:val="center"/>
    </w:pPr>
    <w:rPr>
      <w:kern w:val="0"/>
      <w:sz w:val="18"/>
      <w:szCs w:val="20"/>
    </w:rPr>
  </w:style>
  <w:style w:type="paragraph" w:styleId="22">
    <w:name w:val="toc 1"/>
    <w:basedOn w:val="1"/>
    <w:next w:val="1"/>
    <w:qFormat/>
    <w:locked/>
    <w:uiPriority w:val="0"/>
  </w:style>
  <w:style w:type="paragraph" w:styleId="23">
    <w:name w:val="index heading"/>
    <w:basedOn w:val="1"/>
    <w:next w:val="24"/>
    <w:qFormat/>
    <w:locked/>
    <w:uiPriority w:val="0"/>
    <w:rPr>
      <w:rFonts w:ascii="Arial" w:hAnsi="Arial"/>
      <w:b/>
    </w:rPr>
  </w:style>
  <w:style w:type="paragraph" w:styleId="24">
    <w:name w:val="index 1"/>
    <w:basedOn w:val="1"/>
    <w:next w:val="1"/>
    <w:qFormat/>
    <w:locked/>
    <w:uiPriority w:val="0"/>
    <w:pPr>
      <w:spacing w:line="360" w:lineRule="auto"/>
    </w:pPr>
    <w:rPr>
      <w:sz w:val="24"/>
      <w:szCs w:val="21"/>
    </w:rPr>
  </w:style>
  <w:style w:type="paragraph" w:styleId="25">
    <w:name w:val="List"/>
    <w:basedOn w:val="13"/>
    <w:next w:val="1"/>
    <w:qFormat/>
    <w:locked/>
    <w:uiPriority w:val="0"/>
    <w:pPr>
      <w:ind w:left="200" w:hanging="200" w:hangingChars="200"/>
      <w:contextualSpacing/>
    </w:pPr>
  </w:style>
  <w:style w:type="paragraph" w:styleId="26">
    <w:name w:val="Body Text Indent 3"/>
    <w:basedOn w:val="1"/>
    <w:qFormat/>
    <w:locked/>
    <w:uiPriority w:val="0"/>
    <w:pPr>
      <w:spacing w:after="120"/>
      <w:ind w:left="420" w:leftChars="200"/>
    </w:pPr>
    <w:rPr>
      <w:sz w:val="16"/>
      <w:szCs w:val="16"/>
    </w:rPr>
  </w:style>
  <w:style w:type="paragraph" w:styleId="27">
    <w:name w:val="Normal (Web)"/>
    <w:basedOn w:val="1"/>
    <w:link w:val="44"/>
    <w:qFormat/>
    <w:uiPriority w:val="0"/>
    <w:pPr>
      <w:widowControl/>
      <w:spacing w:before="100" w:beforeAutospacing="1" w:after="100" w:afterAutospacing="1"/>
      <w:jc w:val="left"/>
    </w:pPr>
    <w:rPr>
      <w:rFonts w:ascii="宋体" w:hAnsi="宋体"/>
      <w:kern w:val="0"/>
      <w:sz w:val="24"/>
      <w:szCs w:val="20"/>
    </w:rPr>
  </w:style>
  <w:style w:type="paragraph" w:styleId="28">
    <w:name w:val="annotation subject"/>
    <w:basedOn w:val="10"/>
    <w:next w:val="10"/>
    <w:link w:val="45"/>
    <w:semiHidden/>
    <w:qFormat/>
    <w:uiPriority w:val="0"/>
    <w:rPr>
      <w:b/>
      <w:sz w:val="24"/>
      <w:szCs w:val="20"/>
    </w:rPr>
  </w:style>
  <w:style w:type="table" w:styleId="30">
    <w:name w:val="Table Grid"/>
    <w:basedOn w:val="29"/>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2">
    <w:name w:val=" Char1 Char Char Char1 Char Char Char Char Char Char Char Char Char Char Char Char"/>
    <w:basedOn w:val="1"/>
    <w:next w:val="1"/>
    <w:link w:val="31"/>
    <w:qFormat/>
    <w:uiPriority w:val="0"/>
    <w:rPr>
      <w:rFonts w:ascii="宋体" w:hAnsi="宋体" w:eastAsia="宋体"/>
      <w:kern w:val="2"/>
      <w:sz w:val="24"/>
      <w:szCs w:val="24"/>
      <w:lang w:val="en-US" w:eastAsia="zh-CN" w:bidi="ar-SA"/>
    </w:rPr>
  </w:style>
  <w:style w:type="character" w:styleId="33">
    <w:name w:val="Strong"/>
    <w:basedOn w:val="31"/>
    <w:qFormat/>
    <w:locked/>
    <w:uiPriority w:val="0"/>
    <w:rPr>
      <w:b/>
    </w:rPr>
  </w:style>
  <w:style w:type="character" w:styleId="34">
    <w:name w:val="page number"/>
    <w:basedOn w:val="31"/>
    <w:qFormat/>
    <w:locked/>
    <w:uiPriority w:val="0"/>
  </w:style>
  <w:style w:type="character" w:styleId="35">
    <w:name w:val="Hyperlink"/>
    <w:basedOn w:val="31"/>
    <w:qFormat/>
    <w:locked/>
    <w:uiPriority w:val="0"/>
    <w:rPr>
      <w:color w:val="0000FF"/>
      <w:u w:val="single"/>
    </w:rPr>
  </w:style>
  <w:style w:type="character" w:styleId="36">
    <w:name w:val="annotation reference"/>
    <w:basedOn w:val="31"/>
    <w:semiHidden/>
    <w:qFormat/>
    <w:uiPriority w:val="0"/>
    <w:rPr>
      <w:sz w:val="21"/>
    </w:rPr>
  </w:style>
  <w:style w:type="character" w:customStyle="1" w:styleId="37">
    <w:name w:val=" Char Char9"/>
    <w:link w:val="4"/>
    <w:qFormat/>
    <w:uiPriority w:val="0"/>
    <w:rPr>
      <w:kern w:val="2"/>
      <w:sz w:val="21"/>
      <w:szCs w:val="24"/>
    </w:rPr>
  </w:style>
  <w:style w:type="character" w:customStyle="1" w:styleId="38">
    <w:name w:val="批注文字 Char"/>
    <w:link w:val="10"/>
    <w:qFormat/>
    <w:locked/>
    <w:uiPriority w:val="0"/>
    <w:rPr>
      <w:rFonts w:ascii="Times New Roman" w:hAnsi="Times New Roman" w:eastAsia="宋体"/>
      <w:sz w:val="24"/>
    </w:rPr>
  </w:style>
  <w:style w:type="character" w:customStyle="1" w:styleId="39">
    <w:name w:val="正文文本缩进 Char"/>
    <w:link w:val="11"/>
    <w:semiHidden/>
    <w:qFormat/>
    <w:locked/>
    <w:uiPriority w:val="0"/>
    <w:rPr>
      <w:rFonts w:ascii="Times New Roman" w:hAnsi="Times New Roman" w:eastAsia="宋体"/>
      <w:sz w:val="24"/>
    </w:rPr>
  </w:style>
  <w:style w:type="character" w:customStyle="1" w:styleId="40">
    <w:name w:val="日期 Char"/>
    <w:link w:val="17"/>
    <w:qFormat/>
    <w:locked/>
    <w:uiPriority w:val="0"/>
    <w:rPr>
      <w:rFonts w:ascii="Times New Roman" w:hAnsi="Times New Roman" w:eastAsia="宋体"/>
      <w:sz w:val="24"/>
    </w:rPr>
  </w:style>
  <w:style w:type="character" w:customStyle="1" w:styleId="41">
    <w:name w:val="批注框文本 Char"/>
    <w:link w:val="19"/>
    <w:semiHidden/>
    <w:qFormat/>
    <w:locked/>
    <w:uiPriority w:val="0"/>
    <w:rPr>
      <w:rFonts w:ascii="Times New Roman" w:hAnsi="Times New Roman" w:eastAsia="宋体"/>
      <w:sz w:val="18"/>
    </w:rPr>
  </w:style>
  <w:style w:type="character" w:customStyle="1" w:styleId="42">
    <w:name w:val="页脚 Char"/>
    <w:link w:val="20"/>
    <w:qFormat/>
    <w:locked/>
    <w:uiPriority w:val="99"/>
    <w:rPr>
      <w:sz w:val="18"/>
    </w:rPr>
  </w:style>
  <w:style w:type="character" w:customStyle="1" w:styleId="43">
    <w:name w:val="页眉 Char"/>
    <w:link w:val="21"/>
    <w:qFormat/>
    <w:locked/>
    <w:uiPriority w:val="0"/>
    <w:rPr>
      <w:sz w:val="18"/>
    </w:rPr>
  </w:style>
  <w:style w:type="character" w:customStyle="1" w:styleId="44">
    <w:name w:val="普通(网站) Char"/>
    <w:link w:val="27"/>
    <w:qFormat/>
    <w:locked/>
    <w:uiPriority w:val="0"/>
    <w:rPr>
      <w:rFonts w:ascii="宋体" w:hAnsi="宋体" w:eastAsia="宋体"/>
      <w:sz w:val="24"/>
    </w:rPr>
  </w:style>
  <w:style w:type="character" w:customStyle="1" w:styleId="45">
    <w:name w:val="批注主题 Char"/>
    <w:link w:val="28"/>
    <w:semiHidden/>
    <w:qFormat/>
    <w:locked/>
    <w:uiPriority w:val="0"/>
    <w:rPr>
      <w:rFonts w:ascii="Times New Roman" w:hAnsi="Times New Roman" w:eastAsia="宋体"/>
      <w:b/>
      <w:kern w:val="2"/>
      <w:sz w:val="24"/>
    </w:rPr>
  </w:style>
  <w:style w:type="character" w:customStyle="1" w:styleId="46">
    <w:name w:val="批注文字 字符1"/>
    <w:semiHidden/>
    <w:qFormat/>
    <w:uiPriority w:val="0"/>
    <w:rPr>
      <w:rFonts w:ascii="Times New Roman" w:hAnsi="Times New Roman" w:eastAsia="宋体"/>
      <w:sz w:val="24"/>
    </w:rPr>
  </w:style>
  <w:style w:type="character" w:customStyle="1" w:styleId="47">
    <w:name w:val="正文文本 字符1"/>
    <w:semiHidden/>
    <w:qFormat/>
    <w:uiPriority w:val="0"/>
    <w:rPr>
      <w:rFonts w:ascii="Times New Roman" w:hAnsi="Times New Roman" w:eastAsia="宋体"/>
      <w:sz w:val="24"/>
    </w:rPr>
  </w:style>
  <w:style w:type="character" w:customStyle="1" w:styleId="48">
    <w:name w:val="表格 Char"/>
    <w:link w:val="49"/>
    <w:qFormat/>
    <w:locked/>
    <w:uiPriority w:val="0"/>
    <w:rPr>
      <w:rFonts w:ascii="宋体"/>
      <w:sz w:val="21"/>
    </w:rPr>
  </w:style>
  <w:style w:type="paragraph" w:customStyle="1" w:styleId="49">
    <w:name w:val="表格"/>
    <w:basedOn w:val="8"/>
    <w:next w:val="1"/>
    <w:link w:val="48"/>
    <w:qFormat/>
    <w:uiPriority w:val="0"/>
    <w:pPr>
      <w:adjustRightInd w:val="0"/>
      <w:snapToGrid w:val="0"/>
      <w:spacing w:beforeLines="10" w:afterLines="10" w:line="259" w:lineRule="auto"/>
      <w:jc w:val="center"/>
    </w:pPr>
    <w:rPr>
      <w:rFonts w:ascii="宋体"/>
      <w:kern w:val="0"/>
      <w:szCs w:val="20"/>
    </w:rPr>
  </w:style>
  <w:style w:type="character" w:customStyle="1" w:styleId="50">
    <w:name w:val="正文（首行缩进两字） Char1"/>
    <w:qFormat/>
    <w:uiPriority w:val="0"/>
    <w:rPr>
      <w:rFonts w:eastAsia="宋体"/>
      <w:kern w:val="2"/>
      <w:sz w:val="24"/>
      <w:lang w:val="en-US" w:eastAsia="zh-CN"/>
    </w:rPr>
  </w:style>
  <w:style w:type="character" w:customStyle="1" w:styleId="51">
    <w:name w:val="日期 字符"/>
    <w:semiHidden/>
    <w:qFormat/>
    <w:uiPriority w:val="0"/>
    <w:rPr>
      <w:rFonts w:ascii="Times New Roman" w:hAnsi="Times New Roman" w:eastAsia="宋体"/>
      <w:sz w:val="24"/>
    </w:rPr>
  </w:style>
  <w:style w:type="character" w:customStyle="1" w:styleId="52">
    <w:name w:val="正文文本 Char"/>
    <w:basedOn w:val="31"/>
    <w:qFormat/>
    <w:locked/>
    <w:uiPriority w:val="0"/>
    <w:rPr>
      <w:sz w:val="18"/>
    </w:rPr>
  </w:style>
  <w:style w:type="character" w:customStyle="1" w:styleId="53">
    <w:name w:val="页脚 字符"/>
    <w:basedOn w:val="31"/>
    <w:qFormat/>
    <w:uiPriority w:val="99"/>
  </w:style>
  <w:style w:type="character" w:customStyle="1" w:styleId="54">
    <w:name w:val="正文（首行缩进两字） Char"/>
    <w:basedOn w:val="31"/>
    <w:qFormat/>
    <w:uiPriority w:val="0"/>
    <w:rPr>
      <w:rFonts w:ascii="宋体" w:hAnsi="宋体" w:eastAsia="宋体"/>
      <w:kern w:val="2"/>
      <w:sz w:val="24"/>
      <w:szCs w:val="24"/>
      <w:lang w:val="en-US" w:eastAsia="zh-CN" w:bidi="ar-SA"/>
    </w:rPr>
  </w:style>
  <w:style w:type="paragraph" w:customStyle="1" w:styleId="55">
    <w:name w:val="中文报告书"/>
    <w:basedOn w:val="1"/>
    <w:qFormat/>
    <w:uiPriority w:val="0"/>
    <w:pPr>
      <w:adjustRightInd w:val="0"/>
      <w:spacing w:after="80" w:afterLines="0" w:line="420" w:lineRule="atLeast"/>
      <w:jc w:val="left"/>
      <w:textAlignment w:val="baseline"/>
    </w:pPr>
    <w:rPr>
      <w:sz w:val="24"/>
    </w:rPr>
  </w:style>
  <w:style w:type="paragraph" w:customStyle="1" w:styleId="56">
    <w:name w:val="样式 仿宋_GB2312 四号 行距: 固定值 26 磅"/>
    <w:basedOn w:val="1"/>
    <w:qFormat/>
    <w:uiPriority w:val="0"/>
    <w:pPr>
      <w:widowControl w:val="0"/>
      <w:spacing w:line="360" w:lineRule="auto"/>
      <w:ind w:firstLine="480" w:firstLineChars="200"/>
      <w:jc w:val="both"/>
    </w:pPr>
    <w:rPr>
      <w:rFonts w:ascii="宋体" w:hAnsi="宋体" w:cs="宋体"/>
      <w:lang w:eastAsia="zh-CN" w:bidi="ar-SA"/>
    </w:rPr>
  </w:style>
  <w:style w:type="paragraph" w:customStyle="1" w:styleId="57">
    <w:name w:val="正文2"/>
    <w:basedOn w:val="1"/>
    <w:next w:val="1"/>
    <w:qFormat/>
    <w:uiPriority w:val="0"/>
    <w:pPr>
      <w:adjustRightInd w:val="0"/>
      <w:snapToGrid w:val="0"/>
      <w:spacing w:line="360" w:lineRule="auto"/>
      <w:ind w:firstLine="200" w:firstLineChars="200"/>
    </w:pPr>
    <w:rPr>
      <w:rFonts w:cs="宋体"/>
      <w:sz w:val="28"/>
      <w:szCs w:val="28"/>
    </w:rPr>
  </w:style>
  <w:style w:type="paragraph" w:customStyle="1" w:styleId="58">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9">
    <w:name w:val="Char2"/>
    <w:basedOn w:val="1"/>
    <w:qFormat/>
    <w:uiPriority w:val="0"/>
    <w:rPr>
      <w:szCs w:val="24"/>
    </w:rPr>
  </w:style>
  <w:style w:type="paragraph" w:customStyle="1" w:styleId="60">
    <w:name w:val="0"/>
    <w:basedOn w:val="1"/>
    <w:qFormat/>
    <w:uiPriority w:val="0"/>
    <w:pPr>
      <w:widowControl/>
      <w:snapToGrid w:val="0"/>
    </w:pPr>
    <w:rPr>
      <w:kern w:val="0"/>
      <w:szCs w:val="21"/>
    </w:rPr>
  </w:style>
  <w:style w:type="paragraph" w:customStyle="1" w:styleId="61">
    <w:name w:val="明显引用1"/>
    <w:next w:val="1"/>
    <w:qFormat/>
    <w:uiPriority w:val="0"/>
    <w:pPr>
      <w:wordWrap w:val="0"/>
      <w:spacing w:before="360" w:beforeLines="0" w:after="360" w:afterLines="0"/>
      <w:ind w:left="950" w:right="950"/>
      <w:jc w:val="center"/>
    </w:pPr>
    <w:rPr>
      <w:rFonts w:ascii="Times New Roman" w:hAnsi="Times New Roman" w:eastAsia="宋体" w:cs="Times New Roman"/>
      <w:i/>
      <w:sz w:val="21"/>
      <w:lang w:val="en-US" w:eastAsia="zh-CN" w:bidi="ar-SA"/>
    </w:rPr>
  </w:style>
  <w:style w:type="paragraph" w:customStyle="1" w:styleId="62">
    <w:name w:val="样式 中文报告书 + 两端对齐 段前: 7.8 磅 段后: 0 磅 行距: 1.5 倍行距"/>
    <w:basedOn w:val="55"/>
    <w:qFormat/>
    <w:uiPriority w:val="0"/>
    <w:pPr>
      <w:spacing w:after="0" w:afterLines="0" w:line="360" w:lineRule="auto"/>
      <w:jc w:val="both"/>
    </w:pPr>
    <w:rPr>
      <w:rFonts w:cs="宋体"/>
    </w:rPr>
  </w:style>
  <w:style w:type="paragraph" w:customStyle="1" w:styleId="63">
    <w:name w:val="Normal"/>
    <w:qFormat/>
    <w:uiPriority w:val="0"/>
    <w:pPr>
      <w:jc w:val="both"/>
    </w:pPr>
    <w:rPr>
      <w:rFonts w:ascii="Times New Roman" w:hAnsi="Times New Roman" w:eastAsia="宋体" w:cs="Times New Roman"/>
      <w:kern w:val="2"/>
      <w:sz w:val="21"/>
      <w:szCs w:val="21"/>
      <w:lang w:val="en-US" w:eastAsia="zh-CN" w:bidi="ar-SA"/>
    </w:rPr>
  </w:style>
  <w:style w:type="paragraph" w:customStyle="1" w:styleId="64">
    <w:name w:val="标题4"/>
    <w:basedOn w:val="1"/>
    <w:qFormat/>
    <w:uiPriority w:val="0"/>
    <w:pPr>
      <w:snapToGrid w:val="0"/>
      <w:spacing w:line="480" w:lineRule="atLeast"/>
      <w:jc w:val="center"/>
    </w:pPr>
    <w:rPr>
      <w:b/>
      <w:color w:val="000000"/>
      <w:sz w:val="24"/>
      <w:szCs w:val="20"/>
    </w:rPr>
  </w:style>
  <w:style w:type="paragraph" w:customStyle="1" w:styleId="65">
    <w:name w:val="表体"/>
    <w:basedOn w:val="1"/>
    <w:qFormat/>
    <w:uiPriority w:val="0"/>
    <w:pPr>
      <w:widowControl/>
      <w:tabs>
        <w:tab w:val="left" w:pos="540"/>
        <w:tab w:val="left" w:pos="851"/>
        <w:tab w:val="left" w:pos="994"/>
        <w:tab w:val="left" w:pos="1260"/>
        <w:tab w:val="left" w:pos="3108"/>
        <w:tab w:val="left" w:pos="3150"/>
      </w:tabs>
      <w:overflowPunct w:val="0"/>
      <w:adjustRightInd w:val="0"/>
      <w:spacing w:line="340" w:lineRule="exact"/>
      <w:jc w:val="center"/>
      <w:textAlignment w:val="baseline"/>
    </w:pPr>
    <w:rPr>
      <w:bCs/>
      <w:snapToGrid w:val="0"/>
      <w:color w:val="000000"/>
      <w:kern w:val="32"/>
      <w:sz w:val="21"/>
      <w:lang w:val="zh-CN"/>
    </w:rPr>
  </w:style>
  <w:style w:type="paragraph" w:customStyle="1" w:styleId="66">
    <w:name w:val=" Char"/>
    <w:basedOn w:val="1"/>
    <w:qFormat/>
    <w:uiPriority w:val="0"/>
  </w:style>
  <w:style w:type="paragraph" w:customStyle="1" w:styleId="67">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68">
    <w:name w:val="南华正文"/>
    <w:qFormat/>
    <w:uiPriority w:val="0"/>
    <w:pPr>
      <w:tabs>
        <w:tab w:val="left" w:pos="3795"/>
      </w:tabs>
      <w:spacing w:line="360" w:lineRule="auto"/>
      <w:ind w:firstLine="482" w:firstLineChars="200"/>
    </w:pPr>
    <w:rPr>
      <w:rFonts w:ascii="Times New Roman" w:hAnsi="Times New Roman" w:eastAsia="宋体" w:cs="Times New Roman"/>
      <w:color w:val="000000"/>
      <w:sz w:val="24"/>
      <w:lang w:val="en-US" w:eastAsia="zh-CN" w:bidi="ar-SA"/>
    </w:rPr>
  </w:style>
  <w:style w:type="paragraph" w:customStyle="1" w:styleId="69">
    <w:name w:val="缩进"/>
    <w:basedOn w:val="1"/>
    <w:qFormat/>
    <w:uiPriority w:val="0"/>
    <w:pPr>
      <w:autoSpaceDE w:val="0"/>
      <w:autoSpaceDN w:val="0"/>
      <w:adjustRightInd w:val="0"/>
      <w:spacing w:line="400" w:lineRule="atLeast"/>
      <w:ind w:firstLine="200" w:firstLineChars="200"/>
      <w:textAlignment w:val="baseline"/>
    </w:pPr>
    <w:rPr>
      <w:rFonts w:ascii="Times New Roman" w:hAnsi="Times New Roman"/>
      <w:kern w:val="0"/>
      <w:sz w:val="24"/>
      <w:szCs w:val="20"/>
    </w:rPr>
  </w:style>
  <w:style w:type="paragraph" w:customStyle="1" w:styleId="70">
    <w:name w:val="样式 黑色 首行缩进:  2 字符"/>
    <w:basedOn w:val="1"/>
    <w:qFormat/>
    <w:uiPriority w:val="0"/>
    <w:pPr>
      <w:adjustRightInd w:val="0"/>
      <w:snapToGrid w:val="0"/>
      <w:spacing w:line="360" w:lineRule="auto"/>
      <w:ind w:firstLine="200" w:firstLineChars="200"/>
    </w:pPr>
    <w:rPr>
      <w:rFonts w:cs="宋体"/>
      <w:color w:val="000000"/>
      <w:sz w:val="24"/>
      <w:szCs w:val="20"/>
    </w:rPr>
  </w:style>
  <w:style w:type="paragraph" w:customStyle="1" w:styleId="71">
    <w:name w:val="Default"/>
    <w:unhideWhenUsed/>
    <w:qFormat/>
    <w:uiPriority w:val="99"/>
    <w:pPr>
      <w:widowControl w:val="0"/>
      <w:autoSpaceDE w:val="0"/>
      <w:autoSpaceDN w:val="0"/>
      <w:adjustRightInd w:val="0"/>
      <w:spacing w:beforeLines="0" w:afterLines="0"/>
    </w:pPr>
    <w:rPr>
      <w:rFonts w:hint="eastAsia" w:ascii="宋体" w:hAnsi="宋体" w:eastAsia="宋体" w:cs="Times New Roman"/>
      <w:color w:val="000000"/>
      <w:sz w:val="24"/>
    </w:rPr>
  </w:style>
  <w:style w:type="paragraph" w:customStyle="1" w:styleId="72">
    <w:name w:val="A-文本格式"/>
    <w:qFormat/>
    <w:uiPriority w:val="0"/>
    <w:pPr>
      <w:widowControl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customStyle="1" w:styleId="73">
    <w:name w:val="文本正文"/>
    <w:basedOn w:val="1"/>
    <w:qFormat/>
    <w:uiPriority w:val="0"/>
    <w:pPr>
      <w:snapToGrid w:val="0"/>
      <w:spacing w:line="360" w:lineRule="auto"/>
      <w:ind w:firstLine="510"/>
      <w:jc w:val="left"/>
    </w:pPr>
    <w:rPr>
      <w:spacing w:val="4"/>
      <w:kern w:val="24"/>
      <w:szCs w:val="24"/>
      <w:lang w:val="zh-CN"/>
    </w:rPr>
  </w:style>
  <w:style w:type="paragraph" w:customStyle="1" w:styleId="74">
    <w:name w:val="标题三 李健"/>
    <w:basedOn w:val="7"/>
    <w:qFormat/>
    <w:uiPriority w:val="0"/>
    <w:pPr>
      <w:spacing w:before="0" w:beforeLines="0" w:after="0" w:afterLines="0" w:line="360" w:lineRule="auto"/>
    </w:pPr>
    <w:rPr>
      <w:rFonts w:eastAsia="黑体"/>
      <w:b w:val="0"/>
      <w:sz w:val="24"/>
      <w:szCs w:val="24"/>
    </w:rPr>
  </w:style>
  <w:style w:type="paragraph" w:customStyle="1" w:styleId="75">
    <w:name w:val="表名"/>
    <w:basedOn w:val="1"/>
    <w:qFormat/>
    <w:uiPriority w:val="0"/>
    <w:pPr>
      <w:widowControl/>
      <w:spacing w:before="240" w:after="240"/>
      <w:jc w:val="center"/>
    </w:pPr>
    <w:rPr>
      <w:rFonts w:ascii="黑体" w:eastAsia="黑体"/>
      <w:sz w:val="24"/>
      <w:lang w:eastAsia="en-US"/>
    </w:rPr>
  </w:style>
  <w:style w:type="paragraph" w:customStyle="1" w:styleId="76">
    <w:name w:val="样式 样式 小四 段前: 7.8 磅 段后: 7.8 磅 行距: 1.5 倍行距 + 首行缩进:  2 字符"/>
    <w:basedOn w:val="77"/>
    <w:qFormat/>
    <w:uiPriority w:val="0"/>
    <w:pPr>
      <w:spacing w:before="156" w:beforeLines="50" w:after="156" w:afterLines="50" w:line="240" w:lineRule="auto"/>
      <w:ind w:firstLine="0" w:firstLineChars="0"/>
      <w:jc w:val="center"/>
    </w:pPr>
    <w:rPr>
      <w:rFonts w:ascii="Times New Roman" w:hAnsi="Times New Roman" w:eastAsia="宋体" w:cs="Times New Roman"/>
      <w:b/>
    </w:rPr>
  </w:style>
  <w:style w:type="paragraph" w:customStyle="1" w:styleId="77">
    <w:name w:val="样式 小四 段前: 7.8 磅 段后: 7.8 磅 行距: 1.5 倍行距"/>
    <w:basedOn w:val="1"/>
    <w:qFormat/>
    <w:uiPriority w:val="0"/>
    <w:pPr>
      <w:spacing w:line="360" w:lineRule="auto"/>
      <w:ind w:firstLine="480" w:firstLineChars="200"/>
    </w:pPr>
    <w:rPr>
      <w:rFonts w:ascii="Times New Roman" w:hAnsi="Times New Roman" w:eastAsia="宋体" w:cs="Times New Roman"/>
      <w:sz w:val="24"/>
    </w:rPr>
  </w:style>
  <w:style w:type="paragraph" w:customStyle="1" w:styleId="78">
    <w:name w:val="p19"/>
    <w:basedOn w:val="1"/>
    <w:qFormat/>
    <w:uiPriority w:val="99"/>
    <w:pPr>
      <w:widowControl/>
      <w:jc w:val="left"/>
    </w:pPr>
    <w:rPr>
      <w:rFonts w:ascii="Arial Unicode MS" w:hAnsi="Arial Unicode MS" w:eastAsia="Arial Unicode MS" w:cs="Arial Unicode MS"/>
      <w:kern w:val="0"/>
      <w:sz w:val="24"/>
    </w:rPr>
  </w:style>
  <w:style w:type="paragraph" w:customStyle="1" w:styleId="79">
    <w:name w:val="魏秀珍   正文"/>
    <w:basedOn w:val="8"/>
    <w:qFormat/>
    <w:uiPriority w:val="0"/>
    <w:rPr>
      <w:rFonts w:cs="宋体"/>
      <w:snapToGrid/>
      <w:color w:val="auto"/>
      <w:kern w:val="0"/>
      <w:szCs w:val="20"/>
    </w:rPr>
  </w:style>
  <w:style w:type="paragraph" w:customStyle="1" w:styleId="80">
    <w:name w:val="正文(首行缩进)"/>
    <w:basedOn w:val="1"/>
    <w:qFormat/>
    <w:uiPriority w:val="0"/>
    <w:pPr>
      <w:adjustRightInd w:val="0"/>
      <w:spacing w:line="500" w:lineRule="atLeast"/>
      <w:ind w:firstLine="448" w:firstLineChars="200"/>
    </w:pPr>
    <w:rPr>
      <w:rFonts w:ascii="宋体" w:hAnsi="宋体"/>
      <w:color w:val="0D0D0D"/>
      <w:spacing w:val="-8"/>
      <w:kern w:val="24"/>
      <w:sz w:val="24"/>
      <w:szCs w:val="24"/>
    </w:rPr>
  </w:style>
  <w:style w:type="paragraph" w:customStyle="1" w:styleId="81">
    <w:name w:val="Table Paragraph"/>
    <w:basedOn w:val="1"/>
    <w:qFormat/>
    <w:uiPriority w:val="1"/>
  </w:style>
  <w:style w:type="paragraph" w:customStyle="1" w:styleId="82">
    <w:name w:val="无间隔1"/>
    <w:basedOn w:val="1"/>
    <w:qFormat/>
    <w:uiPriority w:val="1"/>
    <w:pPr>
      <w:widowControl/>
      <w:spacing w:line="360" w:lineRule="auto"/>
      <w:ind w:firstLine="200" w:firstLineChars="200"/>
      <w:jc w:val="left"/>
    </w:pPr>
    <w:rPr>
      <w:rFonts w:eastAsia="仿宋_GB2312"/>
      <w:kern w:val="0"/>
      <w:sz w:val="24"/>
      <w:szCs w:val="32"/>
      <w:lang w:eastAsia="en-US" w:bidi="en-US"/>
    </w:rPr>
  </w:style>
  <w:style w:type="paragraph" w:customStyle="1" w:styleId="83">
    <w:name w:val="表格文字"/>
    <w:basedOn w:val="1"/>
    <w:qFormat/>
    <w:uiPriority w:val="0"/>
    <w:pPr>
      <w:jc w:val="center"/>
    </w:pPr>
    <w:rPr>
      <w:rFonts w:ascii="宋体" w:hAnsi="宋体" w:eastAsia="宋体"/>
      <w:bCs/>
      <w:szCs w:val="21"/>
    </w:rPr>
  </w:style>
  <w:style w:type="paragraph" w:customStyle="1" w:styleId="84">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5">
    <w:name w:val="表格式"/>
    <w:basedOn w:val="25"/>
    <w:qFormat/>
    <w:uiPriority w:val="0"/>
    <w:pPr>
      <w:spacing w:line="400" w:lineRule="exact"/>
      <w:ind w:left="0" w:firstLine="0" w:firstLineChars="0"/>
      <w:jc w:val="center"/>
    </w:pPr>
    <w:rPr>
      <w:rFonts w:ascii="宋体"/>
      <w:szCs w:val="20"/>
    </w:rPr>
  </w:style>
  <w:style w:type="paragraph" w:customStyle="1" w:styleId="86">
    <w:name w:val="样式 标题 1 + 四号 段前: 0 磅 段后: 0 磅 行距: 1.5 倍行距"/>
    <w:basedOn w:val="87"/>
    <w:next w:val="73"/>
    <w:qFormat/>
    <w:uiPriority w:val="0"/>
    <w:pPr>
      <w:spacing w:line="360" w:lineRule="auto"/>
      <w:jc w:val="center"/>
    </w:pPr>
    <w:rPr>
      <w:rFonts w:hAnsi="黑体" w:eastAsia="宋体"/>
      <w:sz w:val="21"/>
    </w:rPr>
  </w:style>
  <w:style w:type="paragraph" w:customStyle="1" w:styleId="87">
    <w:name w:val="1正文"/>
    <w:basedOn w:val="1"/>
    <w:qFormat/>
    <w:uiPriority w:val="0"/>
    <w:pPr>
      <w:spacing w:line="500" w:lineRule="exact"/>
      <w:ind w:firstLine="588" w:firstLineChars="196"/>
    </w:pPr>
    <w:rPr>
      <w:rFonts w:eastAsia="楷体_GB2312"/>
      <w:sz w:val="30"/>
      <w:szCs w:val="30"/>
    </w:rPr>
  </w:style>
  <w:style w:type="paragraph" w:customStyle="1" w:styleId="88">
    <w:name w:val="Normal_6"/>
    <w:qFormat/>
    <w:uiPriority w:val="0"/>
    <w:pPr>
      <w:spacing w:before="120" w:after="240"/>
      <w:jc w:val="both"/>
    </w:pPr>
    <w:rPr>
      <w:rFonts w:ascii="Calibri" w:hAnsi="Calibri" w:eastAsia="Calibri" w:cs="Times New Roman"/>
      <w:sz w:val="22"/>
      <w:szCs w:val="22"/>
      <w:lang w:val="ru-RU" w:eastAsia="en-US" w:bidi="ar-SA"/>
    </w:rPr>
  </w:style>
  <w:style w:type="paragraph" w:customStyle="1" w:styleId="89">
    <w:name w:val="【表头】"/>
    <w:basedOn w:val="1"/>
    <w:qFormat/>
    <w:uiPriority w:val="0"/>
    <w:pPr>
      <w:spacing w:before="120" w:line="312" w:lineRule="auto"/>
      <w:jc w:val="center"/>
    </w:pPr>
    <w:rPr>
      <w:b/>
      <w:szCs w:val="24"/>
    </w:rPr>
  </w:style>
  <w:style w:type="paragraph" w:customStyle="1" w:styleId="90">
    <w:name w:val="p0"/>
    <w:basedOn w:val="1"/>
    <w:qFormat/>
    <w:uiPriority w:val="0"/>
    <w:pPr>
      <w:widowControl/>
    </w:pPr>
    <w:rPr>
      <w:rFonts w:ascii="Times New Roman" w:hAnsi="Times New Roman" w:eastAsia="宋体"/>
      <w:kern w:val="0"/>
      <w:szCs w:val="21"/>
    </w:rPr>
  </w:style>
  <w:style w:type="paragraph" w:customStyle="1" w:styleId="91">
    <w:name w:val="居中表格"/>
    <w:basedOn w:val="1"/>
    <w:qFormat/>
    <w:uiPriority w:val="0"/>
    <w:pPr>
      <w:ind w:firstLine="0" w:firstLineChars="0"/>
      <w:jc w:val="center"/>
    </w:pPr>
    <w:rPr>
      <w:rFonts w:ascii="Times New Roman" w:hAnsi="Times New Roman" w:eastAsia="宋体" w:cs="Times New Roman"/>
      <w:snapToGrid w:val="0"/>
      <w:kern w:val="0"/>
      <w:sz w:val="20"/>
      <w:szCs w:val="21"/>
    </w:rPr>
  </w:style>
  <w:style w:type="paragraph" w:customStyle="1" w:styleId="92">
    <w:name w:val="Char"/>
    <w:basedOn w:val="1"/>
    <w:next w:val="2"/>
    <w:qFormat/>
    <w:uiPriority w:val="0"/>
    <w:pPr>
      <w:spacing w:line="360" w:lineRule="auto"/>
      <w:ind w:firstLine="200" w:firstLineChars="200"/>
    </w:pPr>
    <w:rPr>
      <w:rFonts w:ascii="宋体" w:hAnsi="宋体"/>
      <w:sz w:val="24"/>
    </w:rPr>
  </w:style>
  <w:style w:type="paragraph" w:customStyle="1" w:styleId="93">
    <w:name w:val="表内容"/>
    <w:basedOn w:val="25"/>
    <w:next w:val="1"/>
    <w:qFormat/>
    <w:uiPriority w:val="0"/>
    <w:pPr>
      <w:spacing w:line="280" w:lineRule="exact"/>
      <w:jc w:val="center"/>
    </w:pPr>
    <w:rPr>
      <w:spacing w:val="14"/>
    </w:rPr>
  </w:style>
  <w:style w:type="paragraph" w:styleId="94">
    <w:name w:val="List Paragraph"/>
    <w:basedOn w:val="1"/>
    <w:qFormat/>
    <w:uiPriority w:val="1"/>
    <w:pPr>
      <w:ind w:left="498"/>
    </w:pPr>
    <w:rPr>
      <w:rFonts w:ascii="宋体" w:hAnsi="宋体" w:eastAsia="宋体" w:cs="宋体"/>
      <w:lang w:val="zh-CN" w:eastAsia="zh-CN" w:bidi="zh-CN"/>
    </w:rPr>
  </w:style>
  <w:style w:type="paragraph" w:customStyle="1" w:styleId="95">
    <w:name w:val="表头"/>
    <w:basedOn w:val="1"/>
    <w:next w:val="1"/>
    <w:qFormat/>
    <w:uiPriority w:val="0"/>
    <w:pPr>
      <w:spacing w:line="240" w:lineRule="atLeast"/>
      <w:ind w:firstLine="0" w:firstLineChars="0"/>
      <w:jc w:val="center"/>
    </w:pPr>
    <w:rPr>
      <w:b/>
      <w:bCs/>
      <w:sz w:val="21"/>
      <w:szCs w:val="21"/>
    </w:rPr>
  </w:style>
  <w:style w:type="paragraph" w:customStyle="1" w:styleId="96">
    <w:name w:val="大表格"/>
    <w:basedOn w:val="1"/>
    <w:qFormat/>
    <w:uiPriority w:val="0"/>
    <w:pPr>
      <w:ind w:firstLine="0" w:firstLineChars="0"/>
      <w:jc w:val="center"/>
    </w:pPr>
    <w:rPr>
      <w:rFonts w:hint="eastAsia"/>
    </w:rPr>
  </w:style>
  <w:style w:type="character" w:customStyle="1" w:styleId="97">
    <w:name w:val="表头，图名 Char"/>
    <w:link w:val="98"/>
    <w:qFormat/>
    <w:uiPriority w:val="0"/>
    <w:rPr>
      <w:rFonts w:hint="eastAsia" w:eastAsia="黑体"/>
      <w:sz w:val="21"/>
    </w:rPr>
  </w:style>
  <w:style w:type="paragraph" w:customStyle="1" w:styleId="98">
    <w:name w:val="表头，图名"/>
    <w:basedOn w:val="1"/>
    <w:link w:val="97"/>
    <w:qFormat/>
    <w:uiPriority w:val="0"/>
    <w:pPr>
      <w:ind w:firstLine="0" w:firstLineChars="0"/>
      <w:jc w:val="center"/>
    </w:pPr>
    <w:rPr>
      <w:rFonts w:hint="eastAsia" w:eastAsia="黑体"/>
      <w:sz w:val="21"/>
    </w:rPr>
  </w:style>
  <w:style w:type="character" w:customStyle="1" w:styleId="99">
    <w:name w:val="fontstyle01"/>
    <w:qFormat/>
    <w:uiPriority w:val="0"/>
    <w:rPr>
      <w:rFonts w:ascii="仿宋_GB2312" w:hAnsi="仿宋_GB2312" w:eastAsia="仿宋_GB2312" w:cs="仿宋_GB2312"/>
      <w:color w:val="000000"/>
      <w:sz w:val="30"/>
      <w:szCs w:val="30"/>
    </w:rPr>
  </w:style>
  <w:style w:type="paragraph" w:customStyle="1" w:styleId="100">
    <w:name w:val="正本文字"/>
    <w:basedOn w:val="1"/>
    <w:qFormat/>
    <w:uiPriority w:val="0"/>
    <w:pPr>
      <w:adjustRightInd w:val="0"/>
      <w:snapToGrid w:val="0"/>
      <w:spacing w:line="360" w:lineRule="auto"/>
      <w:ind w:firstLine="200" w:firstLineChars="200"/>
      <w:jc w:val="left"/>
    </w:pPr>
    <w:rPr>
      <w:rFonts w:ascii="Times New Roman" w:hAnsi="Times New Roman" w:eastAsia="宋体" w:cs="宋体"/>
      <w:kern w:val="18"/>
      <w:sz w:val="24"/>
      <w:szCs w:val="20"/>
    </w:rPr>
  </w:style>
  <w:style w:type="paragraph" w:customStyle="1" w:styleId="101">
    <w:name w:val="样式 报告表正文 + 加粗 黑色 左 行距: 多倍行距 1.3 字行"/>
    <w:basedOn w:val="1"/>
    <w:qFormat/>
    <w:uiPriority w:val="0"/>
    <w:pPr>
      <w:adjustRightInd w:val="0"/>
      <w:ind w:left="113" w:right="113" w:firstLine="482"/>
      <w:jc w:val="left"/>
      <w:outlineLvl w:val="0"/>
    </w:pPr>
    <w:rPr>
      <w:b/>
      <w:kern w:val="0"/>
      <w:szCs w:val="20"/>
    </w:rPr>
  </w:style>
  <w:style w:type="paragraph" w:customStyle="1" w:styleId="102">
    <w:name w:val="图表标题"/>
    <w:qFormat/>
    <w:uiPriority w:val="0"/>
    <w:pPr>
      <w:widowControl w:val="0"/>
      <w:autoSpaceDE w:val="0"/>
      <w:autoSpaceDN w:val="0"/>
      <w:adjustRightInd w:val="0"/>
      <w:jc w:val="center"/>
    </w:pPr>
    <w:rPr>
      <w:rFonts w:ascii="Times New Roman" w:hAnsi="Times New Roman" w:eastAsia="宋体" w:cs="Times New Roman"/>
      <w:b/>
      <w:color w:val="000000"/>
      <w:sz w:val="21"/>
      <w:lang w:val="en-US" w:eastAsia="zh-CN" w:bidi="ar-SA"/>
    </w:rPr>
  </w:style>
  <w:style w:type="paragraph" w:customStyle="1" w:styleId="103">
    <w:name w:val="报告表格"/>
    <w:basedOn w:val="1"/>
    <w:qFormat/>
    <w:uiPriority w:val="0"/>
    <w:pPr>
      <w:kinsoku w:val="0"/>
      <w:overflowPunct w:val="0"/>
      <w:autoSpaceDE w:val="0"/>
      <w:autoSpaceDN w:val="0"/>
      <w:adjustRightInd w:val="0"/>
      <w:spacing w:line="240" w:lineRule="auto"/>
      <w:ind w:firstLine="0" w:firstLineChars="0"/>
      <w:jc w:val="center"/>
    </w:pPr>
    <w:rPr>
      <w:kern w:val="0"/>
      <w:sz w:val="21"/>
      <w:szCs w:val="20"/>
    </w:rPr>
  </w:style>
  <w:style w:type="paragraph" w:customStyle="1" w:styleId="104">
    <w:name w:val="正文（修）"/>
    <w:basedOn w:val="1"/>
    <w:qFormat/>
    <w:uiPriority w:val="0"/>
    <w:pPr>
      <w:snapToGrid w:val="0"/>
      <w:jc w:val="left"/>
    </w:pPr>
    <w:rPr>
      <w:rFonts w:ascii="宋体" w:hAnsi="宋体"/>
      <w:szCs w:val="20"/>
    </w:rPr>
  </w:style>
  <w:style w:type="paragraph" w:customStyle="1" w:styleId="105">
    <w:name w:val="CM62"/>
    <w:basedOn w:val="71"/>
    <w:next w:val="71"/>
    <w:qFormat/>
    <w:uiPriority w:val="0"/>
    <w:rPr>
      <w:rFonts w:hAnsi="Calibri"/>
      <w:color w:val="auto"/>
    </w:rPr>
  </w:style>
  <w:style w:type="paragraph" w:customStyle="1" w:styleId="106">
    <w:name w:val="F正文"/>
    <w:basedOn w:val="1"/>
    <w:qFormat/>
    <w:uiPriority w:val="0"/>
    <w:pPr>
      <w:spacing w:line="360" w:lineRule="auto"/>
      <w:ind w:firstLine="482" w:firstLineChars="200"/>
      <w:jc w:val="left"/>
    </w:pPr>
    <w:rPr>
      <w:rFonts w:ascii="宋体" w:hAnsi="宋体"/>
      <w:sz w:val="24"/>
      <w:szCs w:val="24"/>
    </w:rPr>
  </w:style>
  <w:style w:type="paragraph" w:customStyle="1" w:styleId="107">
    <w:name w:val="图+表"/>
    <w:qFormat/>
    <w:uiPriority w:val="0"/>
    <w:pPr>
      <w:adjustRightInd w:val="0"/>
      <w:snapToGrid w:val="0"/>
      <w:spacing w:line="240" w:lineRule="auto"/>
      <w:ind w:firstLine="0" w:firstLineChars="0"/>
      <w:jc w:val="center"/>
    </w:pPr>
    <w:rPr>
      <w:rFonts w:ascii="Times New Roman" w:hAnsi="Times New Roman" w:eastAsia="宋体" w:cs="Times New Roman"/>
      <w:color w:val="000000" w:themeColor="text1"/>
      <w:kern w:val="0"/>
      <w:sz w:val="21"/>
      <w:szCs w:val="21"/>
      <w14:textFill>
        <w14:solidFill>
          <w14:schemeClr w14:val="tx1"/>
        </w14:solidFill>
      </w14:textFill>
    </w:rPr>
  </w:style>
  <w:style w:type="paragraph" w:customStyle="1" w:styleId="108">
    <w:name w:val="表标题"/>
    <w:basedOn w:val="1"/>
    <w:qFormat/>
    <w:uiPriority w:val="0"/>
    <w:pPr>
      <w:spacing w:line="480" w:lineRule="exact"/>
      <w:ind w:firstLine="0" w:firstLineChars="0"/>
      <w:jc w:val="center"/>
    </w:pPr>
    <w:rPr>
      <w:b/>
      <w:kern w:val="0"/>
      <w:sz w:val="22"/>
      <w:szCs w:val="21"/>
    </w:rPr>
  </w:style>
  <w:style w:type="character" w:customStyle="1" w:styleId="109">
    <w:name w:val="font11"/>
    <w:basedOn w:val="31"/>
    <w:qFormat/>
    <w:uiPriority w:val="0"/>
    <w:rPr>
      <w:rFonts w:hint="default" w:ascii="Times New Roman" w:hAnsi="Times New Roman" w:cs="Times New Roman"/>
      <w:color w:val="000000"/>
      <w:sz w:val="21"/>
      <w:szCs w:val="21"/>
      <w:u w:val="none"/>
    </w:rPr>
  </w:style>
  <w:style w:type="table" w:customStyle="1" w:styleId="110">
    <w:name w:val="Table Normal"/>
    <w:semiHidden/>
    <w:unhideWhenUsed/>
    <w:qFormat/>
    <w:uiPriority w:val="0"/>
    <w:tblPr>
      <w:tblCellMar>
        <w:top w:w="0" w:type="dxa"/>
        <w:left w:w="0" w:type="dxa"/>
        <w:bottom w:w="0" w:type="dxa"/>
        <w:right w:w="0" w:type="dxa"/>
      </w:tblCellMar>
    </w:tblPr>
  </w:style>
  <w:style w:type="paragraph" w:customStyle="1" w:styleId="111">
    <w:name w:val="表格内容"/>
    <w:basedOn w:val="1"/>
    <w:qFormat/>
    <w:uiPriority w:val="0"/>
    <w:pPr>
      <w:widowControl/>
      <w:jc w:val="center"/>
    </w:pPr>
    <w:rPr>
      <w:kern w:val="0"/>
      <w:szCs w:val="21"/>
    </w:rPr>
  </w:style>
  <w:style w:type="paragraph" w:customStyle="1" w:styleId="112">
    <w:name w:val="正"/>
    <w:basedOn w:val="1"/>
    <w:qFormat/>
    <w:uiPriority w:val="0"/>
    <w:pPr>
      <w:spacing w:line="360" w:lineRule="auto"/>
      <w:ind w:firstLine="200" w:firstLineChars="200"/>
    </w:pPr>
    <w:rPr>
      <w:kern w:val="0"/>
      <w:sz w:val="24"/>
    </w:rPr>
  </w:style>
  <w:style w:type="paragraph" w:customStyle="1" w:styleId="113">
    <w:name w:val="赵"/>
    <w:basedOn w:val="1"/>
    <w:qFormat/>
    <w:uiPriority w:val="0"/>
    <w:pPr>
      <w:ind w:firstLine="200" w:firstLineChars="200"/>
    </w:pPr>
    <w:rPr>
      <w:rFonts w:ascii="Calibri" w:hAnsi="Calibri" w:cs="Times New Roman"/>
      <w:color w:val="000000"/>
      <w:sz w:val="24"/>
    </w:rPr>
  </w:style>
  <w:style w:type="paragraph" w:customStyle="1" w:styleId="114">
    <w:name w:val="11"/>
    <w:basedOn w:val="4"/>
    <w:next w:val="14"/>
    <w:qFormat/>
    <w:uiPriority w:val="0"/>
    <w:pPr>
      <w:autoSpaceDE w:val="0"/>
      <w:autoSpaceDN w:val="0"/>
      <w:adjustRightInd w:val="0"/>
      <w:spacing w:after="0" w:line="360" w:lineRule="auto"/>
      <w:ind w:firstLine="1320" w:firstLineChars="550"/>
      <w:textAlignment w:val="baseline"/>
    </w:pPr>
    <w:rPr>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footer" Target="footer2.xml"/><Relationship Id="rId39" Type="http://schemas.openxmlformats.org/officeDocument/2006/relationships/image" Target="media/image26.wmf"/><Relationship Id="rId38" Type="http://schemas.openxmlformats.org/officeDocument/2006/relationships/oleObject" Target="embeddings/oleObject3.bin"/><Relationship Id="rId37" Type="http://schemas.openxmlformats.org/officeDocument/2006/relationships/image" Target="media/image25.emf"/><Relationship Id="rId36" Type="http://schemas.openxmlformats.org/officeDocument/2006/relationships/oleObject" Target="embeddings/oleObject2.bin"/><Relationship Id="rId35" Type="http://schemas.openxmlformats.org/officeDocument/2006/relationships/image" Target="media/image24.png"/><Relationship Id="rId34" Type="http://schemas.openxmlformats.org/officeDocument/2006/relationships/image" Target="media/image23.emf"/><Relationship Id="rId33" Type="http://schemas.openxmlformats.org/officeDocument/2006/relationships/oleObject" Target="embeddings/oleObject1.bin"/><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footer" Target="foot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TgxOTQ4MjM4MjYyIiwKCSJHcm91cElkIiA6ICIxMDcwODMxNTgyIiwKCSJJbWFnZSIgOiAiaVZCT1J3MEtHZ29BQUFBTlNVaEVVZ0FBQVhzQUFBR0FDQVlBQUFCTWE4TFJBQUFBQ1hCSVdYTUFBQXNUQUFBTEV3RUFtcHdZQUFBZ0FFbEVRVlI0bk96ZGVYZ2IxYjAzOE85SXRuYkp0aXpiOHI3R2RtSm44WVFsS1ZCeWdWTDJBbmxaVXlpaExVdUJVaTZsVU1KdHVVQ2hZU21GVXFCbEMwbFowd0JsdTVRMlFLRzBiRkVTWXNkMjRuM2ZaTXVXdFkwbHpmdUhMVmQyWkZ0WjdVVGZ6L1BvaVdmbXpKbWpFL3MzWjg0NU13TVF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71</Pages>
  <Words>42592</Words>
  <Characters>50809</Characters>
  <Lines>13</Lines>
  <Paragraphs>3</Paragraphs>
  <TotalTime>17</TotalTime>
  <ScaleCrop>false</ScaleCrop>
  <LinksUpToDate>false</LinksUpToDate>
  <CharactersWithSpaces>50867</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2020-12-24T09:29:00Z</dcterms:created>
  <dc:creator>lhj</dc:creator>
  <cp:lastModifiedBy>user</cp:lastModifiedBy>
  <cp:lastPrinted>2022-10-27T11:19:00Z</cp:lastPrinted>
  <dcterms:modified xsi:type="dcterms:W3CDTF">2024-03-07T08:47:54Z</dcterms:modified>
  <dc:title>附件2</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y fmtid="{D5CDD505-2E9C-101B-9397-08002B2CF9AE}" pid="3" name="ICV">
    <vt:lpwstr>C51162D6BCD04CBBA8B1529EADC6EBB4_13</vt:lpwstr>
  </property>
</Properties>
</file>