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宋体" w:eastAsia="方正小标宋_GBK" w:cs="Times New Roman"/>
          <w:b w:val="0"/>
          <w:bCs w:val="0"/>
          <w:color w:val="000000"/>
          <w:kern w:val="0"/>
          <w:sz w:val="44"/>
          <w:szCs w:val="44"/>
          <w:lang w:val="en-US" w:eastAsia="zh-CN"/>
        </w:rPr>
      </w:pPr>
      <w:r>
        <w:rPr>
          <w:rFonts w:hint="eastAsia" w:ascii="方正小标宋_GBK" w:hAnsi="宋体" w:eastAsia="方正小标宋_GBK" w:cs="Times New Roman"/>
          <w:b w:val="0"/>
          <w:bCs w:val="0"/>
          <w:color w:val="000000"/>
          <w:kern w:val="0"/>
          <w:sz w:val="44"/>
          <w:szCs w:val="44"/>
          <w:lang w:val="en-US" w:eastAsia="zh-CN"/>
        </w:rPr>
        <w:t>宜良县应急管理局</w:t>
      </w:r>
    </w:p>
    <w:p>
      <w:pPr>
        <w:widowControl/>
        <w:shd w:val="clear" w:color="auto" w:fill="FFFFFF"/>
        <w:spacing w:line="560" w:lineRule="exact"/>
        <w:jc w:val="center"/>
        <w:rPr>
          <w:rFonts w:hint="eastAsia" w:ascii="方正小标宋_GBK" w:hAnsi="宋体" w:eastAsia="方正小标宋_GBK" w:cs="Times New Roman"/>
          <w:b w:val="0"/>
          <w:bCs w:val="0"/>
          <w:color w:val="000000"/>
          <w:kern w:val="0"/>
          <w:sz w:val="44"/>
          <w:szCs w:val="44"/>
          <w:lang w:eastAsia="zh-CN"/>
        </w:rPr>
      </w:pPr>
      <w:r>
        <w:rPr>
          <w:rFonts w:hint="eastAsia" w:ascii="方正小标宋_GBK" w:hAnsi="宋体" w:eastAsia="方正小标宋_GBK" w:cs="Times New Roman"/>
          <w:b w:val="0"/>
          <w:bCs w:val="0"/>
          <w:color w:val="000000"/>
          <w:kern w:val="0"/>
          <w:sz w:val="44"/>
          <w:szCs w:val="44"/>
          <w:lang w:val="en-US" w:eastAsia="zh-CN"/>
        </w:rPr>
        <w:t>2023年</w:t>
      </w:r>
      <w:r>
        <w:rPr>
          <w:rFonts w:hint="eastAsia" w:ascii="方正小标宋_GBK" w:hAnsi="宋体" w:eastAsia="方正小标宋_GBK" w:cs="Times New Roman"/>
          <w:b w:val="0"/>
          <w:bCs w:val="0"/>
          <w:color w:val="000000"/>
          <w:kern w:val="0"/>
          <w:sz w:val="44"/>
          <w:szCs w:val="44"/>
        </w:rPr>
        <w:t>政府信息公开工作年度报告</w:t>
      </w:r>
    </w:p>
    <w:p>
      <w:pPr>
        <w:pStyle w:val="8"/>
      </w:pP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color w:val="000000"/>
          <w:kern w:val="0"/>
          <w:sz w:val="32"/>
          <w:szCs w:val="32"/>
        </w:rPr>
      </w:pPr>
      <w:r>
        <w:rPr>
          <w:rFonts w:ascii="Times New Roman" w:hAnsi="黑体" w:eastAsia="黑体" w:cs="Times New Roman"/>
          <w:bCs/>
          <w:color w:val="000000"/>
          <w:kern w:val="0"/>
          <w:sz w:val="32"/>
          <w:szCs w:val="32"/>
        </w:rPr>
        <w:t>一、总体情况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34"/>
        <w:jc w:val="both"/>
        <w:textAlignment w:val="auto"/>
        <w:rPr>
          <w:rFonts w:ascii="仿宋_GB2312" w:hAnsi="宋体" w:eastAsia="仿宋_GB2312" w:cs="仿宋_GB2312"/>
          <w:i w:val="0"/>
          <w:iCs w:val="0"/>
          <w:caps w:val="0"/>
          <w:color w:val="424242"/>
          <w:spacing w:val="0"/>
          <w:sz w:val="32"/>
          <w:szCs w:val="32"/>
          <w:shd w:val="clear" w:fill="FFFFFF"/>
          <w:lang w:eastAsia="zh-CN"/>
        </w:rPr>
      </w:pPr>
      <w:r>
        <w:rPr>
          <w:rFonts w:hint="default" w:ascii="Times New Roman" w:hAnsi="Times New Roman" w:eastAsia="微软雅黑" w:cs="Times New Roman"/>
          <w:i w:val="0"/>
          <w:iCs w:val="0"/>
          <w:caps w:val="0"/>
          <w:color w:val="424242"/>
          <w:spacing w:val="0"/>
          <w:sz w:val="32"/>
          <w:szCs w:val="32"/>
          <w:shd w:val="clear" w:fill="FFFFFF"/>
          <w:lang w:val="en-US"/>
        </w:rPr>
        <w:t>202</w:t>
      </w:r>
      <w:r>
        <w:rPr>
          <w:rFonts w:hint="eastAsia" w:ascii="Times New Roman" w:hAnsi="Times New Roman" w:eastAsia="微软雅黑" w:cs="Times New Roman"/>
          <w:i w:val="0"/>
          <w:iCs w:val="0"/>
          <w:caps w:val="0"/>
          <w:color w:val="424242"/>
          <w:spacing w:val="0"/>
          <w:sz w:val="32"/>
          <w:szCs w:val="32"/>
          <w:shd w:val="clear" w:fill="FFFFFF"/>
          <w:lang w:val="en-US" w:eastAsia="zh-CN"/>
        </w:rPr>
        <w:t>3</w:t>
      </w:r>
      <w:r>
        <w:rPr>
          <w:rFonts w:ascii="仿宋_GB2312" w:hAnsi="宋体" w:eastAsia="仿宋_GB2312" w:cs="仿宋_GB2312"/>
          <w:i w:val="0"/>
          <w:iCs w:val="0"/>
          <w:caps w:val="0"/>
          <w:color w:val="424242"/>
          <w:spacing w:val="0"/>
          <w:sz w:val="32"/>
          <w:szCs w:val="32"/>
          <w:shd w:val="clear" w:fill="FFFFFF"/>
          <w:lang w:eastAsia="zh-CN"/>
        </w:rPr>
        <w:t>年，</w:t>
      </w:r>
      <w:r>
        <w:rPr>
          <w:rFonts w:hint="eastAsia" w:ascii="仿宋_GB2312" w:hAnsi="宋体" w:eastAsia="仿宋_GB2312" w:cs="仿宋_GB2312"/>
          <w:i w:val="0"/>
          <w:iCs w:val="0"/>
          <w:caps w:val="0"/>
          <w:color w:val="424242"/>
          <w:spacing w:val="0"/>
          <w:sz w:val="32"/>
          <w:szCs w:val="32"/>
          <w:shd w:val="clear" w:fill="FFFFFF"/>
          <w:lang w:eastAsia="zh-CN"/>
        </w:rPr>
        <w:t>宜良</w:t>
      </w:r>
      <w:r>
        <w:rPr>
          <w:rFonts w:ascii="仿宋_GB2312" w:hAnsi="宋体" w:eastAsia="仿宋_GB2312" w:cs="仿宋_GB2312"/>
          <w:i w:val="0"/>
          <w:iCs w:val="0"/>
          <w:caps w:val="0"/>
          <w:color w:val="424242"/>
          <w:spacing w:val="0"/>
          <w:sz w:val="32"/>
          <w:szCs w:val="32"/>
          <w:shd w:val="clear" w:fill="FFFFFF"/>
          <w:lang w:eastAsia="zh-CN"/>
        </w:rPr>
        <w:t>县应急</w:t>
      </w:r>
      <w:r>
        <w:rPr>
          <w:rFonts w:hint="eastAsia" w:ascii="仿宋_GB2312" w:hAnsi="宋体" w:eastAsia="仿宋_GB2312" w:cs="仿宋_GB2312"/>
          <w:i w:val="0"/>
          <w:iCs w:val="0"/>
          <w:caps w:val="0"/>
          <w:color w:val="424242"/>
          <w:spacing w:val="0"/>
          <w:sz w:val="32"/>
          <w:szCs w:val="32"/>
          <w:shd w:val="clear" w:fill="FFFFFF"/>
          <w:lang w:eastAsia="zh-CN"/>
        </w:rPr>
        <w:t>管理</w:t>
      </w:r>
      <w:r>
        <w:rPr>
          <w:rFonts w:ascii="仿宋_GB2312" w:hAnsi="宋体" w:eastAsia="仿宋_GB2312" w:cs="仿宋_GB2312"/>
          <w:i w:val="0"/>
          <w:iCs w:val="0"/>
          <w:caps w:val="0"/>
          <w:color w:val="424242"/>
          <w:spacing w:val="0"/>
          <w:sz w:val="32"/>
          <w:szCs w:val="32"/>
          <w:shd w:val="clear" w:fill="FFFFFF"/>
          <w:lang w:eastAsia="zh-CN"/>
        </w:rPr>
        <w:t>局坚持以习近平新时代中国特色社会主义思想为指导，全面贯彻落实党的二十大精神，加大政府信息公开力度，强化政策解读回应关切，推进政府信息公开制度化、规范化、常态化，努力保障人民群众的知情权、参与权、表达权和监督权。</w:t>
      </w:r>
    </w:p>
    <w:p>
      <w:pPr>
        <w:keepNext w:val="0"/>
        <w:keepLines w:val="0"/>
        <w:pageBreakBefore w:val="0"/>
        <w:widowControl/>
        <w:shd w:val="clear" w:color="auto" w:fill="auto"/>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i w:val="0"/>
          <w:iCs w:val="0"/>
          <w:color w:val="000000"/>
          <w:kern w:val="0"/>
          <w:sz w:val="32"/>
          <w:szCs w:val="32"/>
          <w:lang w:val="en-US" w:eastAsia="zh-CN"/>
        </w:rPr>
      </w:pPr>
      <w:r>
        <w:rPr>
          <w:rFonts w:hint="eastAsia" w:ascii="楷体_GB2312" w:hAnsi="楷体_GB2312" w:eastAsia="楷体_GB2312" w:cs="楷体_GB2312"/>
          <w:b/>
          <w:bCs/>
          <w:i w:val="0"/>
          <w:iCs w:val="0"/>
          <w:color w:val="000000"/>
          <w:kern w:val="0"/>
          <w:sz w:val="32"/>
          <w:szCs w:val="32"/>
          <w:lang w:val="en-US" w:eastAsia="zh-CN"/>
        </w:rPr>
        <w:t>（一）建立健全政务信息公开工作机制</w:t>
      </w:r>
    </w:p>
    <w:p>
      <w:pPr>
        <w:keepNext w:val="0"/>
        <w:keepLines w:val="0"/>
        <w:pageBreakBefore w:val="0"/>
        <w:widowControl/>
        <w:shd w:val="clear" w:color="auto" w:fill="auto"/>
        <w:kinsoku/>
        <w:overflowPunct/>
        <w:topLinePunct w:val="0"/>
        <w:autoSpaceDE/>
        <w:autoSpaceDN/>
        <w:bidi w:val="0"/>
        <w:adjustRightInd/>
        <w:snapToGrid/>
        <w:spacing w:line="560" w:lineRule="exact"/>
        <w:ind w:firstLine="643" w:firstLineChars="200"/>
        <w:textAlignment w:val="auto"/>
        <w:rPr>
          <w:rFonts w:hint="eastAsia" w:eastAsia="仿宋_GB2312" w:cs="Times New Roman"/>
          <w:b w:val="0"/>
          <w:bCs w:val="0"/>
          <w:color w:val="000000"/>
          <w:kern w:val="0"/>
          <w:sz w:val="32"/>
          <w:szCs w:val="32"/>
          <w:lang w:val="en-US" w:eastAsia="zh-CN"/>
        </w:rPr>
      </w:pPr>
      <w:r>
        <w:rPr>
          <w:rFonts w:hint="eastAsia" w:eastAsia="仿宋_GB2312" w:cs="Times New Roman"/>
          <w:b/>
          <w:bCs/>
          <w:color w:val="000000"/>
          <w:kern w:val="0"/>
          <w:sz w:val="32"/>
          <w:szCs w:val="32"/>
          <w:lang w:val="en-US" w:eastAsia="zh-CN"/>
        </w:rPr>
        <w:t>一是</w:t>
      </w:r>
      <w:r>
        <w:rPr>
          <w:rFonts w:hint="eastAsia" w:eastAsia="仿宋_GB2312" w:cs="Times New Roman"/>
          <w:color w:val="000000"/>
          <w:kern w:val="0"/>
          <w:sz w:val="32"/>
          <w:szCs w:val="32"/>
          <w:lang w:val="en-US" w:eastAsia="zh-CN"/>
        </w:rPr>
        <w:t>强化组织领导。成立宜良县应急管理局政府信息与政务公开领导小组，层层压实责任，明确分管领导和专职工作人员。</w:t>
      </w:r>
      <w:r>
        <w:rPr>
          <w:rFonts w:hint="eastAsia" w:eastAsia="仿宋_GB2312" w:cs="Times New Roman"/>
          <w:b/>
          <w:bCs/>
          <w:color w:val="000000"/>
          <w:kern w:val="0"/>
          <w:sz w:val="32"/>
          <w:szCs w:val="32"/>
          <w:lang w:val="en-US" w:eastAsia="zh-CN"/>
        </w:rPr>
        <w:t>二是</w:t>
      </w:r>
      <w:r>
        <w:rPr>
          <w:rFonts w:hint="eastAsia" w:eastAsia="仿宋_GB2312" w:cs="Times New Roman"/>
          <w:color w:val="000000"/>
          <w:kern w:val="0"/>
          <w:sz w:val="32"/>
          <w:szCs w:val="32"/>
          <w:lang w:val="en-US" w:eastAsia="zh-CN"/>
        </w:rPr>
        <w:t>建立健全信息公开工作制度。依据《中华人民共和国政府信息公开条例》，建立政务信息公开保密和审查制度，严格区分主动公开、依申请公开、不予公开工作信息。</w:t>
      </w:r>
      <w:r>
        <w:rPr>
          <w:rFonts w:hint="eastAsia" w:eastAsia="仿宋_GB2312" w:cs="Times New Roman"/>
          <w:b/>
          <w:bCs/>
          <w:color w:val="000000"/>
          <w:kern w:val="0"/>
          <w:sz w:val="32"/>
          <w:szCs w:val="32"/>
          <w:lang w:val="en-US" w:eastAsia="zh-CN"/>
        </w:rPr>
        <w:t>三是</w:t>
      </w:r>
      <w:r>
        <w:rPr>
          <w:rFonts w:hint="eastAsia" w:eastAsia="仿宋_GB2312" w:cs="Times New Roman"/>
          <w:color w:val="000000"/>
          <w:kern w:val="0"/>
          <w:sz w:val="32"/>
          <w:szCs w:val="32"/>
          <w:lang w:val="en-US" w:eastAsia="zh-CN"/>
        </w:rPr>
        <w:t>完善政务信息公开指南和目录。本着高效、快捷、便民的原则，及时完善政务信息公开指南和目录，对主动公开的信息范围（目录）、内容、查询方法以及对申请公开的步骤、处理程序等作了明确规定。</w:t>
      </w:r>
      <w:r>
        <w:rPr>
          <w:rFonts w:hint="eastAsia" w:eastAsia="仿宋_GB2312" w:cs="Times New Roman"/>
          <w:b/>
          <w:bCs/>
          <w:color w:val="000000"/>
          <w:kern w:val="0"/>
          <w:sz w:val="32"/>
          <w:szCs w:val="32"/>
          <w:lang w:val="en-US" w:eastAsia="zh-CN"/>
        </w:rPr>
        <w:t>四是</w:t>
      </w:r>
      <w:r>
        <w:rPr>
          <w:rFonts w:hint="eastAsia" w:eastAsia="仿宋_GB2312" w:cs="Times New Roman"/>
          <w:b w:val="0"/>
          <w:bCs w:val="0"/>
          <w:color w:val="000000"/>
          <w:kern w:val="0"/>
          <w:sz w:val="32"/>
          <w:szCs w:val="32"/>
          <w:lang w:val="en-US" w:eastAsia="zh-CN"/>
        </w:rPr>
        <w:t>制定《宜良县应急管理局信息公开保密审查制度》和不予公开事项，所有需要公开的事项，严格按照保密审查制度开展审查。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8"/>
        <w:jc w:val="both"/>
        <w:textAlignment w:val="auto"/>
        <w:rPr>
          <w:rStyle w:val="12"/>
          <w:rFonts w:ascii="楷体_GB2312" w:hAnsi="宋体" w:eastAsia="楷体_GB2312" w:cs="楷体_GB2312"/>
          <w:i w:val="0"/>
          <w:iCs w:val="0"/>
          <w:caps w:val="0"/>
          <w:color w:val="424242"/>
          <w:spacing w:val="0"/>
          <w:sz w:val="32"/>
          <w:szCs w:val="32"/>
          <w:shd w:val="clear" w:fill="FFFFFF"/>
          <w:lang w:eastAsia="zh-CN"/>
        </w:rPr>
      </w:pPr>
      <w:r>
        <w:rPr>
          <w:rStyle w:val="12"/>
          <w:rFonts w:ascii="楷体_GB2312" w:hAnsi="宋体" w:eastAsia="楷体_GB2312" w:cs="楷体_GB2312"/>
          <w:i w:val="0"/>
          <w:iCs w:val="0"/>
          <w:caps w:val="0"/>
          <w:color w:val="424242"/>
          <w:spacing w:val="0"/>
          <w:sz w:val="32"/>
          <w:szCs w:val="32"/>
          <w:shd w:val="clear" w:fill="FFFFFF"/>
          <w:lang w:eastAsia="zh-CN"/>
        </w:rPr>
        <w:t>（</w:t>
      </w:r>
      <w:r>
        <w:rPr>
          <w:rStyle w:val="12"/>
          <w:rFonts w:hint="eastAsia" w:ascii="楷体_GB2312" w:hAnsi="宋体" w:eastAsia="楷体_GB2312" w:cs="楷体_GB2312"/>
          <w:i w:val="0"/>
          <w:iCs w:val="0"/>
          <w:caps w:val="0"/>
          <w:color w:val="424242"/>
          <w:spacing w:val="0"/>
          <w:sz w:val="32"/>
          <w:szCs w:val="32"/>
          <w:shd w:val="clear" w:fill="FFFFFF"/>
          <w:lang w:eastAsia="zh-CN"/>
        </w:rPr>
        <w:t>二</w:t>
      </w:r>
      <w:r>
        <w:rPr>
          <w:rStyle w:val="12"/>
          <w:rFonts w:ascii="楷体_GB2312" w:hAnsi="宋体" w:eastAsia="楷体_GB2312" w:cs="楷体_GB2312"/>
          <w:i w:val="0"/>
          <w:iCs w:val="0"/>
          <w:caps w:val="0"/>
          <w:color w:val="424242"/>
          <w:spacing w:val="0"/>
          <w:sz w:val="32"/>
          <w:szCs w:val="32"/>
          <w:shd w:val="clear" w:fill="FFFFFF"/>
          <w:lang w:eastAsia="zh-CN"/>
        </w:rPr>
        <w:t>）加大主动公开力度。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微软雅黑" w:hAnsi="微软雅黑" w:eastAsia="微软雅黑" w:cs="微软雅黑"/>
          <w:i w:val="0"/>
          <w:iCs w:val="0"/>
          <w:caps w:val="0"/>
          <w:color w:val="424242"/>
          <w:spacing w:val="0"/>
          <w:sz w:val="27"/>
          <w:szCs w:val="27"/>
          <w:lang w:val="en-US"/>
        </w:rPr>
      </w:pPr>
      <w:r>
        <w:rPr>
          <w:rFonts w:hint="eastAsia" w:ascii="仿宋_GB2312" w:hAnsi="宋体" w:eastAsia="仿宋_GB2312" w:cs="仿宋_GB2312"/>
          <w:i w:val="0"/>
          <w:iCs w:val="0"/>
          <w:caps w:val="0"/>
          <w:color w:val="424242"/>
          <w:spacing w:val="0"/>
          <w:sz w:val="32"/>
          <w:szCs w:val="32"/>
          <w:shd w:val="clear" w:fill="FFFFFF"/>
          <w:lang w:eastAsia="zh-CN"/>
        </w:rPr>
        <w:t>认真落实</w:t>
      </w:r>
      <w:r>
        <w:rPr>
          <w:rFonts w:hint="eastAsia" w:eastAsia="仿宋_GB2312" w:cs="Times New Roman"/>
          <w:color w:val="000000"/>
          <w:kern w:val="0"/>
          <w:sz w:val="32"/>
          <w:szCs w:val="32"/>
          <w:lang w:val="en-US" w:eastAsia="zh-CN"/>
        </w:rPr>
        <w:t>《中华人民共和国政府信息公开条例》，</w:t>
      </w:r>
      <w:r>
        <w:rPr>
          <w:rFonts w:hint="eastAsia" w:ascii="仿宋_GB2312" w:hAnsi="宋体" w:eastAsia="仿宋_GB2312" w:cs="仿宋_GB2312"/>
          <w:i w:val="0"/>
          <w:iCs w:val="0"/>
          <w:caps w:val="0"/>
          <w:color w:val="424242"/>
          <w:spacing w:val="0"/>
          <w:sz w:val="32"/>
          <w:szCs w:val="32"/>
          <w:shd w:val="clear" w:fill="FFFFFF"/>
          <w:lang w:eastAsia="zh-CN"/>
        </w:rPr>
        <w:t>以政府信息公开平台为依托，紧紧围绕应急管理、安全生产、防灾减灾，深度挖掘各方面的新经验、新情况、新问题，深入推进决策和执行公开、深化重点领域信息公开。全年主动公开信息</w:t>
      </w:r>
      <w:r>
        <w:rPr>
          <w:rFonts w:hint="eastAsia" w:ascii="仿宋_GB2312" w:hAnsi="宋体" w:eastAsia="仿宋_GB2312" w:cs="仿宋_GB2312"/>
          <w:i w:val="0"/>
          <w:iCs w:val="0"/>
          <w:caps w:val="0"/>
          <w:color w:val="424242"/>
          <w:spacing w:val="0"/>
          <w:sz w:val="32"/>
          <w:szCs w:val="32"/>
          <w:shd w:val="clear" w:fill="FFFFFF"/>
          <w:lang w:val="en-US" w:eastAsia="zh-CN"/>
        </w:rPr>
        <w:t>15条。</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8"/>
        <w:jc w:val="both"/>
        <w:textAlignment w:val="auto"/>
        <w:rPr>
          <w:rStyle w:val="12"/>
          <w:rFonts w:hint="eastAsia" w:ascii="楷体_GB2312" w:hAnsi="宋体" w:eastAsia="楷体_GB2312" w:cs="楷体_GB2312"/>
          <w:i w:val="0"/>
          <w:iCs w:val="0"/>
          <w:caps w:val="0"/>
          <w:color w:val="424242"/>
          <w:spacing w:val="0"/>
          <w:sz w:val="32"/>
          <w:szCs w:val="32"/>
          <w:shd w:val="clear" w:fill="FFFFFF"/>
          <w:lang w:eastAsia="zh-CN"/>
        </w:rPr>
      </w:pPr>
      <w:r>
        <w:rPr>
          <w:rStyle w:val="12"/>
          <w:rFonts w:hint="eastAsia" w:ascii="楷体_GB2312" w:hAnsi="宋体" w:eastAsia="楷体_GB2312" w:cs="楷体_GB2312"/>
          <w:i w:val="0"/>
          <w:iCs w:val="0"/>
          <w:caps w:val="0"/>
          <w:color w:val="424242"/>
          <w:spacing w:val="0"/>
          <w:sz w:val="32"/>
          <w:szCs w:val="32"/>
          <w:shd w:val="clear" w:fill="FFFFFF"/>
          <w:lang w:eastAsia="zh-CN"/>
        </w:rPr>
        <w:t>做好依申请公开工作。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微软雅黑" w:hAnsi="微软雅黑" w:eastAsia="微软雅黑" w:cs="微软雅黑"/>
          <w:i w:val="0"/>
          <w:iCs w:val="0"/>
          <w:caps w:val="0"/>
          <w:color w:val="424242"/>
          <w:spacing w:val="0"/>
          <w:sz w:val="27"/>
          <w:szCs w:val="27"/>
        </w:rPr>
      </w:pPr>
      <w:r>
        <w:rPr>
          <w:rFonts w:hint="eastAsia" w:ascii="仿宋_GB2312" w:hAnsi="宋体" w:eastAsia="仿宋_GB2312" w:cs="仿宋_GB2312"/>
          <w:i w:val="0"/>
          <w:iCs w:val="0"/>
          <w:caps w:val="0"/>
          <w:color w:val="424242"/>
          <w:spacing w:val="0"/>
          <w:sz w:val="32"/>
          <w:szCs w:val="32"/>
          <w:shd w:val="clear" w:fill="FFFFFF"/>
          <w:lang w:eastAsia="zh-CN"/>
        </w:rPr>
        <w:t>认真做好信息梳理工作，科学界定公开、不公开和依申请公开，严格按照政府信息公开机制流程完善程序并在政府政务信息公开栏目发布。</w:t>
      </w:r>
      <w:r>
        <w:rPr>
          <w:rFonts w:hint="default" w:ascii="Times New Roman" w:hAnsi="Times New Roman" w:eastAsia="微软雅黑" w:cs="Times New Roman"/>
          <w:i w:val="0"/>
          <w:iCs w:val="0"/>
          <w:caps w:val="0"/>
          <w:color w:val="424242"/>
          <w:spacing w:val="0"/>
          <w:sz w:val="32"/>
          <w:szCs w:val="32"/>
          <w:shd w:val="clear" w:fill="FFFFFF"/>
          <w:lang w:val="en-US"/>
        </w:rPr>
        <w:t>202</w:t>
      </w:r>
      <w:r>
        <w:rPr>
          <w:rFonts w:hint="eastAsia" w:ascii="Times New Roman" w:hAnsi="Times New Roman" w:eastAsia="微软雅黑" w:cs="Times New Roman"/>
          <w:i w:val="0"/>
          <w:iCs w:val="0"/>
          <w:caps w:val="0"/>
          <w:color w:val="424242"/>
          <w:spacing w:val="0"/>
          <w:sz w:val="32"/>
          <w:szCs w:val="32"/>
          <w:shd w:val="clear" w:fill="FFFFFF"/>
          <w:lang w:val="en-US" w:eastAsia="zh-CN"/>
        </w:rPr>
        <w:t>3</w:t>
      </w:r>
      <w:r>
        <w:rPr>
          <w:rFonts w:hint="eastAsia" w:ascii="仿宋_GB2312" w:hAnsi="宋体" w:eastAsia="仿宋_GB2312" w:cs="仿宋_GB2312"/>
          <w:i w:val="0"/>
          <w:iCs w:val="0"/>
          <w:caps w:val="0"/>
          <w:color w:val="424242"/>
          <w:spacing w:val="0"/>
          <w:sz w:val="32"/>
          <w:szCs w:val="32"/>
          <w:shd w:val="clear" w:fill="FFFFFF"/>
          <w:lang w:eastAsia="zh-CN"/>
        </w:rPr>
        <w:t>年，末收到政府信息公开申请，无行政复议或行政诉讼案件。</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firstLine="648" w:firstLineChars="0"/>
        <w:jc w:val="both"/>
        <w:textAlignment w:val="auto"/>
        <w:rPr>
          <w:rStyle w:val="12"/>
          <w:rFonts w:hint="eastAsia" w:ascii="楷体_GB2312" w:hAnsi="宋体" w:eastAsia="楷体_GB2312" w:cs="楷体_GB2312"/>
          <w:i w:val="0"/>
          <w:iCs w:val="0"/>
          <w:caps w:val="0"/>
          <w:color w:val="424242"/>
          <w:spacing w:val="0"/>
          <w:sz w:val="32"/>
          <w:szCs w:val="32"/>
          <w:shd w:val="clear" w:fill="FFFFFF"/>
          <w:lang w:eastAsia="zh-CN"/>
        </w:rPr>
      </w:pPr>
      <w:r>
        <w:rPr>
          <w:rStyle w:val="12"/>
          <w:rFonts w:hint="eastAsia" w:ascii="楷体_GB2312" w:hAnsi="宋体" w:eastAsia="楷体_GB2312" w:cs="楷体_GB2312"/>
          <w:i w:val="0"/>
          <w:iCs w:val="0"/>
          <w:caps w:val="0"/>
          <w:color w:val="424242"/>
          <w:spacing w:val="0"/>
          <w:sz w:val="32"/>
          <w:szCs w:val="32"/>
          <w:shd w:val="clear" w:fill="FFFFFF"/>
          <w:lang w:eastAsia="zh-CN"/>
        </w:rPr>
        <w:t>加强政府信息管理。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仿宋_GB2312"/>
          <w:i w:val="0"/>
          <w:iCs w:val="0"/>
          <w:caps w:val="0"/>
          <w:color w:val="424242"/>
          <w:spacing w:val="0"/>
          <w:sz w:val="32"/>
          <w:szCs w:val="32"/>
          <w:shd w:val="clear" w:fill="FFFFFF"/>
          <w:lang w:eastAsia="zh-CN"/>
        </w:rPr>
      </w:pPr>
      <w:r>
        <w:rPr>
          <w:rFonts w:hint="eastAsia" w:ascii="仿宋_GB2312" w:hAnsi="宋体" w:eastAsia="仿宋_GB2312" w:cs="仿宋_GB2312"/>
          <w:i w:val="0"/>
          <w:iCs w:val="0"/>
          <w:caps w:val="0"/>
          <w:color w:val="424242"/>
          <w:spacing w:val="0"/>
          <w:sz w:val="32"/>
          <w:szCs w:val="32"/>
          <w:shd w:val="clear" w:fill="FFFFFF"/>
          <w:lang w:eastAsia="zh-CN"/>
        </w:rPr>
        <w:t>县应急局制定了政府信息主动公开基本目录，将信息进行分类细化，使栏目内容更加清晰合理。加强对政府信息公开平台日常管理运维，及时更新“组织机构”“部门文件”“行政执法”“工作动态”“财政预决算”“重点领域信息公开”等相关信息。</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firstLine="648" w:firstLineChars="0"/>
        <w:jc w:val="both"/>
        <w:textAlignment w:val="auto"/>
        <w:rPr>
          <w:rStyle w:val="12"/>
          <w:rFonts w:hint="eastAsia" w:ascii="楷体_GB2312" w:hAnsi="宋体" w:eastAsia="楷体_GB2312" w:cs="楷体_GB2312"/>
          <w:i w:val="0"/>
          <w:iCs w:val="0"/>
          <w:caps w:val="0"/>
          <w:color w:val="424242"/>
          <w:spacing w:val="0"/>
          <w:sz w:val="32"/>
          <w:szCs w:val="32"/>
          <w:shd w:val="clear" w:fill="FFFFFF"/>
          <w:lang w:eastAsia="zh-CN"/>
        </w:rPr>
      </w:pPr>
      <w:r>
        <w:rPr>
          <w:rStyle w:val="12"/>
          <w:rFonts w:hint="eastAsia" w:ascii="楷体_GB2312" w:hAnsi="宋体" w:eastAsia="楷体_GB2312" w:cs="楷体_GB2312"/>
          <w:i w:val="0"/>
          <w:iCs w:val="0"/>
          <w:caps w:val="0"/>
          <w:color w:val="424242"/>
          <w:spacing w:val="0"/>
          <w:sz w:val="32"/>
          <w:szCs w:val="32"/>
          <w:shd w:val="clear" w:fill="FFFFFF"/>
          <w:lang w:eastAsia="zh-CN"/>
        </w:rPr>
        <w:t>强化公开制度的监督保障。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微软雅黑" w:hAnsi="微软雅黑" w:eastAsia="微软雅黑" w:cs="微软雅黑"/>
          <w:i w:val="0"/>
          <w:iCs w:val="0"/>
          <w:caps w:val="0"/>
          <w:color w:val="424242"/>
          <w:spacing w:val="0"/>
          <w:sz w:val="27"/>
          <w:szCs w:val="27"/>
        </w:rPr>
      </w:pPr>
      <w:r>
        <w:rPr>
          <w:rFonts w:hint="eastAsia" w:ascii="仿宋_GB2312" w:hAnsi="宋体" w:eastAsia="仿宋_GB2312" w:cs="仿宋_GB2312"/>
          <w:i w:val="0"/>
          <w:iCs w:val="0"/>
          <w:caps w:val="0"/>
          <w:color w:val="424242"/>
          <w:spacing w:val="0"/>
          <w:sz w:val="32"/>
          <w:szCs w:val="32"/>
          <w:shd w:val="clear" w:fill="FFFFFF"/>
          <w:lang w:eastAsia="zh-CN"/>
        </w:rPr>
        <w:t>按照“一事一审”和“先审查、后公开”的原则，对拟发布的政府信息，严格按照承办人员初审、分管负责人审核、主要负责人审发的政府信息公开“三审三校”流程，依法依规做好信息公开保密审查，未经审查和批准不得对外发布政府信息。</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ascii="Times New Roman" w:hAnsi="Times New Roman" w:eastAsia="宋体" w:cs="Times New Roman"/>
          <w:color w:val="000000"/>
          <w:kern w:val="0"/>
          <w:sz w:val="24"/>
          <w:szCs w:val="24"/>
        </w:rPr>
      </w:pPr>
      <w:r>
        <w:rPr>
          <w:rFonts w:ascii="Times New Roman" w:hAnsi="黑体" w:eastAsia="黑体" w:cs="Times New Roman"/>
          <w:bCs/>
          <w:color w:val="000000"/>
          <w:kern w:val="0"/>
          <w:sz w:val="32"/>
          <w:szCs w:val="32"/>
        </w:rPr>
        <w:t>二、主动公开政府信息情况</w:t>
      </w:r>
    </w:p>
    <w:tbl>
      <w:tblPr>
        <w:tblStyle w:val="9"/>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hint="default" w:ascii="Times New Roman" w:hAnsi="Times New Roman" w:eastAsia="宋体" w:cs="Times New Roman"/>
                <w:color w:val="000000"/>
                <w:kern w:val="0"/>
                <w:sz w:val="24"/>
                <w:szCs w:val="24"/>
                <w:lang w:val="en-US" w:eastAsia="zh-CN"/>
              </w:rPr>
            </w:pPr>
            <w:r>
              <w:rPr>
                <w:rFonts w:hint="eastAsia" w:hAnsi="宋体" w:cs="Times New Roman"/>
                <w:color w:val="000000"/>
                <w:kern w:val="0"/>
                <w:sz w:val="20"/>
                <w:szCs w:val="20"/>
                <w:lang w:val="en-US" w:eastAsia="zh-CN"/>
              </w:rPr>
              <w:t xml:space="preserve">0  </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hint="eastAsia" w:ascii="Times New Roman" w:hAnsi="Times New Roman" w:eastAsia="宋体" w:cs="Times New Roman"/>
                <w:color w:val="000000"/>
                <w:kern w:val="0"/>
                <w:sz w:val="24"/>
                <w:szCs w:val="24"/>
                <w:lang w:eastAsia="zh-CN"/>
              </w:rPr>
            </w:pPr>
            <w:r>
              <w:rPr>
                <w:rFonts w:hint="eastAsia" w:cs="Times New Roman"/>
                <w:color w:val="000000"/>
                <w:kern w:val="0"/>
                <w:sz w:val="20"/>
                <w:szCs w:val="20"/>
                <w:lang w:val="en-US" w:eastAsia="zh-CN"/>
              </w:rPr>
              <w:t xml:space="preserve">0 </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Cs w:val="21"/>
                <w:lang w:val="en-US" w:eastAsia="zh-CN"/>
              </w:rPr>
              <w:t>0</w:t>
            </w:r>
            <w:r>
              <w:rPr>
                <w:rFonts w:ascii="Times New Roman" w:hAnsi="Times New Roman" w:eastAsia="宋体" w:cs="Times New Roman"/>
                <w:color w:val="000000"/>
                <w:kern w:val="0"/>
                <w:szCs w:val="21"/>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hint="default" w:ascii="Times New Roman" w:hAnsi="Times New Roman" w:eastAsia="宋体" w:cs="Times New Roman"/>
                <w:color w:val="000000"/>
                <w:kern w:val="0"/>
                <w:sz w:val="24"/>
                <w:szCs w:val="24"/>
                <w:lang w:val="en-US" w:eastAsia="zh-CN"/>
              </w:rPr>
            </w:pPr>
            <w:r>
              <w:rPr>
                <w:rFonts w:hint="eastAsia" w:hAnsi="宋体" w:cs="Times New Roman"/>
                <w:color w:val="000000"/>
                <w:kern w:val="0"/>
                <w:sz w:val="20"/>
                <w:szCs w:val="20"/>
                <w:lang w:val="en-US" w:eastAsia="zh-CN"/>
              </w:rPr>
              <w:t xml:space="preserve"> 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hint="eastAsia" w:ascii="Times New Roman" w:hAnsi="Times New Roman" w:eastAsia="宋体" w:cs="Times New Roman"/>
                <w:color w:val="000000"/>
                <w:kern w:val="0"/>
                <w:sz w:val="24"/>
                <w:szCs w:val="24"/>
                <w:lang w:eastAsia="zh-CN"/>
              </w:rPr>
            </w:pPr>
            <w:r>
              <w:rPr>
                <w:rFonts w:hint="eastAsia" w:cs="Times New Roman"/>
                <w:color w:val="000000"/>
                <w:kern w:val="0"/>
                <w:sz w:val="20"/>
                <w:szCs w:val="20"/>
                <w:lang w:val="en-US" w:eastAsia="zh-CN"/>
              </w:rPr>
              <w:t xml:space="preserve">0 </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Cs w:val="21"/>
                <w:lang w:val="en-US" w:eastAsia="zh-CN"/>
              </w:rPr>
              <w:t>0</w:t>
            </w:r>
            <w:r>
              <w:rPr>
                <w:rFonts w:ascii="Times New Roman" w:hAnsi="Times New Roman" w:eastAsia="宋体" w:cs="Times New Roman"/>
                <w:color w:val="000000"/>
                <w:kern w:val="0"/>
                <w:szCs w:val="21"/>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Cs w:val="21"/>
                <w:lang w:val="en-US" w:eastAsia="zh-CN"/>
              </w:rPr>
              <w:t>0</w:t>
            </w:r>
            <w:r>
              <w:rPr>
                <w:rFonts w:ascii="Times New Roman" w:hAnsi="Times New Roman" w:eastAsia="宋体" w:cs="Times New Roman"/>
                <w:color w:val="000000"/>
                <w:kern w:val="0"/>
                <w:szCs w:val="21"/>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宋体" w:eastAsia="宋体" w:cs="Times New Roman"/>
                <w:color w:val="000000"/>
                <w:kern w:val="0"/>
                <w:sz w:val="20"/>
                <w:szCs w:val="20"/>
                <w:lang w:val="en-US" w:eastAsia="zh-CN"/>
              </w:rPr>
              <w:t>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宋体" w:eastAsia="宋体" w:cs="Times New Roman"/>
                <w:color w:val="000000"/>
                <w:kern w:val="0"/>
                <w:sz w:val="20"/>
                <w:szCs w:val="20"/>
                <w:lang w:val="en-US" w:eastAsia="zh-CN"/>
              </w:rPr>
              <w:t>0</w:t>
            </w:r>
            <w:r>
              <w:rPr>
                <w:rFonts w:ascii="Times New Roman" w:hAnsi="宋体" w:eastAsia="宋体" w:cs="Times New Roman"/>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0</w:t>
            </w:r>
          </w:p>
        </w:tc>
      </w:tr>
    </w:tbl>
    <w:p>
      <w:pPr>
        <w:widowControl/>
        <w:shd w:val="clear" w:color="auto" w:fill="FFFFFF"/>
        <w:spacing w:line="560" w:lineRule="exact"/>
        <w:rPr>
          <w:rFonts w:ascii="Times New Roman" w:hAnsi="黑体" w:eastAsia="黑体" w:cs="Times New Roman"/>
          <w:bCs/>
          <w:color w:val="000000"/>
          <w:kern w:val="0"/>
          <w:sz w:val="32"/>
          <w:szCs w:val="32"/>
        </w:rPr>
      </w:pPr>
    </w:p>
    <w:p>
      <w:pPr>
        <w:widowControl/>
        <w:shd w:val="clear" w:color="auto" w:fill="FFFFFF"/>
        <w:spacing w:line="560" w:lineRule="exact"/>
        <w:ind w:firstLine="640" w:firstLineChars="200"/>
        <w:rPr>
          <w:rFonts w:ascii="Times New Roman" w:hAnsi="Times New Roman" w:eastAsia="黑体" w:cs="Times New Roman"/>
          <w:bCs/>
          <w:color w:val="000000"/>
          <w:kern w:val="0"/>
          <w:sz w:val="32"/>
          <w:szCs w:val="32"/>
        </w:rPr>
      </w:pPr>
      <w:r>
        <w:rPr>
          <w:rFonts w:ascii="Times New Roman" w:hAnsi="黑体" w:eastAsia="黑体" w:cs="Times New Roman"/>
          <w:bCs/>
          <w:color w:val="000000"/>
          <w:kern w:val="0"/>
          <w:sz w:val="32"/>
          <w:szCs w:val="32"/>
        </w:rPr>
        <w:t>三、收到和处理政府信息公开申请情况</w:t>
      </w:r>
    </w:p>
    <w:tbl>
      <w:tblPr>
        <w:tblStyle w:val="9"/>
        <w:tblW w:w="10092" w:type="dxa"/>
        <w:jc w:val="center"/>
        <w:tblLayout w:type="fixed"/>
        <w:tblCellMar>
          <w:top w:w="0" w:type="dxa"/>
          <w:left w:w="0" w:type="dxa"/>
          <w:bottom w:w="0" w:type="dxa"/>
          <w:right w:w="0" w:type="dxa"/>
        </w:tblCellMar>
      </w:tblPr>
      <w:tblGrid>
        <w:gridCol w:w="751"/>
        <w:gridCol w:w="714"/>
        <w:gridCol w:w="3836"/>
        <w:gridCol w:w="480"/>
        <w:gridCol w:w="665"/>
        <w:gridCol w:w="665"/>
        <w:gridCol w:w="824"/>
        <w:gridCol w:w="816"/>
        <w:gridCol w:w="684"/>
        <w:gridCol w:w="657"/>
      </w:tblGrid>
      <w:tr>
        <w:tblPrEx>
          <w:tblCellMar>
            <w:top w:w="0" w:type="dxa"/>
            <w:left w:w="0" w:type="dxa"/>
            <w:bottom w:w="0" w:type="dxa"/>
            <w:right w:w="0" w:type="dxa"/>
          </w:tblCellMar>
        </w:tblPrEx>
        <w:trPr>
          <w:jc w:val="center"/>
        </w:trPr>
        <w:tc>
          <w:tcPr>
            <w:tcW w:w="5301"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楷体" w:eastAsia="楷体" w:cs="Times New Roman"/>
                <w:color w:val="000000"/>
                <w:kern w:val="0"/>
                <w:sz w:val="20"/>
                <w:szCs w:val="20"/>
              </w:rPr>
              <w:t>（本列数据的勾稽关系为：第一项加第二项之和，等于第三项加第四项之和）</w:t>
            </w:r>
          </w:p>
        </w:tc>
        <w:tc>
          <w:tcPr>
            <w:tcW w:w="4791"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申请人情况</w:t>
            </w:r>
          </w:p>
        </w:tc>
      </w:tr>
      <w:tr>
        <w:tblPrEx>
          <w:tblCellMar>
            <w:top w:w="0" w:type="dxa"/>
            <w:left w:w="0" w:type="dxa"/>
            <w:bottom w:w="0" w:type="dxa"/>
            <w:right w:w="0" w:type="dxa"/>
          </w:tblCellMar>
        </w:tblPrEx>
        <w:trPr>
          <w:jc w:val="center"/>
        </w:trPr>
        <w:tc>
          <w:tcPr>
            <w:tcW w:w="5301" w:type="dxa"/>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480"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自然人</w:t>
            </w:r>
          </w:p>
        </w:tc>
        <w:tc>
          <w:tcPr>
            <w:tcW w:w="3654"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法人或其他组织</w:t>
            </w:r>
          </w:p>
        </w:tc>
        <w:tc>
          <w:tcPr>
            <w:tcW w:w="657"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总计</w:t>
            </w:r>
          </w:p>
        </w:tc>
      </w:tr>
      <w:tr>
        <w:tblPrEx>
          <w:tblCellMar>
            <w:top w:w="0" w:type="dxa"/>
            <w:left w:w="0" w:type="dxa"/>
            <w:bottom w:w="0" w:type="dxa"/>
            <w:right w:w="0" w:type="dxa"/>
          </w:tblCellMar>
        </w:tblPrEx>
        <w:trPr>
          <w:jc w:val="center"/>
        </w:trPr>
        <w:tc>
          <w:tcPr>
            <w:tcW w:w="5301" w:type="dxa"/>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480" w:type="dxa"/>
            <w:vMerge w:val="continue"/>
            <w:tcBorders>
              <w:top w:val="nil"/>
              <w:left w:val="nil"/>
              <w:bottom w:val="single"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商业</w:t>
            </w:r>
          </w:p>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企业</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科研</w:t>
            </w:r>
          </w:p>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机构</w:t>
            </w:r>
          </w:p>
        </w:tc>
        <w:tc>
          <w:tcPr>
            <w:tcW w:w="82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社会公益组织</w:t>
            </w:r>
          </w:p>
        </w:tc>
        <w:tc>
          <w:tcPr>
            <w:tcW w:w="816"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法律服务机构</w:t>
            </w:r>
          </w:p>
        </w:tc>
        <w:tc>
          <w:tcPr>
            <w:tcW w:w="68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其他</w:t>
            </w:r>
          </w:p>
        </w:tc>
        <w:tc>
          <w:tcPr>
            <w:tcW w:w="657" w:type="dxa"/>
            <w:vMerge w:val="continue"/>
            <w:tcBorders>
              <w:top w:val="single" w:color="auto" w:sz="8" w:space="0"/>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r>
      <w:tr>
        <w:tblPrEx>
          <w:tblCellMar>
            <w:top w:w="0" w:type="dxa"/>
            <w:left w:w="0" w:type="dxa"/>
            <w:bottom w:w="0" w:type="dxa"/>
            <w:right w:w="0" w:type="dxa"/>
          </w:tblCellMar>
        </w:tblPrEx>
        <w:trPr>
          <w:jc w:val="center"/>
        </w:trPr>
        <w:tc>
          <w:tcPr>
            <w:tcW w:w="530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一、本年新收政府信息公开申请数量</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jc w:val="center"/>
        </w:trPr>
        <w:tc>
          <w:tcPr>
            <w:tcW w:w="530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二、上年结转政府信息公开申请数量</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jc w:val="center"/>
        </w:trPr>
        <w:tc>
          <w:tcPr>
            <w:tcW w:w="751"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三、本年度办理结果</w:t>
            </w:r>
          </w:p>
        </w:tc>
        <w:tc>
          <w:tcPr>
            <w:tcW w:w="4550"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（一）予以公开</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4550"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（二）部分公开</w:t>
            </w:r>
            <w:r>
              <w:rPr>
                <w:rFonts w:ascii="Times New Roman" w:hAnsi="楷体" w:eastAsia="楷体" w:cs="Times New Roman"/>
                <w:color w:val="000000"/>
                <w:kern w:val="0"/>
                <w:sz w:val="20"/>
                <w:szCs w:val="20"/>
              </w:rPr>
              <w:t>（区分处理的，只计这一情形，不计其他情形）</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（三）不予公开</w:t>
            </w: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1.</w:t>
            </w:r>
            <w:r>
              <w:rPr>
                <w:rFonts w:ascii="Times New Roman" w:hAnsi="宋体" w:eastAsia="宋体" w:cs="Times New Roman"/>
                <w:color w:val="000000"/>
                <w:kern w:val="0"/>
                <w:sz w:val="20"/>
                <w:szCs w:val="20"/>
              </w:rPr>
              <w:t>属于国家秘密</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2.</w:t>
            </w:r>
            <w:r>
              <w:rPr>
                <w:rFonts w:ascii="Times New Roman" w:hAnsi="宋体" w:eastAsia="宋体" w:cs="Times New Roman"/>
                <w:color w:val="000000"/>
                <w:kern w:val="0"/>
                <w:sz w:val="20"/>
                <w:szCs w:val="20"/>
              </w:rPr>
              <w:t>其他法律行政法规禁止公开</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3.</w:t>
            </w:r>
            <w:r>
              <w:rPr>
                <w:rFonts w:ascii="Times New Roman" w:hAnsi="宋体" w:eastAsia="宋体" w:cs="Times New Roman"/>
                <w:color w:val="000000"/>
                <w:kern w:val="0"/>
                <w:sz w:val="20"/>
                <w:szCs w:val="20"/>
              </w:rPr>
              <w:t>危及</w:t>
            </w:r>
            <w:r>
              <w:rPr>
                <w:rFonts w:ascii="Times New Roman" w:hAnsi="Times New Roman" w:eastAsia="宋体" w:cs="Times New Roman"/>
                <w:color w:val="000000"/>
                <w:kern w:val="0"/>
                <w:sz w:val="20"/>
                <w:szCs w:val="20"/>
              </w:rPr>
              <w:t>“</w:t>
            </w:r>
            <w:r>
              <w:rPr>
                <w:rFonts w:ascii="Times New Roman" w:hAnsi="宋体" w:eastAsia="宋体" w:cs="Times New Roman"/>
                <w:color w:val="000000"/>
                <w:kern w:val="0"/>
                <w:sz w:val="20"/>
                <w:szCs w:val="20"/>
              </w:rPr>
              <w:t>三安全一稳定</w:t>
            </w:r>
            <w:r>
              <w:rPr>
                <w:rFonts w:ascii="Times New Roman" w:hAnsi="Times New Roman" w:eastAsia="宋体" w:cs="Times New Roman"/>
                <w:color w:val="000000"/>
                <w:kern w:val="0"/>
                <w:sz w:val="20"/>
                <w:szCs w:val="20"/>
              </w:rPr>
              <w:t>”</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4.</w:t>
            </w:r>
            <w:r>
              <w:rPr>
                <w:rFonts w:ascii="Times New Roman" w:hAnsi="宋体" w:eastAsia="宋体" w:cs="Times New Roman"/>
                <w:color w:val="000000"/>
                <w:kern w:val="0"/>
                <w:sz w:val="20"/>
                <w:szCs w:val="20"/>
              </w:rPr>
              <w:t>保护第三方合法权益</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5.</w:t>
            </w:r>
            <w:r>
              <w:rPr>
                <w:rFonts w:ascii="Times New Roman" w:hAnsi="宋体" w:eastAsia="宋体" w:cs="Times New Roman"/>
                <w:color w:val="000000"/>
                <w:kern w:val="0"/>
                <w:sz w:val="20"/>
                <w:szCs w:val="20"/>
              </w:rPr>
              <w:t>属于三类内部事务信息</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6.</w:t>
            </w:r>
            <w:r>
              <w:rPr>
                <w:rFonts w:ascii="Times New Roman" w:hAnsi="宋体" w:eastAsia="宋体" w:cs="Times New Roman"/>
                <w:color w:val="000000"/>
                <w:kern w:val="0"/>
                <w:sz w:val="20"/>
                <w:szCs w:val="20"/>
              </w:rPr>
              <w:t>属于四类过程性信息</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7.</w:t>
            </w:r>
            <w:r>
              <w:rPr>
                <w:rFonts w:ascii="Times New Roman" w:hAnsi="宋体" w:eastAsia="宋体" w:cs="Times New Roman"/>
                <w:color w:val="000000"/>
                <w:kern w:val="0"/>
                <w:sz w:val="20"/>
                <w:szCs w:val="20"/>
              </w:rPr>
              <w:t>属于行政执法案卷</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8.</w:t>
            </w:r>
            <w:r>
              <w:rPr>
                <w:rFonts w:ascii="Times New Roman" w:hAnsi="宋体" w:eastAsia="宋体" w:cs="Times New Roman"/>
                <w:color w:val="000000"/>
                <w:kern w:val="0"/>
                <w:sz w:val="20"/>
                <w:szCs w:val="20"/>
              </w:rPr>
              <w:t>属于行政查询事项</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（四）无法提供</w:t>
            </w: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1.</w:t>
            </w:r>
            <w:r>
              <w:rPr>
                <w:rFonts w:ascii="Times New Roman" w:hAnsi="宋体" w:eastAsia="宋体" w:cs="Times New Roman"/>
                <w:color w:val="000000"/>
                <w:kern w:val="0"/>
                <w:sz w:val="20"/>
                <w:szCs w:val="20"/>
              </w:rPr>
              <w:t>本机关不掌握相关政府信息</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2.</w:t>
            </w:r>
            <w:r>
              <w:rPr>
                <w:rFonts w:ascii="Times New Roman" w:hAnsi="宋体" w:eastAsia="宋体" w:cs="Times New Roman"/>
                <w:color w:val="000000"/>
                <w:kern w:val="0"/>
                <w:sz w:val="20"/>
                <w:szCs w:val="20"/>
              </w:rPr>
              <w:t>没有现成信息需要另行制作</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3.</w:t>
            </w:r>
            <w:r>
              <w:rPr>
                <w:rFonts w:ascii="Times New Roman" w:hAnsi="宋体" w:eastAsia="宋体" w:cs="Times New Roman"/>
                <w:color w:val="000000"/>
                <w:kern w:val="0"/>
                <w:sz w:val="20"/>
                <w:szCs w:val="20"/>
              </w:rPr>
              <w:t>补正后申请内容仍不明确</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（五）不予处理</w:t>
            </w: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1.</w:t>
            </w:r>
            <w:r>
              <w:rPr>
                <w:rFonts w:ascii="Times New Roman" w:hAnsi="宋体" w:eastAsia="宋体" w:cs="Times New Roman"/>
                <w:color w:val="000000"/>
                <w:kern w:val="0"/>
                <w:sz w:val="20"/>
                <w:szCs w:val="20"/>
              </w:rPr>
              <w:t>信访举报投诉类申请</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2.</w:t>
            </w:r>
            <w:r>
              <w:rPr>
                <w:rFonts w:ascii="Times New Roman" w:hAnsi="宋体" w:eastAsia="宋体" w:cs="Times New Roman"/>
                <w:color w:val="000000"/>
                <w:kern w:val="0"/>
                <w:sz w:val="20"/>
                <w:szCs w:val="20"/>
              </w:rPr>
              <w:t>重复申请</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3.</w:t>
            </w:r>
            <w:r>
              <w:rPr>
                <w:rFonts w:ascii="Times New Roman" w:hAnsi="宋体" w:eastAsia="宋体" w:cs="Times New Roman"/>
                <w:color w:val="000000"/>
                <w:kern w:val="0"/>
                <w:sz w:val="20"/>
                <w:szCs w:val="20"/>
              </w:rPr>
              <w:t>要求提供公开出版物</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4.</w:t>
            </w:r>
            <w:r>
              <w:rPr>
                <w:rFonts w:ascii="Times New Roman" w:hAnsi="宋体" w:eastAsia="宋体" w:cs="Times New Roman"/>
                <w:color w:val="000000"/>
                <w:kern w:val="0"/>
                <w:sz w:val="20"/>
                <w:szCs w:val="20"/>
              </w:rPr>
              <w:t>无正当理由大量反复申请</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trHeight w:val="779" w:hRule="atLeast"/>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5.</w:t>
            </w:r>
            <w:r>
              <w:rPr>
                <w:rFonts w:ascii="Times New Roman" w:hAnsi="宋体" w:eastAsia="宋体" w:cs="Times New Roman"/>
                <w:color w:val="000000"/>
                <w:kern w:val="0"/>
                <w:sz w:val="20"/>
                <w:szCs w:val="20"/>
              </w:rPr>
              <w:t>要求行政机关确认或重新出具已获取信息</w:t>
            </w:r>
          </w:p>
        </w:tc>
        <w:tc>
          <w:tcPr>
            <w:tcW w:w="480"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65"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2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816"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8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7"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（六）其他处理</w:t>
            </w: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1.</w:t>
            </w:r>
            <w:r>
              <w:rPr>
                <w:rFonts w:ascii="Times New Roman" w:hAnsi="宋体" w:eastAsia="宋体" w:cs="Times New Roman"/>
                <w:color w:val="000000"/>
                <w:kern w:val="0"/>
                <w:sz w:val="20"/>
                <w:szCs w:val="20"/>
              </w:rPr>
              <w:t>申请人无正当理由逾期不补正、行政机关不再处理其政府信息公开申请</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inset" w:color="auto" w:sz="8" w:space="0"/>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2.</w:t>
            </w:r>
            <w:r>
              <w:rPr>
                <w:rFonts w:ascii="Times New Roman" w:hAnsi="宋体" w:eastAsia="宋体" w:cs="Times New Roman"/>
                <w:color w:val="000000"/>
                <w:kern w:val="0"/>
                <w:sz w:val="20"/>
                <w:szCs w:val="20"/>
              </w:rPr>
              <w:t>申请人逾期未按收费通知要求缴纳费用、行政机关不再处理其政府信息公开申请</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inset" w:color="auto" w:sz="8" w:space="0"/>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3.</w:t>
            </w:r>
            <w:r>
              <w:rPr>
                <w:rFonts w:ascii="Times New Roman" w:hAnsi="宋体" w:eastAsia="宋体" w:cs="Times New Roman"/>
                <w:color w:val="000000"/>
                <w:kern w:val="0"/>
                <w:sz w:val="20"/>
                <w:szCs w:val="20"/>
              </w:rPr>
              <w:t>其他</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4550"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（七）总计</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r>
        <w:tblPrEx>
          <w:tblCellMar>
            <w:top w:w="0" w:type="dxa"/>
            <w:left w:w="0" w:type="dxa"/>
            <w:bottom w:w="0" w:type="dxa"/>
            <w:right w:w="0" w:type="dxa"/>
          </w:tblCellMar>
        </w:tblPrEx>
        <w:trPr>
          <w:jc w:val="center"/>
        </w:trPr>
        <w:tc>
          <w:tcPr>
            <w:tcW w:w="530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四、结转下年度继续办理</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r>
    </w:tbl>
    <w:p>
      <w:pPr>
        <w:widowControl/>
        <w:shd w:val="clear" w:color="auto" w:fill="FFFFFF"/>
        <w:spacing w:line="560" w:lineRule="exac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 xml:space="preserve"> </w:t>
      </w:r>
    </w:p>
    <w:p>
      <w:pPr>
        <w:widowControl/>
        <w:shd w:val="clear" w:color="auto" w:fill="FFFFFF"/>
        <w:spacing w:line="560" w:lineRule="exact"/>
        <w:rPr>
          <w:rFonts w:ascii="Times New Roman" w:hAnsi="Times New Roman" w:eastAsia="黑体" w:cs="Times New Roman"/>
          <w:bCs/>
          <w:color w:val="000000"/>
          <w:kern w:val="0"/>
          <w:sz w:val="32"/>
          <w:szCs w:val="32"/>
        </w:rPr>
      </w:pPr>
      <w:r>
        <w:rPr>
          <w:rFonts w:hint="eastAsia" w:ascii="Times New Roman" w:hAnsi="Times New Roman" w:eastAsia="宋体" w:cs="Times New Roman"/>
          <w:color w:val="000000"/>
          <w:kern w:val="0"/>
          <w:sz w:val="24"/>
          <w:szCs w:val="24"/>
        </w:rPr>
        <w:t xml:space="preserve">   </w:t>
      </w:r>
      <w:r>
        <w:rPr>
          <w:rFonts w:ascii="Times New Roman" w:hAnsi="黑体" w:eastAsia="黑体" w:cs="Times New Roman"/>
          <w:bCs/>
          <w:color w:val="000000"/>
          <w:kern w:val="0"/>
          <w:sz w:val="32"/>
          <w:szCs w:val="32"/>
        </w:rPr>
        <w:t>四、政府信息公开行政复议、行政诉讼情况</w:t>
      </w:r>
    </w:p>
    <w:p>
      <w:pPr>
        <w:widowControl/>
        <w:shd w:val="clear" w:color="auto" w:fill="FFFFFF"/>
        <w:spacing w:line="560" w:lineRule="exact"/>
        <w:ind w:firstLine="480" w:firstLineChars="200"/>
        <w:rPr>
          <w:rFonts w:ascii="Times New Roman" w:hAnsi="Times New Roman" w:eastAsia="宋体" w:cs="Times New Roman"/>
          <w:color w:val="000000"/>
          <w:kern w:val="0"/>
          <w:sz w:val="24"/>
          <w:szCs w:val="24"/>
        </w:rPr>
      </w:pPr>
    </w:p>
    <w:tbl>
      <w:tblPr>
        <w:tblStyle w:val="9"/>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结果</w:t>
            </w:r>
            <w:r>
              <w:rPr>
                <w:rFonts w:ascii="Times New Roman" w:hAnsi="Times New Roman" w:eastAsia="宋体" w:cs="Times New Roman"/>
                <w:color w:val="000000"/>
                <w:kern w:val="0"/>
                <w:sz w:val="20"/>
                <w:szCs w:val="20"/>
              </w:rPr>
              <w:br w:type="textWrapping"/>
            </w:r>
            <w:r>
              <w:rPr>
                <w:rFonts w:ascii="Times New Roman" w:hAnsi="宋体" w:eastAsia="宋体" w:cs="Times New Roman"/>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其他</w:t>
            </w:r>
            <w:r>
              <w:rPr>
                <w:rFonts w:ascii="Times New Roman" w:hAnsi="Times New Roman" w:eastAsia="宋体" w:cs="Times New Roman"/>
                <w:color w:val="000000"/>
                <w:kern w:val="0"/>
                <w:sz w:val="20"/>
                <w:szCs w:val="20"/>
              </w:rPr>
              <w:br w:type="textWrapping"/>
            </w:r>
            <w:r>
              <w:rPr>
                <w:rFonts w:ascii="Times New Roman" w:hAnsi="宋体" w:eastAsia="宋体" w:cs="Times New Roman"/>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尚未</w:t>
            </w:r>
            <w:r>
              <w:rPr>
                <w:rFonts w:ascii="Times New Roman" w:hAnsi="Times New Roman" w:eastAsia="宋体" w:cs="Times New Roman"/>
                <w:color w:val="000000"/>
                <w:kern w:val="0"/>
                <w:sz w:val="20"/>
                <w:szCs w:val="20"/>
              </w:rPr>
              <w:br w:type="textWrapping"/>
            </w:r>
            <w:r>
              <w:rPr>
                <w:rFonts w:ascii="Times New Roman" w:hAnsi="宋体" w:eastAsia="宋体" w:cs="Times New Roman"/>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vAlign w:val="center"/>
          </w:tcPr>
          <w:p>
            <w:pPr>
              <w:widowControl/>
              <w:spacing w:line="400" w:lineRule="exact"/>
              <w:jc w:val="center"/>
              <w:rPr>
                <w:rFonts w:ascii="Times New Roman" w:hAnsi="Times New Roman" w:eastAsia="宋体" w:cs="Times New Roman"/>
                <w:color w:val="000000"/>
                <w:kern w:val="0"/>
                <w:sz w:val="24"/>
                <w:szCs w:val="24"/>
              </w:rPr>
            </w:pPr>
          </w:p>
        </w:tc>
        <w:tc>
          <w:tcPr>
            <w:tcW w:w="649" w:type="dxa"/>
            <w:vMerge w:val="continue"/>
            <w:tcBorders>
              <w:top w:val="nil"/>
              <w:left w:val="single" w:color="auto" w:sz="8" w:space="0"/>
              <w:bottom w:val="single" w:color="auto" w:sz="8" w:space="0"/>
              <w:right w:val="single" w:color="auto" w:sz="8" w:space="0"/>
            </w:tcBorders>
            <w:noWrap w:val="0"/>
            <w:vAlign w:val="center"/>
          </w:tcPr>
          <w:p>
            <w:pPr>
              <w:widowControl/>
              <w:spacing w:line="400" w:lineRule="exact"/>
              <w:jc w:val="center"/>
              <w:rPr>
                <w:rFonts w:ascii="Times New Roman" w:hAnsi="Times New Roman" w:eastAsia="宋体" w:cs="Times New Roman"/>
                <w:color w:val="000000"/>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center"/>
              <w:rPr>
                <w:rFonts w:ascii="Times New Roman" w:hAnsi="Times New Roman" w:eastAsia="宋体" w:cs="Times New Roman"/>
                <w:color w:val="000000"/>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center"/>
              <w:rPr>
                <w:rFonts w:ascii="Times New Roman" w:hAnsi="Times New Roman" w:eastAsia="宋体" w:cs="Times New Roman"/>
                <w:color w:val="000000"/>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jc w:val="center"/>
              <w:rPr>
                <w:rFonts w:ascii="Times New Roman" w:hAnsi="Times New Roman" w:eastAsia="宋体" w:cs="Times New Roman"/>
                <w:color w:val="000000"/>
                <w:kern w:val="0"/>
                <w:sz w:val="24"/>
                <w:szCs w:val="24"/>
              </w:rPr>
            </w:pP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结果</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维持</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结果</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其他</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尚未</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结果</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结果</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其他</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尚未</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rPr>
            </w:pPr>
            <w:r>
              <w:rPr>
                <w:rFonts w:ascii="Times New Roman" w:hAnsi="Times New Roman" w:eastAsia="宋体" w:cs="Times New Roman"/>
                <w:color w:val="000000"/>
                <w:kern w:val="0"/>
                <w:sz w:val="20"/>
                <w:szCs w:val="20"/>
              </w:rPr>
              <w:t> </w:t>
            </w:r>
            <w:r>
              <w:rPr>
                <w:rFonts w:hint="eastAsia" w:ascii="Times New Roman" w:hAnsi="Times New Roman" w:eastAsia="宋体" w:cs="Times New Roman"/>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0"/>
                <w:szCs w:val="20"/>
                <w:lang w:val="en-US" w:eastAsia="zh-CN"/>
              </w:rPr>
              <w:t>0</w:t>
            </w:r>
            <w:r>
              <w:rPr>
                <w:rFonts w:ascii="Times New Roman" w:hAnsi="Times New Roman" w:eastAsia="宋体" w:cs="Times New Roman"/>
                <w:color w:val="000000"/>
                <w:kern w:val="0"/>
                <w:sz w:val="20"/>
                <w:szCs w:val="20"/>
              </w:rPr>
              <w:t> </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0</w:t>
            </w:r>
          </w:p>
        </w:tc>
      </w:tr>
    </w:tbl>
    <w:p>
      <w:pPr>
        <w:keepNext w:val="0"/>
        <w:keepLines w:val="0"/>
        <w:pageBreakBefore w:val="0"/>
        <w:widowControl/>
        <w:kinsoku/>
        <w:overflowPunct/>
        <w:autoSpaceDN/>
        <w:bidi w:val="0"/>
        <w:spacing w:line="560" w:lineRule="exact"/>
        <w:ind w:firstLine="640" w:firstLineChars="200"/>
        <w:textAlignment w:val="auto"/>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五、存在的主要问题及改进情况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autoSpaceDN/>
        <w:bidi w:val="0"/>
        <w:spacing w:before="0" w:beforeAutospacing="0" w:after="0" w:afterAutospacing="0" w:line="560" w:lineRule="exact"/>
        <w:ind w:left="0" w:right="0" w:firstLine="648"/>
        <w:jc w:val="both"/>
        <w:textAlignment w:val="auto"/>
        <w:rPr>
          <w:rFonts w:ascii="微软雅黑" w:hAnsi="微软雅黑" w:eastAsia="微软雅黑" w:cs="微软雅黑"/>
          <w:i w:val="0"/>
          <w:iCs w:val="0"/>
          <w:caps w:val="0"/>
          <w:color w:val="424242"/>
          <w:spacing w:val="0"/>
          <w:sz w:val="27"/>
          <w:szCs w:val="27"/>
        </w:rPr>
      </w:pPr>
      <w:r>
        <w:rPr>
          <w:rStyle w:val="12"/>
          <w:rFonts w:ascii="楷体_GB2312" w:hAnsi="宋体" w:eastAsia="楷体_GB2312" w:cs="楷体_GB2312"/>
          <w:i w:val="0"/>
          <w:iCs w:val="0"/>
          <w:caps w:val="0"/>
          <w:color w:val="424242"/>
          <w:spacing w:val="0"/>
          <w:sz w:val="32"/>
          <w:szCs w:val="32"/>
          <w:shd w:val="clear" w:fill="FFFFFF"/>
          <w:lang w:eastAsia="zh-CN"/>
        </w:rPr>
        <w:t>（一）存在的主要问题。</w:t>
      </w:r>
      <w:r>
        <w:rPr>
          <w:rFonts w:ascii="仿宋_GB2312" w:hAnsi="宋体" w:eastAsia="仿宋_GB2312" w:cs="仿宋_GB2312"/>
          <w:b/>
          <w:bCs/>
          <w:i w:val="0"/>
          <w:iCs w:val="0"/>
          <w:caps w:val="0"/>
          <w:color w:val="000000"/>
          <w:spacing w:val="0"/>
          <w:sz w:val="32"/>
          <w:szCs w:val="32"/>
          <w:shd w:val="clear" w:fill="FFFFFF"/>
          <w:lang w:eastAsia="zh-CN"/>
        </w:rPr>
        <w:t>一是</w:t>
      </w:r>
      <w:r>
        <w:rPr>
          <w:rFonts w:ascii="仿宋_GB2312" w:hAnsi="宋体" w:eastAsia="仿宋_GB2312" w:cs="仿宋_GB2312"/>
          <w:i w:val="0"/>
          <w:iCs w:val="0"/>
          <w:caps w:val="0"/>
          <w:color w:val="000000"/>
          <w:spacing w:val="0"/>
          <w:sz w:val="32"/>
          <w:szCs w:val="32"/>
          <w:shd w:val="clear" w:fill="FFFFFF"/>
          <w:lang w:eastAsia="zh-CN"/>
        </w:rPr>
        <w:t>政务信息公开的类型和内容的覆盖面不够全面。对公众关注的热点，焦点问题信息关注度不够</w:t>
      </w:r>
      <w:r>
        <w:rPr>
          <w:rFonts w:hint="eastAsia" w:ascii="仿宋_GB2312" w:hAnsi="宋体" w:eastAsia="仿宋_GB2312" w:cs="仿宋_GB2312"/>
          <w:i w:val="0"/>
          <w:iCs w:val="0"/>
          <w:caps w:val="0"/>
          <w:color w:val="000000"/>
          <w:spacing w:val="0"/>
          <w:sz w:val="32"/>
          <w:szCs w:val="32"/>
          <w:shd w:val="clear" w:fill="FFFFFF"/>
          <w:lang w:eastAsia="zh-CN"/>
        </w:rPr>
        <w:t>高。</w:t>
      </w:r>
      <w:r>
        <w:rPr>
          <w:rFonts w:hint="eastAsia" w:ascii="仿宋_GB2312" w:hAnsi="宋体" w:eastAsia="仿宋_GB2312" w:cs="仿宋_GB2312"/>
          <w:b/>
          <w:bCs/>
          <w:i w:val="0"/>
          <w:iCs w:val="0"/>
          <w:caps w:val="0"/>
          <w:color w:val="000000"/>
          <w:spacing w:val="0"/>
          <w:sz w:val="32"/>
          <w:szCs w:val="32"/>
          <w:shd w:val="clear" w:fill="FFFFFF"/>
          <w:lang w:eastAsia="zh-CN"/>
        </w:rPr>
        <w:t>二是</w:t>
      </w:r>
      <w:r>
        <w:rPr>
          <w:rFonts w:hint="eastAsia" w:ascii="仿宋_GB2312" w:hAnsi="宋体" w:eastAsia="仿宋_GB2312" w:cs="仿宋_GB2312"/>
          <w:i w:val="0"/>
          <w:iCs w:val="0"/>
          <w:caps w:val="0"/>
          <w:color w:val="000000"/>
          <w:spacing w:val="0"/>
          <w:sz w:val="32"/>
          <w:szCs w:val="32"/>
          <w:shd w:val="clear" w:fill="FFFFFF"/>
          <w:lang w:eastAsia="zh-CN"/>
        </w:rPr>
        <w:t>政务公开的保障机制还不够健全，政务公开能力和水平还有待加强，政府信息公开形式比较单一、公开渠道不够多元。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autoSpaceDN/>
        <w:bidi w:val="0"/>
        <w:spacing w:before="0" w:beforeAutospacing="0" w:after="0" w:afterAutospacing="0" w:line="560" w:lineRule="exact"/>
        <w:ind w:left="0" w:right="0" w:firstLine="648"/>
        <w:jc w:val="both"/>
        <w:textAlignment w:val="auto"/>
        <w:rPr>
          <w:rFonts w:hint="eastAsia" w:ascii="微软雅黑" w:hAnsi="微软雅黑" w:eastAsia="微软雅黑" w:cs="微软雅黑"/>
          <w:i w:val="0"/>
          <w:iCs w:val="0"/>
          <w:caps w:val="0"/>
          <w:color w:val="424242"/>
          <w:spacing w:val="0"/>
          <w:sz w:val="27"/>
          <w:szCs w:val="27"/>
        </w:rPr>
      </w:pPr>
      <w:r>
        <w:rPr>
          <w:rStyle w:val="12"/>
          <w:rFonts w:hint="eastAsia" w:ascii="楷体_GB2312" w:hAnsi="宋体" w:eastAsia="楷体_GB2312" w:cs="楷体_GB2312"/>
          <w:i w:val="0"/>
          <w:iCs w:val="0"/>
          <w:caps w:val="0"/>
          <w:color w:val="424242"/>
          <w:spacing w:val="0"/>
          <w:sz w:val="32"/>
          <w:szCs w:val="32"/>
          <w:shd w:val="clear" w:fill="FFFFFF"/>
          <w:lang w:eastAsia="zh-CN"/>
        </w:rPr>
        <w:t>（二）下一步改进措施。</w:t>
      </w:r>
      <w:r>
        <w:rPr>
          <w:rFonts w:hint="eastAsia" w:ascii="仿宋_GB2312" w:hAnsi="宋体" w:eastAsia="仿宋_GB2312" w:cs="仿宋_GB2312"/>
          <w:b/>
          <w:bCs/>
          <w:i w:val="0"/>
          <w:iCs w:val="0"/>
          <w:caps w:val="0"/>
          <w:color w:val="000000"/>
          <w:spacing w:val="0"/>
          <w:sz w:val="32"/>
          <w:szCs w:val="32"/>
          <w:shd w:val="clear" w:fill="FFFFFF"/>
          <w:lang w:eastAsia="zh-CN"/>
        </w:rPr>
        <w:t>一是</w:t>
      </w:r>
      <w:r>
        <w:rPr>
          <w:rFonts w:hint="eastAsia" w:ascii="仿宋_GB2312" w:hAnsi="宋体" w:eastAsia="仿宋_GB2312" w:cs="仿宋_GB2312"/>
          <w:i w:val="0"/>
          <w:iCs w:val="0"/>
          <w:caps w:val="0"/>
          <w:color w:val="000000"/>
          <w:spacing w:val="0"/>
          <w:sz w:val="32"/>
          <w:szCs w:val="32"/>
          <w:shd w:val="clear" w:fill="FFFFFF"/>
          <w:lang w:eastAsia="zh-CN"/>
        </w:rPr>
        <w:t>切实发挥政务公开工作领导小组办公室牵头作用，积极协调各科室落实好政务公开工作。</w:t>
      </w:r>
      <w:r>
        <w:rPr>
          <w:rFonts w:hint="eastAsia" w:ascii="仿宋_GB2312" w:hAnsi="宋体" w:eastAsia="仿宋_GB2312" w:cs="仿宋_GB2312"/>
          <w:b/>
          <w:bCs/>
          <w:i w:val="0"/>
          <w:iCs w:val="0"/>
          <w:caps w:val="0"/>
          <w:color w:val="000000"/>
          <w:spacing w:val="0"/>
          <w:sz w:val="32"/>
          <w:szCs w:val="32"/>
          <w:shd w:val="clear" w:fill="FFFFFF"/>
          <w:lang w:eastAsia="zh-CN"/>
        </w:rPr>
        <w:t>二是</w:t>
      </w:r>
      <w:r>
        <w:rPr>
          <w:rFonts w:hint="eastAsia" w:ascii="仿宋_GB2312" w:hAnsi="宋体" w:eastAsia="仿宋_GB2312" w:cs="仿宋_GB2312"/>
          <w:i w:val="0"/>
          <w:iCs w:val="0"/>
          <w:caps w:val="0"/>
          <w:color w:val="000000"/>
          <w:spacing w:val="0"/>
          <w:sz w:val="32"/>
          <w:szCs w:val="32"/>
          <w:shd w:val="clear" w:fill="FFFFFF"/>
          <w:lang w:eastAsia="zh-CN"/>
        </w:rPr>
        <w:t>不断完善政务公开信息保密审查制度和政务公开工作流程。</w:t>
      </w:r>
      <w:r>
        <w:rPr>
          <w:rFonts w:hint="eastAsia" w:ascii="仿宋_GB2312" w:hAnsi="宋体" w:eastAsia="仿宋_GB2312" w:cs="仿宋_GB2312"/>
          <w:b/>
          <w:bCs/>
          <w:i w:val="0"/>
          <w:iCs w:val="0"/>
          <w:caps w:val="0"/>
          <w:color w:val="000000"/>
          <w:spacing w:val="0"/>
          <w:sz w:val="32"/>
          <w:szCs w:val="32"/>
          <w:shd w:val="clear" w:fill="FFFFFF"/>
          <w:lang w:eastAsia="zh-CN"/>
        </w:rPr>
        <w:t>三是</w:t>
      </w:r>
      <w:r>
        <w:rPr>
          <w:rFonts w:hint="eastAsia" w:ascii="仿宋_GB2312" w:hAnsi="宋体" w:eastAsia="仿宋_GB2312" w:cs="仿宋_GB2312"/>
          <w:i w:val="0"/>
          <w:iCs w:val="0"/>
          <w:caps w:val="0"/>
          <w:color w:val="000000"/>
          <w:spacing w:val="0"/>
          <w:sz w:val="32"/>
          <w:szCs w:val="32"/>
          <w:shd w:val="clear" w:fill="FFFFFF"/>
          <w:lang w:eastAsia="zh-CN"/>
        </w:rPr>
        <w:t>加强对工作人员业务能力培训，提升信息发布内容质量。</w:t>
      </w:r>
    </w:p>
    <w:p>
      <w:pPr>
        <w:keepNext w:val="0"/>
        <w:keepLines w:val="0"/>
        <w:pageBreakBefore w:val="0"/>
        <w:widowControl/>
        <w:shd w:val="clear" w:color="auto" w:fill="FFFFFF"/>
        <w:kinsoku/>
        <w:overflowPunct/>
        <w:autoSpaceDN/>
        <w:bidi w:val="0"/>
        <w:spacing w:line="560" w:lineRule="exact"/>
        <w:ind w:firstLine="640" w:firstLineChars="200"/>
        <w:textAlignment w:val="auto"/>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六、其他需要报告的事项</w:t>
      </w:r>
    </w:p>
    <w:p>
      <w:pPr>
        <w:keepNext w:val="0"/>
        <w:keepLines w:val="0"/>
        <w:pageBreakBefore w:val="0"/>
        <w:widowControl/>
        <w:shd w:val="clear" w:color="auto" w:fill="FFFFFF"/>
        <w:kinsoku/>
        <w:overflowPunct/>
        <w:autoSpaceDN/>
        <w:bidi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3</w:t>
      </w:r>
      <w:r>
        <w:rPr>
          <w:rFonts w:ascii="仿宋_GB2312" w:hAnsi="宋体" w:eastAsia="仿宋_GB2312" w:cs="仿宋_GB2312"/>
          <w:i w:val="0"/>
          <w:iCs w:val="0"/>
          <w:caps w:val="0"/>
          <w:color w:val="000000"/>
          <w:spacing w:val="0"/>
          <w:sz w:val="32"/>
          <w:szCs w:val="32"/>
          <w:shd w:val="clear" w:fill="FFFFFF"/>
        </w:rPr>
        <w:t>年</w:t>
      </w:r>
      <w:r>
        <w:rPr>
          <w:rFonts w:hint="eastAsia" w:ascii="仿宋_GB2312" w:hAnsi="宋体" w:eastAsia="仿宋_GB2312" w:cs="仿宋_GB2312"/>
          <w:i w:val="0"/>
          <w:iCs w:val="0"/>
          <w:caps w:val="0"/>
          <w:color w:val="000000"/>
          <w:spacing w:val="0"/>
          <w:sz w:val="32"/>
          <w:szCs w:val="32"/>
          <w:shd w:val="clear" w:fill="FFFFFF"/>
          <w:lang w:eastAsia="zh-CN"/>
        </w:rPr>
        <w:t>本机关未</w:t>
      </w:r>
      <w:r>
        <w:rPr>
          <w:rFonts w:ascii="仿宋_GB2312" w:hAnsi="宋体" w:eastAsia="仿宋_GB2312" w:cs="仿宋_GB2312"/>
          <w:i w:val="0"/>
          <w:iCs w:val="0"/>
          <w:caps w:val="0"/>
          <w:color w:val="000000"/>
          <w:spacing w:val="0"/>
          <w:sz w:val="32"/>
          <w:szCs w:val="32"/>
          <w:shd w:val="clear" w:fill="FFFFFF"/>
        </w:rPr>
        <w:t>收取信息处理费。</w:t>
      </w:r>
      <w:bookmarkStart w:id="0" w:name="_GoBack"/>
      <w:bookmarkEnd w:id="0"/>
    </w:p>
    <w:p>
      <w:pPr>
        <w:pStyle w:val="8"/>
        <w:keepNext w:val="0"/>
        <w:keepLines w:val="0"/>
        <w:pageBreakBefore w:val="0"/>
        <w:widowControl w:val="0"/>
        <w:kinsoku/>
        <w:wordWrap/>
        <w:overflowPunct/>
        <w:topLinePunct/>
        <w:autoSpaceDE w:val="0"/>
        <w:autoSpaceDN/>
        <w:bidi w:val="0"/>
        <w:adjustRightInd w:val="0"/>
        <w:snapToGrid w:val="0"/>
        <w:spacing w:after="0" w:after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p>
    <w:sectPr>
      <w:footerReference r:id="rId3"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7E8F"/>
    <w:multiLevelType w:val="singleLevel"/>
    <w:tmpl w:val="BFCE7E8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60E11"/>
    <w:rsid w:val="019C0BFB"/>
    <w:rsid w:val="01C33A8B"/>
    <w:rsid w:val="02070DE3"/>
    <w:rsid w:val="02C51E74"/>
    <w:rsid w:val="060E6945"/>
    <w:rsid w:val="06F50E05"/>
    <w:rsid w:val="08BE6335"/>
    <w:rsid w:val="094F3CB8"/>
    <w:rsid w:val="097438B3"/>
    <w:rsid w:val="0AC1135C"/>
    <w:rsid w:val="0AC26E4A"/>
    <w:rsid w:val="0BA9604C"/>
    <w:rsid w:val="0C9519E5"/>
    <w:rsid w:val="0CE07F06"/>
    <w:rsid w:val="0D233635"/>
    <w:rsid w:val="0DB338E3"/>
    <w:rsid w:val="0F352FFD"/>
    <w:rsid w:val="127A4A5A"/>
    <w:rsid w:val="131317D8"/>
    <w:rsid w:val="145B45EB"/>
    <w:rsid w:val="14F70C0E"/>
    <w:rsid w:val="155844F7"/>
    <w:rsid w:val="18597D0C"/>
    <w:rsid w:val="18F3BB69"/>
    <w:rsid w:val="195723D2"/>
    <w:rsid w:val="19E37332"/>
    <w:rsid w:val="19F21F49"/>
    <w:rsid w:val="1B591146"/>
    <w:rsid w:val="1BAB5E79"/>
    <w:rsid w:val="1BEF244C"/>
    <w:rsid w:val="1C0C539C"/>
    <w:rsid w:val="2024375C"/>
    <w:rsid w:val="20E03FF7"/>
    <w:rsid w:val="211814D0"/>
    <w:rsid w:val="21300073"/>
    <w:rsid w:val="2251286D"/>
    <w:rsid w:val="235519AB"/>
    <w:rsid w:val="239C6B29"/>
    <w:rsid w:val="24DA4FF5"/>
    <w:rsid w:val="25A3752D"/>
    <w:rsid w:val="25CA5D20"/>
    <w:rsid w:val="26126E08"/>
    <w:rsid w:val="262C184A"/>
    <w:rsid w:val="26CF689A"/>
    <w:rsid w:val="27F71543"/>
    <w:rsid w:val="288445B8"/>
    <w:rsid w:val="2AF368C9"/>
    <w:rsid w:val="2C9E661A"/>
    <w:rsid w:val="2DD81124"/>
    <w:rsid w:val="2F175307"/>
    <w:rsid w:val="30681F88"/>
    <w:rsid w:val="30FF0DDB"/>
    <w:rsid w:val="31546CC1"/>
    <w:rsid w:val="31B5496B"/>
    <w:rsid w:val="31D411B6"/>
    <w:rsid w:val="31EF621A"/>
    <w:rsid w:val="33A95602"/>
    <w:rsid w:val="33F31A2F"/>
    <w:rsid w:val="35384BA4"/>
    <w:rsid w:val="360276E4"/>
    <w:rsid w:val="36663CB0"/>
    <w:rsid w:val="37187B1A"/>
    <w:rsid w:val="3866620A"/>
    <w:rsid w:val="389A0005"/>
    <w:rsid w:val="39412040"/>
    <w:rsid w:val="395F1E24"/>
    <w:rsid w:val="39BF087B"/>
    <w:rsid w:val="3A560E11"/>
    <w:rsid w:val="3B592413"/>
    <w:rsid w:val="3B92458F"/>
    <w:rsid w:val="3BE6080E"/>
    <w:rsid w:val="3C74659E"/>
    <w:rsid w:val="3CC736CA"/>
    <w:rsid w:val="3D5C65D7"/>
    <w:rsid w:val="3EC708CA"/>
    <w:rsid w:val="3F4C7838"/>
    <w:rsid w:val="3F644133"/>
    <w:rsid w:val="40DB5166"/>
    <w:rsid w:val="4104122C"/>
    <w:rsid w:val="42D5578F"/>
    <w:rsid w:val="439E73AC"/>
    <w:rsid w:val="43AF40AB"/>
    <w:rsid w:val="441C0A37"/>
    <w:rsid w:val="441C7C2C"/>
    <w:rsid w:val="447B2B9C"/>
    <w:rsid w:val="461955D7"/>
    <w:rsid w:val="488D3084"/>
    <w:rsid w:val="48D74189"/>
    <w:rsid w:val="49D57CB9"/>
    <w:rsid w:val="49EA1EAF"/>
    <w:rsid w:val="4B1511CF"/>
    <w:rsid w:val="4B2802C0"/>
    <w:rsid w:val="4C0054BD"/>
    <w:rsid w:val="4DB44589"/>
    <w:rsid w:val="4EE75A6E"/>
    <w:rsid w:val="52247379"/>
    <w:rsid w:val="54FA1ED8"/>
    <w:rsid w:val="55B4762F"/>
    <w:rsid w:val="55F26015"/>
    <w:rsid w:val="56013EA7"/>
    <w:rsid w:val="58894813"/>
    <w:rsid w:val="5A9E2CC2"/>
    <w:rsid w:val="5AFD72C3"/>
    <w:rsid w:val="5C016C51"/>
    <w:rsid w:val="5D1F7C80"/>
    <w:rsid w:val="5E501A00"/>
    <w:rsid w:val="5E5B665F"/>
    <w:rsid w:val="5ED95CF0"/>
    <w:rsid w:val="60E12FF7"/>
    <w:rsid w:val="60F8287A"/>
    <w:rsid w:val="62525966"/>
    <w:rsid w:val="63521B3B"/>
    <w:rsid w:val="63682FAD"/>
    <w:rsid w:val="63EA1A13"/>
    <w:rsid w:val="63F113B5"/>
    <w:rsid w:val="64027C75"/>
    <w:rsid w:val="654879E3"/>
    <w:rsid w:val="66053F36"/>
    <w:rsid w:val="66F7547D"/>
    <w:rsid w:val="6A2403AD"/>
    <w:rsid w:val="6A852C9D"/>
    <w:rsid w:val="6D41462B"/>
    <w:rsid w:val="6E2F6767"/>
    <w:rsid w:val="6F2B6D43"/>
    <w:rsid w:val="6F350A75"/>
    <w:rsid w:val="709A351A"/>
    <w:rsid w:val="70BE1558"/>
    <w:rsid w:val="71324819"/>
    <w:rsid w:val="73331E0E"/>
    <w:rsid w:val="738B1C65"/>
    <w:rsid w:val="761D168A"/>
    <w:rsid w:val="77ED44B1"/>
    <w:rsid w:val="79296631"/>
    <w:rsid w:val="79DF5391"/>
    <w:rsid w:val="7A3A1E35"/>
    <w:rsid w:val="7A727CC9"/>
    <w:rsid w:val="7A927839"/>
    <w:rsid w:val="7AC90336"/>
    <w:rsid w:val="7AE16368"/>
    <w:rsid w:val="7BD42C30"/>
    <w:rsid w:val="7C922C6A"/>
    <w:rsid w:val="7CD934D9"/>
    <w:rsid w:val="7D51065C"/>
    <w:rsid w:val="7F88546D"/>
    <w:rsid w:val="7F8F0AA7"/>
    <w:rsid w:val="7FB769B9"/>
    <w:rsid w:val="9FDED0C2"/>
    <w:rsid w:val="AAB70E87"/>
    <w:rsid w:val="CDC7F35F"/>
    <w:rsid w:val="FF7AA3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cs="Courier New"/>
      <w:szCs w:val="21"/>
    </w:r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公文文号"/>
    <w:basedOn w:val="11"/>
    <w:autoRedefine/>
    <w:qFormat/>
    <w:uiPriority w:val="0"/>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昆明市宜良县党政机关单位</Company>
  <Pages>3</Pages>
  <Words>1214</Words>
  <Characters>1260</Characters>
  <Lines>0</Lines>
  <Paragraphs>0</Paragraphs>
  <TotalTime>27</TotalTime>
  <ScaleCrop>false</ScaleCrop>
  <LinksUpToDate>false</LinksUpToDate>
  <CharactersWithSpaces>1335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2020-04-23T08:43:00Z</dcterms:created>
  <dc:creator>县城市管理局</dc:creator>
  <cp:lastModifiedBy>WPS_1518234761</cp:lastModifiedBy>
  <cp:lastPrinted>2020-11-11T11:39:00Z</cp:lastPrinted>
  <dcterms:modified xsi:type="dcterms:W3CDTF">2024-02-26T08:54:25Z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CFB7E088F8D547B297D6A695CF35BAAB_13</vt:lpwstr>
  </property>
</Properties>
</file>