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关于“姜”等12批次问题食品风险控制措施信息的通告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食药监管总局食品抽验信息系统信息显示，涉及宜良县刘水仙蔬菜销售经营部经营的不合格食品“姜”等12批次，现将对上述不合格食品所采取的风险控制措施情况进行公示（详见附件）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附件：“姜”等12批次问题食品风险控制措施信息公示表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2024年1月24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“姜”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等12批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798"/>
        <w:gridCol w:w="1187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highlight w:val="none"/>
              </w:rPr>
              <w:t>抽检基本情况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2023/10/18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检验项目：毒死蜱,mg/kg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标准指标：≤0.02         实测值：0.095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检验依据：GB 2763-2021《食品安全国家标准 食品中农药最大残留限量》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名称：宜良县刘水仙蔬菜销售经营部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地址：云南省昆明市宜良县南羊街道起春社区居民委员会起春农贸市场 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未销售给消费者。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2023-10-17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"检验项目：毒死蜱,mg/kg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标准指标：≤0.02         实测值：0.038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检验依据：GB 2763-2021《食品安全国家标准 食品中农药最大残留限量》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名称：宜良官琼芳蔬菜摊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地址：云南省昆明市宜良县匡远街道办耙耙村综合农贸市场 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销售：5kg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该批次食品已销售食用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葱（大葱）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2023/10/17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"检验项目：毒死蜱,mg/kg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标准指标：≤0.02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实测值：0.087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检验依据：GB 23200.113-2018《食品安全国家标准 植物源性食品中208种农药及其代谢物残留量的测定 气相色谱-质谱联用法》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检验项目：氯氟氰菊酯和高效氯氟氰菊酯,mg/kg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标准指标：≤0.2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实测值：0.31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检验依据：GB 23200.113-2018《食品安全国家标准 植物源性食品中208种农药及其代谢物残留量的测定 气相色谱-质谱联用法》"  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"名称：宜良县陆琼芝蔬菜摊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地址：云南省昆明市宜良县匡远街道办耙耙村综合农贸市场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销售：11kg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该批次食品已销售食用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1.责令改正。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韭菜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2023-10-18 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"检验项目：毒死蜱,mg/kg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标准指标：≤0.02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实测值：0.11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检验依据：GB 23200.113-2018《食品安全国家标准 植物源性食品中208种农药及其代谢物残留量的测定 气相色谱-质谱联用法》"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"名称：宜良县陈语国蔬菜经营部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地址：云南省昆明市宜良县匡远街道办事处起春农贸市场蔬菜区1区4号"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未销售给消费者。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牛蛙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2023/10/19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"检验项目：呋喃唑酮代谢物,µg/kg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标准指标：不得检出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实测值：2.20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检验依据：农业部783号公告-1-2006《水产品中硝基呋喃类代谢物残留量的测定 液相色谱-串联质谱法》"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"名称：宜良县益佳水产品店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地址：云南省昆明市宜良县南羊街道起春农贸市场1号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销售：11.5kg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该批次食品已销售食用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辣椒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2023/10/17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"检验项目：噻虫胺,mg/kg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标准指标：≤0.05         实测值：0.076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检验依据：GB 23200.39-2016《食品安全国家标准 食品中噻虫嗪及其代谢物噻虫胺残留量的测定 液相色谱-质谱/质谱法》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"名称：宜良杨相由蔬菜摊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地址：云南省昆明市宜良县匡远街道办粑粑村综合农贸市场 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销售：1.1kg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该批次食品已销售食用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福寿鱼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2023/10/19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"检验项目：地西泮,mg/kg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标准指标：≤0.05         实测值：0.076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检验依据：SN/T 3235-2012《出口动物源食品中多类禁用药物残留量检测方法 液相色谱-质谱/质谱法》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"名称：宜良县益佳水产品店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地址：云南省昆明市宜良县南羊街道起春农贸市场1号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销售：11.5kg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该批次食品已销售食用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豇豆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2023/10/20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"检验项目：噻虫胺,mg/kg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标准指标：≤0.05         实测值：0.076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检验依据：GB 23200.39-2016《食品安全国家标准 食品中噻虫嗪及其代谢物噻虫胺残留量的测定 液相色谱-质谱/质谱法》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"名称：宜良谢永岗蔬菜摊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地址：云南省昆明市宜良县匡远街道办永安农贸市场9-12号摊 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未销售给消费者。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芹菜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2023/10/19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"检验项目：噻虫胺,mg/kg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标准指标：≤0.04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实测值：0.091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检验依据：GB 23200.39-2016《食品安全国家标准 食品中噻虫嗪及其代谢物噻虫胺残留量的测定 液相色谱-质谱/质谱法》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"名称：宜良县薛峰蔬菜摊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地址：云南省昆明市宜良县南羊街道办事处起春农贸市场3号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销售：0.1kg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该批次食品已销售食用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泥鳅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2023/10/19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"检验项目：恩诺沙星,µg/kg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标准指标：≤100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实测值：860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检验依据：农业部1077号公告-1-2008《水产品中17种磺胺类及15种喹诺酮类药物残留量的测定 液相色谱-串联质谱法》"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"名称：宜良县益佳水产品店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地址：云南省昆明市宜良县南羊街道起春农贸市场1号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销售：10.8kg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该批次食品已销售食用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豇豆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2023/10/20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"检验项目：噻虫胺,mg/kg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标准指标：≤0.01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实测值：0.020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检验依据：GB 23200.39-2016《食品安全国家标准 食品中噻虫嗪及其代谢物噻虫胺残留量的测定 液相色谱-质谱/质谱法》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"名称：宜良县徐继兰蔬菜配送中心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地址：云南省昆明市宜良县匡远街道办永安农贸市场189-191号摊 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未销售给消费者。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食荚豌豆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2023/10/20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"检验项目：多菌灵,mg/kg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标准指标：≤0.02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实测值：0.11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检验依据：GB/T 20769-2008《水果和蔬菜中450种农药及相关化学品残留量的测定 液相色谱-串联质谱法》"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"名称：宜良葛华蔬菜摊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地址：云南省昆明市宜良县匡远道办永安农贸市场5-8号摊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未销售给消费者。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1223243"/>
    <w:rsid w:val="033829E1"/>
    <w:rsid w:val="035244AA"/>
    <w:rsid w:val="04842EF4"/>
    <w:rsid w:val="0578469A"/>
    <w:rsid w:val="05C46F44"/>
    <w:rsid w:val="06091E42"/>
    <w:rsid w:val="07143973"/>
    <w:rsid w:val="0A756EBC"/>
    <w:rsid w:val="0A924A8D"/>
    <w:rsid w:val="0C5C7774"/>
    <w:rsid w:val="0CCC311F"/>
    <w:rsid w:val="0D0D31A1"/>
    <w:rsid w:val="0E663E31"/>
    <w:rsid w:val="0EB607F6"/>
    <w:rsid w:val="0ED84B46"/>
    <w:rsid w:val="0F386404"/>
    <w:rsid w:val="0FE25A03"/>
    <w:rsid w:val="10727CEF"/>
    <w:rsid w:val="11ED6706"/>
    <w:rsid w:val="14155F3C"/>
    <w:rsid w:val="149B7444"/>
    <w:rsid w:val="153320AA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B071F13"/>
    <w:rsid w:val="1BC16CEB"/>
    <w:rsid w:val="1CDB2D58"/>
    <w:rsid w:val="1D0B0F73"/>
    <w:rsid w:val="1D171300"/>
    <w:rsid w:val="1DBB791C"/>
    <w:rsid w:val="21093CBF"/>
    <w:rsid w:val="22870224"/>
    <w:rsid w:val="246A409A"/>
    <w:rsid w:val="25902459"/>
    <w:rsid w:val="26825140"/>
    <w:rsid w:val="291525D3"/>
    <w:rsid w:val="2ADA26ED"/>
    <w:rsid w:val="2CE33F5E"/>
    <w:rsid w:val="2E0126F5"/>
    <w:rsid w:val="309B0BCA"/>
    <w:rsid w:val="31AC38E8"/>
    <w:rsid w:val="32B640E0"/>
    <w:rsid w:val="347C0AA2"/>
    <w:rsid w:val="34CB38DF"/>
    <w:rsid w:val="35530373"/>
    <w:rsid w:val="35E4587E"/>
    <w:rsid w:val="35F9419A"/>
    <w:rsid w:val="39692AFD"/>
    <w:rsid w:val="396E526F"/>
    <w:rsid w:val="39A60029"/>
    <w:rsid w:val="3A7B3876"/>
    <w:rsid w:val="3AA8708E"/>
    <w:rsid w:val="3C754345"/>
    <w:rsid w:val="3DB2638A"/>
    <w:rsid w:val="40557159"/>
    <w:rsid w:val="41883237"/>
    <w:rsid w:val="42826913"/>
    <w:rsid w:val="42FA3CC5"/>
    <w:rsid w:val="43232A93"/>
    <w:rsid w:val="434308A0"/>
    <w:rsid w:val="4432303F"/>
    <w:rsid w:val="45674C02"/>
    <w:rsid w:val="458D4A6E"/>
    <w:rsid w:val="48982C8E"/>
    <w:rsid w:val="48B850F6"/>
    <w:rsid w:val="499556B2"/>
    <w:rsid w:val="49A30382"/>
    <w:rsid w:val="49BC0E4C"/>
    <w:rsid w:val="4A795B46"/>
    <w:rsid w:val="4F9A7C29"/>
    <w:rsid w:val="513163E8"/>
    <w:rsid w:val="52607071"/>
    <w:rsid w:val="543B3C17"/>
    <w:rsid w:val="556B4924"/>
    <w:rsid w:val="56BF4503"/>
    <w:rsid w:val="58230FB2"/>
    <w:rsid w:val="590C4EBC"/>
    <w:rsid w:val="590E7A96"/>
    <w:rsid w:val="5A551F11"/>
    <w:rsid w:val="5AAF0BD7"/>
    <w:rsid w:val="5AAF4057"/>
    <w:rsid w:val="5C9B3469"/>
    <w:rsid w:val="5D2C1E45"/>
    <w:rsid w:val="5D305CC0"/>
    <w:rsid w:val="623C318E"/>
    <w:rsid w:val="624839FE"/>
    <w:rsid w:val="653F4014"/>
    <w:rsid w:val="65F30AA8"/>
    <w:rsid w:val="669D111B"/>
    <w:rsid w:val="66D070BB"/>
    <w:rsid w:val="676003F0"/>
    <w:rsid w:val="67A105B0"/>
    <w:rsid w:val="68692766"/>
    <w:rsid w:val="690D143F"/>
    <w:rsid w:val="693C6A1C"/>
    <w:rsid w:val="6A300611"/>
    <w:rsid w:val="6D0B7D08"/>
    <w:rsid w:val="6D192697"/>
    <w:rsid w:val="6E046527"/>
    <w:rsid w:val="6F407241"/>
    <w:rsid w:val="6FED162F"/>
    <w:rsid w:val="73EC456E"/>
    <w:rsid w:val="74A975B7"/>
    <w:rsid w:val="74F518D3"/>
    <w:rsid w:val="7718492D"/>
    <w:rsid w:val="774368F1"/>
    <w:rsid w:val="780B4FE0"/>
    <w:rsid w:val="7B7B4E8E"/>
    <w:rsid w:val="7CA66D23"/>
    <w:rsid w:val="7CDE126B"/>
    <w:rsid w:val="7D2828A8"/>
    <w:rsid w:val="7DA96F94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349</TotalTime>
  <ScaleCrop>false</ScaleCrop>
  <LinksUpToDate>false</LinksUpToDate>
  <CharactersWithSpaces>524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2024-01-24T01:46:51Z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