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1" w:lineRule="exact"/>
        <w:rPr>
          <w:color w:val="auto"/>
          <w:sz w:val="24"/>
          <w:szCs w:val="24"/>
        </w:rPr>
      </w:pPr>
      <w:bookmarkStart w:id="9" w:name="_GoBack"/>
      <w:bookmarkEnd w:id="9"/>
      <w:bookmarkStart w:id="0" w:name="page1"/>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商品房预售许可（县级权限）注销</w:t>
      </w:r>
    </w:p>
    <w:p>
      <w:pPr>
        <w:spacing w:after="0" w:line="200" w:lineRule="exact"/>
        <w:rPr>
          <w:color w:val="auto"/>
          <w:sz w:val="24"/>
          <w:szCs w:val="24"/>
        </w:rPr>
      </w:pPr>
    </w:p>
    <w:p>
      <w:pPr>
        <w:spacing w:after="0" w:line="208"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【00011711700303】</w:t>
      </w:r>
    </w:p>
    <w:p>
      <w:pPr>
        <w:spacing w:after="0" w:line="362"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商品房预售许可【00011711700Y】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商品房预售许可（县级权限）【000117117003】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商品房预售许可（县级权限）注销(00011711700303)(审核通</w:t>
      </w:r>
    </w:p>
    <w:p>
      <w:pPr>
        <w:spacing w:after="0" w:line="254"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过)</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（1）《中华人民共和国城市房地产管理法》第四十五条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号）第四</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号）第五</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（3）《城市商品房预售管理办法》（建设部令第 40 号）第六</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96"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号）第十三条</w:t>
      </w:r>
    </w:p>
    <w:p>
      <w:pPr>
        <w:spacing w:after="0" w:line="172"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号）第十</w:t>
      </w:r>
    </w:p>
    <w:p>
      <w:pPr>
        <w:sectPr>
          <w:pgSz w:w="11900" w:h="16838"/>
          <w:pgMar w:top="1440" w:right="1440" w:bottom="1440" w:left="1440" w:header="0" w:footer="0" w:gutter="0"/>
          <w:cols w:equalWidth="0" w:num="1">
            <w:col w:w="9026"/>
          </w:cols>
        </w:sectPr>
      </w:pPr>
    </w:p>
    <w:p>
      <w:pPr>
        <w:spacing w:after="0" w:line="133" w:lineRule="exact"/>
        <w:rPr>
          <w:color w:val="auto"/>
          <w:sz w:val="20"/>
          <w:szCs w:val="20"/>
        </w:rPr>
      </w:pPr>
      <w:bookmarkStart w:id="1" w:name="page2"/>
      <w:bookmarkEnd w:id="1"/>
    </w:p>
    <w:p>
      <w:pPr>
        <w:spacing w:after="0" w:line="370" w:lineRule="exact"/>
        <w:ind w:left="360"/>
        <w:rPr>
          <w:color w:val="auto"/>
          <w:sz w:val="20"/>
          <w:szCs w:val="20"/>
        </w:rPr>
      </w:pPr>
      <w:r>
        <w:rPr>
          <w:rFonts w:ascii="微软雅黑" w:hAnsi="微软雅黑" w:eastAsia="微软雅黑" w:cs="微软雅黑"/>
          <w:color w:val="auto"/>
          <w:sz w:val="28"/>
          <w:szCs w:val="28"/>
        </w:rPr>
        <w:t>五条</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窗口预受理</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商品房预售许可</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国家层面没有统一规定，具体由地方主管部门规定。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号）第五条商品房预售应当符合下列条件：</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商品房预售许可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研究完善商品房预售许可制度。规范商品房预售许可行为，利用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大数据等手段精简审批材料，提高审批效率。</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一是完善常态化监管机制。会同相关部门开展“双随机、一公</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开”检查，畅通投诉举报渠道，依法查处房地产企业违法违规行为。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二是提升信息化监管水平。积极利用“互联网+”、大数据等新技术</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建立健全预售资金监管信息系统，动态监管预售资金缴存、审批和拨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付情况，确保监管额度内的资金用于有关工程建设。三是加强行业信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用管理。将违法违规行为纳入房地产企业信用档案，发挥信用档案作</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用，作为企业资质审核的重要依据。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国家层面没有统一规定，具体由地方主管部门规定。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w w:val="99"/>
          <w:sz w:val="28"/>
          <w:szCs w:val="28"/>
        </w:rPr>
        <w:t>（1）《城市商品房预售管理办法》（建设部令第 40 号）第七条开发企业申请预售许可，应当提交下列证件（复印件）及资料：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面积、竣工交付日期等内容，并应当附预售商品房分层平面图。</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1.受理。材料齐全的，当场出具受理通知书；材料不齐的，当场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或者 5 日内一次性书面告知需要补充的材料。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2.审核。对有关材料是否符合法定条件进行审核。</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3.许可。符合法定条件的，在受理之日起 10 日内作出准予行政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许可书面决定，颁发《商品房预售许可证》。不符合法定条件的，在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受理之日起 10 日内作出不予许可的书面决定。书面决定应当说明理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由，告知开发企业享有依法申请行政复议或者提起行政诉讼的权利，</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并送达开发企业。</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4" w:name="page5"/>
      <w:bookmarkEnd w:id="4"/>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（三）许可。经审查，开发企业的申请符合法定条件的，房地产管理部门应当在受理之日起 10 日内，依法作出准予预售的行政许可书面决定，发送开发企业，并自作出决定之日起 10 日内向开发企业颁发、送达《商品房预售许可证》。</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ectPr>
          <w:pgSz w:w="11900" w:h="16838"/>
          <w:pgMar w:top="1440" w:right="1440" w:bottom="1134" w:left="1440" w:header="0" w:footer="0" w:gutter="0"/>
          <w:cols w:equalWidth="0" w:num="1">
            <w:col w:w="9026"/>
          </w:cols>
        </w:sectPr>
      </w:pPr>
    </w:p>
    <w:p>
      <w:pPr>
        <w:spacing w:after="0" w:line="190" w:lineRule="exact"/>
        <w:rPr>
          <w:color w:val="auto"/>
          <w:sz w:val="20"/>
          <w:szCs w:val="20"/>
        </w:rPr>
      </w:pPr>
      <w:bookmarkStart w:id="5" w:name="page6"/>
      <w:bookmarkEnd w:id="5"/>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3</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10</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20" w:lineRule="exact"/>
        <w:ind w:left="360" w:right="366" w:firstLine="559"/>
        <w:jc w:val="both"/>
        <w:rPr>
          <w:color w:val="auto"/>
          <w:sz w:val="20"/>
          <w:szCs w:val="20"/>
        </w:rPr>
      </w:pPr>
      <w:r>
        <w:rPr>
          <w:rFonts w:ascii="微软雅黑" w:hAnsi="微软雅黑" w:eastAsia="微软雅黑" w:cs="微软雅黑"/>
          <w:color w:val="auto"/>
          <w:sz w:val="27"/>
          <w:szCs w:val="27"/>
        </w:rPr>
        <w:t>（三）许可。经审查，开发企业的申请符合法定条件的，房地产管理部门应当在受理之日起 10 日内，依法作出准予预售的行政许可书面决定，发送开发企业，并自作出决定之日起 10 日内向开发企业</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6" w:name="page7"/>
      <w:bookmarkEnd w:id="6"/>
    </w:p>
    <w:p>
      <w:pPr>
        <w:spacing w:after="0" w:line="370" w:lineRule="exact"/>
        <w:ind w:left="360"/>
        <w:rPr>
          <w:color w:val="auto"/>
          <w:sz w:val="20"/>
          <w:szCs w:val="20"/>
        </w:rPr>
      </w:pPr>
      <w:r>
        <w:rPr>
          <w:rFonts w:ascii="微软雅黑" w:hAnsi="微软雅黑" w:eastAsia="微软雅黑" w:cs="微软雅黑"/>
          <w:color w:val="auto"/>
          <w:sz w:val="28"/>
          <w:szCs w:val="28"/>
        </w:rPr>
        <w:t>颁发、送达《商品房预售许可证》。</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w:t>
      </w:r>
    </w:p>
    <w:p>
      <w:pPr>
        <w:spacing w:after="0" w:line="214"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pacing w:after="0" w:line="24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无期限</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（1）《城市商品房预售管理办法》第六条 商品房预售实行许可</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制度。开发企业进行商品房预售，应当向房地产管理部门申请预售许</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7" w:name="page8"/>
      <w:bookmarkEnd w:id="7"/>
    </w:p>
    <w:p>
      <w:pPr>
        <w:spacing w:after="0" w:line="370" w:lineRule="exact"/>
        <w:ind w:left="360"/>
        <w:rPr>
          <w:color w:val="auto"/>
          <w:sz w:val="20"/>
          <w:szCs w:val="20"/>
        </w:rPr>
      </w:pPr>
      <w:r>
        <w:rPr>
          <w:rFonts w:ascii="微软雅黑" w:hAnsi="微软雅黑" w:eastAsia="微软雅黑" w:cs="微软雅黑"/>
          <w:color w:val="auto"/>
          <w:sz w:val="28"/>
          <w:szCs w:val="28"/>
        </w:rPr>
        <w:t>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是</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办理《商品房预售许可证》变更手续的要求，由地方主管部门规</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定。</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（1）《城市商品房预售管理办法》第六条第六条 商品房预售实</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行许可制度。开发企业进行商品房预售，应当向房地产管理部门申请</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预售许可，取得《商品房预售许可证》。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ectPr>
          <w:pgSz w:w="11900" w:h="16838"/>
          <w:pgMar w:top="1440" w:right="1440" w:bottom="1038" w:left="1440" w:header="0" w:footer="0" w:gutter="0"/>
          <w:cols w:equalWidth="0" w:num="1">
            <w:col w:w="9026"/>
          </w:cols>
        </w:sectPr>
      </w:pPr>
    </w:p>
    <w:p>
      <w:pPr>
        <w:spacing w:after="0" w:line="190" w:lineRule="exact"/>
        <w:rPr>
          <w:color w:val="auto"/>
          <w:sz w:val="20"/>
          <w:szCs w:val="20"/>
        </w:rPr>
      </w:pPr>
      <w:bookmarkStart w:id="8" w:name="page9"/>
      <w:bookmarkEnd w:id="8"/>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国务院住房和城乡建设主管部门，省级住房和城乡建设主管部</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门，市、县住房和城乡建设主管部门。</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F15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2023-12-29T10:00:00Z</dcterms:created>
  <dc:creator>Windows User</dc:creator>
  <cp:lastModifiedBy>桂花粉丝</cp:lastModifiedBy>
  <dcterms:modified xsi:type="dcterms:W3CDTF">2023-12-29T02:15:39Z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