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01" w:lineRule="exact"/>
        <w:rPr>
          <w:color w:val="auto"/>
          <w:sz w:val="24"/>
          <w:szCs w:val="24"/>
        </w:rPr>
      </w:pPr>
      <w:bookmarkStart w:id="0" w:name="page1"/>
      <w:bookmarkEnd w:id="0"/>
      <w:bookmarkStart w:id="9" w:name="_GoBack"/>
      <w:bookmarkEnd w:id="9"/>
    </w:p>
    <w:p>
      <w:pPr>
        <w:spacing w:after="0" w:line="528" w:lineRule="exact"/>
        <w:ind w:right="6"/>
        <w:jc w:val="center"/>
        <w:rPr>
          <w:color w:val="auto"/>
          <w:sz w:val="20"/>
          <w:szCs w:val="20"/>
        </w:rPr>
      </w:pPr>
      <w:r>
        <w:rPr>
          <w:rFonts w:ascii="微软雅黑" w:hAnsi="微软雅黑" w:eastAsia="微软雅黑" w:cs="微软雅黑"/>
          <w:color w:val="auto"/>
          <w:sz w:val="40"/>
          <w:szCs w:val="40"/>
        </w:rPr>
        <w:t>商品房预售许可（县级权限）变更</w:t>
      </w:r>
    </w:p>
    <w:p>
      <w:pPr>
        <w:spacing w:after="0" w:line="200" w:lineRule="exact"/>
        <w:rPr>
          <w:color w:val="auto"/>
          <w:sz w:val="24"/>
          <w:szCs w:val="24"/>
        </w:rPr>
      </w:pPr>
    </w:p>
    <w:p>
      <w:pPr>
        <w:spacing w:after="0" w:line="208" w:lineRule="exact"/>
        <w:rPr>
          <w:color w:val="auto"/>
          <w:sz w:val="24"/>
          <w:szCs w:val="24"/>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【00011711700302】</w:t>
      </w:r>
    </w:p>
    <w:p>
      <w:pPr>
        <w:spacing w:after="0" w:line="362"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商品房预售许可【00011711700Y】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商品房预售许可（县级权限）【000117117003】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商品房预售许可（县级权限）变更(00011711700302)(审核通</w:t>
      </w:r>
    </w:p>
    <w:p>
      <w:pPr>
        <w:spacing w:after="0" w:line="254"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过)</w:t>
      </w:r>
    </w:p>
    <w:p>
      <w:pPr>
        <w:spacing w:after="0" w:line="25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（1）《中华人民共和国城市房地产管理法》第四十五条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（1）《城市商品房预售管理办法》（建设部令第 40 号）第四</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（2）《城市商品房预售管理办法》（建设部令第 40 号）第五</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（3）《城市商品房预售管理办法》（建设部令第 40 号）第六</w:t>
      </w:r>
    </w:p>
    <w:p>
      <w:pPr>
        <w:spacing w:after="0" w:line="170" w:lineRule="exact"/>
        <w:rPr>
          <w:color w:val="auto"/>
          <w:sz w:val="24"/>
          <w:szCs w:val="24"/>
        </w:rPr>
      </w:pPr>
    </w:p>
    <w:p>
      <w:pPr>
        <w:spacing w:after="0" w:line="370" w:lineRule="exact"/>
        <w:ind w:left="360"/>
        <w:rPr>
          <w:color w:val="auto"/>
          <w:sz w:val="20"/>
          <w:szCs w:val="20"/>
        </w:rPr>
      </w:pPr>
      <w:r>
        <w:rPr>
          <w:rFonts w:ascii="微软雅黑" w:hAnsi="微软雅黑" w:eastAsia="微软雅黑" w:cs="微软雅黑"/>
          <w:color w:val="auto"/>
          <w:sz w:val="28"/>
          <w:szCs w:val="28"/>
        </w:rPr>
        <w:t>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96"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号）第十三条</w:t>
      </w:r>
    </w:p>
    <w:p>
      <w:pPr>
        <w:spacing w:after="0" w:line="172"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（2）《城市商品房预售管理办法》（建设部令第 40 号）第十</w:t>
      </w:r>
    </w:p>
    <w:p>
      <w:pPr>
        <w:sectPr>
          <w:pgSz w:w="11900" w:h="16838"/>
          <w:pgMar w:top="1440" w:right="1440" w:bottom="1440" w:left="1440" w:header="0" w:footer="0" w:gutter="0"/>
          <w:cols w:equalWidth="0" w:num="1">
            <w:col w:w="9026"/>
          </w:cols>
        </w:sectPr>
      </w:pPr>
    </w:p>
    <w:p>
      <w:pPr>
        <w:spacing w:after="0" w:line="133" w:lineRule="exact"/>
        <w:rPr>
          <w:color w:val="auto"/>
          <w:sz w:val="20"/>
          <w:szCs w:val="20"/>
        </w:rPr>
      </w:pPr>
      <w:bookmarkStart w:id="1" w:name="page2"/>
      <w:bookmarkEnd w:id="1"/>
    </w:p>
    <w:p>
      <w:pPr>
        <w:spacing w:after="0" w:line="370" w:lineRule="exact"/>
        <w:ind w:left="360"/>
        <w:rPr>
          <w:color w:val="auto"/>
          <w:sz w:val="20"/>
          <w:szCs w:val="20"/>
        </w:rPr>
      </w:pPr>
      <w:r>
        <w:rPr>
          <w:rFonts w:ascii="微软雅黑" w:hAnsi="微软雅黑" w:eastAsia="微软雅黑" w:cs="微软雅黑"/>
          <w:color w:val="auto"/>
          <w:sz w:val="28"/>
          <w:szCs w:val="28"/>
        </w:rPr>
        <w:t>五条</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窗口预受理</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商品房预售许可</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国家层面没有统一规定，具体由地方主管部门规定。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号）第五条商品房预售应当符合下列条件：</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（一）已交付全部土地使用权出让金，取得土地使用权证书；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（二）持有建设工程规划许可证和施工许可证；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（三）按提供预售的商品房计算，投入开发建设的资金达到工程</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建设总投资的 25％以上，并已经确定施工进度和竣工交付日期。</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企业法人</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2" w:name="page3"/>
      <w:bookmarkEnd w:id="2"/>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商品房预售许可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研究完善商品房预售许可制度。规范商品房预售许可行为，利用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大数据等手段精简审批材料，提高审批效率。</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一是完善常态化监管机制。会同相关部门开展“双随机、一公</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开”检查，畅通投诉举报渠道，依法查处房地产企业违法违规行为。</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二是提升信息化监管水平。积极利用“互联网+”、大数据等新技术</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建立健全预售资金监管信息系统，动态监管预售资金缴存、审批和拨</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付情况，确保监管额度内的资金用于有关工程建设。三是加强行业信</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用管理。将违法违规行为纳入房地产企业信用档案，发挥信用档案作</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用，作为企业资质审核的重要依据。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国家层面没有统一规定，具体由地方主管部门规定。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w w:val="99"/>
          <w:sz w:val="28"/>
          <w:szCs w:val="28"/>
        </w:rPr>
        <w:t>（1）《城市商品房预售管理办法》（建设部令第 40 号）第七条开发企业申请预售许可，应当提交下列证件（复印件）及资料：</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（一）商品房预售许可申请表；</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（二）开发企业的《营业执照》和资质证书；</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920"/>
        <w:rPr>
          <w:color w:val="auto"/>
          <w:sz w:val="20"/>
          <w:szCs w:val="20"/>
        </w:rPr>
      </w:pPr>
      <w:r>
        <w:rPr>
          <w:rFonts w:ascii="微软雅黑" w:hAnsi="微软雅黑" w:eastAsia="微软雅黑" w:cs="微软雅黑"/>
          <w:color w:val="auto"/>
          <w:sz w:val="28"/>
          <w:szCs w:val="28"/>
        </w:rPr>
        <w:t>（三）土地使用权证、建设工程规划许可证、施工许可证；</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（四）投入开发建设的资金占工程建设总投资的比例符合规定条</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件的证明；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（五）工程施工合同及关于施工进度的说明；</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（六）商品房预售方案。预售方案应当说明预售商品房的位置、</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面积、竣工交付日期等内容，并应当附预售商品房分层平面图。</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1.受理。材料齐全的，当场出具受理通知书；材料不齐的，当场</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或者 5 日内一次性书面告知需要补充的材料。</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2.审核。对有关材料是否符合法定条件进行审核。</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3.许可。符合法定条件的，在受理之日起 10 日内作出准予行政</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许可书面决定，颁发《商品房预售许可证》。不符合法定条件的，在</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受理之日起 10 日内作出不予许可的书面决定。书面决定应当说明理</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由，告知开发企业享有依法申请行政复议或者提起行政诉讼的权利，</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并送达开发企业。</w:t>
      </w:r>
    </w:p>
    <w:p>
      <w:pPr>
        <w:sectPr>
          <w:pgSz w:w="11900" w:h="16838"/>
          <w:pgMar w:top="1440" w:right="1440" w:bottom="1440" w:left="1440" w:header="0" w:footer="0" w:gutter="0"/>
          <w:cols w:equalWidth="0" w:num="1">
            <w:col w:w="9026"/>
          </w:cols>
        </w:sectPr>
      </w:pPr>
    </w:p>
    <w:p>
      <w:pPr>
        <w:spacing w:after="0" w:line="145" w:lineRule="exact"/>
        <w:rPr>
          <w:color w:val="auto"/>
          <w:sz w:val="20"/>
          <w:szCs w:val="20"/>
        </w:rPr>
      </w:pPr>
      <w:bookmarkStart w:id="4" w:name="page5"/>
      <w:bookmarkEnd w:id="4"/>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《城市商品房预售管理办法》（建设部令第 40 号）第八条商品房预售许可依下列程序办理：</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（一）受理。开发企业按本办法第七条的规定提交有关材料，材料齐全的，房地产管理部门应当当场出具受理通知书；材料不齐的，应当当场或者 5 日内一次性书面告知需要补充的材料。</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（二）审核。房地产管理部门对开发企业提供的有关材料是否符合法定条件进行审核。</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（三）许可。经审查，开发企业的申请符合法定条件的，房地产管理部门应当在受理之日起 10 日内，依法作出准予预售的行政许可书面决定，发送开发企业，并自作出决定之日起 10 日内向开发企业颁发、送达《商品房预售许可证》。</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pacing w:after="0" w:line="243" w:lineRule="exact"/>
        <w:rPr>
          <w:color w:val="auto"/>
          <w:sz w:val="20"/>
          <w:szCs w:val="20"/>
        </w:rPr>
      </w:pPr>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ectPr>
          <w:pgSz w:w="11900" w:h="16838"/>
          <w:pgMar w:top="1440" w:right="1440" w:bottom="1134" w:left="1440" w:header="0" w:footer="0" w:gutter="0"/>
          <w:cols w:equalWidth="0" w:num="1">
            <w:col w:w="9026"/>
          </w:cols>
        </w:sectPr>
      </w:pPr>
    </w:p>
    <w:p>
      <w:pPr>
        <w:spacing w:after="0" w:line="190" w:lineRule="exact"/>
        <w:rPr>
          <w:color w:val="auto"/>
          <w:sz w:val="20"/>
          <w:szCs w:val="20"/>
        </w:rPr>
      </w:pPr>
      <w:bookmarkStart w:id="5" w:name="page6"/>
      <w:bookmarkEnd w:id="5"/>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3</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10</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（1）《城市商品房预售管理办法》（建设部令第 40 号）第八条商品房预售许可依下列程序办理：</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（一）受理。开发企业按本办法第七条的规定提交有关材料，材料齐全的，房地产管理部门应当当场出具受理通知书；材料不齐的，应当当场或者 5 日内一次性书面告知需要补充的材料。</w:t>
      </w:r>
    </w:p>
    <w:p>
      <w:pPr>
        <w:spacing w:after="0" w:line="243"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（二）审核。房地产管理部门对开发企业提供的有关材料是否符合法定条件进行审核。</w:t>
      </w: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开发企业对所提交材料实质内容的真实性负责。</w:t>
      </w:r>
    </w:p>
    <w:p>
      <w:pPr>
        <w:spacing w:after="0" w:line="239" w:lineRule="exact"/>
        <w:rPr>
          <w:color w:val="auto"/>
          <w:sz w:val="20"/>
          <w:szCs w:val="20"/>
        </w:rPr>
      </w:pPr>
    </w:p>
    <w:p>
      <w:pPr>
        <w:spacing w:after="0" w:line="520" w:lineRule="exact"/>
        <w:ind w:left="360" w:right="366" w:firstLine="559"/>
        <w:jc w:val="both"/>
        <w:rPr>
          <w:color w:val="auto"/>
          <w:sz w:val="20"/>
          <w:szCs w:val="20"/>
        </w:rPr>
      </w:pPr>
      <w:r>
        <w:rPr>
          <w:rFonts w:ascii="微软雅黑" w:hAnsi="微软雅黑" w:eastAsia="微软雅黑" w:cs="微软雅黑"/>
          <w:color w:val="auto"/>
          <w:sz w:val="27"/>
          <w:szCs w:val="27"/>
        </w:rPr>
        <w:t>（三）许可。经审查，开发企业的申请符合法定条件的，房地产管理部门应当在受理之日起 10 日内，依法作出准予预售的行政许可书面决定，发送开发企业，并自作出决定之日起 10 日内向开发企业</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6" w:name="page7"/>
      <w:bookmarkEnd w:id="6"/>
    </w:p>
    <w:p>
      <w:pPr>
        <w:spacing w:after="0" w:line="370" w:lineRule="exact"/>
        <w:ind w:left="360"/>
        <w:rPr>
          <w:color w:val="auto"/>
          <w:sz w:val="20"/>
          <w:szCs w:val="20"/>
        </w:rPr>
      </w:pPr>
      <w:r>
        <w:rPr>
          <w:rFonts w:ascii="微软雅黑" w:hAnsi="微软雅黑" w:eastAsia="微软雅黑" w:cs="微软雅黑"/>
          <w:color w:val="auto"/>
          <w:sz w:val="28"/>
          <w:szCs w:val="28"/>
        </w:rPr>
        <w:t>颁发、送达《商品房预售许可证》。</w:t>
      </w:r>
    </w:p>
    <w:p>
      <w:pPr>
        <w:spacing w:after="0" w:line="239"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8"/>
          <w:szCs w:val="28"/>
        </w:rPr>
        <w:t>经审查，开发企业的申请不符合法定条件的，房地产管理部门应当在受理之日起 10 日内，依法作出不予许可的书面决定。书面决定应当说明理由，告知开发企业享有依法申请行政复议或者提起行政诉讼的权利，并送达开发企业。</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商品房预售许可决定书、不予商品房预售许可决定书应当加盖房地产管理部门的行政许可专用印章，《商品房预售许可证》应当加盖房地产管理部门的印章。</w:t>
      </w:r>
    </w:p>
    <w:p>
      <w:pPr>
        <w:spacing w:after="0" w:line="243" w:lineRule="exact"/>
        <w:rPr>
          <w:color w:val="auto"/>
          <w:sz w:val="20"/>
          <w:szCs w:val="20"/>
        </w:rPr>
      </w:pPr>
    </w:p>
    <w:p>
      <w:pPr>
        <w:spacing w:after="0" w:line="481" w:lineRule="exact"/>
        <w:ind w:left="360" w:right="226" w:firstLine="559"/>
        <w:rPr>
          <w:color w:val="auto"/>
          <w:sz w:val="20"/>
          <w:szCs w:val="20"/>
        </w:rPr>
      </w:pPr>
      <w:r>
        <w:rPr>
          <w:rFonts w:ascii="微软雅黑" w:hAnsi="微软雅黑" w:eastAsia="微软雅黑" w:cs="微软雅黑"/>
          <w:color w:val="auto"/>
          <w:sz w:val="28"/>
          <w:szCs w:val="28"/>
        </w:rPr>
        <w:t>（四）公示。房地产管理部门作出的准予商品房预售许可的决定，应当予以公开，公众有权查阅。</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w:t>
      </w:r>
    </w:p>
    <w:p>
      <w:pPr>
        <w:spacing w:after="0" w:line="214"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定收费标准的依据</w:t>
      </w:r>
    </w:p>
    <w:p>
      <w:pPr>
        <w:spacing w:after="0" w:line="24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无期限</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（1）《城市商品房预售管理办法》第六条 商品房预售实行许可</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制度。开发企业进行商品房预售，应当向房地产管理部门申请预售许</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7" w:name="page8"/>
      <w:bookmarkEnd w:id="7"/>
    </w:p>
    <w:p>
      <w:pPr>
        <w:spacing w:after="0" w:line="370" w:lineRule="exact"/>
        <w:ind w:left="360"/>
        <w:rPr>
          <w:color w:val="auto"/>
          <w:sz w:val="20"/>
          <w:szCs w:val="20"/>
        </w:rPr>
      </w:pPr>
      <w:r>
        <w:rPr>
          <w:rFonts w:ascii="微软雅黑" w:hAnsi="微软雅黑" w:eastAsia="微软雅黑" w:cs="微软雅黑"/>
          <w:color w:val="auto"/>
          <w:sz w:val="28"/>
          <w:szCs w:val="28"/>
        </w:rPr>
        <w:t>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是</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办理《商品房预售许可证》变更手续的要求，由地方主管部门规</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定。</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（1）《城市商品房预售管理办法》第六条 商品房预售实行许可</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制度。开发企业进行商品房预售，应当向房地产管理部门申请预售许</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可，取得《商品房预售许可证》。</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未取得《商品房预售许可证》的，不得进行商品房预售。</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ectPr>
          <w:pgSz w:w="11900" w:h="16838"/>
          <w:pgMar w:top="1440" w:right="1440" w:bottom="1038" w:left="1440" w:header="0" w:footer="0" w:gutter="0"/>
          <w:cols w:equalWidth="0" w:num="1">
            <w:col w:w="9026"/>
          </w:cols>
        </w:sectPr>
      </w:pPr>
    </w:p>
    <w:p>
      <w:pPr>
        <w:spacing w:after="0" w:line="190" w:lineRule="exact"/>
        <w:rPr>
          <w:color w:val="auto"/>
          <w:sz w:val="20"/>
          <w:szCs w:val="20"/>
        </w:rPr>
      </w:pPr>
      <w:bookmarkStart w:id="8" w:name="page9"/>
      <w:bookmarkEnd w:id="8"/>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国务院住房和城乡建设主管部门，省级住房和城乡建设主管部</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门，市、县住房和城乡建设主管部门。</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2E40A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1</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2023-12-29T10:00:00Z</dcterms:created>
  <dc:creator>Windows User</dc:creator>
  <cp:lastModifiedBy>桂花粉丝</cp:lastModifiedBy>
  <dcterms:modified xsi:type="dcterms:W3CDTF">2023-12-29T02:14:03Z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