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01" w:lineRule="exact"/>
        <w:rPr>
          <w:color w:val="auto"/>
          <w:sz w:val="24"/>
          <w:szCs w:val="24"/>
        </w:rPr>
      </w:pPr>
      <w:bookmarkStart w:id="0" w:name="page1"/>
      <w:bookmarkEnd w:id="0"/>
      <w:bookmarkStart w:id="10" w:name="_GoBack"/>
      <w:bookmarkEnd w:id="10"/>
    </w:p>
    <w:p>
      <w:pPr>
        <w:spacing w:after="0" w:line="528" w:lineRule="exact"/>
        <w:ind w:right="6"/>
        <w:jc w:val="center"/>
        <w:rPr>
          <w:color w:val="auto"/>
          <w:sz w:val="20"/>
          <w:szCs w:val="20"/>
        </w:rPr>
      </w:pPr>
      <w:r>
        <w:rPr>
          <w:rFonts w:ascii="微软雅黑" w:hAnsi="微软雅黑" w:eastAsia="微软雅黑" w:cs="微软雅黑"/>
          <w:color w:val="auto"/>
          <w:sz w:val="40"/>
          <w:szCs w:val="40"/>
        </w:rPr>
        <w:t>商品房预售许可（县级权限）核发</w:t>
      </w:r>
    </w:p>
    <w:p>
      <w:pPr>
        <w:spacing w:after="0" w:line="200" w:lineRule="exact"/>
        <w:rPr>
          <w:color w:val="auto"/>
          <w:sz w:val="24"/>
          <w:szCs w:val="24"/>
        </w:rPr>
      </w:pPr>
    </w:p>
    <w:p>
      <w:pPr>
        <w:spacing w:after="0" w:line="208" w:lineRule="exact"/>
        <w:rPr>
          <w:color w:val="auto"/>
          <w:sz w:val="24"/>
          <w:szCs w:val="24"/>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【00011711700301】</w:t>
      </w:r>
    </w:p>
    <w:p>
      <w:pPr>
        <w:spacing w:after="0" w:line="362"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商品房预售许可【00011711700Y】</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商品房预售许可（县级权限）【000117117003】</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商品房预售许可（县级权限）核发(00011711700301)(审核通</w:t>
      </w:r>
    </w:p>
    <w:p>
      <w:pPr>
        <w:spacing w:after="0" w:line="254"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过)</w:t>
      </w:r>
    </w:p>
    <w:p>
      <w:pPr>
        <w:spacing w:after="0" w:line="25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294"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（1）《中华人民共和国城市房地产管理法》第四十五条</w:t>
      </w:r>
    </w:p>
    <w:p>
      <w:pPr>
        <w:spacing w:after="0" w:line="18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8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（1）《城市商品房预售管理办法》（建设部令第 40 号）第四</w:t>
      </w:r>
    </w:p>
    <w:p>
      <w:pPr>
        <w:spacing w:after="0" w:line="170"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（2）《城市商品房预售管理办法》（建设部令第 40 号）第五</w:t>
      </w:r>
    </w:p>
    <w:p>
      <w:pPr>
        <w:spacing w:after="0" w:line="170"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（3）《城市商品房预售管理办法》（建设部令第 40 号）第六</w:t>
      </w:r>
    </w:p>
    <w:p>
      <w:pPr>
        <w:spacing w:after="0" w:line="170"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8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96"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（1）《城市商品房预售管理办法》（建设部令第 40 号）第十三条</w:t>
      </w:r>
    </w:p>
    <w:p>
      <w:pPr>
        <w:spacing w:after="0" w:line="172"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（2）《城市商品房预售管理办法》（建设部令第 40 号）第十</w:t>
      </w:r>
    </w:p>
    <w:p>
      <w:pPr>
        <w:sectPr>
          <w:pgSz w:w="11900" w:h="16838"/>
          <w:pgMar w:top="1440" w:right="1440" w:bottom="1440" w:left="1440" w:header="0" w:footer="0" w:gutter="0"/>
          <w:cols w:equalWidth="0" w:num="1">
            <w:col w:w="9026"/>
          </w:cols>
        </w:sectPr>
      </w:pPr>
    </w:p>
    <w:p>
      <w:pPr>
        <w:spacing w:after="0" w:line="133" w:lineRule="exact"/>
        <w:rPr>
          <w:color w:val="auto"/>
          <w:sz w:val="20"/>
          <w:szCs w:val="20"/>
        </w:rPr>
      </w:pPr>
      <w:bookmarkStart w:id="1" w:name="page2"/>
      <w:bookmarkEnd w:id="1"/>
    </w:p>
    <w:p>
      <w:pPr>
        <w:spacing w:after="0" w:line="370" w:lineRule="exact"/>
        <w:ind w:left="360"/>
        <w:rPr>
          <w:color w:val="auto"/>
          <w:sz w:val="20"/>
          <w:szCs w:val="20"/>
        </w:rPr>
      </w:pPr>
      <w:r>
        <w:rPr>
          <w:rFonts w:ascii="微软雅黑" w:hAnsi="微软雅黑" w:eastAsia="微软雅黑" w:cs="微软雅黑"/>
          <w:color w:val="auto"/>
          <w:sz w:val="28"/>
          <w:szCs w:val="28"/>
        </w:rPr>
        <w:t>五条</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窗口预受理</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商品房预售许可</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商品房预售应当符合下列条件：</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（一）已交付全部土地使用权出让金，取得土地使用权证书；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（二）持有建设工程规划许可证和施工许可证；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（三）按提供预售的商品房计算，投入开发建设的资金达到工程</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建设总投资的 25％以上，并已经确定施工进度和竣工交付日期。</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（1）《城市商品房预售管理办法》（建设部令第 40 号）第五</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条商品房预售应当符合下列条件：</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（一）已交付全部土地使用权出让金，取得土地使用权证书；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（二）持有建设工程规划许可证和施工许可证；</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2" w:name="page3"/>
      <w:bookmarkEnd w:id="2"/>
    </w:p>
    <w:p>
      <w:pPr>
        <w:spacing w:after="0" w:line="357" w:lineRule="exact"/>
        <w:ind w:left="920"/>
        <w:rPr>
          <w:color w:val="auto"/>
          <w:sz w:val="20"/>
          <w:szCs w:val="20"/>
        </w:rPr>
      </w:pPr>
      <w:r>
        <w:rPr>
          <w:rFonts w:ascii="微软雅黑" w:hAnsi="微软雅黑" w:eastAsia="微软雅黑" w:cs="微软雅黑"/>
          <w:color w:val="auto"/>
          <w:sz w:val="27"/>
          <w:szCs w:val="27"/>
        </w:rPr>
        <w:t>（三）按提供预售的商品房计算，投入开发建设的资金达到工程</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建设总投资的 25％以上，并已经确定施工进度和竣工交付日期。</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企业法人</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商品房预售许可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研究完善商品房预售许可制度。规范商品房预售许可行为，利用</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大数据等手段精简审批材料，提高审批效率。</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一是完善常态化监管机制。会同相关部门开展“双随机、一公</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开”检查，畅通投诉举报渠道，依法查处房地产企业违法违规行为。</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二是提升信息化监管水平。积极利用“互联网+”、大数据等新技术</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建立健全预售资金监管信息系统，动态监管预售资金缴存、审批和拨</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付情况，确保监管额度内的资金用于有关工程建设。三是加强行业信</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用管理。将违法违规行为纳入房地产企业信用档案，发挥信用档案作</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用，作为企业资质审核的重要依据。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开发企业申请预售许可，应当提交下列证件（复印件）及资料：</w:t>
      </w:r>
    </w:p>
    <w:p>
      <w:pPr>
        <w:spacing w:after="0" w:line="23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（一）商品房预售许可申请表；</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3" w:name="page4"/>
      <w:bookmarkEnd w:id="3"/>
    </w:p>
    <w:p>
      <w:pPr>
        <w:spacing w:after="0" w:line="370" w:lineRule="exact"/>
        <w:ind w:left="920"/>
        <w:rPr>
          <w:color w:val="auto"/>
          <w:sz w:val="20"/>
          <w:szCs w:val="20"/>
        </w:rPr>
      </w:pPr>
      <w:r>
        <w:rPr>
          <w:rFonts w:ascii="微软雅黑" w:hAnsi="微软雅黑" w:eastAsia="微软雅黑" w:cs="微软雅黑"/>
          <w:color w:val="auto"/>
          <w:sz w:val="28"/>
          <w:szCs w:val="28"/>
        </w:rPr>
        <w:t>（二）开发企业的《营业执照》和资质证书；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（三）土地使用权证、建设工程规划许可证、施工许可证；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（四）投入开发建设的资金占工程建设总投资的比例符合规定条</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件的证明；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（五）工程施工合同及关于施工进度的说明；</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（六）商品房预售方案。预售方案应当说明预售商品房的位置、</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面积、竣工交付日期等内容，并应当附预售商品房分层平面图。</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（1）《城市商品房预售管理办法》（建设部令第 40 号）第七</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条开发企业申请预售许可，应当提交下列证件（复印件）及资料：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（一）商品房预售许可申请表；</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（二）开发企业的《营业执照》和资质证书；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（三）土地使用权证、建设工程规划许可证、施工许可证；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（四）投入开发建设的资金占工程建设总投资的比例符合规定条</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件的证明；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（五）工程施工合同及关于施工进度的说明；</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（六）商品房预售方案。预售方案应当说明预售商品房的位置、</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面积、竣工交付日期等内容，并应当附预售商品房分层平面图。</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4" w:name="page5"/>
      <w:bookmarkEnd w:id="4"/>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1.受理。材料齐全的，当场出具受理通知书；材料不齐的，当场</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或者 5 日内一次性书面告知需要补充的材料。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2.审核。对有关材料是否符合法定条件进行审核。</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3.许可。符合法定条件的，在受理之日起 10 日内作出准予行政</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许可书面决定，颁发《商品房预售许可证》。不符合法定条件的，在</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受理之日起 10 日内作出不予许可的书面决定。书面决定应当说明理</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由，告知开发企业享有依法申请行政复议或者提起行政诉讼的权利，</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并送达开发企业。</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《城市商品房预售管理办法》（建设部令第 40 号）第八条商品</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房预售许可依下列程序办理：</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（一）受理。开发企业按本办法第七条的规定提交有关材料，材</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料齐全的，房地产管理部门应当当场出具受理通知书；材料不齐的，</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应当当场或者 5 日内一次性书面告知需要补充的材料。</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（二）审核。房地产管理部门对开发企业提供的有关材料是否符</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合法定条件进行审核。</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开发企业对所提交材料实质内容的真实性负责。</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（三）许可。经审查，开发企业的申请符合法定条件的，房地产</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管理部门应当在受理之日起 10 日内，依法作出准予预售的行政许可</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5" w:name="page6"/>
      <w:bookmarkEnd w:id="5"/>
    </w:p>
    <w:p>
      <w:pPr>
        <w:spacing w:after="0" w:line="481" w:lineRule="exact"/>
        <w:ind w:left="360" w:right="366"/>
        <w:jc w:val="both"/>
        <w:rPr>
          <w:color w:val="auto"/>
          <w:sz w:val="20"/>
          <w:szCs w:val="20"/>
        </w:rPr>
      </w:pPr>
      <w:r>
        <w:rPr>
          <w:rFonts w:ascii="微软雅黑" w:hAnsi="微软雅黑" w:eastAsia="微软雅黑" w:cs="微软雅黑"/>
          <w:color w:val="auto"/>
          <w:sz w:val="28"/>
          <w:szCs w:val="28"/>
        </w:rPr>
        <w:t>书面决定，发送开发企业，并自作出决定之日起 10 日内向开发企业颁发、送达《商品房预售许可证》。</w:t>
      </w:r>
    </w:p>
    <w:p>
      <w:pPr>
        <w:spacing w:after="0" w:line="239"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经审查，开发企业的申请不符合法定条件的，房地产管理部门应当在受理之日起 10 日内，依法作出不予许可的书面决定。书面决定应当说明理由，告知开发企业享有依法申请行政复议或者提起行政诉讼的权利，并送达开发企业。</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商品房预售许可决定书、不予商品房预售许可决定书应当加盖房地产管理部门的行政许可专用印章，《商品房预售许可证》应当加盖房地产管理部门的印章。</w:t>
      </w:r>
    </w:p>
    <w:p>
      <w:pPr>
        <w:spacing w:after="0" w:line="243" w:lineRule="exact"/>
        <w:rPr>
          <w:color w:val="auto"/>
          <w:sz w:val="20"/>
          <w:szCs w:val="20"/>
        </w:rPr>
      </w:pPr>
    </w:p>
    <w:p>
      <w:pPr>
        <w:spacing w:after="0" w:line="481" w:lineRule="exact"/>
        <w:ind w:left="360" w:right="226" w:firstLine="559"/>
        <w:rPr>
          <w:color w:val="auto"/>
          <w:sz w:val="20"/>
          <w:szCs w:val="20"/>
        </w:rPr>
      </w:pPr>
      <w:r>
        <w:rPr>
          <w:rFonts w:ascii="微软雅黑" w:hAnsi="微软雅黑" w:eastAsia="微软雅黑" w:cs="微软雅黑"/>
          <w:color w:val="auto"/>
          <w:sz w:val="28"/>
          <w:szCs w:val="28"/>
        </w:rPr>
        <w:t>（四）公示。房地产管理部门作出的准予商品房预售许可的决定，应当予以公开，公众有权查阅。</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5610860</wp:posOffset>
            </wp:positionH>
            <wp:positionV relativeFrom="paragraph">
              <wp:posOffset>26035</wp:posOffset>
            </wp:positionV>
            <wp:extent cx="12700" cy="38100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rcRect/>
                    <a:stretch>
                      <a:fillRect/>
                    </a:stretch>
                  </pic:blipFill>
                  <pic:spPr>
                    <a:xfrm>
                      <a:off x="0" y="0"/>
                      <a:ext cx="12700" cy="381000"/>
                    </a:xfrm>
                    <a:prstGeom prst="rect">
                      <a:avLst/>
                    </a:prstGeom>
                    <a:noFill/>
                  </pic:spPr>
                </pic:pic>
              </a:graphicData>
            </a:graphic>
          </wp:anchor>
        </w:drawing>
      </w:r>
    </w:p>
    <w:p>
      <w:pPr>
        <w:spacing w:after="0" w:line="21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3</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10</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ectPr>
          <w:pgSz w:w="11900" w:h="16838"/>
          <w:pgMar w:top="1440" w:right="1440" w:bottom="1440" w:left="1440" w:header="0" w:footer="0" w:gutter="0"/>
          <w:cols w:equalWidth="0" w:num="1">
            <w:col w:w="9026"/>
          </w:cols>
        </w:sectPr>
      </w:pPr>
    </w:p>
    <w:p>
      <w:pPr>
        <w:spacing w:after="0" w:line="145" w:lineRule="exact"/>
        <w:rPr>
          <w:color w:val="auto"/>
          <w:sz w:val="20"/>
          <w:szCs w:val="20"/>
        </w:rPr>
      </w:pPr>
      <w:bookmarkStart w:id="6" w:name="page7"/>
      <w:bookmarkEnd w:id="6"/>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（1）《城市商品房预售管理办法》（建设部令第 40 号）第八条商品房预售许可依下列程序办理：</w:t>
      </w:r>
    </w:p>
    <w:p>
      <w:pPr>
        <w:spacing w:after="0" w:line="239" w:lineRule="exact"/>
        <w:rPr>
          <w:color w:val="auto"/>
          <w:sz w:val="20"/>
          <w:szCs w:val="20"/>
        </w:rPr>
      </w:pPr>
    </w:p>
    <w:p>
      <w:pPr>
        <w:spacing w:after="0" w:line="519" w:lineRule="exact"/>
        <w:ind w:left="360" w:right="266" w:firstLine="559"/>
        <w:jc w:val="both"/>
        <w:rPr>
          <w:color w:val="auto"/>
          <w:sz w:val="20"/>
          <w:szCs w:val="20"/>
        </w:rPr>
      </w:pPr>
      <w:r>
        <w:rPr>
          <w:rFonts w:ascii="微软雅黑" w:hAnsi="微软雅黑" w:eastAsia="微软雅黑" w:cs="微软雅黑"/>
          <w:color w:val="auto"/>
          <w:sz w:val="28"/>
          <w:szCs w:val="28"/>
        </w:rPr>
        <w:t>（一）受理。开发企业按本办法第七条的规定提交有关材料，材料齐全的，房地产管理部门应当当场出具受理通知书；材料不齐的，应当当场或者 5 日内一次性书面告知需要补充的材料。</w:t>
      </w:r>
    </w:p>
    <w:p>
      <w:pPr>
        <w:spacing w:after="0" w:line="243"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（二）审核。房地产管理部门对开发企业提供的有关材料是否符合法定条件进行审核。</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开发企业对所提交材料实质内容的真实性负责。</w:t>
      </w:r>
    </w:p>
    <w:p>
      <w:pPr>
        <w:spacing w:after="0" w:line="239"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（三）许可。经审查，开发企业的申请符合法定条件的，房地产管理部门应当在受理之日起 10 日内，依法作出准予预售的行政许可书面决定，发送开发企业，并自作出决定之日起 10 日内向开发企业颁发、送达《商品房预售许可证》。</w:t>
      </w:r>
    </w:p>
    <w:p>
      <w:pPr>
        <w:spacing w:after="0" w:line="244"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经审查，开发企业的申请不符合法定条件的，房地产管理部门应当在受理之日起 10 日内，依法作出不予许可的书面决定。书面决定应当说明理由，告知开发企业享有依法申请行政复议或者提起行政诉讼的权利，并送达开发企业。</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商品房预售许可决定书、不予商品房预售许可决定书应当加盖房地产管理部门的行政许可专用印章，《商品房预售许可证》应当加盖房地产管理部门的印章。</w:t>
      </w:r>
    </w:p>
    <w:p>
      <w:pPr>
        <w:spacing w:after="0" w:line="243" w:lineRule="exact"/>
        <w:rPr>
          <w:color w:val="auto"/>
          <w:sz w:val="20"/>
          <w:szCs w:val="20"/>
        </w:rPr>
      </w:pPr>
    </w:p>
    <w:p>
      <w:pPr>
        <w:spacing w:after="0" w:line="481" w:lineRule="exact"/>
        <w:ind w:left="360" w:right="226" w:firstLine="559"/>
        <w:rPr>
          <w:color w:val="auto"/>
          <w:sz w:val="20"/>
          <w:szCs w:val="20"/>
        </w:rPr>
      </w:pPr>
      <w:r>
        <w:rPr>
          <w:rFonts w:ascii="微软雅黑" w:hAnsi="微软雅黑" w:eastAsia="微软雅黑" w:cs="微软雅黑"/>
          <w:color w:val="auto"/>
          <w:sz w:val="28"/>
          <w:szCs w:val="28"/>
        </w:rPr>
        <w:t>（四）公示。房地产管理部门作出的准予商品房预售许可的决定，应当予以公开，公众有权查阅。</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ectPr>
          <w:pgSz w:w="11900" w:h="16838"/>
          <w:pgMar w:top="1440" w:right="1440" w:bottom="1134" w:left="1440" w:header="0" w:footer="0" w:gutter="0"/>
          <w:cols w:equalWidth="0" w:num="1">
            <w:col w:w="9026"/>
          </w:cols>
        </w:sectPr>
      </w:pPr>
    </w:p>
    <w:p>
      <w:pPr>
        <w:spacing w:after="0" w:line="156" w:lineRule="exact"/>
        <w:rPr>
          <w:color w:val="auto"/>
          <w:sz w:val="20"/>
          <w:szCs w:val="20"/>
        </w:rPr>
      </w:pPr>
      <w:bookmarkStart w:id="7" w:name="page8"/>
      <w:bookmarkEnd w:id="7"/>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436" w:lineRule="exact"/>
        <w:ind w:left="360" w:right="366" w:firstLine="559"/>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收费项目的名称、收费项目的标准、设定收费项目的依据、规定收费标准的依据</w:t>
      </w:r>
    </w:p>
    <w:p>
      <w:pPr>
        <w:spacing w:after="0" w:line="24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审批结果的有效期限：</w:t>
      </w:r>
      <w:r>
        <w:rPr>
          <w:rFonts w:ascii="微软雅黑" w:hAnsi="微软雅黑" w:eastAsia="微软雅黑" w:cs="微软雅黑"/>
          <w:color w:val="auto"/>
          <w:sz w:val="28"/>
          <w:szCs w:val="28"/>
        </w:rPr>
        <w:t>无期限</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（1）《城市商品房预售管理办法》第六条 商品房预售实行许可</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制度。开发企业进行商品房预售，应当向房地产管理部门申请预售许</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可，取得《商品房预售许可证》。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未取得《商品房预售许可证》的，不得进行商品房预售。</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是</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办理《商品房预售许可证》变更手续的要求，由地方主管部门规</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定。</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全国</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ectPr>
          <w:pgSz w:w="11900" w:h="16838"/>
          <w:pgMar w:top="1440" w:right="1440" w:bottom="1148" w:left="1440" w:header="0" w:footer="0" w:gutter="0"/>
          <w:cols w:equalWidth="0" w:num="1">
            <w:col w:w="9026"/>
          </w:cols>
        </w:sectPr>
      </w:pPr>
    </w:p>
    <w:p>
      <w:pPr>
        <w:spacing w:after="0" w:line="190" w:lineRule="exact"/>
        <w:rPr>
          <w:color w:val="auto"/>
          <w:sz w:val="20"/>
          <w:szCs w:val="20"/>
        </w:rPr>
      </w:pPr>
      <w:bookmarkStart w:id="8" w:name="page9"/>
      <w:bookmarkEnd w:id="8"/>
    </w:p>
    <w:p>
      <w:pPr>
        <w:spacing w:after="0" w:line="357" w:lineRule="exact"/>
        <w:ind w:left="920"/>
        <w:rPr>
          <w:color w:val="auto"/>
          <w:sz w:val="20"/>
          <w:szCs w:val="20"/>
        </w:rPr>
      </w:pPr>
      <w:r>
        <w:rPr>
          <w:rFonts w:ascii="微软雅黑" w:hAnsi="微软雅黑" w:eastAsia="微软雅黑" w:cs="微软雅黑"/>
          <w:color w:val="auto"/>
          <w:sz w:val="27"/>
          <w:szCs w:val="27"/>
        </w:rPr>
        <w:t>（1）《城市商品房预售管理办法》第六条 商品房预售实行许可</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制度。开发企业进行商品房预售，应当向房地产管理部门申请预售许</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可，取得《商品房预售许可证》。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未取得《商品房预售许可证》的，不得进行商品房预售。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ectPr>
          <w:pgSz w:w="11900" w:h="16838"/>
          <w:pgMar w:top="1440" w:right="1440" w:bottom="1038" w:left="1440" w:header="0" w:footer="0" w:gutter="0"/>
          <w:cols w:equalWidth="0" w:num="1">
            <w:col w:w="9026"/>
          </w:cols>
        </w:sectPr>
      </w:pPr>
    </w:p>
    <w:p>
      <w:pPr>
        <w:spacing w:after="0" w:line="190" w:lineRule="exact"/>
        <w:rPr>
          <w:color w:val="auto"/>
          <w:sz w:val="20"/>
          <w:szCs w:val="20"/>
        </w:rPr>
      </w:pPr>
      <w:bookmarkStart w:id="9" w:name="page10"/>
      <w:bookmarkEnd w:id="9"/>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国务院住房和城乡建设主管部门，省级住房和城乡建设主管部</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门，市、县住房和城乡建设主管部门。</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C179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Theme="minorEastAsia"/>
      <w:sz w:val="22"/>
      <w:szCs w:val="22"/>
    </w:rPr>
  </w:style>
  <w:style w:type="character" w:default="1" w:styleId="3">
    <w:name w:val="Default Paragraph Font"/>
    <w:semiHidden/>
    <w:unhideWhenUsed/>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0</TotalTime>
  <ScaleCrop>false</ScaleCrop>
  <LinksUpToDate>false</LinksUpToDate>
  <CharactersWithSpaces>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2023-12-29T10:00:00Z</dcterms:created>
  <dc:creator>Windows User</dc:creator>
  <cp:lastModifiedBy>桂花粉丝</cp:lastModifiedBy>
  <dcterms:modified xsi:type="dcterms:W3CDTF">2023-12-29T02:14:53Z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