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14" w:lineRule="exact"/>
        <w:rPr>
          <w:color w:val="auto"/>
          <w:sz w:val="24"/>
          <w:szCs w:val="24"/>
        </w:rPr>
      </w:pPr>
    </w:p>
    <w:p>
      <w:pPr>
        <w:spacing w:after="0" w:line="515" w:lineRule="exact"/>
        <w:ind w:right="-13"/>
        <w:jc w:val="center"/>
        <w:rPr>
          <w:color w:val="auto"/>
          <w:sz w:val="24"/>
          <w:szCs w:val="24"/>
        </w:rPr>
      </w:pPr>
      <w:r>
        <w:rPr>
          <w:rFonts w:ascii="微软雅黑" w:hAnsi="微软雅黑" w:eastAsia="微软雅黑" w:cs="微软雅黑"/>
          <w:color w:val="auto"/>
          <w:sz w:val="39"/>
          <w:szCs w:val="39"/>
        </w:rPr>
        <w:t>行政许可事项实施规范</w:t>
      </w:r>
    </w:p>
    <w:p>
      <w:pPr>
        <w:spacing w:after="0" w:line="423" w:lineRule="exact"/>
        <w:ind w:right="-13"/>
        <w:jc w:val="center"/>
        <w:rPr>
          <w:color w:val="auto"/>
          <w:sz w:val="20"/>
          <w:szCs w:val="20"/>
        </w:rPr>
      </w:pPr>
      <w:r>
        <w:rPr>
          <w:rFonts w:ascii="微软雅黑" w:hAnsi="微软雅黑" w:eastAsia="微软雅黑" w:cs="微软雅黑"/>
          <w:color w:val="auto"/>
          <w:sz w:val="32"/>
          <w:szCs w:val="32"/>
        </w:rPr>
        <w:t>（基本要素）</w:t>
      </w:r>
    </w:p>
    <w:p>
      <w:pPr>
        <w:spacing w:after="0" w:line="200" w:lineRule="exact"/>
        <w:rPr>
          <w:color w:val="auto"/>
          <w:sz w:val="24"/>
          <w:szCs w:val="24"/>
        </w:rPr>
      </w:pPr>
    </w:p>
    <w:p>
      <w:pPr>
        <w:spacing w:after="0" w:line="200" w:lineRule="exact"/>
        <w:rPr>
          <w:color w:val="auto"/>
          <w:sz w:val="24"/>
          <w:szCs w:val="24"/>
        </w:rPr>
      </w:pPr>
    </w:p>
    <w:p>
      <w:pPr>
        <w:spacing w:after="0" w:line="200" w:lineRule="exact"/>
        <w:rPr>
          <w:color w:val="auto"/>
          <w:sz w:val="24"/>
          <w:szCs w:val="24"/>
        </w:rPr>
      </w:pP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一、行政许可事项名称：</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商品房预售许可</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二、主管部门：</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宜良县</w:t>
      </w:r>
      <w:r>
        <w:rPr>
          <w:rFonts w:hint="eastAsia" w:ascii="仿宋_GB2312" w:hAnsi="仿宋_GB2312" w:eastAsia="仿宋_GB2312" w:cs="仿宋_GB2312"/>
          <w:color w:val="auto"/>
          <w:sz w:val="32"/>
          <w:szCs w:val="32"/>
        </w:rPr>
        <w:t>住房和城乡建设局</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三、实施机关：</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宜良县</w:t>
      </w:r>
      <w:r>
        <w:rPr>
          <w:rFonts w:hint="eastAsia" w:ascii="仿宋_GB2312" w:hAnsi="仿宋_GB2312" w:eastAsia="仿宋_GB2312" w:cs="仿宋_GB2312"/>
          <w:color w:val="auto"/>
          <w:sz w:val="32"/>
          <w:szCs w:val="32"/>
        </w:rPr>
        <w:t>住房和城乡建设局</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四、设定和实施依据：</w:t>
      </w:r>
    </w:p>
    <w:p>
      <w:pPr>
        <w:keepNext w:val="0"/>
        <w:keepLines w:val="0"/>
        <w:pageBreakBefore w:val="0"/>
        <w:widowControl/>
        <w:kinsoku/>
        <w:wordWrap/>
        <w:overflowPunct/>
        <w:topLinePunct w:val="0"/>
        <w:autoSpaceDE/>
        <w:autoSpaceDN/>
        <w:bidi w:val="0"/>
        <w:adjustRightInd/>
        <w:snapToGrid/>
        <w:spacing w:after="0" w:line="560" w:lineRule="exact"/>
        <w:ind w:right="3486"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《中华人民共和国城市房地产管理法》</w:t>
      </w:r>
    </w:p>
    <w:p>
      <w:pPr>
        <w:keepNext w:val="0"/>
        <w:keepLines w:val="0"/>
        <w:pageBreakBefore w:val="0"/>
        <w:widowControl/>
        <w:kinsoku/>
        <w:wordWrap/>
        <w:overflowPunct/>
        <w:topLinePunct w:val="0"/>
        <w:autoSpaceDE/>
        <w:autoSpaceDN/>
        <w:bidi w:val="0"/>
        <w:adjustRightInd/>
        <w:snapToGrid/>
        <w:spacing w:after="0" w:line="560" w:lineRule="exact"/>
        <w:ind w:right="3486"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五、子项：</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1.商品房预售许可（</w:t>
      </w:r>
      <w:r>
        <w:rPr>
          <w:rFonts w:hint="eastAsia" w:ascii="仿宋_GB2312" w:hAnsi="仿宋_GB2312" w:eastAsia="仿宋_GB2312" w:cs="仿宋_GB2312"/>
          <w:color w:val="auto"/>
          <w:sz w:val="32"/>
          <w:szCs w:val="32"/>
          <w:lang w:eastAsia="zh-CN"/>
        </w:rPr>
        <w:t>核发</w:t>
      </w:r>
      <w:r>
        <w:rPr>
          <w:rFonts w:hint="eastAsia" w:ascii="仿宋_GB2312" w:hAnsi="仿宋_GB2312" w:eastAsia="仿宋_GB2312" w:cs="仿宋_GB2312"/>
          <w:color w:val="auto"/>
          <w:sz w:val="32"/>
          <w:szCs w:val="32"/>
        </w:rPr>
        <w:t>）</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2.商品房预售许可（注销）</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3.商品房预售许可（变更）</w:t>
      </w:r>
    </w:p>
    <w:p>
      <w:pPr>
        <w:spacing w:after="0" w:line="370" w:lineRule="exact"/>
        <w:ind w:firstLine="640" w:firstLineChars="200"/>
        <w:rPr>
          <w:rFonts w:hint="eastAsia" w:ascii="仿宋_GB2312" w:hAnsi="仿宋_GB2312" w:eastAsia="仿宋_GB2312" w:cs="仿宋_GB2312"/>
          <w:color w:val="auto"/>
          <w:sz w:val="32"/>
          <w:szCs w:val="32"/>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p>
    <w:p>
      <w:pPr>
        <w:spacing w:after="0" w:line="370" w:lineRule="exact"/>
        <w:ind w:firstLine="560" w:firstLineChars="200"/>
        <w:rPr>
          <w:rFonts w:ascii="微软雅黑" w:hAnsi="微软雅黑" w:eastAsia="微软雅黑" w:cs="微软雅黑"/>
          <w:color w:val="auto"/>
          <w:sz w:val="28"/>
          <w:szCs w:val="28"/>
        </w:rPr>
      </w:pPr>
      <w:bookmarkStart w:id="9" w:name="_GoBack"/>
      <w:bookmarkEnd w:id="9"/>
    </w:p>
    <w:p>
      <w:pPr>
        <w:spacing w:after="0" w:line="528" w:lineRule="exact"/>
        <w:ind w:right="6"/>
        <w:jc w:val="center"/>
        <w:rPr>
          <w:rFonts w:hint="eastAsia" w:eastAsia="微软雅黑"/>
          <w:color w:val="auto"/>
          <w:sz w:val="20"/>
          <w:szCs w:val="20"/>
          <w:lang w:val="en-US" w:eastAsia="zh-CN"/>
        </w:rPr>
      </w:pPr>
      <w:r>
        <w:rPr>
          <w:rFonts w:ascii="微软雅黑" w:hAnsi="微软雅黑" w:eastAsia="微软雅黑" w:cs="微软雅黑"/>
          <w:color w:val="auto"/>
          <w:sz w:val="40"/>
          <w:szCs w:val="40"/>
        </w:rPr>
        <w:t>商品房预售许可（县级权限）</w:t>
      </w:r>
      <w:r>
        <w:rPr>
          <w:rFonts w:hint="eastAsia" w:ascii="微软雅黑" w:hAnsi="微软雅黑" w:eastAsia="微软雅黑" w:cs="微软雅黑"/>
          <w:color w:val="auto"/>
          <w:sz w:val="40"/>
          <w:szCs w:val="40"/>
          <w:lang w:val="en-US" w:eastAsia="zh-CN"/>
        </w:rPr>
        <w:t>-主项</w:t>
      </w:r>
    </w:p>
    <w:p>
      <w:pPr>
        <w:spacing w:after="0" w:line="200" w:lineRule="exact"/>
        <w:rPr>
          <w:color w:val="auto"/>
          <w:sz w:val="20"/>
          <w:szCs w:val="20"/>
        </w:rPr>
      </w:pPr>
    </w:p>
    <w:p>
      <w:pPr>
        <w:spacing w:after="0" w:line="208" w:lineRule="exact"/>
        <w:rPr>
          <w:color w:val="auto"/>
          <w:sz w:val="20"/>
          <w:szCs w:val="20"/>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【000117117003】</w:t>
      </w:r>
    </w:p>
    <w:p>
      <w:pPr>
        <w:spacing w:after="0" w:line="362"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商品房预售许可【00011711700Y】</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商品房预售许可（县级权限）【000117117003】</w:t>
      </w:r>
    </w:p>
    <w:p>
      <w:pPr>
        <w:spacing w:after="0" w:line="27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7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1.商品房预售许可（县级权限）核发(00011711700301)</w:t>
      </w:r>
    </w:p>
    <w:p>
      <w:pPr>
        <w:spacing w:after="0" w:line="254" w:lineRule="exact"/>
        <w:rPr>
          <w:color w:val="auto"/>
          <w:sz w:val="20"/>
          <w:szCs w:val="20"/>
        </w:rPr>
      </w:pPr>
    </w:p>
    <w:p>
      <w:pPr>
        <w:numPr>
          <w:ilvl w:val="0"/>
          <w:numId w:val="1"/>
        </w:numPr>
        <w:tabs>
          <w:tab w:val="left" w:pos="1200"/>
        </w:tabs>
        <w:spacing w:after="0" w:line="370" w:lineRule="exact"/>
        <w:ind w:left="1200" w:hanging="281"/>
        <w:rPr>
          <w:rFonts w:ascii="微软雅黑" w:hAnsi="微软雅黑" w:eastAsia="微软雅黑" w:cs="微软雅黑"/>
          <w:color w:val="auto"/>
          <w:sz w:val="28"/>
          <w:szCs w:val="28"/>
        </w:rPr>
      </w:pPr>
      <w:r>
        <w:rPr>
          <w:rFonts w:ascii="微软雅黑" w:hAnsi="微软雅黑" w:eastAsia="微软雅黑" w:cs="微软雅黑"/>
          <w:color w:val="auto"/>
          <w:sz w:val="28"/>
          <w:szCs w:val="28"/>
        </w:rPr>
        <w:t>商品房预售许可（县级权限）变更(00011711700302)</w:t>
      </w:r>
    </w:p>
    <w:p>
      <w:pPr>
        <w:spacing w:after="0" w:line="254" w:lineRule="exact"/>
        <w:rPr>
          <w:rFonts w:ascii="微软雅黑" w:hAnsi="微软雅黑" w:eastAsia="微软雅黑" w:cs="微软雅黑"/>
          <w:color w:val="auto"/>
          <w:sz w:val="28"/>
          <w:szCs w:val="28"/>
        </w:rPr>
      </w:pPr>
    </w:p>
    <w:p>
      <w:pPr>
        <w:numPr>
          <w:ilvl w:val="0"/>
          <w:numId w:val="1"/>
        </w:numPr>
        <w:tabs>
          <w:tab w:val="left" w:pos="1200"/>
        </w:tabs>
        <w:spacing w:after="0" w:line="370" w:lineRule="exact"/>
        <w:ind w:left="1200" w:hanging="281"/>
        <w:rPr>
          <w:rFonts w:ascii="微软雅黑" w:hAnsi="微软雅黑" w:eastAsia="微软雅黑" w:cs="微软雅黑"/>
          <w:color w:val="auto"/>
          <w:sz w:val="28"/>
          <w:szCs w:val="28"/>
        </w:rPr>
      </w:pPr>
      <w:r>
        <w:rPr>
          <w:rFonts w:ascii="微软雅黑" w:hAnsi="微软雅黑" w:eastAsia="微软雅黑" w:cs="微软雅黑"/>
          <w:color w:val="auto"/>
          <w:sz w:val="28"/>
          <w:szCs w:val="28"/>
        </w:rPr>
        <w:t>商品房预售许可（县级权限）注销(00011711700303)</w:t>
      </w:r>
    </w:p>
    <w:p>
      <w:pPr>
        <w:spacing w:after="0" w:line="27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（1）《中华人民共和国城市房地产管理法》第四十五条</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（1）《城市商品房预售管理办法》（建设部令第 40 号）第四</w:t>
      </w:r>
    </w:p>
    <w:p>
      <w:pPr>
        <w:spacing w:after="0" w:line="17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7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（2）《城市商品房预售管理办法》（建设部令第 40 号）第五</w:t>
      </w:r>
    </w:p>
    <w:p>
      <w:pPr>
        <w:spacing w:after="0" w:line="17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7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（3）《城市商品房预售管理办法》（建设部令第 40 号）第六</w:t>
      </w:r>
    </w:p>
    <w:p>
      <w:pPr>
        <w:spacing w:after="0" w:line="17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96"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（1）《城市商品房预售管理办法》（建设部令第 40 号）第十三条</w:t>
      </w:r>
    </w:p>
    <w:p>
      <w:pPr>
        <w:sectPr>
          <w:pgSz w:w="11900" w:h="16838"/>
          <w:pgMar w:top="1440" w:right="1440" w:bottom="1440" w:left="1440" w:header="0" w:footer="0" w:gutter="0"/>
          <w:cols w:equalWidth="0" w:num="1">
            <w:col w:w="9026"/>
          </w:cols>
        </w:sectPr>
      </w:pPr>
    </w:p>
    <w:p>
      <w:pPr>
        <w:spacing w:after="0" w:line="142" w:lineRule="exact"/>
        <w:rPr>
          <w:color w:val="auto"/>
          <w:sz w:val="20"/>
          <w:szCs w:val="20"/>
        </w:rPr>
      </w:pPr>
      <w:bookmarkStart w:id="0" w:name="page3"/>
      <w:bookmarkEnd w:id="0"/>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（2）《城市商品房预售管理办法》（建设部令第 40 号）第十五条</w:t>
      </w:r>
    </w:p>
    <w:p>
      <w:pPr>
        <w:spacing w:after="0" w:line="22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窗口预受理</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商品房预售许可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15.</w:t>
      </w:r>
      <w:r>
        <w:rPr>
          <w:rFonts w:ascii="仿宋" w:hAnsi="仿宋" w:eastAsia="仿宋" w:cs="仿宋"/>
          <w:b/>
          <w:bCs/>
          <w:color w:val="auto"/>
          <w:sz w:val="28"/>
          <w:szCs w:val="28"/>
        </w:rPr>
        <w:t>要素统一情况：</w:t>
      </w:r>
      <w:r>
        <w:rPr>
          <w:rFonts w:ascii="微软雅黑" w:hAnsi="微软雅黑" w:eastAsia="微软雅黑" w:cs="微软雅黑"/>
          <w:color w:val="auto"/>
          <w:sz w:val="28"/>
          <w:szCs w:val="28"/>
        </w:rPr>
        <w:t>全省要素统一</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商品房预售应当符合下列条件：</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（一）已交付全部土地使用权出让金，取得土地使用权证书；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（二）持有建设工程规划许可证和施工许可证；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（三）按提供预售的商品房计算，投入开发建设的资金达到工程</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建设总投资的 25％以上，并已经确定施工进度和竣工交付日期。</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（1）《城市商品房预售管理办法》（建设部令第 40 号）第五</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条商品房预售应当符合下列条件：</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1" w:name="page4"/>
      <w:bookmarkEnd w:id="1"/>
    </w:p>
    <w:p>
      <w:pPr>
        <w:spacing w:after="0" w:line="370" w:lineRule="exact"/>
        <w:ind w:left="920"/>
        <w:rPr>
          <w:color w:val="auto"/>
          <w:sz w:val="20"/>
          <w:szCs w:val="20"/>
        </w:rPr>
      </w:pPr>
      <w:r>
        <w:rPr>
          <w:rFonts w:ascii="微软雅黑" w:hAnsi="微软雅黑" w:eastAsia="微软雅黑" w:cs="微软雅黑"/>
          <w:color w:val="auto"/>
          <w:sz w:val="28"/>
          <w:szCs w:val="28"/>
        </w:rPr>
        <w:t>（一）已交付全部土地使用权出让金，取得土地使用权证书；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（二）持有建设工程规划许可证和施工许可证；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（三）按提供预售的商品房计算，投入开发建设的资金达到工程</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建设总投资的 25％以上，并已经确定施工进度和竣工交付日期。</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企业法人</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商品房预售许可</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许可证件名称：商品房预售许可证</w:t>
      </w:r>
    </w:p>
    <w:p>
      <w:pPr>
        <w:spacing w:after="0" w:line="256"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研究完善商品房预售许可制度。规范商品房预售许可行为，利用</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大数据等手段精简审批材料，提高审批效率。将承诺审批时限由 10</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个工作日压减至 4 个工作日。</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一是完善常态化监管机制。会同相关部门开展“双随机、一公</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开”检查，畅通投诉举报渠道，依法查处房地产企业违法违规行为。</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二是提升信息化监管水平。积极利用“互联网+”、大数据等新技术</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建立健全预售资金监管信息系统，动态监管预售资金缴存、审批和拨</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付情况，确保监管额度内的资金用于有关工程建设。三是加强行业信</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用管理。将违法违规行为纳入房地产企业信用档案，发挥信用档案作</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用，作为企业资质审核的重要依据。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ectPr>
          <w:pgSz w:w="11900" w:h="16838"/>
          <w:pgMar w:top="1440" w:right="1440" w:bottom="1440" w:left="1440" w:header="0" w:footer="0" w:gutter="0"/>
          <w:cols w:equalWidth="0" w:num="1">
            <w:col w:w="9026"/>
          </w:cols>
        </w:sectPr>
      </w:pPr>
    </w:p>
    <w:p>
      <w:pPr>
        <w:spacing w:after="0" w:line="145" w:lineRule="exact"/>
        <w:rPr>
          <w:color w:val="auto"/>
          <w:sz w:val="20"/>
          <w:szCs w:val="20"/>
        </w:rPr>
      </w:pPr>
      <w:bookmarkStart w:id="2" w:name="page5"/>
      <w:bookmarkEnd w:id="2"/>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开发企业申请预售许可，应当提交下列证件（复印件）及资料：</w:t>
      </w:r>
    </w:p>
    <w:p>
      <w:pPr>
        <w:spacing w:after="0" w:line="23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（一）商品房预售许可申请表；</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（二）开发企业的《营业执照》和资质证书；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（三）土地使用权证、建设工程规划许可证、施工许可证；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（四）投入开发建设的资金占工程建设总投资的比例符合规定条</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件的证明；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（五）工程施工合同及关于施工进度的说明；</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（六）商品房预售方案。预售方案应当说明预售商品房的位置、</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面积、竣工交付日期等内容。</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（1）《城市商品房预售管理办法》（建设部令第 40 号）第七</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条开发企业申请预售许可，应当提交下列证件（复印件）及资料：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（一）商品房预售许可申请表；</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（二）开发企业的《营业执照》和资质证书；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（三）土地使用权证、建设工程规划许可证、施工许可证；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（四）投入开发建设的资金占工程建设总投资的比例符合规定条</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件的证明；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（五）工程施工合同及关于施工进度的说明；</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（六）商品房预售方案。预售方案应当说明预售商品房的位置、</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面积、竣工交付日期等内容。</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3" w:name="page6"/>
      <w:bookmarkEnd w:id="3"/>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1.受理。材料齐全的，当场出具受理通知书；材料不齐的，当场</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或者 5 日内一次性书面告知需要补充的材料。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2.审核。对有关材料是否符合法定条件进行审核。</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3.许可。符合法定条件的，在受理之日起 10 日内作出准予行政</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许可书面决定，颁发《商品房预售许可证》。不符合法定条件的，在</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受理之日起 10 日内作出不予许可的书面决定。书面决定应当说明理</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由，告知开发企业享有依法申请行政复议或者提起行政诉讼的权利，</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并送达开发企业。</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（1）《城市商品房预售管理办法》（建设部令第 40 号）第八</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条商品房预售许可依下列程序办理：</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（一）受理。开发企业按本办法第七条的规定提交有关材料，材</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料齐全的，房地产管理部门应当当场出具受理通知书；材料不齐的，</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应当当场或者 5 日内一次性书面告知需要补充的材料。</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（二）审核。房地产管理部门对开发企业提供的有关材料是否符</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合法定条件进行审核。</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4" w:name="page7"/>
      <w:bookmarkEnd w:id="4"/>
    </w:p>
    <w:p>
      <w:pPr>
        <w:spacing w:after="0" w:line="370" w:lineRule="exact"/>
        <w:ind w:left="920"/>
        <w:rPr>
          <w:color w:val="auto"/>
          <w:sz w:val="20"/>
          <w:szCs w:val="20"/>
        </w:rPr>
      </w:pPr>
      <w:r>
        <w:rPr>
          <w:rFonts w:ascii="微软雅黑" w:hAnsi="微软雅黑" w:eastAsia="微软雅黑" w:cs="微软雅黑"/>
          <w:color w:val="auto"/>
          <w:sz w:val="28"/>
          <w:szCs w:val="28"/>
        </w:rPr>
        <w:t>开发企业对所提交材料实质内容的真实性负责。</w:t>
      </w:r>
    </w:p>
    <w:p>
      <w:pPr>
        <w:spacing w:after="0" w:line="239"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（三）许可。经审查，开发企业的申请符合法定条件的，房地产管理部门应当在受理之日起 10 日内，依法作出准予预售的行政许可书面决定，发送开发企业，并自作出决定之日起 10 日内向开发企业颁发、送达《商品房预售许可证》。</w:t>
      </w:r>
    </w:p>
    <w:p>
      <w:pPr>
        <w:spacing w:after="0" w:line="244"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经审查，开发企业的申请不符合法定条件的，房地产管理部门应当在受理之日起 10 日内，依法作出不予许可的书面决定。书面决定应当说明理由，告知开发企业享有依法申请行政复议或者提起行政诉讼的权利，并送达开发企业。</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商品房预售许可决定书、不予商品房预售许可决定书应当加盖房地产管理部门的行政许可专用印章，《商品房预售许可证》应当加盖房地产管理部门的印章。</w:t>
      </w:r>
    </w:p>
    <w:p>
      <w:pPr>
        <w:spacing w:after="0" w:line="243" w:lineRule="exact"/>
        <w:rPr>
          <w:color w:val="auto"/>
          <w:sz w:val="20"/>
          <w:szCs w:val="20"/>
        </w:rPr>
      </w:pPr>
    </w:p>
    <w:p>
      <w:pPr>
        <w:spacing w:after="0" w:line="481" w:lineRule="exact"/>
        <w:ind w:left="360" w:right="226" w:firstLine="559"/>
        <w:rPr>
          <w:color w:val="auto"/>
          <w:sz w:val="20"/>
          <w:szCs w:val="20"/>
        </w:rPr>
      </w:pPr>
      <w:r>
        <w:rPr>
          <w:rFonts w:ascii="微软雅黑" w:hAnsi="微软雅黑" w:eastAsia="微软雅黑" w:cs="微软雅黑"/>
          <w:color w:val="auto"/>
          <w:sz w:val="28"/>
          <w:szCs w:val="28"/>
        </w:rPr>
        <w:t>（四）公示。房地产管理部门作出的准予商品房预售许可的决定，应当予以公开，公众有权查阅。</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ectPr>
          <w:pgSz w:w="11900" w:h="16838"/>
          <w:pgMar w:top="1440" w:right="1440" w:bottom="1074" w:left="1440" w:header="0" w:footer="0" w:gutter="0"/>
          <w:cols w:equalWidth="0" w:num="1">
            <w:col w:w="9026"/>
          </w:cols>
        </w:sectPr>
      </w:pPr>
    </w:p>
    <w:p>
      <w:pPr>
        <w:spacing w:after="0" w:line="156" w:lineRule="exact"/>
        <w:rPr>
          <w:color w:val="auto"/>
          <w:sz w:val="20"/>
          <w:szCs w:val="20"/>
        </w:rPr>
      </w:pPr>
      <w:bookmarkStart w:id="5" w:name="page8"/>
      <w:bookmarkEnd w:id="5"/>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3</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10</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（1）《城市商品房预售管理办法》（建设部令第 40 号）第八条商品房预售许可依下列程序办理：</w:t>
      </w:r>
    </w:p>
    <w:p>
      <w:pPr>
        <w:spacing w:after="0" w:line="239" w:lineRule="exact"/>
        <w:rPr>
          <w:color w:val="auto"/>
          <w:sz w:val="20"/>
          <w:szCs w:val="20"/>
        </w:rPr>
      </w:pPr>
    </w:p>
    <w:p>
      <w:pPr>
        <w:spacing w:after="0" w:line="519" w:lineRule="exact"/>
        <w:ind w:left="360" w:right="266" w:firstLine="559"/>
        <w:jc w:val="both"/>
        <w:rPr>
          <w:color w:val="auto"/>
          <w:sz w:val="20"/>
          <w:szCs w:val="20"/>
        </w:rPr>
      </w:pPr>
      <w:r>
        <w:rPr>
          <w:rFonts w:ascii="微软雅黑" w:hAnsi="微软雅黑" w:eastAsia="微软雅黑" w:cs="微软雅黑"/>
          <w:color w:val="auto"/>
          <w:sz w:val="28"/>
          <w:szCs w:val="28"/>
        </w:rPr>
        <w:t>（一）受理。开发企业按本办法第七条的规定提交有关材料，材料齐全的，房地产管理部门应当当场出具受理通知书；材料不齐的，应当当场或者 5 日内一次性书面告知需要补充的材料。</w:t>
      </w:r>
    </w:p>
    <w:p>
      <w:pPr>
        <w:spacing w:after="0" w:line="243"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（二）审核。房地产管理部门对开发企业提供的有关材料是否符合法定条件进行审核。</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开发企业对所提交材料实质内容的真实性负责。</w:t>
      </w:r>
    </w:p>
    <w:p>
      <w:pPr>
        <w:spacing w:after="0" w:line="239"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（三）许可。经审查，开发企业的申请符合法定条件的，房地产管理部门应当在受理之日起 10 日内，依法作出准予预售的行政许可书面决定，发送开发企业，并自作出决定之日起 10 日内向开发企业颁发、送达《商品房预售许可证》。</w:t>
      </w:r>
    </w:p>
    <w:p>
      <w:pPr>
        <w:spacing w:after="0" w:line="244"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经审查，开发企业的申请不符合法定条件的，房地产管理部门应当在受理之日起 10 日内，依法作出不予许可的书面决定。书面决定应当说明理由，告知开发企业享有依法申请行政复议或者提起行政诉讼的权利，并送达开发企业。</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商品房预售许可决定书、不予商品房预售许可决定书应当加盖房地产管理部门的行政许可专用印章，《商品房预售许可证》应当加盖房地产管理部门的印章。</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6" w:name="page9"/>
      <w:bookmarkEnd w:id="6"/>
    </w:p>
    <w:p>
      <w:pPr>
        <w:spacing w:after="0" w:line="481" w:lineRule="exact"/>
        <w:ind w:left="360" w:right="226" w:firstLine="559"/>
        <w:rPr>
          <w:color w:val="auto"/>
          <w:sz w:val="20"/>
          <w:szCs w:val="20"/>
        </w:rPr>
      </w:pPr>
      <w:r>
        <w:rPr>
          <w:rFonts w:ascii="微软雅黑" w:hAnsi="微软雅黑" w:eastAsia="微软雅黑" w:cs="微软雅黑"/>
          <w:color w:val="auto"/>
          <w:sz w:val="28"/>
          <w:szCs w:val="28"/>
        </w:rPr>
        <w:t>（四）公示。房地产管理部门作出的准予商品房预售许可的决定，应当予以公开，公众有权查阅。</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收费项目的名称、收费项目的标准、设定收费项目的依据、规</w:t>
      </w:r>
    </w:p>
    <w:p>
      <w:pPr>
        <w:spacing w:after="0" w:line="214"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定收费标准的依据</w:t>
      </w:r>
    </w:p>
    <w:p>
      <w:pPr>
        <w:spacing w:after="0" w:line="242"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审批结果的有效期限：</w:t>
      </w:r>
      <w:r>
        <w:rPr>
          <w:rFonts w:ascii="微软雅黑" w:hAnsi="微软雅黑" w:eastAsia="微软雅黑" w:cs="微软雅黑"/>
          <w:color w:val="auto"/>
          <w:sz w:val="28"/>
          <w:szCs w:val="28"/>
        </w:rPr>
        <w:t>无期限</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（1）《城市商品房预售管理办法》第六条第六条 商品房预售实</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行许可制度。开发企业进行商品房预售，应当向房地产管理部门申请</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预售许可，取得《商品房预售许可证》。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未取得《商品房预售许可证》的，不得进行商品房预售。</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是</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办理《商品房预售许可证》变更手续的要求，由地方主管部门规</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定。</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ectPr>
          <w:pgSz w:w="11900" w:h="16838"/>
          <w:pgMar w:top="1440" w:right="1440" w:bottom="962" w:left="1440" w:header="0" w:footer="0" w:gutter="0"/>
          <w:cols w:equalWidth="0" w:num="1">
            <w:col w:w="9026"/>
          </w:cols>
        </w:sectPr>
      </w:pPr>
    </w:p>
    <w:p>
      <w:pPr>
        <w:spacing w:after="0" w:line="145" w:lineRule="exact"/>
        <w:rPr>
          <w:color w:val="auto"/>
          <w:sz w:val="20"/>
          <w:szCs w:val="20"/>
        </w:rPr>
      </w:pPr>
      <w:bookmarkStart w:id="7" w:name="page10"/>
      <w:bookmarkEnd w:id="7"/>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全国</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（1）《城市商品房预售管理办法》第六条第六条 商品房预售实</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行许可制度。开发企业进行商品房预售，应当向房地产管理部门申请</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预售许可，取得《商品房预售许可证》。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未取得《商品房预售许可证》的，不得进行商品房预售。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ectPr>
          <w:pgSz w:w="11900" w:h="16838"/>
          <w:pgMar w:top="1440" w:right="1440" w:bottom="1106" w:left="1440" w:header="0" w:footer="0" w:gutter="0"/>
          <w:cols w:equalWidth="0" w:num="1">
            <w:col w:w="9026"/>
          </w:cols>
        </w:sectPr>
      </w:pPr>
    </w:p>
    <w:p>
      <w:pPr>
        <w:spacing w:after="0" w:line="181" w:lineRule="exact"/>
        <w:rPr>
          <w:color w:val="auto"/>
          <w:sz w:val="20"/>
          <w:szCs w:val="20"/>
        </w:rPr>
      </w:pPr>
      <w:bookmarkStart w:id="8" w:name="page11"/>
      <w:bookmarkEnd w:id="8"/>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国务院住房和城乡建设主管部门，省级住房和城乡建设主管部</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门，市、县住房和城乡建设主管部门。</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72AE"/>
    <w:multiLevelType w:val="singleLevel"/>
    <w:tmpl w:val="000072AE"/>
    <w:lvl w:ilvl="0" w:tentative="0">
      <w:start w:val="2"/>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4F1B8D"/>
    <w:rsid w:val="4FAB038C"/>
    <w:rsid w:val="51F12EAE"/>
    <w:rsid w:val="5A1802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6</TotalTime>
  <ScaleCrop>false</ScaleCrop>
  <LinksUpToDate>false</LinksUpToDate>
  <CharactersWithSpaces>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2023-12-29T10:00:00Z</dcterms:created>
  <dc:creator>Windows User</dc:creator>
  <cp:lastModifiedBy>Yuki</cp:lastModifiedBy>
  <dcterms:modified xsi:type="dcterms:W3CDTF">2023-12-29T07:19:00Z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