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12" w:lineRule="exact"/>
        <w:rPr>
          <w:color w:val="auto"/>
          <w:sz w:val="24"/>
          <w:szCs w:val="24"/>
        </w:rPr>
      </w:pPr>
      <w:bookmarkStart w:id="0" w:name="page1"/>
      <w:bookmarkEnd w:id="0"/>
    </w:p>
    <w:p>
      <w:pPr>
        <w:spacing w:after="0" w:line="726" w:lineRule="exact"/>
        <w:ind w:left="1820" w:right="140"/>
        <w:jc w:val="center"/>
        <w:rPr>
          <w:color w:val="auto"/>
          <w:sz w:val="20"/>
          <w:szCs w:val="20"/>
        </w:rPr>
      </w:pPr>
      <w:r>
        <w:rPr>
          <w:rFonts w:ascii="微软雅黑" w:hAnsi="微软雅黑" w:eastAsia="微软雅黑" w:cs="微软雅黑"/>
          <w:color w:val="auto"/>
          <w:sz w:val="40"/>
          <w:szCs w:val="40"/>
        </w:rPr>
        <w:t>建设工程消防设计审查（县级权限）（新设）【00011713600301】</w:t>
      </w:r>
    </w:p>
    <w:p>
      <w:pPr>
        <w:spacing w:after="0" w:line="364" w:lineRule="exact"/>
        <w:rPr>
          <w:color w:val="auto"/>
          <w:sz w:val="24"/>
          <w:szCs w:val="24"/>
        </w:rPr>
      </w:pPr>
    </w:p>
    <w:p>
      <w:pPr>
        <w:spacing w:after="0" w:line="320" w:lineRule="exact"/>
        <w:ind w:left="360"/>
        <w:rPr>
          <w:color w:val="auto"/>
          <w:sz w:val="20"/>
          <w:szCs w:val="20"/>
        </w:rPr>
      </w:pPr>
      <w:r>
        <w:rPr>
          <w:rFonts w:ascii="黑体" w:hAnsi="黑体" w:eastAsia="黑体" w:cs="黑体"/>
          <w:color w:val="auto"/>
          <w:sz w:val="28"/>
          <w:szCs w:val="28"/>
        </w:rPr>
        <w:t>一、基本要素</w:t>
      </w:r>
    </w:p>
    <w:p>
      <w:pPr>
        <w:spacing w:after="0" w:line="210"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行政许可事项名称及编码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建设工程消防设计审查【00011713600Y】</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行政许可事项子项名称及编码</w:t>
      </w:r>
    </w:p>
    <w:p>
      <w:pPr>
        <w:spacing w:after="0" w:line="17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建设工程消防设计审查（县级权限）【000117136003】</w:t>
      </w:r>
    </w:p>
    <w:p>
      <w:pPr>
        <w:spacing w:after="0" w:line="276"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行政许可事项业务办理项名称及编码</w:t>
      </w:r>
    </w:p>
    <w:p>
      <w:pPr>
        <w:spacing w:after="0" w:line="187" w:lineRule="exact"/>
        <w:rPr>
          <w:color w:val="auto"/>
          <w:sz w:val="24"/>
          <w:szCs w:val="24"/>
        </w:rPr>
      </w:pPr>
    </w:p>
    <w:p>
      <w:pPr>
        <w:spacing w:after="0" w:line="344" w:lineRule="exact"/>
        <w:ind w:left="920"/>
        <w:rPr>
          <w:color w:val="auto"/>
          <w:sz w:val="20"/>
          <w:szCs w:val="20"/>
        </w:rPr>
      </w:pPr>
      <w:r>
        <w:rPr>
          <w:rFonts w:ascii="微软雅黑" w:hAnsi="微软雅黑" w:eastAsia="微软雅黑" w:cs="微软雅黑"/>
          <w:color w:val="auto"/>
          <w:sz w:val="26"/>
          <w:szCs w:val="26"/>
        </w:rPr>
        <w:t>建设工程消防设计审查（县级权限）（新设）(00011713600301)</w:t>
      </w:r>
    </w:p>
    <w:p>
      <w:pPr>
        <w:spacing w:after="0" w:line="272"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设定依据</w:t>
      </w:r>
    </w:p>
    <w:p>
      <w:pPr>
        <w:spacing w:after="0" w:line="294"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（1）《中华人民共和国消防法》第十条</w:t>
      </w:r>
    </w:p>
    <w:p>
      <w:pPr>
        <w:spacing w:after="0" w:line="170"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（2）《中华人民共和国消防法》第十一条</w:t>
      </w:r>
    </w:p>
    <w:p>
      <w:pPr>
        <w:spacing w:after="0" w:line="179"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（3）《建设工程消防设计审查验收管理暂行规定》 （住房和城乡建设部令第 51 号）第十五条</w:t>
      </w:r>
    </w:p>
    <w:p>
      <w:pPr>
        <w:spacing w:after="0" w:line="172"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（4）《中华人民共和国消防法》第十二条</w:t>
      </w:r>
    </w:p>
    <w:p>
      <w:pPr>
        <w:spacing w:after="0" w:line="182" w:lineRule="exact"/>
        <w:rPr>
          <w:color w:val="auto"/>
          <w:sz w:val="24"/>
          <w:szCs w:val="24"/>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实施依据</w:t>
      </w:r>
    </w:p>
    <w:p>
      <w:pPr>
        <w:spacing w:after="0" w:line="188" w:lineRule="exact"/>
        <w:rPr>
          <w:color w:val="auto"/>
          <w:sz w:val="24"/>
          <w:szCs w:val="24"/>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（1）《中华人民共和国消防法》第十一条</w:t>
      </w:r>
    </w:p>
    <w:p>
      <w:pPr>
        <w:spacing w:after="0" w:line="179"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（2）《建设工程消防设计审查验收管理暂行规定》（住房和城乡建设部令第 51 号）第十五条</w:t>
      </w:r>
    </w:p>
    <w:p>
      <w:pPr>
        <w:spacing w:after="0" w:line="181"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（3）《建设工程消防设计审查验收管理暂行规定》（住房和城乡建设部令第 51 号）第十六条</w:t>
      </w:r>
    </w:p>
    <w:p>
      <w:pPr>
        <w:spacing w:after="0" w:line="181" w:lineRule="exact"/>
        <w:rPr>
          <w:color w:val="auto"/>
          <w:sz w:val="24"/>
          <w:szCs w:val="24"/>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（4）《建设工程消防设计审查验收管理暂行规定》（住房和城乡建设部令第 51 号）第十七条</w:t>
      </w:r>
    </w:p>
    <w:p>
      <w:pPr>
        <w:sectPr>
          <w:pgSz w:w="11900" w:h="16838"/>
          <w:pgMar w:top="1440" w:right="1440" w:bottom="1440" w:left="1440" w:header="0" w:footer="0" w:gutter="0"/>
          <w:cols w:equalWidth="0" w:num="1">
            <w:col w:w="9026"/>
          </w:cols>
        </w:sectPr>
      </w:pPr>
    </w:p>
    <w:p>
      <w:pPr>
        <w:spacing w:after="0" w:line="142" w:lineRule="exact"/>
        <w:rPr>
          <w:color w:val="auto"/>
          <w:sz w:val="20"/>
          <w:szCs w:val="20"/>
        </w:rPr>
      </w:pPr>
      <w:bookmarkStart w:id="1" w:name="page2"/>
      <w:bookmarkEnd w:id="1"/>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（5）《建设工程消防设计审查验收管理暂行规定》（住房和城乡建设部令第 51 号）第十八条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（6）《建设工程消防设计审查验收管理暂行规定》（住房和城乡建设部令第 51 号）第十九条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（7）《建设工程消防设计审查验收管理暂行规定》（住房和城乡建设部令第 51 号）第二十一条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（8）《建设工程消防设计审查验收管理暂行规定》（住房和城乡建设部令第 51 号）第二十二条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（9）《建设工程消防设计审查验收管理暂行规定》（住房和城乡建设部令第 51 号）第二十三条</w:t>
      </w:r>
    </w:p>
    <w:p>
      <w:pPr>
        <w:spacing w:after="0" w:line="181"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（10）《建设工程消防设计审查验收管理暂行规定》（住房和城乡建设部令第 51 号）第二十五条</w:t>
      </w:r>
    </w:p>
    <w:p>
      <w:pPr>
        <w:spacing w:after="0" w:line="18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监管依据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（1）《中华人民共和国消防法》第十四条</w:t>
      </w:r>
    </w:p>
    <w:p>
      <w:pPr>
        <w:spacing w:after="0" w:line="179" w:lineRule="exact"/>
        <w:rPr>
          <w:color w:val="auto"/>
          <w:sz w:val="20"/>
          <w:szCs w:val="20"/>
        </w:rPr>
      </w:pPr>
    </w:p>
    <w:p>
      <w:pPr>
        <w:spacing w:after="0" w:line="450" w:lineRule="exact"/>
        <w:ind w:left="360" w:right="366" w:firstLine="559"/>
        <w:rPr>
          <w:color w:val="auto"/>
          <w:sz w:val="20"/>
          <w:szCs w:val="20"/>
        </w:rPr>
      </w:pPr>
      <w:r>
        <w:rPr>
          <w:rFonts w:ascii="微软雅黑" w:hAnsi="微软雅黑" w:eastAsia="微软雅黑" w:cs="微软雅黑"/>
          <w:color w:val="auto"/>
          <w:sz w:val="28"/>
          <w:szCs w:val="28"/>
        </w:rPr>
        <w:t>（2）《建设工程消防设计审查验收管理暂行规定》（住房和城乡建设部令第 51 号）第三条</w:t>
      </w:r>
    </w:p>
    <w:p>
      <w:pPr>
        <w:spacing w:after="0" w:line="22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实施机关：</w:t>
      </w:r>
      <w:bookmarkStart w:id="10" w:name="_GoBack"/>
      <w:bookmarkEnd w:id="10"/>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审批层级：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行使层级：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是否由审批机关受理：</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受理层级：</w:t>
      </w:r>
      <w:r>
        <w:rPr>
          <w:rFonts w:ascii="微软雅黑" w:hAnsi="微软雅黑" w:eastAsia="微软雅黑" w:cs="微软雅黑"/>
          <w:color w:val="auto"/>
          <w:sz w:val="28"/>
          <w:szCs w:val="28"/>
        </w:rPr>
        <w:t>县级</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12.</w:t>
      </w:r>
      <w:r>
        <w:rPr>
          <w:rFonts w:ascii="仿宋" w:hAnsi="仿宋" w:eastAsia="仿宋" w:cs="仿宋"/>
          <w:b/>
          <w:bCs/>
          <w:color w:val="auto"/>
          <w:sz w:val="28"/>
          <w:szCs w:val="28"/>
        </w:rPr>
        <w:t>是否存在初审环节：</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13.</w:t>
      </w:r>
      <w:r>
        <w:rPr>
          <w:rFonts w:ascii="仿宋" w:hAnsi="仿宋" w:eastAsia="仿宋" w:cs="仿宋"/>
          <w:b/>
          <w:bCs/>
          <w:color w:val="auto"/>
          <w:sz w:val="28"/>
          <w:szCs w:val="28"/>
        </w:rPr>
        <w:t>初审层级：</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14.</w:t>
      </w:r>
      <w:r>
        <w:rPr>
          <w:rFonts w:ascii="仿宋" w:hAnsi="仿宋" w:eastAsia="仿宋" w:cs="仿宋"/>
          <w:b/>
          <w:bCs/>
          <w:color w:val="auto"/>
          <w:sz w:val="28"/>
          <w:szCs w:val="28"/>
        </w:rPr>
        <w:t>对应政务服务事项国家级基本目录名称：</w:t>
      </w:r>
      <w:r>
        <w:rPr>
          <w:rFonts w:ascii="微软雅黑" w:hAnsi="微软雅黑" w:eastAsia="微软雅黑" w:cs="微软雅黑"/>
          <w:color w:val="auto"/>
          <w:sz w:val="28"/>
          <w:szCs w:val="28"/>
        </w:rPr>
        <w:t>建设工程消防设计</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2" w:name="page3"/>
      <w:bookmarkEnd w:id="2"/>
    </w:p>
    <w:p>
      <w:pPr>
        <w:spacing w:after="0" w:line="370" w:lineRule="exact"/>
        <w:ind w:left="360"/>
        <w:rPr>
          <w:color w:val="auto"/>
          <w:sz w:val="20"/>
          <w:szCs w:val="20"/>
        </w:rPr>
      </w:pPr>
      <w:r>
        <w:rPr>
          <w:rFonts w:ascii="微软雅黑" w:hAnsi="微软雅黑" w:eastAsia="微软雅黑" w:cs="微软雅黑"/>
          <w:color w:val="auto"/>
          <w:sz w:val="28"/>
          <w:szCs w:val="28"/>
        </w:rPr>
        <w:t>审查</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二、行政许可事项类型</w:t>
      </w:r>
    </w:p>
    <w:p>
      <w:pPr>
        <w:spacing w:after="0" w:line="24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条件型</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三、行政许可条件</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准予行政许可的条件</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（一）申请材料齐全、符合法定形式；（二）设计单位具有相应</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资质；（三）消防设计文件符合国家工程建设消防技术标准(具有本</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规定第十七条情形之一的特殊建设工程，特殊消防设计技术资料通过</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专家评审)。</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规定行政许可条件的依据</w:t>
      </w:r>
    </w:p>
    <w:p>
      <w:pPr>
        <w:spacing w:after="0" w:line="244" w:lineRule="exact"/>
        <w:rPr>
          <w:color w:val="auto"/>
          <w:sz w:val="20"/>
          <w:szCs w:val="20"/>
        </w:rPr>
      </w:pPr>
    </w:p>
    <w:p>
      <w:pPr>
        <w:spacing w:after="0" w:line="570" w:lineRule="exact"/>
        <w:ind w:left="360" w:right="226" w:firstLine="559"/>
        <w:rPr>
          <w:color w:val="auto"/>
          <w:sz w:val="20"/>
          <w:szCs w:val="20"/>
        </w:rPr>
      </w:pPr>
      <w:r>
        <w:rPr>
          <w:rFonts w:ascii="微软雅黑" w:hAnsi="微软雅黑" w:eastAsia="微软雅黑" w:cs="微软雅黑"/>
          <w:color w:val="auto"/>
          <w:sz w:val="28"/>
          <w:szCs w:val="28"/>
        </w:rPr>
        <w:t>（1）《建设工程消防设计审查验收管理暂行规定》（住房和城乡建设部令第 51 号）第二十三条对符合下列条件的，消防设计审查验收主管部门应当出具消防设计审查合格意见：（一）申请材料齐全、符合法定形式；（二）设计单位具有相应资质；（三）消防设计文件符合国家工程建设消防技术标准(具有本规定第十七条情形之一的特殊建设工程，特殊消防设计技术资料通过专家评审)。对不符合前款规定条件的，消防设计审查验收主管部门应当出具消防设计审查不合格意见，并说明理由。</w:t>
      </w:r>
    </w:p>
    <w:p>
      <w:pPr>
        <w:spacing w:after="0" w:line="242" w:lineRule="exact"/>
        <w:rPr>
          <w:color w:val="auto"/>
          <w:sz w:val="20"/>
          <w:szCs w:val="20"/>
        </w:rPr>
      </w:pPr>
    </w:p>
    <w:p>
      <w:pPr>
        <w:spacing w:after="0" w:line="551" w:lineRule="exact"/>
        <w:ind w:left="360" w:right="366" w:firstLine="559"/>
        <w:jc w:val="both"/>
        <w:rPr>
          <w:color w:val="auto"/>
          <w:sz w:val="20"/>
          <w:szCs w:val="20"/>
        </w:rPr>
      </w:pPr>
      <w:r>
        <w:rPr>
          <w:rFonts w:ascii="微软雅黑" w:hAnsi="微软雅黑" w:eastAsia="微软雅黑" w:cs="微软雅黑"/>
          <w:color w:val="auto"/>
          <w:sz w:val="27"/>
          <w:szCs w:val="27"/>
        </w:rPr>
        <w:t>（2）《建设工程消防设计审查验收管理暂行规定》（住房和城乡建设部令第 51 号）第十七条特殊建设工程具有下列情形之一的，建设单位除提交本规定第十六条所列材料外，还应当同时提交特殊消防设计技术资料：（一）国家工程建设消防技术标准没有规定，必须采用国际标准或者境外工程建设消防技术标准的；二）消防设计文件</w:t>
      </w:r>
    </w:p>
    <w:p>
      <w:pPr>
        <w:sectPr>
          <w:pgSz w:w="11900" w:h="16838"/>
          <w:pgMar w:top="1440" w:right="1440" w:bottom="1440" w:left="1440" w:header="0" w:footer="0" w:gutter="0"/>
          <w:cols w:equalWidth="0" w:num="1">
            <w:col w:w="9026"/>
          </w:cols>
        </w:sectPr>
      </w:pPr>
    </w:p>
    <w:p>
      <w:pPr>
        <w:spacing w:after="0" w:line="181" w:lineRule="exact"/>
        <w:rPr>
          <w:color w:val="auto"/>
          <w:sz w:val="20"/>
          <w:szCs w:val="20"/>
        </w:rPr>
      </w:pPr>
      <w:bookmarkStart w:id="3" w:name="page4"/>
      <w:bookmarkEnd w:id="3"/>
    </w:p>
    <w:p>
      <w:pPr>
        <w:spacing w:after="0" w:line="370" w:lineRule="exact"/>
        <w:ind w:left="360"/>
        <w:rPr>
          <w:color w:val="auto"/>
          <w:sz w:val="20"/>
          <w:szCs w:val="20"/>
        </w:rPr>
      </w:pPr>
      <w:r>
        <w:rPr>
          <w:rFonts w:ascii="微软雅黑" w:hAnsi="微软雅黑" w:eastAsia="微软雅黑" w:cs="微软雅黑"/>
          <w:color w:val="auto"/>
          <w:sz w:val="28"/>
          <w:szCs w:val="28"/>
        </w:rPr>
        <w:t>拟采用的新技术、新工艺、新材料不符合国家工程建设消防技术标准</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规定的。前款所称特殊消防设计技术资料，应当包括特殊消防设计文</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w w:val="99"/>
          <w:sz w:val="28"/>
          <w:szCs w:val="28"/>
        </w:rPr>
        <w:t>件，设计采用的国际标准、境外工程建设消防技术标准的中文文本，</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以及有关的应用实例、产品说明等资料。</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四、行政许可服务对象类型与改革举措</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服务对象类型：</w:t>
      </w:r>
      <w:r>
        <w:rPr>
          <w:rFonts w:ascii="微软雅黑" w:hAnsi="微软雅黑" w:eastAsia="微软雅黑" w:cs="微软雅黑"/>
          <w:color w:val="auto"/>
          <w:sz w:val="28"/>
          <w:szCs w:val="28"/>
        </w:rPr>
        <w:t>自然人,企业法人,事业单位法人,社会组织法人,</w:t>
      </w:r>
    </w:p>
    <w:p>
      <w:pPr>
        <w:spacing w:after="0" w:line="222"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非法人企业,行政机关,其他组织</w:t>
      </w:r>
    </w:p>
    <w:p>
      <w:pPr>
        <w:spacing w:after="0" w:line="24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是否为涉企许可事项：是</w:t>
      </w:r>
    </w:p>
    <w:p>
      <w:pPr>
        <w:spacing w:after="0" w:line="256"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涉企经营许可事项名称：</w:t>
      </w:r>
      <w:r>
        <w:rPr>
          <w:rFonts w:ascii="微软雅黑" w:hAnsi="微软雅黑" w:eastAsia="微软雅黑" w:cs="微软雅黑"/>
          <w:color w:val="auto"/>
          <w:sz w:val="28"/>
          <w:szCs w:val="28"/>
        </w:rPr>
        <w:t>建设工程消防设计审查</w:t>
      </w:r>
    </w:p>
    <w:p>
      <w:pPr>
        <w:spacing w:after="0" w:line="20" w:lineRule="exact"/>
        <w:rPr>
          <w:color w:val="auto"/>
          <w:sz w:val="20"/>
          <w:szCs w:val="20"/>
        </w:rPr>
      </w:pPr>
      <w:r>
        <w:rPr>
          <w:color w:val="auto"/>
          <w:sz w:val="20"/>
          <w:szCs w:val="20"/>
        </w:rPr>
        <w:drawing>
          <wp:anchor distT="0" distB="0" distL="114300" distR="114300" simplePos="0" relativeHeight="251659264" behindDoc="1" locked="0" layoutInCell="0" allowOverlap="1">
            <wp:simplePos x="0" y="0"/>
            <wp:positionH relativeFrom="column">
              <wp:posOffset>5610860</wp:posOffset>
            </wp:positionH>
            <wp:positionV relativeFrom="paragraph">
              <wp:posOffset>26035</wp:posOffset>
            </wp:positionV>
            <wp:extent cx="12700" cy="3810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rcRect/>
                    <a:stretch>
                      <a:fillRect/>
                    </a:stretch>
                  </pic:blipFill>
                  <pic:spPr>
                    <a:xfrm>
                      <a:off x="0" y="0"/>
                      <a:ext cx="12700" cy="381000"/>
                    </a:xfrm>
                    <a:prstGeom prst="rect">
                      <a:avLst/>
                    </a:prstGeom>
                    <a:noFill/>
                  </pic:spPr>
                </pic:pic>
              </a:graphicData>
            </a:graphic>
          </wp:anchor>
        </w:drawing>
      </w:r>
    </w:p>
    <w:p>
      <w:pPr>
        <w:spacing w:after="0" w:line="21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许可证件名称：</w:t>
      </w:r>
      <w:r>
        <w:rPr>
          <w:rFonts w:ascii="微软雅黑" w:hAnsi="微软雅黑" w:eastAsia="微软雅黑" w:cs="微软雅黑"/>
          <w:color w:val="auto"/>
          <w:sz w:val="28"/>
          <w:szCs w:val="28"/>
        </w:rPr>
        <w:t>特殊建设工程消防设计审查意见书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改革方式：</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具体改革举措</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一是缩减申请要件，将特殊建设工程消防设计审查的申请要件从</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7 项缩减为 4 项。二是缩减审批时限，将承诺审批时限由 15 个工作</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日压减至 4 个工作日。</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加强事中事后监管措施</w:t>
      </w:r>
    </w:p>
    <w:p>
      <w:pPr>
        <w:spacing w:after="0" w:line="244" w:lineRule="exact"/>
        <w:rPr>
          <w:color w:val="auto"/>
          <w:sz w:val="20"/>
          <w:szCs w:val="20"/>
        </w:rPr>
      </w:pPr>
    </w:p>
    <w:p>
      <w:pPr>
        <w:numPr>
          <w:ilvl w:val="0"/>
          <w:numId w:val="1"/>
        </w:numPr>
        <w:tabs>
          <w:tab w:val="left" w:pos="1296"/>
        </w:tabs>
        <w:spacing w:after="0" w:line="552" w:lineRule="exact"/>
        <w:ind w:left="360" w:right="226" w:firstLine="559"/>
        <w:rPr>
          <w:rFonts w:ascii="微软雅黑" w:hAnsi="微软雅黑" w:eastAsia="微软雅黑" w:cs="微软雅黑"/>
          <w:color w:val="auto"/>
          <w:sz w:val="28"/>
          <w:szCs w:val="28"/>
        </w:rPr>
      </w:pPr>
      <w:r>
        <w:rPr>
          <w:rFonts w:ascii="微软雅黑" w:hAnsi="微软雅黑" w:eastAsia="微软雅黑" w:cs="微软雅黑"/>
          <w:color w:val="auto"/>
          <w:sz w:val="28"/>
          <w:szCs w:val="28"/>
        </w:rPr>
        <w:t>对依法应当进行消防设计审查的建设工程进行监管，依法查处违法违规行为。2. 依法对建设、设计、技术服务等单位进行监管，落实建设单位的首要责任和设计、技术服务等单位的主体责任，依法查处违法违规行为。 3. 加强诚信体系建设，强化对建设、设计、技术服务单位和从业人员的信用约束。</w:t>
      </w:r>
    </w:p>
    <w:p>
      <w:pPr>
        <w:spacing w:after="0" w:line="210"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五、申请材料</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申请材料名称</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4" w:name="page5"/>
      <w:bookmarkEnd w:id="4"/>
    </w:p>
    <w:p>
      <w:pPr>
        <w:spacing w:after="0" w:line="560" w:lineRule="exact"/>
        <w:ind w:left="360" w:right="366" w:firstLine="559"/>
        <w:jc w:val="both"/>
        <w:rPr>
          <w:color w:val="auto"/>
          <w:sz w:val="20"/>
          <w:szCs w:val="20"/>
        </w:rPr>
      </w:pPr>
      <w:r>
        <w:rPr>
          <w:rFonts w:ascii="微软雅黑" w:hAnsi="微软雅黑" w:eastAsia="微软雅黑" w:cs="微软雅黑"/>
          <w:color w:val="auto"/>
          <w:sz w:val="27"/>
          <w:szCs w:val="27"/>
        </w:rPr>
        <w:t>（一）消防设计审查申请表；（二）消防设计文件；（三）依法需要办理建设工程规划许可的，应当提交建设工程规划许可文件；（四）依法需要批准的临时性建筑，应当提交批准文件。特殊建设工程具有下列情形之一的，建设单位除提交上述材料外，还应当同时提交特殊消防设计技术资料：（一）国家工程建设消防技术标准没有规定，必须采用国际标准或者境外工程建设消防技术标准的；</w:t>
      </w:r>
    </w:p>
    <w:p>
      <w:pPr>
        <w:spacing w:after="0" w:line="200" w:lineRule="exact"/>
        <w:rPr>
          <w:color w:val="auto"/>
          <w:sz w:val="20"/>
          <w:szCs w:val="20"/>
        </w:rPr>
      </w:pPr>
    </w:p>
    <w:p>
      <w:pPr>
        <w:spacing w:after="0" w:line="200" w:lineRule="exact"/>
        <w:rPr>
          <w:color w:val="auto"/>
          <w:sz w:val="20"/>
          <w:szCs w:val="20"/>
        </w:rPr>
      </w:pPr>
    </w:p>
    <w:p>
      <w:pPr>
        <w:spacing w:after="0" w:line="200" w:lineRule="exact"/>
        <w:rPr>
          <w:color w:val="auto"/>
          <w:sz w:val="20"/>
          <w:szCs w:val="20"/>
        </w:rPr>
      </w:pPr>
    </w:p>
    <w:p>
      <w:pPr>
        <w:spacing w:after="0" w:line="241" w:lineRule="exact"/>
        <w:rPr>
          <w:color w:val="auto"/>
          <w:sz w:val="20"/>
          <w:szCs w:val="20"/>
        </w:rPr>
      </w:pPr>
    </w:p>
    <w:p>
      <w:pPr>
        <w:spacing w:after="0" w:line="539" w:lineRule="exact"/>
        <w:ind w:left="360" w:right="266" w:firstLine="559"/>
        <w:jc w:val="both"/>
        <w:rPr>
          <w:color w:val="auto"/>
          <w:sz w:val="20"/>
          <w:szCs w:val="20"/>
        </w:rPr>
      </w:pPr>
      <w:r>
        <w:rPr>
          <w:rFonts w:ascii="微软雅黑" w:hAnsi="微软雅黑" w:eastAsia="微软雅黑" w:cs="微软雅黑"/>
          <w:color w:val="auto"/>
          <w:sz w:val="27"/>
          <w:szCs w:val="27"/>
        </w:rPr>
        <w:t>（二）消防设计文件拟采用的新技术、新工艺、新材料不符合国家工程建设消防技术标准规定的。前款所称特殊消防设计技术资料，应当包括特殊消防设计文件，设计采用的国际标准、境外工程建设消防技术标准的中文文本，以及有关的应用实例、产品说明等资料。</w:t>
      </w:r>
    </w:p>
    <w:p>
      <w:pPr>
        <w:spacing w:after="0" w:line="199"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规定申请材料的依据</w:t>
      </w:r>
    </w:p>
    <w:p>
      <w:pPr>
        <w:spacing w:after="0" w:line="244" w:lineRule="exact"/>
        <w:rPr>
          <w:color w:val="auto"/>
          <w:sz w:val="20"/>
          <w:szCs w:val="20"/>
        </w:rPr>
      </w:pPr>
    </w:p>
    <w:p>
      <w:pPr>
        <w:spacing w:after="0" w:line="552" w:lineRule="exact"/>
        <w:ind w:left="360" w:right="226" w:firstLine="559"/>
        <w:rPr>
          <w:color w:val="auto"/>
          <w:sz w:val="20"/>
          <w:szCs w:val="20"/>
        </w:rPr>
      </w:pPr>
      <w:r>
        <w:rPr>
          <w:rFonts w:ascii="微软雅黑" w:hAnsi="微软雅黑" w:eastAsia="微软雅黑" w:cs="微软雅黑"/>
          <w:color w:val="auto"/>
          <w:w w:val="99"/>
          <w:sz w:val="28"/>
          <w:szCs w:val="28"/>
        </w:rPr>
        <w:t>（1）《建设工程消防设计审查验收管理暂行规定》（住房和城乡建设部令第 51 号）第十六条建设单位申请消防设计审查，应当提交下列材料：（一）消防设计审查申请表； （二）消防设计文件；（三）依法需要办理建设工程规划许可的，应当提交建设工程规划许可文件；（四）依法需要批准的临时性建筑，应当提交批准文件。</w:t>
      </w:r>
    </w:p>
    <w:p>
      <w:pPr>
        <w:spacing w:after="0" w:line="244" w:lineRule="exact"/>
        <w:rPr>
          <w:color w:val="auto"/>
          <w:sz w:val="20"/>
          <w:szCs w:val="20"/>
        </w:rPr>
      </w:pPr>
    </w:p>
    <w:p>
      <w:pPr>
        <w:spacing w:after="0" w:line="560" w:lineRule="exact"/>
        <w:ind w:left="360" w:right="366" w:firstLine="559"/>
        <w:jc w:val="both"/>
        <w:rPr>
          <w:color w:val="auto"/>
          <w:sz w:val="20"/>
          <w:szCs w:val="20"/>
        </w:rPr>
      </w:pPr>
      <w:r>
        <w:rPr>
          <w:rFonts w:ascii="微软雅黑" w:hAnsi="微软雅黑" w:eastAsia="微软雅黑" w:cs="微软雅黑"/>
          <w:color w:val="auto"/>
          <w:sz w:val="27"/>
          <w:szCs w:val="27"/>
        </w:rPr>
        <w:t>（2）《建设工程消防设计审查验收管理暂行规定》（住房和城乡建设部令第 51 号）第十七条特殊建设工程具有下列情形之一的，建设单位除提交本规定第十六条所列材料外，还应当同时提交特殊消防设计技术资料：（一）国家工程建设消防技术标准没有规定，必须采用国际标准或者境外工程建设消防技术标准的；（二）消防设计文件拟采用的新技术、新工艺、新材料不符合国家工程建设消防技术标</w:t>
      </w:r>
    </w:p>
    <w:p>
      <w:pPr>
        <w:sectPr>
          <w:pgSz w:w="11900" w:h="16838"/>
          <w:pgMar w:top="1440" w:right="1440" w:bottom="1145" w:left="1440" w:header="0" w:footer="0" w:gutter="0"/>
          <w:cols w:equalWidth="0" w:num="1">
            <w:col w:w="9026"/>
          </w:cols>
        </w:sectPr>
      </w:pPr>
    </w:p>
    <w:p>
      <w:pPr>
        <w:spacing w:after="0" w:line="181" w:lineRule="exact"/>
        <w:rPr>
          <w:color w:val="auto"/>
          <w:sz w:val="20"/>
          <w:szCs w:val="20"/>
        </w:rPr>
      </w:pPr>
      <w:bookmarkStart w:id="5" w:name="page6"/>
      <w:bookmarkEnd w:id="5"/>
    </w:p>
    <w:p>
      <w:pPr>
        <w:spacing w:after="0" w:line="370" w:lineRule="exact"/>
        <w:ind w:left="360"/>
        <w:rPr>
          <w:color w:val="auto"/>
          <w:sz w:val="20"/>
          <w:szCs w:val="20"/>
        </w:rPr>
      </w:pPr>
      <w:r>
        <w:rPr>
          <w:rFonts w:ascii="微软雅黑" w:hAnsi="微软雅黑" w:eastAsia="微软雅黑" w:cs="微软雅黑"/>
          <w:color w:val="auto"/>
          <w:sz w:val="28"/>
          <w:szCs w:val="28"/>
        </w:rPr>
        <w:t>准规定的。前款所称特殊消防设计技术资料，应当包括特殊消防设计</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文件，设计采用的国际标准、境外工程建设消防技术标准的中文文本，</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以及有关的应用实例、产品说明等资料。</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六、中介服务</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有无法定中介服务事项：</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中介服务事项名称：</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设定中介服务事项的依据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提供中介服务的机构：</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中介服务事项的收费性质：</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七、审批程序</w:t>
      </w:r>
    </w:p>
    <w:p>
      <w:pPr>
        <w:spacing w:after="0" w:line="210"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办理行政许可的程序环节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申请</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受理</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特殊消防设计专家评审</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审查</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出具意见</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规定行政许可程序的依据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《中华人民共和国消防法》第十条对按照国家工程建设消防技术</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标准需要进行消防设计的建设工程，实行建设工程消防设计审查验收</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制度。</w:t>
      </w:r>
    </w:p>
    <w:p>
      <w:pPr>
        <w:spacing w:after="0" w:line="230"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《建设工程消防设计审查验收管理暂行规定》（住房和城乡建设</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部令第 51 号）第十八条消防设计审查验收主管部门收到建设单位提</w:t>
      </w:r>
    </w:p>
    <w:p>
      <w:pPr>
        <w:sectPr>
          <w:pgSz w:w="11900" w:h="16838"/>
          <w:pgMar w:top="1440" w:right="1440" w:bottom="1440" w:left="1440" w:header="0" w:footer="0" w:gutter="0"/>
          <w:cols w:equalWidth="0" w:num="1">
            <w:col w:w="9026"/>
          </w:cols>
        </w:sectPr>
      </w:pPr>
    </w:p>
    <w:p>
      <w:pPr>
        <w:spacing w:after="0" w:line="190" w:lineRule="exact"/>
        <w:rPr>
          <w:color w:val="auto"/>
          <w:sz w:val="20"/>
          <w:szCs w:val="20"/>
        </w:rPr>
      </w:pPr>
      <w:bookmarkStart w:id="6" w:name="page7"/>
      <w:bookmarkEnd w:id="6"/>
    </w:p>
    <w:p>
      <w:pPr>
        <w:spacing w:after="0" w:line="481" w:lineRule="exact"/>
        <w:ind w:left="360" w:right="266"/>
        <w:rPr>
          <w:color w:val="auto"/>
          <w:sz w:val="20"/>
          <w:szCs w:val="20"/>
        </w:rPr>
      </w:pPr>
      <w:r>
        <w:rPr>
          <w:rFonts w:ascii="微软雅黑" w:hAnsi="微软雅黑" w:eastAsia="微软雅黑" w:cs="微软雅黑"/>
          <w:color w:val="auto"/>
          <w:sz w:val="28"/>
          <w:szCs w:val="28"/>
        </w:rPr>
        <w:t>交的消防设计审查申请后，对申请材料齐全的，应当出具受理凭证；申请材料不齐全的，应当一次性告知需要补正的全部内容。</w:t>
      </w:r>
    </w:p>
    <w:p>
      <w:pPr>
        <w:spacing w:after="0" w:line="239" w:lineRule="exact"/>
        <w:rPr>
          <w:color w:val="auto"/>
          <w:sz w:val="20"/>
          <w:szCs w:val="20"/>
        </w:rPr>
      </w:pPr>
    </w:p>
    <w:p>
      <w:pPr>
        <w:spacing w:after="0" w:line="552" w:lineRule="exact"/>
        <w:ind w:left="360" w:right="226" w:firstLine="559"/>
        <w:rPr>
          <w:color w:val="auto"/>
          <w:sz w:val="20"/>
          <w:szCs w:val="20"/>
        </w:rPr>
      </w:pPr>
      <w:r>
        <w:rPr>
          <w:rFonts w:ascii="微软雅黑" w:hAnsi="微软雅黑" w:eastAsia="微软雅黑" w:cs="微软雅黑"/>
          <w:color w:val="auto"/>
          <w:sz w:val="28"/>
          <w:szCs w:val="28"/>
        </w:rPr>
        <w:t>《建设工程消防设计审查验收管理暂行规定》（住房和城乡建设部令第 51 号）第十九条对具有本规定第十七条情形之一的建设工程，消防设计审查验收主管部门应当自受理消防设计审查申请之日起五个工作日内，将申请材料报送省、自治区、直辖市人民政府住房和城乡建设主管部门组织专家评审。</w:t>
      </w:r>
    </w:p>
    <w:p>
      <w:pPr>
        <w:spacing w:after="0" w:line="244"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7"/>
          <w:szCs w:val="27"/>
        </w:rPr>
        <w:t>《建设工程消防设计审查验收管理暂行规定》（住房和城乡建设部令第 51 号）第二十一条省、自治区、直辖市人民政府住房和城乡建设主管部门应当在收到申请材料之日起十个工作日内组织召开专家评审会，对建设单位提交的特殊消防设计技术资料进行评审。</w:t>
      </w:r>
    </w:p>
    <w:p>
      <w:pPr>
        <w:spacing w:after="0" w:line="244" w:lineRule="exact"/>
        <w:rPr>
          <w:color w:val="auto"/>
          <w:sz w:val="20"/>
          <w:szCs w:val="20"/>
        </w:rPr>
      </w:pPr>
    </w:p>
    <w:p>
      <w:pPr>
        <w:spacing w:after="0" w:line="539" w:lineRule="exact"/>
        <w:ind w:left="360" w:right="366" w:firstLine="559"/>
        <w:jc w:val="both"/>
        <w:rPr>
          <w:color w:val="auto"/>
          <w:sz w:val="20"/>
          <w:szCs w:val="20"/>
        </w:rPr>
      </w:pPr>
      <w:r>
        <w:rPr>
          <w:rFonts w:ascii="微软雅黑" w:hAnsi="微软雅黑" w:eastAsia="微软雅黑" w:cs="微软雅黑"/>
          <w:color w:val="auto"/>
          <w:sz w:val="27"/>
          <w:szCs w:val="27"/>
        </w:rPr>
        <w:t>《建设工程消防设计审查验收管理暂行规定》（住房和城乡建设部令第 51 号）第二十二条消防设计审查验收主管部门应当自受理消防设计审查申请之日起十五个工作日内出具书面审查意见。依照本规定需要组织专家评审的，专家评审时间不超过二十个工作日。</w:t>
      </w:r>
    </w:p>
    <w:p>
      <w:pPr>
        <w:spacing w:after="0" w:line="244"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是否需要现场勘验：</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是否需要组织听证：</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是否需要招标、拍卖、挂牌交易：</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是否需要检验、检测、检疫：</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是否需要鉴定：</w:t>
      </w:r>
      <w:r>
        <w:rPr>
          <w:rFonts w:ascii="微软雅黑" w:hAnsi="微软雅黑" w:eastAsia="微软雅黑" w:cs="微软雅黑"/>
          <w:color w:val="auto"/>
          <w:sz w:val="28"/>
          <w:szCs w:val="28"/>
        </w:rPr>
        <w:t>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是否需要专家评审：</w:t>
      </w:r>
      <w:r>
        <w:rPr>
          <w:rFonts w:ascii="微软雅黑" w:hAnsi="微软雅黑" w:eastAsia="微软雅黑" w:cs="微软雅黑"/>
          <w:color w:val="auto"/>
          <w:sz w:val="28"/>
          <w:szCs w:val="28"/>
        </w:rPr>
        <w:t>部分情况下开展</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是否需要向社会公示：</w:t>
      </w:r>
      <w:r>
        <w:rPr>
          <w:rFonts w:ascii="微软雅黑" w:hAnsi="微软雅黑" w:eastAsia="微软雅黑" w:cs="微软雅黑"/>
          <w:color w:val="auto"/>
          <w:sz w:val="28"/>
          <w:szCs w:val="28"/>
        </w:rPr>
        <w:t>是</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是否实行告知承诺办理：</w:t>
      </w:r>
      <w:r>
        <w:rPr>
          <w:rFonts w:ascii="微软雅黑" w:hAnsi="微软雅黑" w:eastAsia="微软雅黑" w:cs="微软雅黑"/>
          <w:color w:val="auto"/>
          <w:sz w:val="28"/>
          <w:szCs w:val="28"/>
        </w:rPr>
        <w:t>否</w:t>
      </w:r>
    </w:p>
    <w:p>
      <w:pPr>
        <w:sectPr>
          <w:pgSz w:w="11900" w:h="16838"/>
          <w:pgMar w:top="1440" w:right="1440" w:bottom="1074" w:left="1440" w:header="0" w:footer="0" w:gutter="0"/>
          <w:cols w:equalWidth="0" w:num="1">
            <w:col w:w="9026"/>
          </w:cols>
        </w:sectPr>
      </w:pPr>
    </w:p>
    <w:p>
      <w:pPr>
        <w:spacing w:after="0" w:line="190" w:lineRule="exact"/>
        <w:rPr>
          <w:color w:val="auto"/>
          <w:sz w:val="20"/>
          <w:szCs w:val="20"/>
        </w:rPr>
      </w:pPr>
      <w:bookmarkStart w:id="7" w:name="page8"/>
      <w:bookmarkEnd w:id="7"/>
    </w:p>
    <w:p>
      <w:pPr>
        <w:spacing w:after="0" w:line="443" w:lineRule="exact"/>
        <w:ind w:left="360" w:right="1866" w:firstLine="559"/>
        <w:rPr>
          <w:color w:val="auto"/>
          <w:sz w:val="20"/>
          <w:szCs w:val="20"/>
        </w:rPr>
      </w:pPr>
      <w:r>
        <w:rPr>
          <w:rFonts w:ascii="Times New Roman" w:hAnsi="Times New Roman" w:eastAsia="Times New Roman" w:cs="Times New Roman"/>
          <w:b/>
          <w:bCs/>
          <w:color w:val="auto"/>
          <w:sz w:val="28"/>
          <w:szCs w:val="28"/>
        </w:rPr>
        <w:t>11.</w:t>
      </w:r>
      <w:r>
        <w:rPr>
          <w:rFonts w:ascii="仿宋" w:hAnsi="仿宋" w:eastAsia="仿宋" w:cs="仿宋"/>
          <w:b/>
          <w:bCs/>
          <w:color w:val="auto"/>
          <w:sz w:val="28"/>
          <w:szCs w:val="28"/>
        </w:rPr>
        <w:t>审批机关是否委托服务机构开展技术性服务：</w:t>
      </w:r>
      <w:r>
        <w:rPr>
          <w:rFonts w:ascii="微软雅黑" w:hAnsi="微软雅黑" w:eastAsia="微软雅黑" w:cs="微软雅黑"/>
          <w:color w:val="auto"/>
          <w:sz w:val="28"/>
          <w:szCs w:val="28"/>
        </w:rPr>
        <w:t>否</w:t>
      </w:r>
      <w:r>
        <w:rPr>
          <w:rFonts w:ascii="黑体" w:hAnsi="黑体" w:eastAsia="黑体" w:cs="黑体"/>
          <w:color w:val="auto"/>
          <w:sz w:val="28"/>
          <w:szCs w:val="28"/>
        </w:rPr>
        <w:t>八、受理和审批时限</w:t>
      </w:r>
    </w:p>
    <w:p>
      <w:pPr>
        <w:spacing w:after="0" w:line="256"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承诺受理时限：</w:t>
      </w:r>
      <w:r>
        <w:rPr>
          <w:rFonts w:ascii="微软雅黑" w:hAnsi="微软雅黑" w:eastAsia="微软雅黑" w:cs="微软雅黑"/>
          <w:color w:val="auto"/>
          <w:sz w:val="28"/>
          <w:szCs w:val="28"/>
        </w:rPr>
        <w:t>4</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法定审批时限：</w:t>
      </w:r>
      <w:r>
        <w:rPr>
          <w:rFonts w:ascii="微软雅黑" w:hAnsi="微软雅黑" w:eastAsia="微软雅黑" w:cs="微软雅黑"/>
          <w:color w:val="auto"/>
          <w:sz w:val="28"/>
          <w:szCs w:val="28"/>
        </w:rPr>
        <w:t>15</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17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规定法定审批时限依据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（1）《建设工程消防设计审查验收管理暂行规定》（住房和城</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乡建设部令第 51 号）第二十二条消防设计审查验收主管部门应当自</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受理消防设计审查申请之日起十五个工作日内出具书面审查意见。依</w:t>
      </w:r>
    </w:p>
    <w:p>
      <w:pPr>
        <w:spacing w:after="0" w:line="244"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照本规定需要组织专家评审的，专家评审时间不超过二十个工作日。</w:t>
      </w:r>
    </w:p>
    <w:p>
      <w:pPr>
        <w:spacing w:after="0" w:line="244"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承诺审批时限：</w:t>
      </w:r>
      <w:r>
        <w:rPr>
          <w:rFonts w:ascii="微软雅黑" w:hAnsi="微软雅黑" w:eastAsia="微软雅黑" w:cs="微软雅黑"/>
          <w:color w:val="auto"/>
          <w:sz w:val="28"/>
          <w:szCs w:val="28"/>
        </w:rPr>
        <w:t>4</w:t>
      </w:r>
      <w:r>
        <w:rPr>
          <w:rFonts w:ascii="Times New Roman" w:hAnsi="Times New Roman" w:eastAsia="Times New Roman" w:cs="Times New Roman"/>
          <w:b/>
          <w:bCs/>
          <w:color w:val="auto"/>
          <w:sz w:val="28"/>
          <w:szCs w:val="28"/>
        </w:rPr>
        <w:t xml:space="preserve"> </w:t>
      </w:r>
      <w:r>
        <w:rPr>
          <w:rFonts w:ascii="微软雅黑" w:hAnsi="微软雅黑" w:eastAsia="微软雅黑" w:cs="微软雅黑"/>
          <w:color w:val="auto"/>
          <w:sz w:val="28"/>
          <w:szCs w:val="28"/>
        </w:rPr>
        <w:t>个工作日</w:t>
      </w:r>
    </w:p>
    <w:p>
      <w:pPr>
        <w:spacing w:after="0" w:line="222"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依法进行专家评审另需时间不超过 20 个工作</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九、收费</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办理行政许可是否收费：</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436" w:lineRule="exact"/>
        <w:ind w:left="360" w:right="366" w:firstLine="559"/>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收费项目的名称、收费项目的标准、设定收费项目的依据、规定收费标准的依据</w:t>
      </w:r>
    </w:p>
    <w:p>
      <w:pPr>
        <w:spacing w:after="0" w:line="245"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十、行政许可证件</w:t>
      </w:r>
    </w:p>
    <w:p>
      <w:pPr>
        <w:spacing w:after="0" w:line="20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审批结果类型：</w:t>
      </w:r>
      <w:r>
        <w:rPr>
          <w:rFonts w:ascii="微软雅黑" w:hAnsi="微软雅黑" w:eastAsia="微软雅黑" w:cs="微软雅黑"/>
          <w:color w:val="auto"/>
          <w:sz w:val="28"/>
          <w:szCs w:val="28"/>
        </w:rPr>
        <w:t>证照</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审批结果名称：</w:t>
      </w:r>
      <w:r>
        <w:rPr>
          <w:rFonts w:ascii="微软雅黑" w:hAnsi="微软雅黑" w:eastAsia="微软雅黑" w:cs="微软雅黑"/>
          <w:color w:val="auto"/>
          <w:sz w:val="28"/>
          <w:szCs w:val="28"/>
        </w:rPr>
        <w:t>特殊建设工程消防设计审查意见书</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审批结果的有效期限：</w:t>
      </w:r>
      <w:r>
        <w:rPr>
          <w:rFonts w:ascii="微软雅黑" w:hAnsi="微软雅黑" w:eastAsia="微软雅黑" w:cs="微软雅黑"/>
          <w:color w:val="auto"/>
          <w:sz w:val="28"/>
          <w:szCs w:val="28"/>
        </w:rPr>
        <w:t>当次</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规定审批结果有效期限的依据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（1）《建设工程消防设计审查验收管理暂行规定》（住房和城</w:t>
      </w:r>
    </w:p>
    <w:p>
      <w:pPr>
        <w:spacing w:after="0" w:line="230"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乡建设部令第 51 号）第二十五条建设、设计、施工单位不得擅自修</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改经审查合格的消防设计文件。确需修改的，建设单位应当依照本规</w:t>
      </w:r>
    </w:p>
    <w:p>
      <w:pPr>
        <w:sectPr>
          <w:pgSz w:w="11900" w:h="16838"/>
          <w:pgMar w:top="1440" w:right="1440" w:bottom="1027" w:left="1440" w:header="0" w:footer="0" w:gutter="0"/>
          <w:cols w:equalWidth="0" w:num="1">
            <w:col w:w="9026"/>
          </w:cols>
        </w:sectPr>
      </w:pPr>
    </w:p>
    <w:p>
      <w:pPr>
        <w:spacing w:after="0" w:line="181" w:lineRule="exact"/>
        <w:rPr>
          <w:color w:val="auto"/>
          <w:sz w:val="20"/>
          <w:szCs w:val="20"/>
        </w:rPr>
      </w:pPr>
      <w:bookmarkStart w:id="8" w:name="page9"/>
      <w:bookmarkEnd w:id="8"/>
    </w:p>
    <w:p>
      <w:pPr>
        <w:spacing w:after="0" w:line="370" w:lineRule="exact"/>
        <w:ind w:left="360"/>
        <w:rPr>
          <w:color w:val="auto"/>
          <w:sz w:val="20"/>
          <w:szCs w:val="20"/>
        </w:rPr>
      </w:pPr>
      <w:r>
        <w:rPr>
          <w:rFonts w:ascii="微软雅黑" w:hAnsi="微软雅黑" w:eastAsia="微软雅黑" w:cs="微软雅黑"/>
          <w:color w:val="auto"/>
          <w:sz w:val="28"/>
          <w:szCs w:val="28"/>
        </w:rPr>
        <w:t>定重新申请消防设计审查。</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是否需要办理审批结果变更手续：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办理审批结果变更手续的要求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39"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7.</w:t>
      </w:r>
      <w:r>
        <w:rPr>
          <w:rFonts w:ascii="仿宋" w:hAnsi="仿宋" w:eastAsia="仿宋" w:cs="仿宋"/>
          <w:b/>
          <w:bCs/>
          <w:color w:val="auto"/>
          <w:sz w:val="28"/>
          <w:szCs w:val="28"/>
        </w:rPr>
        <w:t>是否需要办理审批结果延续手续：</w:t>
      </w:r>
      <w:r>
        <w:rPr>
          <w:rFonts w:ascii="微软雅黑" w:hAnsi="微软雅黑" w:eastAsia="微软雅黑" w:cs="微软雅黑"/>
          <w:color w:val="auto"/>
          <w:sz w:val="28"/>
          <w:szCs w:val="28"/>
        </w:rPr>
        <w:t>否</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办理审批结果延续手续的要求</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9.</w:t>
      </w:r>
      <w:r>
        <w:rPr>
          <w:rFonts w:ascii="仿宋" w:hAnsi="仿宋" w:eastAsia="仿宋" w:cs="仿宋"/>
          <w:b/>
          <w:bCs/>
          <w:color w:val="auto"/>
          <w:sz w:val="28"/>
          <w:szCs w:val="28"/>
        </w:rPr>
        <w:t>审批结果的有效地域范围</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全国</w:t>
      </w:r>
    </w:p>
    <w:p>
      <w:pPr>
        <w:spacing w:after="0" w:line="182"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10.</w:t>
      </w:r>
      <w:r>
        <w:rPr>
          <w:rFonts w:ascii="仿宋" w:hAnsi="仿宋" w:eastAsia="仿宋" w:cs="仿宋"/>
          <w:b/>
          <w:bCs/>
          <w:color w:val="auto"/>
          <w:sz w:val="28"/>
          <w:szCs w:val="28"/>
        </w:rPr>
        <w:t>规定审批结果有效地域范围的依据</w:t>
      </w:r>
    </w:p>
    <w:p>
      <w:pPr>
        <w:spacing w:after="0" w:line="236"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（1）《行政许可法》第四十一条法律、行政法规设定的行政许</w:t>
      </w:r>
    </w:p>
    <w:p>
      <w:pPr>
        <w:spacing w:after="0" w:line="239" w:lineRule="exact"/>
        <w:rPr>
          <w:color w:val="auto"/>
          <w:sz w:val="20"/>
          <w:szCs w:val="20"/>
        </w:rPr>
      </w:pPr>
    </w:p>
    <w:p>
      <w:pPr>
        <w:spacing w:after="0" w:line="357" w:lineRule="exact"/>
        <w:ind w:left="360"/>
        <w:rPr>
          <w:color w:val="auto"/>
          <w:sz w:val="20"/>
          <w:szCs w:val="20"/>
        </w:rPr>
      </w:pPr>
      <w:r>
        <w:rPr>
          <w:rFonts w:ascii="微软雅黑" w:hAnsi="微软雅黑" w:eastAsia="微软雅黑" w:cs="微软雅黑"/>
          <w:color w:val="auto"/>
          <w:sz w:val="27"/>
          <w:szCs w:val="27"/>
        </w:rPr>
        <w:t>可，其适用范围没有地域限制的，申请人取得的行政许可在全国范围</w:t>
      </w:r>
    </w:p>
    <w:p>
      <w:pPr>
        <w:spacing w:after="0" w:line="235" w:lineRule="exact"/>
        <w:rPr>
          <w:color w:val="auto"/>
          <w:sz w:val="20"/>
          <w:szCs w:val="20"/>
        </w:rPr>
      </w:pPr>
    </w:p>
    <w:p>
      <w:pPr>
        <w:spacing w:after="0" w:line="370" w:lineRule="exact"/>
        <w:ind w:left="360"/>
        <w:rPr>
          <w:color w:val="auto"/>
          <w:sz w:val="20"/>
          <w:szCs w:val="20"/>
        </w:rPr>
      </w:pPr>
      <w:r>
        <w:rPr>
          <w:rFonts w:ascii="微软雅黑" w:hAnsi="微软雅黑" w:eastAsia="微软雅黑" w:cs="微软雅黑"/>
          <w:color w:val="auto"/>
          <w:sz w:val="28"/>
          <w:szCs w:val="28"/>
        </w:rPr>
        <w:t>内有效。</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十一、行政许可数量限制</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有无行政许可数量限制：</w:t>
      </w:r>
      <w:r>
        <w:rPr>
          <w:rFonts w:ascii="微软雅黑" w:hAnsi="微软雅黑" w:eastAsia="微软雅黑" w:cs="微软雅黑"/>
          <w:color w:val="auto"/>
          <w:sz w:val="28"/>
          <w:szCs w:val="28"/>
        </w:rPr>
        <w:t>无</w:t>
      </w:r>
    </w:p>
    <w:p>
      <w:pPr>
        <w:spacing w:after="0" w:line="182"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公布数量限制的方式：</w:t>
      </w:r>
      <w:r>
        <w:rPr>
          <w:rFonts w:ascii="微软雅黑" w:hAnsi="微软雅黑" w:eastAsia="微软雅黑" w:cs="微软雅黑"/>
          <w:color w:val="auto"/>
          <w:sz w:val="28"/>
          <w:szCs w:val="28"/>
        </w:rPr>
        <w:t>无</w:t>
      </w:r>
    </w:p>
    <w:p>
      <w:pPr>
        <w:spacing w:after="0" w:line="17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公布数量限制的周期：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在数量限制条件下实施行政许可的方式：</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规定在数量限制条件下实施行政许可方式的依据</w:t>
      </w:r>
    </w:p>
    <w:p>
      <w:pPr>
        <w:spacing w:after="0" w:line="24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05"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十二、行政许可后年检</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有无年检要求：</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设定年检要求的依据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ectPr>
          <w:pgSz w:w="11900" w:h="16838"/>
          <w:pgMar w:top="1440" w:right="1440" w:bottom="1130" w:left="1440" w:header="0" w:footer="0" w:gutter="0"/>
          <w:cols w:equalWidth="0" w:num="1">
            <w:col w:w="9026"/>
          </w:cols>
        </w:sectPr>
      </w:pPr>
    </w:p>
    <w:p>
      <w:pPr>
        <w:spacing w:after="0" w:line="142" w:lineRule="exact"/>
        <w:rPr>
          <w:color w:val="auto"/>
          <w:sz w:val="20"/>
          <w:szCs w:val="20"/>
        </w:rPr>
      </w:pPr>
      <w:bookmarkStart w:id="9" w:name="page10"/>
      <w:bookmarkEnd w:id="9"/>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年检周期：</w:t>
      </w:r>
      <w:r>
        <w:rPr>
          <w:rFonts w:ascii="微软雅黑" w:hAnsi="微软雅黑" w:eastAsia="微软雅黑" w:cs="微软雅黑"/>
          <w:color w:val="auto"/>
          <w:sz w:val="28"/>
          <w:szCs w:val="28"/>
        </w:rPr>
        <w:t>无</w:t>
      </w:r>
    </w:p>
    <w:p>
      <w:pPr>
        <w:spacing w:after="0" w:line="218"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年检是否要求报送材料：</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5.</w:t>
      </w:r>
      <w:r>
        <w:rPr>
          <w:rFonts w:ascii="仿宋" w:hAnsi="仿宋" w:eastAsia="仿宋" w:cs="仿宋"/>
          <w:b/>
          <w:bCs/>
          <w:color w:val="auto"/>
          <w:sz w:val="28"/>
          <w:szCs w:val="28"/>
        </w:rPr>
        <w:t>年检报送材料名称：</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6.</w:t>
      </w:r>
      <w:r>
        <w:rPr>
          <w:rFonts w:ascii="仿宋" w:hAnsi="仿宋" w:eastAsia="仿宋" w:cs="仿宋"/>
          <w:b/>
          <w:bCs/>
          <w:color w:val="auto"/>
          <w:sz w:val="28"/>
          <w:szCs w:val="28"/>
        </w:rPr>
        <w:t>年检是否收费：</w:t>
      </w:r>
      <w:r>
        <w:rPr>
          <w:rFonts w:ascii="微软雅黑" w:hAnsi="微软雅黑" w:eastAsia="微软雅黑" w:cs="微软雅黑"/>
          <w:color w:val="auto"/>
          <w:sz w:val="28"/>
          <w:szCs w:val="28"/>
        </w:rPr>
        <w:t>无</w:t>
      </w:r>
    </w:p>
    <w:p>
      <w:pPr>
        <w:spacing w:after="0" w:line="234" w:lineRule="exact"/>
        <w:rPr>
          <w:color w:val="auto"/>
          <w:sz w:val="20"/>
          <w:szCs w:val="20"/>
        </w:rPr>
      </w:pPr>
    </w:p>
    <w:p>
      <w:pPr>
        <w:spacing w:after="0" w:line="329" w:lineRule="exact"/>
        <w:ind w:left="920"/>
        <w:rPr>
          <w:color w:val="auto"/>
          <w:sz w:val="20"/>
          <w:szCs w:val="20"/>
        </w:rPr>
      </w:pPr>
      <w:r>
        <w:rPr>
          <w:rFonts w:ascii="Times New Roman" w:hAnsi="Times New Roman" w:eastAsia="Times New Roman" w:cs="Times New Roman"/>
          <w:b/>
          <w:bCs/>
          <w:color w:val="auto"/>
          <w:sz w:val="27"/>
          <w:szCs w:val="27"/>
        </w:rPr>
        <w:t>7.</w:t>
      </w:r>
      <w:r>
        <w:rPr>
          <w:rFonts w:ascii="仿宋" w:hAnsi="仿宋" w:eastAsia="仿宋" w:cs="仿宋"/>
          <w:b/>
          <w:bCs/>
          <w:color w:val="auto"/>
          <w:sz w:val="27"/>
          <w:szCs w:val="27"/>
        </w:rPr>
        <w:t>年检收费项目的名称、年检收费项目的标准、设定年检收费项</w:t>
      </w:r>
    </w:p>
    <w:p>
      <w:pPr>
        <w:spacing w:after="0" w:line="286" w:lineRule="exact"/>
        <w:rPr>
          <w:color w:val="auto"/>
          <w:sz w:val="20"/>
          <w:szCs w:val="20"/>
        </w:rPr>
      </w:pPr>
    </w:p>
    <w:p>
      <w:pPr>
        <w:spacing w:after="0" w:line="320" w:lineRule="exact"/>
        <w:ind w:left="360"/>
        <w:rPr>
          <w:color w:val="auto"/>
          <w:sz w:val="20"/>
          <w:szCs w:val="20"/>
        </w:rPr>
      </w:pPr>
      <w:r>
        <w:rPr>
          <w:rFonts w:ascii="仿宋" w:hAnsi="仿宋" w:eastAsia="仿宋" w:cs="仿宋"/>
          <w:b/>
          <w:bCs/>
          <w:color w:val="auto"/>
          <w:sz w:val="28"/>
          <w:szCs w:val="28"/>
        </w:rPr>
        <w:t>目的依据、规定年检项目收费标准的依据</w:t>
      </w:r>
    </w:p>
    <w:p>
      <w:pPr>
        <w:spacing w:after="0" w:line="254"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191"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8.</w:t>
      </w:r>
      <w:r>
        <w:rPr>
          <w:rFonts w:ascii="仿宋" w:hAnsi="仿宋" w:eastAsia="仿宋" w:cs="仿宋"/>
          <w:b/>
          <w:bCs/>
          <w:color w:val="auto"/>
          <w:sz w:val="28"/>
          <w:szCs w:val="28"/>
        </w:rPr>
        <w:t>通过年检的证明或者标志：</w:t>
      </w:r>
      <w:r>
        <w:rPr>
          <w:rFonts w:ascii="微软雅黑" w:hAnsi="微软雅黑" w:eastAsia="微软雅黑" w:cs="微软雅黑"/>
          <w:color w:val="auto"/>
          <w:sz w:val="28"/>
          <w:szCs w:val="28"/>
        </w:rPr>
        <w:t>无</w:t>
      </w:r>
    </w:p>
    <w:p>
      <w:pPr>
        <w:spacing w:after="0" w:line="184"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十三、行政许可后年报</w:t>
      </w:r>
    </w:p>
    <w:p>
      <w:pPr>
        <w:spacing w:after="0" w:line="255"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1.</w:t>
      </w:r>
      <w:r>
        <w:rPr>
          <w:rFonts w:ascii="仿宋" w:hAnsi="仿宋" w:eastAsia="仿宋" w:cs="仿宋"/>
          <w:b/>
          <w:bCs/>
          <w:color w:val="auto"/>
          <w:sz w:val="28"/>
          <w:szCs w:val="28"/>
        </w:rPr>
        <w:t>有无年报要求：</w:t>
      </w:r>
      <w:r>
        <w:rPr>
          <w:rFonts w:ascii="微软雅黑" w:hAnsi="微软雅黑" w:eastAsia="微软雅黑" w:cs="微软雅黑"/>
          <w:color w:val="auto"/>
          <w:sz w:val="28"/>
          <w:szCs w:val="28"/>
        </w:rPr>
        <w:t>无</w:t>
      </w:r>
    </w:p>
    <w:p>
      <w:pPr>
        <w:spacing w:after="0" w:line="230"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2.</w:t>
      </w:r>
      <w:r>
        <w:rPr>
          <w:rFonts w:ascii="仿宋" w:hAnsi="仿宋" w:eastAsia="仿宋" w:cs="仿宋"/>
          <w:b/>
          <w:bCs/>
          <w:color w:val="auto"/>
          <w:sz w:val="28"/>
          <w:szCs w:val="28"/>
        </w:rPr>
        <w:t>年报报送材料名称：</w:t>
      </w:r>
      <w:r>
        <w:rPr>
          <w:rFonts w:ascii="微软雅黑" w:hAnsi="微软雅黑" w:eastAsia="微软雅黑" w:cs="微软雅黑"/>
          <w:color w:val="auto"/>
          <w:sz w:val="28"/>
          <w:szCs w:val="28"/>
        </w:rPr>
        <w:t>无</w:t>
      </w:r>
    </w:p>
    <w:p>
      <w:pPr>
        <w:spacing w:after="0" w:line="186" w:lineRule="exact"/>
        <w:rPr>
          <w:color w:val="auto"/>
          <w:sz w:val="20"/>
          <w:szCs w:val="20"/>
        </w:rPr>
      </w:pPr>
    </w:p>
    <w:p>
      <w:pPr>
        <w:spacing w:after="0" w:line="341" w:lineRule="exact"/>
        <w:ind w:left="920"/>
        <w:rPr>
          <w:color w:val="auto"/>
          <w:sz w:val="20"/>
          <w:szCs w:val="20"/>
        </w:rPr>
      </w:pPr>
      <w:r>
        <w:rPr>
          <w:rFonts w:ascii="Times New Roman" w:hAnsi="Times New Roman" w:eastAsia="Times New Roman" w:cs="Times New Roman"/>
          <w:b/>
          <w:bCs/>
          <w:color w:val="auto"/>
          <w:sz w:val="28"/>
          <w:szCs w:val="28"/>
        </w:rPr>
        <w:t>3.</w:t>
      </w:r>
      <w:r>
        <w:rPr>
          <w:rFonts w:ascii="仿宋" w:hAnsi="仿宋" w:eastAsia="仿宋" w:cs="仿宋"/>
          <w:b/>
          <w:bCs/>
          <w:color w:val="auto"/>
          <w:sz w:val="28"/>
          <w:szCs w:val="28"/>
        </w:rPr>
        <w:t>设定年报要求的依据</w:t>
      </w:r>
    </w:p>
    <w:p>
      <w:pPr>
        <w:spacing w:after="0" w:line="188" w:lineRule="exact"/>
        <w:rPr>
          <w:color w:val="auto"/>
          <w:sz w:val="20"/>
          <w:szCs w:val="20"/>
        </w:rPr>
      </w:pPr>
    </w:p>
    <w:p>
      <w:pPr>
        <w:spacing w:after="0" w:line="370" w:lineRule="exact"/>
        <w:ind w:left="920"/>
        <w:rPr>
          <w:color w:val="auto"/>
          <w:sz w:val="20"/>
          <w:szCs w:val="20"/>
        </w:rPr>
      </w:pPr>
      <w:r>
        <w:rPr>
          <w:rFonts w:ascii="微软雅黑" w:hAnsi="微软雅黑" w:eastAsia="微软雅黑" w:cs="微软雅黑"/>
          <w:color w:val="auto"/>
          <w:sz w:val="28"/>
          <w:szCs w:val="28"/>
        </w:rPr>
        <w:t>无</w:t>
      </w:r>
    </w:p>
    <w:p>
      <w:pPr>
        <w:spacing w:after="0" w:line="227" w:lineRule="exact"/>
        <w:rPr>
          <w:color w:val="auto"/>
          <w:sz w:val="20"/>
          <w:szCs w:val="20"/>
        </w:rPr>
      </w:pPr>
    </w:p>
    <w:p>
      <w:pPr>
        <w:spacing w:after="0" w:line="370" w:lineRule="exact"/>
        <w:ind w:left="920"/>
        <w:rPr>
          <w:color w:val="auto"/>
          <w:sz w:val="20"/>
          <w:szCs w:val="20"/>
        </w:rPr>
      </w:pPr>
      <w:r>
        <w:rPr>
          <w:rFonts w:ascii="Times New Roman" w:hAnsi="Times New Roman" w:eastAsia="Times New Roman" w:cs="Times New Roman"/>
          <w:b/>
          <w:bCs/>
          <w:color w:val="auto"/>
          <w:sz w:val="28"/>
          <w:szCs w:val="28"/>
        </w:rPr>
        <w:t>4.</w:t>
      </w:r>
      <w:r>
        <w:rPr>
          <w:rFonts w:ascii="仿宋" w:hAnsi="仿宋" w:eastAsia="仿宋" w:cs="仿宋"/>
          <w:b/>
          <w:bCs/>
          <w:color w:val="auto"/>
          <w:sz w:val="28"/>
          <w:szCs w:val="28"/>
        </w:rPr>
        <w:t>年报周期：</w:t>
      </w:r>
      <w:r>
        <w:rPr>
          <w:rFonts w:ascii="微软雅黑" w:hAnsi="微软雅黑" w:eastAsia="微软雅黑" w:cs="微软雅黑"/>
          <w:color w:val="auto"/>
          <w:sz w:val="28"/>
          <w:szCs w:val="28"/>
        </w:rPr>
        <w:t>无</w:t>
      </w:r>
    </w:p>
    <w:p>
      <w:pPr>
        <w:spacing w:after="0" w:line="196"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十四、监管主体</w:t>
      </w:r>
    </w:p>
    <w:p>
      <w:pPr>
        <w:spacing w:after="0" w:line="198" w:lineRule="exact"/>
        <w:rPr>
          <w:color w:val="auto"/>
          <w:sz w:val="20"/>
          <w:szCs w:val="20"/>
        </w:rPr>
      </w:pPr>
    </w:p>
    <w:p>
      <w:pPr>
        <w:spacing w:after="0" w:line="370" w:lineRule="exact"/>
        <w:ind w:left="360"/>
        <w:rPr>
          <w:color w:val="auto"/>
          <w:sz w:val="20"/>
          <w:szCs w:val="20"/>
        </w:rPr>
      </w:pPr>
      <w:r>
        <w:rPr>
          <w:rFonts w:hint="eastAsia" w:ascii="微软雅黑" w:hAnsi="微软雅黑" w:eastAsia="微软雅黑" w:cs="微软雅黑"/>
          <w:color w:val="auto"/>
          <w:sz w:val="28"/>
          <w:szCs w:val="28"/>
          <w:lang w:eastAsia="zh-CN"/>
        </w:rPr>
        <w:t>宜良县</w:t>
      </w:r>
      <w:r>
        <w:rPr>
          <w:rFonts w:ascii="微软雅黑" w:hAnsi="微软雅黑" w:eastAsia="微软雅黑" w:cs="微软雅黑"/>
          <w:color w:val="auto"/>
          <w:sz w:val="28"/>
          <w:szCs w:val="28"/>
        </w:rPr>
        <w:t>住房和城乡建设局</w:t>
      </w:r>
    </w:p>
    <w:p>
      <w:pPr>
        <w:spacing w:after="0" w:line="193" w:lineRule="exact"/>
        <w:rPr>
          <w:color w:val="auto"/>
          <w:sz w:val="20"/>
          <w:szCs w:val="20"/>
        </w:rPr>
      </w:pPr>
    </w:p>
    <w:p>
      <w:pPr>
        <w:spacing w:after="0" w:line="320" w:lineRule="exact"/>
        <w:ind w:left="360"/>
        <w:rPr>
          <w:color w:val="auto"/>
          <w:sz w:val="20"/>
          <w:szCs w:val="20"/>
        </w:rPr>
      </w:pPr>
      <w:r>
        <w:rPr>
          <w:rFonts w:ascii="黑体" w:hAnsi="黑体" w:eastAsia="黑体" w:cs="黑体"/>
          <w:color w:val="auto"/>
          <w:sz w:val="28"/>
          <w:szCs w:val="28"/>
        </w:rPr>
        <w:t>十五、备注</w:t>
      </w:r>
    </w:p>
    <w:sectPr>
      <w:pgSz w:w="11900" w:h="16838"/>
      <w:pgMar w:top="1440" w:right="1440" w:bottom="1440" w:left="1440" w:header="0" w:footer="0" w:gutter="0"/>
      <w:cols w:equalWidth="0" w:num="1">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72AE"/>
    <w:multiLevelType w:val="singleLevel"/>
    <w:tmpl w:val="000072AE"/>
    <w:lvl w:ilvl="0" w:tentative="0">
      <w:start w:val="1"/>
      <w:numFmt w:val="decimal"/>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MjZlYjA2MjM1NTFkYmNkYTc4NWExOTYzMWE1YTUifQ=="/>
  </w:docVars>
  <w:rsids>
    <w:rsidRoot w:val="00000000"/>
    <w:rsid w:val="099333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eastAsiaTheme="minorEastAsia"/>
      <w:sz w:val="22"/>
      <w:szCs w:val="22"/>
    </w:rPr>
  </w:style>
  <w:style w:type="character" w:default="1" w:styleId="3">
    <w:name w:val="Default Paragraph Font"/>
    <w:autoRedefine/>
    <w:semiHidden/>
    <w:unhideWhenUsed/>
    <w:qFormat/>
    <w:uiPriority w:val="1"/>
  </w:style>
  <w:style w:type="table" w:default="1" w:styleId="2">
    <w:name w:val="Normal Table"/>
    <w:autoRedefin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3</Characters>
  <Lines>1</Lines>
  <Paragraphs>1</Paragraphs>
  <TotalTime>1</TotalTime>
  <ScaleCrop>false</ScaleCrop>
  <LinksUpToDate>false</LinksUpToDate>
  <CharactersWithSpaces>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2023-12-29T10:04:00Z</dcterms:created>
  <dc:creator>Windows User</dc:creator>
  <cp:lastModifiedBy>hh</cp:lastModifiedBy>
  <dcterms:modified xsi:type="dcterms:W3CDTF">2023-12-29T02:15:01Z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76814FCC94EF41D3B25E0980EAF48ED8_12</vt:lpwstr>
  </property>
</Properties>
</file>