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Times New Roman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spacing w:line="580" w:lineRule="exact"/>
        <w:ind w:firstLine="880" w:firstLineChars="200"/>
        <w:jc w:val="center"/>
        <w:outlineLvl w:val="0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宜良县</w:t>
      </w:r>
      <w:r>
        <w:rPr>
          <w:rFonts w:hint="eastAsia" w:ascii="方正小标宋_GBK" w:hAnsi="黑体" w:eastAsia="方正小标宋_GBK" w:cs="黑体"/>
          <w:sz w:val="44"/>
          <w:szCs w:val="44"/>
        </w:rPr>
        <w:t>统计局政府信息公开申请表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ascii="Times New Roman" w:hAnsi="Times New Roman" w:eastAsia="黑体" w:cs="Times New Roman"/>
          <w:sz w:val="11"/>
          <w:szCs w:val="11"/>
        </w:rPr>
      </w:pPr>
    </w:p>
    <w:tbl>
      <w:tblPr>
        <w:tblStyle w:val="2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纸质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电子邮件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光盘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邮寄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快递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传真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电子邮件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自行领取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217E9"/>
    <w:rsid w:val="5C3B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2023-11-27T02:45:00Z</dcterms:created>
  <dc:creator>TJJ2</dc:creator>
  <cp:lastModifiedBy>TJJ2</cp:lastModifiedBy>
  <dcterms:modified xsi:type="dcterms:W3CDTF">2023-11-27T02:58:16Z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