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center"/>
        <w:rPr>
          <w:rFonts w:ascii="Times New Roman" w:hAnsi="Times New Roman" w:eastAsia="方正小标宋简体"/>
          <w:sz w:val="44"/>
          <w:szCs w:val="44"/>
        </w:rPr>
      </w:pPr>
      <w:r>
        <w:rPr>
          <w:rFonts w:ascii="Times New Roman" w:hAnsi="Times New Roman" w:eastAsia="方正小标宋简体"/>
          <w:sz w:val="44"/>
          <w:szCs w:val="44"/>
        </w:rPr>
        <w:t>整改落实情况公示表</w:t>
      </w:r>
    </w:p>
    <w:tbl>
      <w:tblPr>
        <w:tblStyle w:val="5"/>
        <w:tblW w:w="9495"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3"/>
        <w:gridCol w:w="7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1993" w:type="dxa"/>
            <w:tcBorders>
              <w:top w:val="single" w:color="auto" w:sz="4" w:space="0"/>
              <w:left w:val="single" w:color="auto" w:sz="4" w:space="0"/>
              <w:bottom w:val="single" w:color="auto" w:sz="4" w:space="0"/>
              <w:right w:val="single" w:color="auto" w:sz="4" w:space="0"/>
            </w:tcBorders>
            <w:vAlign w:val="center"/>
          </w:tcPr>
          <w:p>
            <w:pPr>
              <w:widowControl/>
              <w:spacing w:line="560" w:lineRule="exact"/>
              <w:jc w:val="center"/>
              <w:rPr>
                <w:rFonts w:ascii="Times New Roman" w:hAnsi="Times New Roman" w:eastAsia="仿宋_GB2312"/>
                <w:kern w:val="0"/>
                <w:sz w:val="32"/>
                <w:szCs w:val="32"/>
              </w:rPr>
            </w:pPr>
            <w:r>
              <w:rPr>
                <w:rFonts w:ascii="Times New Roman" w:hAnsi="Times New Roman" w:eastAsia="仿宋_GB2312"/>
                <w:kern w:val="0"/>
                <w:sz w:val="32"/>
                <w:szCs w:val="32"/>
              </w:rPr>
              <w:t>反馈（投诉）问题</w:t>
            </w:r>
          </w:p>
        </w:tc>
        <w:tc>
          <w:tcPr>
            <w:tcW w:w="7502"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kern w:val="0"/>
                <w:sz w:val="24"/>
                <w:szCs w:val="24"/>
              </w:rPr>
            </w:pPr>
            <w:r>
              <w:rPr>
                <w:rFonts w:hint="eastAsia" w:ascii="仿宋_GB2312" w:hAnsi="仿宋_GB2312" w:eastAsia="仿宋_GB2312" w:cs="仿宋_GB2312"/>
                <w:sz w:val="24"/>
                <w:szCs w:val="24"/>
              </w:rPr>
              <w:t>受理编号：</w:t>
            </w:r>
            <w:r>
              <w:rPr>
                <w:rFonts w:hint="default" w:ascii="Times New Roman" w:hAnsi="Times New Roman" w:eastAsia="仿宋" w:cs="Times New Roman"/>
                <w:sz w:val="24"/>
                <w:szCs w:val="24"/>
                <w:lang w:val="en-US" w:eastAsia="zh-CN"/>
              </w:rPr>
              <w:t>D2YN202104140028</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昆明市宜良县宜石垃圾处理厂的低温碳化处理工艺未完善相关环保手续，擅自投运。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1993" w:type="dxa"/>
            <w:tcBorders>
              <w:top w:val="single" w:color="auto" w:sz="4" w:space="0"/>
              <w:left w:val="single" w:color="auto" w:sz="4" w:space="0"/>
              <w:bottom w:val="single" w:color="auto" w:sz="4" w:space="0"/>
              <w:right w:val="single" w:color="auto" w:sz="4" w:space="0"/>
            </w:tcBorders>
            <w:vAlign w:val="center"/>
          </w:tcPr>
          <w:p>
            <w:pPr>
              <w:widowControl/>
              <w:spacing w:line="560" w:lineRule="exact"/>
              <w:jc w:val="center"/>
              <w:rPr>
                <w:rFonts w:ascii="Times New Roman" w:hAnsi="Times New Roman" w:eastAsia="仿宋_GB2312"/>
                <w:kern w:val="0"/>
                <w:sz w:val="32"/>
                <w:szCs w:val="32"/>
              </w:rPr>
            </w:pPr>
            <w:r>
              <w:rPr>
                <w:rFonts w:ascii="Times New Roman" w:hAnsi="Times New Roman" w:eastAsia="仿宋_GB2312"/>
                <w:kern w:val="0"/>
                <w:sz w:val="32"/>
                <w:szCs w:val="32"/>
              </w:rPr>
              <w:t>整改目标</w:t>
            </w:r>
          </w:p>
        </w:tc>
        <w:tc>
          <w:tcPr>
            <w:tcW w:w="7502" w:type="dxa"/>
            <w:tcBorders>
              <w:top w:val="single" w:color="auto" w:sz="4" w:space="0"/>
              <w:left w:val="nil"/>
              <w:bottom w:val="single" w:color="auto" w:sz="4" w:space="0"/>
              <w:right w:val="single" w:color="auto" w:sz="4" w:space="0"/>
            </w:tcBorders>
            <w:vAlign w:val="center"/>
          </w:tcPr>
          <w:p>
            <w:pPr>
              <w:keepNext w:val="0"/>
              <w:keepLines w:val="0"/>
              <w:pageBreakBefore w:val="0"/>
              <w:widowControl/>
              <w:numPr>
                <w:ilvl w:val="0"/>
                <w:numId w:val="0"/>
              </w:numPr>
              <w:kinsoku/>
              <w:wordWrap/>
              <w:overflowPunct/>
              <w:topLinePunct w:val="0"/>
              <w:autoSpaceDE/>
              <w:autoSpaceDN/>
              <w:bidi w:val="0"/>
              <w:adjustRightInd/>
              <w:snapToGrid/>
              <w:spacing w:line="440" w:lineRule="exact"/>
              <w:ind w:left="0" w:leftChars="0" w:firstLine="0" w:firstLineChars="0"/>
              <w:jc w:val="both"/>
              <w:textAlignment w:val="auto"/>
              <w:rPr>
                <w:rFonts w:ascii="Times New Roman" w:hAnsi="Times New Roman" w:eastAsia="仿宋_GB2312"/>
                <w:kern w:val="0"/>
                <w:sz w:val="24"/>
                <w:szCs w:val="24"/>
              </w:rPr>
            </w:pPr>
            <w:r>
              <w:rPr>
                <w:rFonts w:hint="default" w:ascii="仿宋_GB2312" w:hAnsi="仿宋_GB2312" w:eastAsia="仿宋_GB2312" w:cs="仿宋_GB2312"/>
                <w:sz w:val="24"/>
                <w:szCs w:val="24"/>
                <w:lang w:val="en-US" w:eastAsia="zh-CN"/>
              </w:rPr>
              <w:t>宜良县循环经济投资有限公司垃圾热解炭化生产线依法依规取得环境影响审批文件，完善配套污染防治设施建设并依法取得排污许可证。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4" w:hRule="atLeast"/>
        </w:trPr>
        <w:tc>
          <w:tcPr>
            <w:tcW w:w="1993" w:type="dxa"/>
            <w:tcBorders>
              <w:top w:val="single" w:color="auto" w:sz="4" w:space="0"/>
              <w:left w:val="single" w:color="auto" w:sz="4" w:space="0"/>
              <w:bottom w:val="single" w:color="auto" w:sz="4" w:space="0"/>
              <w:right w:val="single" w:color="auto" w:sz="4" w:space="0"/>
            </w:tcBorders>
            <w:vAlign w:val="center"/>
          </w:tcPr>
          <w:p>
            <w:pPr>
              <w:widowControl/>
              <w:spacing w:line="560" w:lineRule="exact"/>
              <w:jc w:val="center"/>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整改措施</w:t>
            </w:r>
          </w:p>
        </w:tc>
        <w:tc>
          <w:tcPr>
            <w:tcW w:w="7502" w:type="dxa"/>
            <w:tcBorders>
              <w:top w:val="single" w:color="auto" w:sz="4" w:space="0"/>
              <w:left w:val="nil"/>
              <w:bottom w:val="single" w:color="auto" w:sz="4" w:space="0"/>
              <w:right w:val="single" w:color="auto" w:sz="4" w:space="0"/>
            </w:tcBorders>
            <w:vAlign w:val="center"/>
          </w:tcPr>
          <w:p>
            <w:pPr>
              <w:keepNext w:val="0"/>
              <w:keepLines w:val="0"/>
              <w:pageBreakBefore w:val="0"/>
              <w:widowControl/>
              <w:numPr>
                <w:ilvl w:val="0"/>
                <w:numId w:val="0"/>
              </w:numPr>
              <w:kinsoku/>
              <w:wordWrap/>
              <w:overflowPunct/>
              <w:topLinePunct w:val="0"/>
              <w:autoSpaceDE/>
              <w:autoSpaceDN/>
              <w:bidi w:val="0"/>
              <w:adjustRightInd/>
              <w:snapToGrid/>
              <w:spacing w:line="440" w:lineRule="exact"/>
              <w:ind w:left="0" w:leftChars="0" w:firstLine="0" w:firstLineChars="0"/>
              <w:jc w:val="both"/>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1.督促宜良县循环经济投资有限公司加快工作进度，及时编制垃圾热解炭化生产线项目环境影响报告并报生态环境部门审批，完善配套污染防治设施建设并依</w:t>
            </w:r>
            <w:bookmarkStart w:id="0" w:name="_GoBack"/>
            <w:bookmarkEnd w:id="0"/>
            <w:r>
              <w:rPr>
                <w:rFonts w:hint="default" w:ascii="Times New Roman" w:hAnsi="Times New Roman" w:eastAsia="仿宋_GB2312" w:cs="Times New Roman"/>
                <w:sz w:val="24"/>
                <w:szCs w:val="24"/>
                <w:lang w:val="en-US" w:eastAsia="zh-CN"/>
              </w:rPr>
              <w:t>法取得排污许可证。</w:t>
            </w:r>
          </w:p>
          <w:p>
            <w:pPr>
              <w:keepNext w:val="0"/>
              <w:keepLines w:val="0"/>
              <w:pageBreakBefore w:val="0"/>
              <w:widowControl/>
              <w:numPr>
                <w:ilvl w:val="0"/>
                <w:numId w:val="0"/>
              </w:numPr>
              <w:kinsoku/>
              <w:wordWrap/>
              <w:overflowPunct/>
              <w:topLinePunct w:val="0"/>
              <w:autoSpaceDE/>
              <w:autoSpaceDN/>
              <w:bidi w:val="0"/>
              <w:adjustRightInd/>
              <w:snapToGrid/>
              <w:spacing w:line="440" w:lineRule="exact"/>
              <w:ind w:left="0" w:leftChars="0" w:firstLine="0" w:firstLineChars="0"/>
              <w:jc w:val="both"/>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sz w:val="24"/>
                <w:szCs w:val="24"/>
                <w:lang w:val="en-US" w:eastAsia="zh-CN"/>
              </w:rPr>
              <w:t>2.做好对宜良县循环经济投资有限公司完善环保审批手续的帮扶指导。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8" w:hRule="atLeast"/>
        </w:trPr>
        <w:tc>
          <w:tcPr>
            <w:tcW w:w="1993" w:type="dxa"/>
            <w:tcBorders>
              <w:top w:val="single" w:color="auto" w:sz="4" w:space="0"/>
              <w:left w:val="single" w:color="auto" w:sz="4" w:space="0"/>
              <w:bottom w:val="single" w:color="auto" w:sz="4" w:space="0"/>
              <w:right w:val="single" w:color="auto" w:sz="4" w:space="0"/>
            </w:tcBorders>
            <w:vAlign w:val="center"/>
          </w:tcPr>
          <w:p>
            <w:pPr>
              <w:widowControl/>
              <w:spacing w:line="560" w:lineRule="exact"/>
              <w:jc w:val="center"/>
              <w:rPr>
                <w:rFonts w:ascii="Times New Roman" w:hAnsi="Times New Roman" w:eastAsia="仿宋_GB2312"/>
                <w:kern w:val="0"/>
                <w:sz w:val="32"/>
                <w:szCs w:val="32"/>
              </w:rPr>
            </w:pPr>
            <w:r>
              <w:rPr>
                <w:rFonts w:ascii="Times New Roman" w:hAnsi="Times New Roman" w:eastAsia="仿宋_GB2312"/>
                <w:kern w:val="0"/>
                <w:sz w:val="32"/>
                <w:szCs w:val="32"/>
              </w:rPr>
              <w:t>整改主要工作成效</w:t>
            </w:r>
          </w:p>
        </w:tc>
        <w:tc>
          <w:tcPr>
            <w:tcW w:w="7502" w:type="dxa"/>
            <w:tcBorders>
              <w:top w:val="single" w:color="auto" w:sz="4" w:space="0"/>
              <w:left w:val="nil"/>
              <w:bottom w:val="single" w:color="auto" w:sz="4" w:space="0"/>
              <w:right w:val="single" w:color="auto" w:sz="4" w:space="0"/>
            </w:tcBorders>
            <w:vAlign w:val="center"/>
          </w:tcPr>
          <w:p>
            <w:pPr>
              <w:keepNext w:val="0"/>
              <w:keepLines w:val="0"/>
              <w:pageBreakBefore w:val="0"/>
              <w:widowControl/>
              <w:numPr>
                <w:ilvl w:val="0"/>
                <w:numId w:val="0"/>
              </w:numPr>
              <w:kinsoku/>
              <w:wordWrap/>
              <w:overflowPunct/>
              <w:topLinePunct w:val="0"/>
              <w:autoSpaceDE/>
              <w:autoSpaceDN/>
              <w:bidi w:val="0"/>
              <w:adjustRightInd/>
              <w:snapToGrid/>
              <w:spacing w:line="440" w:lineRule="exact"/>
              <w:ind w:left="0" w:leftChars="0" w:firstLine="0" w:firstLineChars="0"/>
              <w:jc w:val="both"/>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1.2021年4月15日，由昆明市生态环境局宜良分局牵头，组织县城管局、匡远街道办进行现场核实。督促宜良县循环经济投资有限公司立即停止垃圾热解炭化处理生产线使用及违法排污。2021年4月19日再次检查时，该公司垃圾低温热处理碳化生产线已停止运行，无烟气外排，正对设备及管道进行降温，查看中控系统设备温度已降低至60℃以下。</w:t>
            </w:r>
          </w:p>
          <w:p>
            <w:pPr>
              <w:keepNext w:val="0"/>
              <w:keepLines w:val="0"/>
              <w:pageBreakBefore w:val="0"/>
              <w:widowControl/>
              <w:numPr>
                <w:ilvl w:val="0"/>
                <w:numId w:val="0"/>
              </w:numPr>
              <w:kinsoku/>
              <w:wordWrap/>
              <w:overflowPunct/>
              <w:topLinePunct w:val="0"/>
              <w:autoSpaceDE/>
              <w:autoSpaceDN/>
              <w:bidi w:val="0"/>
              <w:adjustRightInd/>
              <w:snapToGrid/>
              <w:spacing w:line="440" w:lineRule="exact"/>
              <w:ind w:left="0" w:leftChars="0" w:firstLine="0" w:firstLineChars="0"/>
              <w:jc w:val="both"/>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2.昆明市生态环境局宜良分局督促宜良县循环经济投资有限公司立即将厂区南面未硬化场地上贮存的约500吨生物炭转运至密闭仓库内。2021年4月19日再次检查时，贮存的生物炭已全部转运至密闭仓库内。</w:t>
            </w:r>
          </w:p>
          <w:p>
            <w:pPr>
              <w:keepNext w:val="0"/>
              <w:keepLines w:val="0"/>
              <w:pageBreakBefore w:val="0"/>
              <w:widowControl/>
              <w:numPr>
                <w:ilvl w:val="0"/>
                <w:numId w:val="0"/>
              </w:numPr>
              <w:kinsoku/>
              <w:wordWrap/>
              <w:overflowPunct/>
              <w:topLinePunct w:val="0"/>
              <w:autoSpaceDE/>
              <w:autoSpaceDN/>
              <w:bidi w:val="0"/>
              <w:adjustRightInd/>
              <w:snapToGrid/>
              <w:spacing w:line="440" w:lineRule="exact"/>
              <w:ind w:left="0" w:leftChars="0" w:firstLine="0" w:firstLineChars="0"/>
              <w:jc w:val="both"/>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3.经昆明市生态环境局宜良分局调查，发现宜良县循环经济投资有限公司存在“未批先建、未验先投、无证排污”等环境违法行为，已于2021年3月8日进行立案调查，2021年4月2日下发了行政处罚事先（听证）告知书，2021年5月6日下发了行政处罚决定书，处罚款111.78万元。罚款已于2022年3月1日全部缴清。</w:t>
            </w:r>
          </w:p>
          <w:p>
            <w:pPr>
              <w:keepNext w:val="0"/>
              <w:keepLines w:val="0"/>
              <w:pageBreakBefore w:val="0"/>
              <w:widowControl/>
              <w:numPr>
                <w:ilvl w:val="0"/>
                <w:numId w:val="0"/>
              </w:numPr>
              <w:kinsoku/>
              <w:wordWrap/>
              <w:overflowPunct/>
              <w:topLinePunct w:val="0"/>
              <w:autoSpaceDE/>
              <w:autoSpaceDN/>
              <w:bidi w:val="0"/>
              <w:adjustRightInd/>
              <w:snapToGrid/>
              <w:spacing w:line="440" w:lineRule="exact"/>
              <w:ind w:left="0" w:leftChars="0" w:firstLine="0" w:firstLineChars="0"/>
              <w:jc w:val="both"/>
              <w:textAlignment w:val="auto"/>
              <w:rPr>
                <w:rFonts w:ascii="Times New Roman" w:hAnsi="Times New Roman" w:eastAsia="仿宋_GB2312"/>
                <w:kern w:val="0"/>
                <w:sz w:val="24"/>
                <w:szCs w:val="24"/>
              </w:rPr>
            </w:pPr>
            <w:r>
              <w:rPr>
                <w:rFonts w:hint="eastAsia" w:ascii="Times New Roman" w:hAnsi="Times New Roman" w:eastAsia="仿宋_GB2312" w:cs="Times New Roman"/>
                <w:sz w:val="24"/>
                <w:szCs w:val="24"/>
                <w:lang w:val="en-US" w:eastAsia="zh-CN"/>
              </w:rPr>
              <w:t>4.该公司垃圾热解炭化项目生产线已停止建设；该公司承诺放弃项目建设，待完善工艺符合条件后重启环境影响评价，获批后启动项目建设。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993" w:type="dxa"/>
            <w:tcBorders>
              <w:top w:val="single" w:color="auto" w:sz="4" w:space="0"/>
              <w:left w:val="single" w:color="auto" w:sz="4" w:space="0"/>
              <w:bottom w:val="single" w:color="auto" w:sz="4" w:space="0"/>
              <w:right w:val="single" w:color="auto" w:sz="4" w:space="0"/>
            </w:tcBorders>
            <w:vAlign w:val="center"/>
          </w:tcPr>
          <w:p>
            <w:pPr>
              <w:widowControl/>
              <w:spacing w:line="560" w:lineRule="exact"/>
              <w:jc w:val="center"/>
              <w:rPr>
                <w:rFonts w:ascii="Times New Roman" w:hAnsi="Times New Roman" w:eastAsia="仿宋_GB2312"/>
                <w:kern w:val="0"/>
                <w:sz w:val="21"/>
                <w:szCs w:val="21"/>
              </w:rPr>
            </w:pPr>
            <w:r>
              <w:rPr>
                <w:rFonts w:ascii="Times New Roman" w:hAnsi="Times New Roman" w:eastAsia="仿宋_GB2312"/>
                <w:kern w:val="0"/>
                <w:sz w:val="21"/>
                <w:szCs w:val="21"/>
              </w:rPr>
              <w:t>责任单位及责任人</w:t>
            </w:r>
          </w:p>
        </w:tc>
        <w:tc>
          <w:tcPr>
            <w:tcW w:w="7502" w:type="dxa"/>
            <w:tcBorders>
              <w:top w:val="single" w:color="auto" w:sz="4" w:space="0"/>
              <w:left w:val="nil"/>
              <w:bottom w:val="single" w:color="auto" w:sz="4" w:space="0"/>
              <w:right w:val="single" w:color="auto" w:sz="4" w:space="0"/>
            </w:tcBorders>
            <w:vAlign w:val="center"/>
          </w:tcPr>
          <w:p>
            <w:pPr>
              <w:widowControl/>
              <w:spacing w:line="560" w:lineRule="exact"/>
              <w:jc w:val="both"/>
              <w:rPr>
                <w:rFonts w:hint="default" w:ascii="Times New Roman" w:hAnsi="Times New Roman" w:eastAsia="仿宋_GB2312"/>
                <w:kern w:val="0"/>
                <w:sz w:val="24"/>
                <w:szCs w:val="24"/>
                <w:lang w:val="en-US"/>
              </w:rPr>
            </w:pPr>
            <w:r>
              <w:rPr>
                <w:rFonts w:hint="eastAsia" w:ascii="仿宋_GB2312" w:hAnsi="仿宋_GB2312" w:eastAsia="仿宋_GB2312" w:cs="仿宋_GB2312"/>
                <w:kern w:val="0"/>
                <w:sz w:val="24"/>
                <w:szCs w:val="24"/>
                <w:lang w:eastAsia="zh-CN"/>
              </w:rPr>
              <w:t>昆明市生态环境局宜良分局</w:t>
            </w:r>
            <w:r>
              <w:rPr>
                <w:rFonts w:hint="eastAsia" w:ascii="仿宋_GB2312" w:hAnsi="仿宋_GB2312" w:eastAsia="仿宋_GB2312" w:cs="仿宋_GB2312"/>
                <w:kern w:val="0"/>
                <w:sz w:val="24"/>
                <w:szCs w:val="24"/>
                <w:lang w:val="en-US" w:eastAsia="zh-CN"/>
              </w:rPr>
              <w:t xml:space="preserve">  </w:t>
            </w:r>
            <w:r>
              <w:rPr>
                <w:rFonts w:hint="eastAsia" w:ascii="仿宋_GB2312" w:hAnsi="仿宋_GB2312" w:eastAsia="仿宋_GB2312" w:cs="仿宋_GB2312"/>
                <w:kern w:val="0"/>
                <w:sz w:val="24"/>
                <w:szCs w:val="24"/>
                <w:lang w:eastAsia="zh-CN"/>
              </w:rPr>
              <w:t>黄淑佩</w:t>
            </w:r>
            <w:r>
              <w:rPr>
                <w:rFonts w:hint="default" w:ascii="Times New Roman" w:hAnsi="Times New Roman" w:eastAsia="仿宋_GB2312" w:cs="Times New Roman"/>
                <w:kern w:val="0"/>
                <w:sz w:val="24"/>
                <w:szCs w:val="24"/>
                <w:lang w:eastAsia="zh-CN"/>
              </w:rPr>
              <w:t>：</w:t>
            </w:r>
            <w:r>
              <w:rPr>
                <w:rFonts w:hint="default" w:ascii="Times New Roman" w:hAnsi="Times New Roman" w:eastAsia="仿宋_GB2312" w:cs="Times New Roman"/>
                <w:kern w:val="0"/>
                <w:sz w:val="24"/>
                <w:szCs w:val="24"/>
                <w:lang w:val="en-US" w:eastAsia="zh-CN"/>
              </w:rPr>
              <w:t>15198948131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8" w:hRule="atLeast"/>
        </w:trPr>
        <w:tc>
          <w:tcPr>
            <w:tcW w:w="1993" w:type="dxa"/>
            <w:tcBorders>
              <w:top w:val="single" w:color="auto" w:sz="4" w:space="0"/>
              <w:left w:val="single" w:color="auto" w:sz="4" w:space="0"/>
              <w:bottom w:val="single" w:color="auto" w:sz="4" w:space="0"/>
              <w:right w:val="single" w:color="auto" w:sz="4" w:space="0"/>
            </w:tcBorders>
            <w:vAlign w:val="center"/>
          </w:tcPr>
          <w:p>
            <w:pPr>
              <w:widowControl/>
              <w:spacing w:line="560" w:lineRule="exact"/>
              <w:jc w:val="center"/>
              <w:rPr>
                <w:rFonts w:ascii="Times New Roman" w:hAnsi="Times New Roman" w:eastAsia="仿宋_GB2312"/>
                <w:kern w:val="0"/>
                <w:sz w:val="32"/>
                <w:szCs w:val="32"/>
              </w:rPr>
            </w:pPr>
            <w:r>
              <w:rPr>
                <w:rFonts w:ascii="Times New Roman" w:hAnsi="Times New Roman" w:eastAsia="仿宋_GB2312"/>
                <w:kern w:val="0"/>
                <w:sz w:val="32"/>
                <w:szCs w:val="32"/>
              </w:rPr>
              <w:t>公示说明</w:t>
            </w:r>
          </w:p>
        </w:tc>
        <w:tc>
          <w:tcPr>
            <w:tcW w:w="7502" w:type="dxa"/>
            <w:tcBorders>
              <w:top w:val="single" w:color="auto" w:sz="4" w:space="0"/>
              <w:left w:val="nil"/>
              <w:bottom w:val="single" w:color="auto" w:sz="4" w:space="0"/>
              <w:right w:val="single" w:color="auto" w:sz="4" w:space="0"/>
            </w:tcBorders>
            <w:vAlign w:val="center"/>
          </w:tcPr>
          <w:p>
            <w:pPr>
              <w:widowControl/>
              <w:spacing w:line="560" w:lineRule="exact"/>
              <w:jc w:val="left"/>
              <w:rPr>
                <w:rFonts w:hint="default" w:ascii="Times New Roman" w:hAnsi="Times New Roman" w:eastAsia="仿宋_GB2312"/>
                <w:kern w:val="0"/>
                <w:sz w:val="32"/>
                <w:szCs w:val="32"/>
                <w:lang w:val="en-US"/>
              </w:rPr>
            </w:pPr>
            <w:r>
              <w:rPr>
                <w:rFonts w:ascii="Times New Roman" w:hAnsi="Times New Roman" w:eastAsia="仿宋_GB2312"/>
                <w:kern w:val="0"/>
                <w:sz w:val="32"/>
                <w:szCs w:val="32"/>
              </w:rPr>
              <w:t xml:space="preserve"> </w:t>
            </w:r>
            <w:r>
              <w:rPr>
                <w:rFonts w:ascii="Times New Roman" w:hAnsi="Times New Roman" w:eastAsia="仿宋_GB2312"/>
                <w:kern w:val="0"/>
                <w:sz w:val="24"/>
                <w:szCs w:val="24"/>
              </w:rPr>
              <w:t xml:space="preserve"> </w:t>
            </w:r>
            <w:r>
              <w:rPr>
                <w:rFonts w:hint="default" w:ascii="Times New Roman" w:hAnsi="Times New Roman" w:eastAsia="仿宋_GB2312" w:cs="Times New Roman"/>
                <w:sz w:val="24"/>
                <w:szCs w:val="24"/>
                <w:lang w:val="en-US" w:eastAsia="zh-CN"/>
              </w:rPr>
              <w:t>现将该问题整改落实情况进行公示，如有意见建议，请反馈至</w:t>
            </w:r>
            <w:r>
              <w:rPr>
                <w:rFonts w:hint="eastAsia" w:ascii="仿宋_GB2312" w:hAnsi="仿宋_GB2312" w:eastAsia="仿宋_GB2312" w:cs="仿宋_GB2312"/>
                <w:kern w:val="0"/>
                <w:sz w:val="24"/>
                <w:szCs w:val="24"/>
                <w:lang w:eastAsia="zh-CN"/>
              </w:rPr>
              <w:t>昆明市生态环境局宜良分局</w:t>
            </w:r>
            <w:r>
              <w:rPr>
                <w:rFonts w:hint="default" w:ascii="Times New Roman" w:hAnsi="Times New Roman" w:eastAsia="仿宋_GB2312" w:cs="Times New Roman"/>
                <w:sz w:val="24"/>
                <w:szCs w:val="24"/>
                <w:lang w:val="en-US" w:eastAsia="zh-CN"/>
              </w:rPr>
              <w:t>。联系人员及电话：</w:t>
            </w:r>
            <w:r>
              <w:rPr>
                <w:rFonts w:hint="eastAsia" w:ascii="Times New Roman" w:hAnsi="Times New Roman" w:eastAsia="仿宋_GB2312" w:cs="Times New Roman"/>
                <w:sz w:val="24"/>
                <w:szCs w:val="24"/>
                <w:lang w:val="en-US" w:eastAsia="zh-CN"/>
              </w:rPr>
              <w:t>黄淑佩</w:t>
            </w:r>
            <w:r>
              <w:rPr>
                <w:rFonts w:hint="default" w:ascii="Times New Roman" w:hAnsi="Times New Roman" w:eastAsia="仿宋_GB2312" w:cs="Times New Roman"/>
                <w:sz w:val="24"/>
                <w:szCs w:val="24"/>
                <w:lang w:val="en-US" w:eastAsia="zh-CN"/>
              </w:rPr>
              <w:t>，</w:t>
            </w:r>
            <w:r>
              <w:rPr>
                <w:rFonts w:hint="eastAsia" w:ascii="Times New Roman" w:hAnsi="Times New Roman" w:eastAsia="仿宋_GB2312" w:cs="Times New Roman"/>
                <w:sz w:val="24"/>
                <w:szCs w:val="24"/>
                <w:lang w:val="en-US" w:eastAsia="zh-CN"/>
              </w:rPr>
              <w:t>15198948131。</w:t>
            </w:r>
          </w:p>
        </w:tc>
      </w:tr>
    </w:tbl>
    <w:p>
      <w:pPr>
        <w:widowControl/>
        <w:spacing w:line="560" w:lineRule="exact"/>
        <w:jc w:val="left"/>
        <w:rPr>
          <w:rFonts w:ascii="Times New Roman" w:hAnsi="Times New Roman" w:eastAsia="黑体"/>
          <w:bCs/>
          <w:sz w:val="32"/>
          <w:szCs w:val="32"/>
        </w:rPr>
      </w:pPr>
      <w:r>
        <w:rPr>
          <w:rFonts w:ascii="Times New Roman" w:hAnsi="Times New Roman" w:eastAsia="仿宋_GB2312"/>
          <w:sz w:val="32"/>
          <w:szCs w:val="32"/>
        </w:rPr>
        <w:t>公示单位：</w:t>
      </w:r>
      <w:r>
        <w:rPr>
          <w:rFonts w:hint="eastAsia" w:ascii="Times New Roman" w:hAnsi="Times New Roman" w:eastAsia="仿宋_GB2312"/>
          <w:sz w:val="32"/>
          <w:szCs w:val="32"/>
          <w:lang w:eastAsia="zh-CN"/>
        </w:rPr>
        <w:t>宜良县</w:t>
      </w:r>
      <w:r>
        <w:rPr>
          <w:rFonts w:ascii="Times New Roman" w:hAnsi="Times New Roman" w:eastAsia="仿宋_GB2312"/>
          <w:sz w:val="32"/>
          <w:szCs w:val="32"/>
        </w:rPr>
        <w:t>人民政府</w:t>
      </w:r>
      <w:r>
        <w:rPr>
          <w:rFonts w:hint="eastAsia" w:ascii="Times New Roman" w:hAnsi="Times New Roman" w:eastAsia="仿宋_GB2312"/>
          <w:sz w:val="32"/>
          <w:szCs w:val="32"/>
          <w:lang w:val="en-US" w:eastAsia="zh-CN"/>
        </w:rPr>
        <w:t xml:space="preserve">                </w:t>
      </w:r>
      <w:r>
        <w:rPr>
          <w:rFonts w:ascii="Times New Roman" w:hAnsi="Times New Roman" w:eastAsia="仿宋_GB2312"/>
          <w:sz w:val="32"/>
          <w:szCs w:val="32"/>
        </w:rPr>
        <w:t xml:space="preserve"> </w:t>
      </w:r>
      <w:r>
        <w:rPr>
          <w:rFonts w:hint="eastAsia" w:ascii="Times New Roman" w:hAnsi="Times New Roman" w:eastAsia="仿宋_GB2312"/>
          <w:sz w:val="32"/>
          <w:szCs w:val="32"/>
          <w:lang w:val="en-US" w:eastAsia="zh-CN"/>
        </w:rPr>
        <w:t>2023</w:t>
      </w:r>
      <w:r>
        <w:rPr>
          <w:rFonts w:ascii="Times New Roman" w:hAnsi="Times New Roman" w:eastAsia="仿宋_GB2312"/>
          <w:sz w:val="32"/>
          <w:szCs w:val="32"/>
        </w:rPr>
        <w:t>年</w:t>
      </w:r>
      <w:r>
        <w:rPr>
          <w:rFonts w:hint="eastAsia" w:ascii="Times New Roman" w:hAnsi="Times New Roman" w:eastAsia="仿宋_GB2312"/>
          <w:sz w:val="32"/>
          <w:szCs w:val="32"/>
          <w:lang w:val="en-US" w:eastAsia="zh-CN"/>
        </w:rPr>
        <w:t>11</w:t>
      </w:r>
      <w:r>
        <w:rPr>
          <w:rFonts w:ascii="Times New Roman" w:hAnsi="Times New Roman" w:eastAsia="仿宋_GB2312"/>
          <w:sz w:val="32"/>
          <w:szCs w:val="32"/>
        </w:rPr>
        <w:t>月</w:t>
      </w:r>
      <w:r>
        <w:rPr>
          <w:rFonts w:hint="eastAsia" w:ascii="Times New Roman" w:hAnsi="Times New Roman" w:eastAsia="仿宋_GB2312"/>
          <w:sz w:val="32"/>
          <w:szCs w:val="32"/>
          <w:lang w:val="en-US" w:eastAsia="zh-CN"/>
        </w:rPr>
        <w:t>21</w:t>
      </w:r>
      <w:r>
        <w:rPr>
          <w:rFonts w:ascii="Times New Roman" w:hAnsi="Times New Roman" w:eastAsia="仿宋_GB2312"/>
          <w:sz w:val="32"/>
          <w:szCs w:val="32"/>
        </w:rPr>
        <w:t>日</w:t>
      </w:r>
    </w:p>
    <w:p/>
    <w:sectPr>
      <w:footerReference r:id="rId5" w:type="first"/>
      <w:footerReference r:id="rId3" w:type="default"/>
      <w:footerReference r:id="rId4" w:type="even"/>
      <w:pgSz w:w="11906" w:h="16838"/>
      <w:pgMar w:top="2098" w:right="1418" w:bottom="2098" w:left="1418" w:header="851" w:footer="1077" w:gutter="0"/>
      <w:cols w:space="720" w:num="1"/>
      <w:docGrid w:type="lines" w:linePitch="45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A00002EF" w:usb1="4000207B" w:usb2="00000000" w:usb3="00000000" w:csb0="200000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宋体"/>
    <w:panose1 w:val="02010609060101010101"/>
    <w:charset w:val="00"/>
    <w:family w:val="modern"/>
    <w:pitch w:val="default"/>
    <w:sig w:usb0="00000000" w:usb1="00000000"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宋体" w:hAnsi="宋体"/>
        <w:sz w:val="32"/>
        <w:szCs w:val="32"/>
      </w:rPr>
    </w:pPr>
    <w:r>
      <w:rPr>
        <w:rFonts w:hint="eastAsia" w:ascii="宋体" w:hAnsi="宋体"/>
        <w:sz w:val="32"/>
        <w:szCs w:val="32"/>
      </w:rPr>
      <w:t xml:space="preserve">                                           —</w:t>
    </w:r>
    <w:r>
      <w:rPr>
        <w:rFonts w:ascii="宋体" w:hAnsi="宋体"/>
        <w:sz w:val="32"/>
        <w:szCs w:val="32"/>
      </w:rPr>
      <w:fldChar w:fldCharType="begin"/>
    </w:r>
    <w:r>
      <w:rPr>
        <w:rFonts w:ascii="宋体" w:hAnsi="宋体"/>
        <w:sz w:val="32"/>
        <w:szCs w:val="32"/>
      </w:rPr>
      <w:instrText xml:space="preserve"> PAGE   \* MERGEFORMAT </w:instrText>
    </w:r>
    <w:r>
      <w:rPr>
        <w:rFonts w:ascii="宋体" w:hAnsi="宋体"/>
        <w:sz w:val="32"/>
        <w:szCs w:val="32"/>
      </w:rPr>
      <w:fldChar w:fldCharType="separate"/>
    </w:r>
    <w:r>
      <w:rPr>
        <w:rFonts w:ascii="宋体" w:hAnsi="宋体"/>
        <w:sz w:val="32"/>
        <w:szCs w:val="32"/>
        <w:lang w:val="zh-CN" w:eastAsia="zh-CN"/>
      </w:rPr>
      <w:t>17</w:t>
    </w:r>
    <w:r>
      <w:rPr>
        <w:rFonts w:ascii="宋体" w:hAnsi="宋体"/>
        <w:sz w:val="32"/>
        <w:szCs w:val="32"/>
      </w:rPr>
      <w:fldChar w:fldCharType="end"/>
    </w:r>
    <w:r>
      <w:rPr>
        <w:rFonts w:hint="eastAsia" w:ascii="宋体" w:hAnsi="宋体"/>
        <w:sz w:val="32"/>
        <w:szCs w:val="32"/>
      </w:rPr>
      <w:t>—</w:t>
    </w:r>
  </w:p>
  <w:p>
    <w:pPr>
      <w:pStyle w:val="3"/>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1756" w:h="661" w:hRule="exact" w:wrap="around" w:vAnchor="text" w:hAnchor="page" w:x="1411" w:y="-398"/>
      <w:ind w:left="210" w:leftChars="100"/>
      <w:rPr>
        <w:rStyle w:val="7"/>
        <w:rFonts w:ascii="宋体" w:hAnsi="宋体"/>
        <w:sz w:val="28"/>
        <w:szCs w:val="28"/>
      </w:rPr>
    </w:pPr>
    <w:r>
      <w:rPr>
        <w:rStyle w:val="7"/>
        <w:rFonts w:hint="eastAsia" w:ascii="宋体" w:hAnsi="宋体"/>
        <w:sz w:val="28"/>
        <w:szCs w:val="28"/>
      </w:rPr>
      <w:t xml:space="preserve">   — </w:t>
    </w:r>
    <w:r>
      <w:rPr>
        <w:rFonts w:ascii="宋体" w:hAnsi="宋体"/>
        <w:sz w:val="28"/>
        <w:szCs w:val="28"/>
      </w:rPr>
      <w:fldChar w:fldCharType="begin"/>
    </w:r>
    <w:r>
      <w:rPr>
        <w:rStyle w:val="7"/>
        <w:rFonts w:ascii="宋体" w:hAnsi="宋体"/>
        <w:sz w:val="28"/>
        <w:szCs w:val="28"/>
      </w:rPr>
      <w:instrText xml:space="preserve">PAGE  </w:instrText>
    </w:r>
    <w:r>
      <w:rPr>
        <w:rFonts w:ascii="宋体" w:hAnsi="宋体"/>
        <w:sz w:val="28"/>
        <w:szCs w:val="28"/>
      </w:rPr>
      <w:fldChar w:fldCharType="separate"/>
    </w:r>
    <w:r>
      <w:rPr>
        <w:rStyle w:val="7"/>
        <w:rFonts w:ascii="宋体" w:hAnsi="宋体"/>
        <w:sz w:val="28"/>
        <w:szCs w:val="28"/>
      </w:rPr>
      <w:t>22</w:t>
    </w:r>
    <w:r>
      <w:rPr>
        <w:rFonts w:ascii="宋体" w:hAnsi="宋体"/>
        <w:sz w:val="28"/>
        <w:szCs w:val="28"/>
      </w:rPr>
      <w:fldChar w:fldCharType="end"/>
    </w:r>
    <w:r>
      <w:rPr>
        <w:rStyle w:val="7"/>
        <w:rFonts w:hint="eastAsia" w:ascii="宋体" w:hAnsi="宋体"/>
        <w:sz w:val="28"/>
        <w:szCs w:val="28"/>
      </w:rPr>
      <w:t xml:space="preserve"> —</w:t>
    </w:r>
  </w:p>
  <w:p>
    <w:pPr>
      <w:pStyle w:val="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仿宋_GB2312" w:eastAsia="仿宋_GB2312"/>
        <w:sz w:val="30"/>
        <w:szCs w:val="30"/>
      </w:rPr>
    </w:pP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45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23EFA"/>
    <w:rsid w:val="00723EFA"/>
    <w:rsid w:val="43D44E24"/>
    <w:rsid w:val="60990860"/>
    <w:rsid w:val="621F6039"/>
    <w:rsid w:val="6560313E"/>
    <w:rsid w:val="73BF66EF"/>
    <w:rsid w:val="7DDD02A7"/>
    <w:rsid w:val="B5DEA9A1"/>
    <w:rsid w:val="B5FF3679"/>
    <w:rsid w:val="B6C3B855"/>
    <w:rsid w:val="BFFD7C87"/>
    <w:rsid w:val="FFBB7D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customStyle="1" w:styleId="2">
    <w:name w:val="无间隔1"/>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rPr>
      <w:rFonts w:ascii="Calibri" w:hAnsi="Calibri" w:eastAsia="宋体" w:cs="Times New Roman"/>
    </w:rPr>
  </w:style>
  <w:style w:type="character" w:customStyle="1" w:styleId="8">
    <w:name w:val="页眉 Char"/>
    <w:basedOn w:val="6"/>
    <w:link w:val="4"/>
    <w:semiHidden/>
    <w:qFormat/>
    <w:uiPriority w:val="99"/>
    <w:rPr>
      <w:sz w:val="18"/>
      <w:szCs w:val="18"/>
    </w:rPr>
  </w:style>
  <w:style w:type="character" w:customStyle="1" w:styleId="9">
    <w:name w:val="页脚 Char"/>
    <w:basedOn w:val="6"/>
    <w:link w:val="3"/>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17</Pages>
  <Words>758</Words>
  <Characters>4321</Characters>
  <Lines>36</Lines>
  <Paragraphs>10</Paragraphs>
  <TotalTime>0</TotalTime>
  <ScaleCrop>false</ScaleCrop>
  <LinksUpToDate>false</LinksUpToDate>
  <CharactersWithSpaces>5069</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2021-12-03T17:33:00Z</dcterms:created>
  <dc:creator>微软用户</dc:creator>
  <cp:lastModifiedBy>user</cp:lastModifiedBy>
  <cp:lastPrinted>2021-12-06T23:47:00Z</cp:lastPrinted>
  <dcterms:modified xsi:type="dcterms:W3CDTF">2023-11-21T14:50:57Z</dcterms:modified>
  <dc:title>附件6</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ies>
</file>