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宜财联发〔2023〕 25号</w:t>
      </w:r>
    </w:p>
    <w:p>
      <w:pPr>
        <w:keepNext w:val="0"/>
        <w:keepLines w:val="0"/>
        <w:pageBreakBefore w:val="0"/>
        <w:widowControl w:val="0"/>
        <w:kinsoku/>
        <w:wordWrap/>
        <w:overflowPunct/>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ascii="Calibri" w:hAnsi="Calibri" w:eastAsia="宋体"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125095</wp:posOffset>
                </wp:positionV>
                <wp:extent cx="6343650" cy="0"/>
                <wp:effectExtent l="0" t="0" r="0" b="0"/>
                <wp:wrapNone/>
                <wp:docPr id="5" name="直接连接符 5"/>
                <wp:cNvGraphicFramePr/>
                <a:graphic xmlns:a="http://schemas.openxmlformats.org/drawingml/2006/main">
                  <a:graphicData uri="http://schemas.microsoft.com/office/word/2010/wordprocessingShape">
                    <wps:wsp>
                      <wps:cNvCnPr/>
                      <wps:spPr>
                        <a:xfrm>
                          <a:off x="655955" y="3677920"/>
                          <a:ext cx="6343650" cy="0"/>
                        </a:xfrm>
                        <a:prstGeom prst="line">
                          <a:avLst/>
                        </a:prstGeom>
                        <a:noFill/>
                        <a:ln w="9525" cap="flat" cmpd="sng" algn="ctr">
                          <a:noFill/>
                          <a:prstDash val="solid"/>
                        </a:ln>
                        <a:effectLst/>
                      </wps:spPr>
                      <wps:bodyPr/>
                    </wps:wsp>
                  </a:graphicData>
                </a:graphic>
              </wp:anchor>
            </w:drawing>
          </mc:Choice>
          <mc:Fallback>
            <w:pict>
              <v:line id="_x0000_s1026" o:spid="_x0000_s1026" o:spt="20" style="position:absolute;left:0pt;margin-left:-24.9pt;margin-top:9.85pt;height:0pt;width:499.5pt;z-index:251659264;mso-width-relative:page;mso-height-relative:page;" filled="f" stroked="f" coordsize="21600,21600" o:gfxdata="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R2gG/XAAAACQEAAA8AAAAAAAAA&#10;AQAgAAAAIgAAAGRycy9kb3ducmV2LnhtbFBLAQIUABQAAAAIAIdO4kCkI6wL2QEAAIoDAAAOAAAA&#10;AAAAAAEAIAAAACYBAABkcnMvZTJvRG9jLnhtbFBLBQYAAAAABgAGAFkBAABxBQAAAAA=&#10;">
                <v:fill on="f" focussize="0,0"/>
                <v:stroke on="f"/>
                <v:imagedata o:title=""/>
                <o:lock v:ext="edit" aspectratio="f"/>
              </v:line>
            </w:pict>
          </mc:Fallback>
        </mc:AlternateContent>
      </w:r>
    </w:p>
    <w:p>
      <w:pPr>
        <w:spacing w:line="407"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spacing w:val="-4"/>
          <w:sz w:val="44"/>
          <w:szCs w:val="44"/>
        </w:rPr>
        <w:t>宜良县财政局 宜良县乡村振兴局关</w:t>
      </w:r>
      <w:r>
        <w:rPr>
          <w:rFonts w:hint="eastAsia" w:ascii="方正小标宋简体" w:hAnsi="方正小标宋简体" w:eastAsia="方正小标宋简体" w:cs="方正小标宋简体"/>
          <w:b w:val="0"/>
          <w:bCs w:val="0"/>
          <w:spacing w:val="-4"/>
          <w:sz w:val="44"/>
          <w:szCs w:val="44"/>
        </w:rPr>
        <w:t>于调</w:t>
      </w:r>
      <w:r>
        <w:rPr>
          <w:rFonts w:hint="eastAsia" w:ascii="方正小标宋简体" w:hAnsi="方正小标宋简体" w:eastAsia="方正小标宋简体" w:cs="方正小标宋简体"/>
          <w:b w:val="0"/>
          <w:bCs w:val="0"/>
          <w:spacing w:val="-4"/>
          <w:sz w:val="44"/>
          <w:szCs w:val="44"/>
          <w:lang w:val="en-US" w:eastAsia="zh-CN"/>
        </w:rPr>
        <w:t>整</w:t>
      </w:r>
      <w:r>
        <w:rPr>
          <w:rFonts w:hint="eastAsia" w:ascii="方正小标宋简体" w:hAnsi="方正小标宋简体" w:eastAsia="方正小标宋简体" w:cs="方正小标宋简体"/>
          <w:b w:val="0"/>
          <w:bCs w:val="0"/>
          <w:spacing w:val="-4"/>
          <w:sz w:val="44"/>
          <w:szCs w:val="44"/>
        </w:rPr>
        <w:t>2023年财政衔接乡村振兴补助资金</w:t>
      </w:r>
      <w:r>
        <w:rPr>
          <w:rFonts w:hint="eastAsia" w:ascii="方正小标宋简体" w:hAnsi="方正小标宋简体" w:eastAsia="方正小标宋简体" w:cs="方正小标宋简体"/>
          <w:b w:val="0"/>
          <w:bCs w:val="0"/>
          <w:spacing w:val="-4"/>
          <w:sz w:val="44"/>
          <w:szCs w:val="44"/>
          <w:lang w:val="en-US" w:eastAsia="zh-CN"/>
        </w:rPr>
        <w:t>安排</w:t>
      </w:r>
      <w:r>
        <w:rPr>
          <w:rFonts w:hint="eastAsia" w:ascii="方正小标宋简体" w:hAnsi="方正小标宋简体" w:eastAsia="方正小标宋简体" w:cs="方正小标宋简体"/>
          <w:b w:val="0"/>
          <w:bCs w:val="0"/>
          <w:spacing w:val="-4"/>
          <w:sz w:val="44"/>
          <w:szCs w:val="44"/>
        </w:rPr>
        <w:t>的通知</w:t>
      </w:r>
    </w:p>
    <w:p>
      <w:pPr>
        <w:spacing w:line="258" w:lineRule="auto"/>
        <w:rPr>
          <w:rFonts w:ascii="Arial"/>
          <w:sz w:val="21"/>
        </w:rPr>
      </w:pPr>
    </w:p>
    <w:p>
      <w:pPr>
        <w:spacing w:line="25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各乡镇人民政府、街道办：</w:t>
      </w:r>
    </w:p>
    <w:p>
      <w:pPr>
        <w:keepNext w:val="0"/>
        <w:keepLines w:val="0"/>
        <w:pageBreakBefore w:val="0"/>
        <w:widowControl/>
        <w:suppressLineNumbers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按照《云南省财政厅关于下达2023年财政衔接推进乡村振</w:t>
      </w:r>
      <w:r>
        <w:rPr>
          <w:rFonts w:hint="eastAsia" w:ascii="仿宋_GB2312" w:hAnsi="仿宋_GB2312" w:eastAsia="仿宋_GB2312" w:cs="仿宋_GB2312"/>
          <w:color w:val="000000"/>
          <w:sz w:val="32"/>
          <w:szCs w:val="32"/>
        </w:rPr>
        <w:t>兴补助资金正向激励调整资金的通知》（云财农〔2023〕155号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昆明市财政局关于下达2023年财政衔接推进乡村振兴补助资金正向激励调整资金的通知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napToGrid w:val="0"/>
          <w:color w:val="000000"/>
          <w:kern w:val="0"/>
          <w:sz w:val="32"/>
          <w:szCs w:val="32"/>
          <w:lang w:val="en-US" w:eastAsia="zh-CN" w:bidi="ar"/>
        </w:rPr>
        <w:t>昆财农〔2023〕146号）扣减我县2023年财政衔接推进乡村振兴补助资金48万元，</w:t>
      </w:r>
      <w:r>
        <w:rPr>
          <w:rFonts w:hint="eastAsia" w:ascii="仿宋_GB2312" w:hAnsi="仿宋_GB2312" w:eastAsia="仿宋_GB2312" w:cs="仿宋_GB2312"/>
          <w:spacing w:val="12"/>
          <w:sz w:val="32"/>
          <w:szCs w:val="32"/>
          <w:lang w:val="en-US" w:eastAsia="zh-CN"/>
        </w:rPr>
        <w:t>现对</w:t>
      </w:r>
      <w:r>
        <w:rPr>
          <w:rFonts w:hint="eastAsia" w:ascii="仿宋_GB2312" w:hAnsi="仿宋_GB2312" w:eastAsia="仿宋_GB2312" w:cs="仿宋_GB2312"/>
          <w:spacing w:val="12"/>
          <w:sz w:val="32"/>
          <w:szCs w:val="32"/>
        </w:rPr>
        <w:t>我县</w:t>
      </w:r>
      <w:r>
        <w:rPr>
          <w:rFonts w:hint="eastAsia" w:ascii="仿宋_GB2312" w:hAnsi="仿宋_GB2312" w:eastAsia="仿宋_GB2312" w:cs="仿宋_GB2312"/>
          <w:spacing w:val="12"/>
          <w:sz w:val="32"/>
          <w:szCs w:val="32"/>
          <w:lang w:val="en-US" w:eastAsia="zh-CN"/>
        </w:rPr>
        <w:t>部分</w:t>
      </w:r>
      <w:r>
        <w:rPr>
          <w:rFonts w:hint="eastAsia" w:ascii="仿宋_GB2312" w:hAnsi="仿宋_GB2312" w:eastAsia="仿宋_GB2312" w:cs="仿宋_GB2312"/>
          <w:spacing w:val="12"/>
          <w:sz w:val="32"/>
          <w:szCs w:val="32"/>
        </w:rPr>
        <w:t>衔接资金项目</w:t>
      </w:r>
      <w:r>
        <w:rPr>
          <w:rFonts w:hint="eastAsia" w:ascii="仿宋_GB2312" w:hAnsi="仿宋_GB2312" w:eastAsia="仿宋_GB2312" w:cs="仿宋_GB2312"/>
          <w:spacing w:val="12"/>
          <w:sz w:val="32"/>
          <w:szCs w:val="32"/>
          <w:lang w:val="en-US" w:eastAsia="zh-CN"/>
        </w:rPr>
        <w:t>按照进度</w:t>
      </w:r>
      <w:r>
        <w:rPr>
          <w:rFonts w:hint="eastAsia" w:ascii="仿宋_GB2312" w:hAnsi="仿宋_GB2312" w:eastAsia="仿宋_GB2312" w:cs="仿宋_GB2312"/>
          <w:spacing w:val="-5"/>
          <w:sz w:val="32"/>
          <w:szCs w:val="32"/>
        </w:rPr>
        <w:t>因素</w:t>
      </w:r>
      <w:r>
        <w:rPr>
          <w:rFonts w:hint="eastAsia" w:ascii="仿宋_GB2312" w:hAnsi="仿宋_GB2312" w:eastAsia="仿宋_GB2312" w:cs="仿宋_GB2312"/>
          <w:spacing w:val="-5"/>
          <w:sz w:val="32"/>
          <w:szCs w:val="32"/>
          <w:lang w:val="en-US" w:eastAsia="zh-CN"/>
        </w:rPr>
        <w:t>进行扣减和重新安排</w:t>
      </w:r>
      <w:r>
        <w:rPr>
          <w:rFonts w:hint="eastAsia" w:ascii="仿宋_GB2312" w:hAnsi="仿宋_GB2312" w:eastAsia="仿宋_GB2312" w:cs="仿宋_GB2312"/>
          <w:spacing w:val="-5"/>
          <w:sz w:val="32"/>
          <w:szCs w:val="32"/>
        </w:rPr>
        <w:t>，有</w:t>
      </w:r>
      <w:r>
        <w:rPr>
          <w:rFonts w:hint="eastAsia" w:ascii="仿宋_GB2312" w:hAnsi="仿宋_GB2312" w:eastAsia="仿宋_GB2312" w:cs="仿宋_GB2312"/>
          <w:spacing w:val="-12"/>
          <w:sz w:val="32"/>
          <w:szCs w:val="32"/>
        </w:rPr>
        <w:t>关事项通知如下：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4"/>
        <w:jc w:val="both"/>
        <w:textAlignment w:val="baseline"/>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一、项目资金</w:t>
      </w:r>
      <w:r>
        <w:rPr>
          <w:rFonts w:hint="eastAsia" w:ascii="黑体" w:hAnsi="黑体" w:eastAsia="黑体" w:cs="黑体"/>
          <w:b w:val="0"/>
          <w:bCs w:val="0"/>
          <w:spacing w:val="5"/>
          <w:sz w:val="32"/>
          <w:szCs w:val="32"/>
          <w:lang w:val="en-US" w:eastAsia="zh-CN"/>
        </w:rPr>
        <w:t>扣</w:t>
      </w:r>
      <w:r>
        <w:rPr>
          <w:rFonts w:hint="eastAsia" w:ascii="黑体" w:hAnsi="黑体" w:eastAsia="黑体" w:cs="黑体"/>
          <w:b w:val="0"/>
          <w:bCs w:val="0"/>
          <w:spacing w:val="5"/>
          <w:sz w:val="32"/>
          <w:szCs w:val="32"/>
        </w:rPr>
        <w:t>减情况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一</w:t>
      </w:r>
      <w:r>
        <w:rPr>
          <w:rFonts w:hint="eastAsia" w:ascii="仿宋_GB2312" w:hAnsi="仿宋_GB2312" w:eastAsia="仿宋_GB2312" w:cs="仿宋_GB2312"/>
          <w:spacing w:val="14"/>
          <w:sz w:val="32"/>
          <w:szCs w:val="32"/>
          <w:lang w:eastAsia="zh-CN"/>
        </w:rPr>
        <w:t>）项目管理经费</w:t>
      </w:r>
      <w:r>
        <w:rPr>
          <w:rFonts w:hint="eastAsia" w:ascii="仿宋_GB2312" w:hAnsi="仿宋_GB2312" w:eastAsia="仿宋_GB2312" w:cs="仿宋_GB2312"/>
          <w:spacing w:val="14"/>
          <w:sz w:val="32"/>
          <w:szCs w:val="32"/>
          <w:lang w:val="en-US" w:eastAsia="zh-CN"/>
        </w:rPr>
        <w:t>5万元，资金下达文件为宜财联发〔2023〕11号。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（二）就业培训33万元，资金下达文件为宜财联发〔2023〕11号。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96" w:firstLineChars="200"/>
        <w:jc w:val="both"/>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（三）温泉社区绿美村庄基础设施建设项目70万元，资金下达文件为宜财联发〔2023〕11号，省级资金。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96" w:firstLineChars="200"/>
        <w:jc w:val="both"/>
        <w:textAlignment w:val="baseline"/>
        <w:rPr>
          <w:rFonts w:hint="eastAsia" w:ascii="仿宋_GB2312" w:hAnsi="仿宋_GB2312" w:eastAsia="仿宋_GB2312" w:cs="仿宋_GB2312"/>
          <w:spacing w:val="14"/>
          <w:sz w:val="32"/>
          <w:szCs w:val="32"/>
          <w:lang w:val="en-US" w:eastAsia="zh-CN"/>
        </w:rPr>
      </w:pPr>
      <w:r>
        <w:rPr>
          <w:rFonts w:hint="eastAsia" w:ascii="仿宋_GB2312" w:hAnsi="仿宋_GB2312" w:eastAsia="仿宋_GB2312" w:cs="仿宋_GB2312"/>
          <w:spacing w:val="14"/>
          <w:sz w:val="32"/>
          <w:szCs w:val="32"/>
          <w:lang w:val="en-US" w:eastAsia="zh-CN"/>
        </w:rPr>
        <w:t>共计扣减衔接资金48万元。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4"/>
        <w:jc w:val="both"/>
        <w:textAlignment w:val="baseline"/>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二、项目资金安排情况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both"/>
        <w:textAlignment w:val="baseline"/>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b w:val="0"/>
          <w:bCs w:val="0"/>
          <w:spacing w:val="5"/>
          <w:sz w:val="32"/>
          <w:szCs w:val="32"/>
          <w:lang w:val="en-US" w:eastAsia="zh-CN"/>
        </w:rPr>
        <w:t>（一）向上级退回48万元（项目管理经费5万元、就业培训33万元、</w:t>
      </w:r>
      <w:r>
        <w:rPr>
          <w:rFonts w:hint="eastAsia" w:ascii="仿宋_GB2312" w:hAnsi="仿宋_GB2312" w:eastAsia="仿宋_GB2312" w:cs="仿宋_GB2312"/>
          <w:spacing w:val="14"/>
          <w:sz w:val="32"/>
          <w:szCs w:val="32"/>
          <w:lang w:val="en-US" w:eastAsia="zh-CN"/>
        </w:rPr>
        <w:t>温泉社区绿美村庄基础设施建设项目10万元</w:t>
      </w:r>
      <w:r>
        <w:rPr>
          <w:rFonts w:hint="eastAsia" w:ascii="仿宋_GB2312" w:hAnsi="仿宋_GB2312" w:eastAsia="仿宋_GB2312" w:cs="仿宋_GB2312"/>
          <w:b w:val="0"/>
          <w:bCs w:val="0"/>
          <w:spacing w:val="5"/>
          <w:sz w:val="32"/>
          <w:szCs w:val="32"/>
          <w:lang w:val="en-US" w:eastAsia="zh-CN"/>
        </w:rPr>
        <w:t>）。</w:t>
      </w:r>
    </w:p>
    <w:p>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切实管好用好衔接资金</w:t>
      </w:r>
    </w:p>
    <w:p>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各项目责任单位要</w:t>
      </w:r>
      <w:r>
        <w:rPr>
          <w:rFonts w:hint="eastAsia" w:ascii="仿宋_GB2312" w:hAnsi="仿宋_GB2312" w:eastAsia="仿宋_GB2312" w:cs="仿宋_GB2312"/>
          <w:color w:val="000000"/>
          <w:sz w:val="32"/>
          <w:szCs w:val="32"/>
        </w:rPr>
        <w:t>严格按照《云南省财政衔接推进乡村振兴补助资金管理办法》（云财农〔2021〕140号）和《云南省财政厅等6部门关于加强中央和省级财政衔接推进乡村振兴补助资金使用管理的实施意见》（云财规〔2022〕23号）规定和要求安排使用资金，加强资金项目管理，优先选择前期工作到位的项目，将资金尽快落实到具体项目，加强项目实施跟踪调度和全面绩效管理，加快资金支出。持续强化资金监管，切实管好用好资金，充分发挥资金使用效益。特别是要以本次奖惩为契机，深入推进各渠道发现问题整改，举一反三不断提升衔接资金管理使用水平。</w:t>
      </w:r>
    </w:p>
    <w:p>
      <w:pPr>
        <w:keepNext w:val="0"/>
        <w:keepLines w:val="0"/>
        <w:pageBreakBefore w:val="0"/>
        <w:wordWrap/>
        <w:overflowPunct/>
        <w:topLinePunct w:val="0"/>
        <w:bidi w:val="0"/>
        <w:spacing w:line="245" w:lineRule="auto"/>
        <w:rPr>
          <w:rFonts w:ascii="Arial"/>
          <w:sz w:val="21"/>
        </w:rPr>
      </w:pPr>
    </w:p>
    <w:p>
      <w:pPr>
        <w:keepNext w:val="0"/>
        <w:keepLines w:val="0"/>
        <w:pageBreakBefore w:val="0"/>
        <w:wordWrap/>
        <w:overflowPunct/>
        <w:topLinePunct w:val="0"/>
        <w:bidi w:val="0"/>
        <w:spacing w:line="245" w:lineRule="auto"/>
        <w:rPr>
          <w:rFonts w:ascii="Arial"/>
          <w:sz w:val="21"/>
        </w:rPr>
      </w:pPr>
    </w:p>
    <w:p/>
    <w:p>
      <w:pPr>
        <w:keepNext w:val="0"/>
        <w:keepLines w:val="0"/>
        <w:pageBreakBefore w:val="0"/>
        <w:wordWrap/>
        <w:overflowPunct/>
        <w:topLinePunct w:val="0"/>
        <w:bidi w:val="0"/>
        <w:spacing w:line="245" w:lineRule="auto"/>
        <w:rPr>
          <w:rFonts w:ascii="Arial"/>
          <w:sz w:val="21"/>
        </w:rPr>
      </w:pPr>
    </w:p>
    <w:p>
      <w:pPr>
        <w:pStyle w:val="10"/>
        <w:keepNext w:val="0"/>
        <w:keepLines w:val="0"/>
        <w:pageBreakBefore w:val="0"/>
        <w:widowControl w:val="0"/>
        <w:kinsoku/>
        <w:wordWrap/>
        <w:overflowPunct/>
        <w:topLinePunct w:val="0"/>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宜良县财政局   </w:t>
      </w:r>
      <w:r>
        <w:rPr>
          <w:rFonts w:hint="eastAsia" w:ascii="仿宋_GB2312" w:hAnsi="仿宋_GB2312" w:eastAsia="仿宋_GB2312" w:cs="仿宋_GB2312"/>
          <w:color w:val="auto"/>
          <w:sz w:val="32"/>
          <w:szCs w:val="32"/>
        </w:rPr>
        <w:t>宜良</w:t>
      </w:r>
      <w:r>
        <w:rPr>
          <w:rFonts w:hint="eastAsia"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13日</w:t>
      </w:r>
    </w:p>
    <w:p>
      <w:pPr>
        <w:keepNext w:val="0"/>
        <w:keepLines w:val="0"/>
        <w:pageBreakBefore w:val="0"/>
        <w:wordWrap/>
        <w:overflowPunct/>
        <w:topLinePunct w:val="0"/>
        <w:bidi w:val="0"/>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keepNext w:val="0"/>
        <w:keepLines w:val="0"/>
        <w:pageBreakBefore w:val="0"/>
        <w:widowControl w:val="0"/>
        <w:kinsoku/>
        <w:wordWrap/>
        <w:overflowPunct/>
        <w:autoSpaceDN/>
        <w:bidi w:val="0"/>
        <w:spacing w:line="560" w:lineRule="exact"/>
        <w:ind w:firstLine="3520" w:firstLineChars="11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autoSpaceDN/>
        <w:bidi w:val="0"/>
        <w:spacing w:line="560" w:lineRule="exact"/>
        <w:ind w:firstLine="3520" w:firstLineChars="1100"/>
        <w:textAlignment w:val="auto"/>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 xml:space="preserve">              </w:t>
      </w:r>
    </w:p>
    <w:p>
      <w:pPr>
        <w:spacing w:line="246" w:lineRule="auto"/>
        <w:rPr>
          <w:rFonts w:ascii="Arial"/>
          <w:sz w:val="21"/>
        </w:rPr>
      </w:pPr>
    </w:p>
    <w:sectPr>
      <w:footerReference r:id="rId5" w:type="default"/>
      <w:pgSz w:w="11910" w:h="16850"/>
      <w:pgMar w:top="1432" w:right="1289" w:bottom="400" w:left="15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RiOGI1N2Q2ZTY4Nzk0YTA1MDk2MGRmZDgzMTRlNDAifQ=="/>
  </w:docVars>
  <w:rsids>
    <w:rsidRoot w:val="00000000"/>
    <w:rsid w:val="025A34EF"/>
    <w:rsid w:val="03E02952"/>
    <w:rsid w:val="05746676"/>
    <w:rsid w:val="064A228E"/>
    <w:rsid w:val="070103DE"/>
    <w:rsid w:val="0834033F"/>
    <w:rsid w:val="0E5C5AE1"/>
    <w:rsid w:val="26B119D0"/>
    <w:rsid w:val="32F12805"/>
    <w:rsid w:val="358918C4"/>
    <w:rsid w:val="3C683C77"/>
    <w:rsid w:val="4013785B"/>
    <w:rsid w:val="41601281"/>
    <w:rsid w:val="4473751E"/>
    <w:rsid w:val="466F6B93"/>
    <w:rsid w:val="467F21AA"/>
    <w:rsid w:val="46971BE9"/>
    <w:rsid w:val="492E7EB7"/>
    <w:rsid w:val="4B053EDC"/>
    <w:rsid w:val="4C8107A0"/>
    <w:rsid w:val="4E3C4A40"/>
    <w:rsid w:val="4FFF663D"/>
    <w:rsid w:val="55604334"/>
    <w:rsid w:val="5AB0697E"/>
    <w:rsid w:val="64BF7197"/>
    <w:rsid w:val="64DE058B"/>
    <w:rsid w:val="65D329BB"/>
    <w:rsid w:val="68991C29"/>
    <w:rsid w:val="6B431148"/>
    <w:rsid w:val="6D1C4347"/>
    <w:rsid w:val="73683C95"/>
    <w:rsid w:val="7D89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100" w:after="90" w:line="576" w:lineRule="auto"/>
      <w:outlineLvl w:val="0"/>
    </w:pPr>
    <w:rPr>
      <w:rFonts w:eastAsia="黑体"/>
      <w:b/>
      <w:kern w:val="44"/>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实施方案正文"/>
    <w:basedOn w:val="1"/>
    <w:qFormat/>
    <w:uiPriority w:val="0"/>
    <w:pPr>
      <w:ind w:firstLine="566" w:firstLineChars="202"/>
    </w:pPr>
    <w:rPr>
      <w:rFonts w:ascii="Calibri" w:hAnsi="Calibri" w:eastAsia="宋体"/>
      <w:sz w:val="2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773</Words>
  <Characters>837</Characters>
  <TotalTime>14</TotalTime>
  <ScaleCrop>false</ScaleCrop>
  <LinksUpToDate>false</LinksUpToDate>
  <CharactersWithSpaces>896</CharactersWithSpaces>
  <Application>WPS Office_11.1.0.14235_F1E327BC-269C-435d-A152-05C5408002CA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2023-10-16T16:14:00Z</dcterms:created>
  <dc:creator>Kingsoft-PDF</dc:creator>
  <cp:lastModifiedBy>JINNNY</cp:lastModifiedBy>
  <dcterms:modified xsi:type="dcterms:W3CDTF">2023-11-20T03:14:47Z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2023-10-16T16:14:16Z</vt:filetime>
  </property>
  <property fmtid="{D5CDD505-2E9C-101B-9397-08002B2CF9AE}" pid="4" name="UsrData">
    <vt:lpwstr>652cf0d5eeea390020798220wl</vt:lpwstr>
  </property>
  <property fmtid="{D5CDD505-2E9C-101B-9397-08002B2CF9AE}" pid="5" name="KSOProductBuildVer">
    <vt:lpwstr>2052-11.1.0.14235</vt:lpwstr>
  </property>
  <property fmtid="{D5CDD505-2E9C-101B-9397-08002B2CF9AE}" pid="6" name="ICV">
    <vt:lpwstr>32B3F00B1EF34CFD97738C7AF319D611_13</vt:lpwstr>
  </property>
</Properties>
</file>