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baseline"/>
        <w:outlineLvl w:val="9"/>
        <w:rPr>
          <w:rFonts w:hint="default" w:ascii="Times New Roman" w:hAnsi="Times New Roman" w:eastAsia="方正小标宋简体" w:cs="Times New Roman"/>
          <w:color w:val="000000" w:themeColor="text1"/>
          <w:spacing w:val="0"/>
          <w:position w:val="0"/>
          <w:sz w:val="43"/>
          <w:szCs w:val="43"/>
          <w:lang w:val="en-US" w:eastAsia="zh-CN"/>
          <w14:textFill>
            <w14:solidFill>
              <w14:schemeClr w14:val="tx1"/>
            </w14:solidFill>
          </w14:textFill>
        </w:rPr>
      </w:pPr>
      <w:bookmarkStart w:id="71" w:name="_GoBack"/>
      <w:bookmarkEnd w:id="71"/>
    </w:p>
    <w:p>
      <w:pPr>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baseline"/>
        <w:outlineLvl w:val="9"/>
        <w:rPr>
          <w:rFonts w:hint="default" w:ascii="Times New Roman" w:hAnsi="Times New Roman" w:eastAsia="方正小标宋简体" w:cs="Times New Roman"/>
          <w:color w:val="000000" w:themeColor="text1"/>
          <w:spacing w:val="0"/>
          <w:position w:val="0"/>
          <w:sz w:val="43"/>
          <w:szCs w:val="43"/>
          <w:lang w:val="en-US" w:eastAsia="zh-CN"/>
          <w14:textFill>
            <w14:solidFill>
              <w14:schemeClr w14:val="tx1"/>
            </w14:solidFill>
          </w14:textFill>
        </w:rPr>
      </w:pPr>
    </w:p>
    <w:p>
      <w:pPr>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baseline"/>
        <w:outlineLvl w:val="9"/>
        <w:rPr>
          <w:rFonts w:hint="default" w:ascii="Times New Roman" w:hAnsi="Times New Roman" w:eastAsia="方正小标宋简体" w:cs="Times New Roman"/>
          <w:color w:val="000000" w:themeColor="text1"/>
          <w:spacing w:val="0"/>
          <w:position w:val="0"/>
          <w:sz w:val="43"/>
          <w:szCs w:val="43"/>
          <w:lang w:val="en-US" w:eastAsia="zh-CN"/>
          <w14:textFill>
            <w14:solidFill>
              <w14:schemeClr w14:val="tx1"/>
            </w14:solidFill>
          </w14:textFill>
        </w:rPr>
      </w:pPr>
    </w:p>
    <w:p>
      <w:pPr>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baseline"/>
        <w:outlineLvl w:val="9"/>
        <w:rPr>
          <w:rFonts w:hint="default" w:ascii="Times New Roman" w:hAnsi="Times New Roman" w:eastAsia="方正小标宋简体" w:cs="Times New Roman"/>
          <w:color w:val="000000" w:themeColor="text1"/>
          <w:spacing w:val="0"/>
          <w:position w:val="0"/>
          <w:sz w:val="43"/>
          <w:szCs w:val="43"/>
          <w:lang w:val="en-US" w:eastAsia="zh-CN"/>
          <w14:textFill>
            <w14:solidFill>
              <w14:schemeClr w14:val="tx1"/>
            </w14:solidFill>
          </w14:textFill>
        </w:rPr>
      </w:pPr>
    </w:p>
    <w:p>
      <w:pPr>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baseline"/>
        <w:outlineLvl w:val="0"/>
        <w:rPr>
          <w:rFonts w:hint="default" w:ascii="Times New Roman" w:hAnsi="Times New Roman" w:eastAsia="方正小标宋简体" w:cs="Times New Roman"/>
          <w:color w:val="000000" w:themeColor="text1"/>
          <w:spacing w:val="0"/>
          <w:position w:val="0"/>
          <w:sz w:val="43"/>
          <w:szCs w:val="43"/>
          <w14:textFill>
            <w14:solidFill>
              <w14:schemeClr w14:val="tx1"/>
            </w14:solidFill>
          </w14:textFill>
        </w:rPr>
      </w:pPr>
      <w:bookmarkStart w:id="0" w:name="_Toc16919"/>
      <w:r>
        <w:rPr>
          <w:rFonts w:hint="default" w:ascii="Times New Roman" w:hAnsi="Times New Roman" w:eastAsia="方正小标宋简体" w:cs="Times New Roman"/>
          <w:color w:val="000000" w:themeColor="text1"/>
          <w:spacing w:val="0"/>
          <w:position w:val="0"/>
          <w:sz w:val="43"/>
          <w:szCs w:val="43"/>
          <w:lang w:val="en-US" w:eastAsia="zh-CN"/>
          <w14:textFill>
            <w14:solidFill>
              <w14:schemeClr w14:val="tx1"/>
            </w14:solidFill>
          </w14:textFill>
        </w:rPr>
        <w:t>宜良县</w:t>
      </w:r>
      <w:r>
        <w:rPr>
          <w:rFonts w:hint="default" w:ascii="Times New Roman" w:hAnsi="Times New Roman" w:eastAsia="方正小标宋简体" w:cs="Times New Roman"/>
          <w:color w:val="000000" w:themeColor="text1"/>
          <w:spacing w:val="0"/>
          <w:position w:val="0"/>
          <w:sz w:val="43"/>
          <w:szCs w:val="43"/>
          <w14:textFill>
            <w14:solidFill>
              <w14:schemeClr w14:val="tx1"/>
            </w14:solidFill>
          </w14:textFill>
        </w:rPr>
        <w:t>“十四五”医疗卫生服务体系规划</w:t>
      </w:r>
      <w:bookmarkEnd w:id="0"/>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baseline"/>
        <w:outlineLvl w:val="9"/>
        <w:rPr>
          <w:rFonts w:hint="eastAsia" w:ascii="楷体_GB2312" w:hAnsi="楷体_GB2312" w:eastAsia="楷体_GB2312" w:cs="楷体_GB2312"/>
          <w:color w:val="000000" w:themeColor="text1"/>
          <w:spacing w:val="0"/>
          <w:position w:val="0"/>
          <w:sz w:val="32"/>
          <w:szCs w:val="32"/>
          <w:lang w:eastAsia="zh-CN"/>
          <w14:textFill>
            <w14:solidFill>
              <w14:schemeClr w14:val="tx1"/>
            </w14:solidFill>
          </w14:textFill>
        </w:rPr>
      </w:pPr>
      <w:r>
        <w:rPr>
          <w:rFonts w:hint="eastAsia" w:ascii="楷体_GB2312" w:hAnsi="楷体_GB2312" w:eastAsia="楷体_GB2312" w:cs="楷体_GB2312"/>
          <w:color w:val="000000" w:themeColor="text1"/>
          <w:spacing w:val="0"/>
          <w:positio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spacing w:val="0"/>
          <w:position w:val="0"/>
          <w:sz w:val="32"/>
          <w:szCs w:val="32"/>
          <w:lang w:val="en-US" w:eastAsia="zh-CN"/>
          <w14:textFill>
            <w14:solidFill>
              <w14:schemeClr w14:val="tx1"/>
            </w14:solidFill>
          </w14:textFill>
        </w:rPr>
        <w:t>征求意见稿</w:t>
      </w:r>
      <w:r>
        <w:rPr>
          <w:rFonts w:hint="eastAsia" w:ascii="楷体_GB2312" w:hAnsi="楷体_GB2312" w:eastAsia="楷体_GB2312" w:cs="楷体_GB2312"/>
          <w:color w:val="000000" w:themeColor="text1"/>
          <w:spacing w:val="0"/>
          <w:position w:val="0"/>
          <w:sz w:val="32"/>
          <w:szCs w:val="32"/>
          <w:lang w:eastAsia="zh-CN"/>
          <w14:textFill>
            <w14:solidFill>
              <w14:schemeClr w14:val="tx1"/>
            </w14:solidFill>
          </w14:textFill>
        </w:rPr>
        <w:t>）</w:t>
      </w: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cs="Times New Roman"/>
          <w:color w:val="000000" w:themeColor="text1"/>
          <w:spacing w:val="0"/>
          <w:position w:val="0"/>
          <w14:textFill>
            <w14:solidFill>
              <w14:schemeClr w14:val="tx1"/>
            </w14:solidFill>
          </w14:textFill>
        </w:rPr>
      </w:pPr>
    </w:p>
    <w:p>
      <w:pPr>
        <w:keepNext w:val="0"/>
        <w:keepLines w:val="0"/>
        <w:pageBreakBefore w:val="0"/>
        <w:widowControl w:val="0"/>
        <w:kinsoku/>
        <w:wordWrap/>
        <w:overflowPunct/>
        <w:topLinePunct w:val="0"/>
        <w:autoSpaceDE w:val="0"/>
        <w:autoSpaceDN w:val="0"/>
        <w:bidi w:val="0"/>
        <w:adjustRightInd w:val="0"/>
        <w:snapToGrid w:val="0"/>
        <w:spacing w:line="600" w:lineRule="exact"/>
        <w:ind w:left="3416"/>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 xml:space="preserve">2023 </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 xml:space="preserve">年 </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11</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 xml:space="preserve"> </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月</w:t>
      </w:r>
    </w:p>
    <w:p>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sectPr>
          <w:footerReference r:id="rId3" w:type="default"/>
          <w:pgSz w:w="11906" w:h="16838"/>
          <w:pgMar w:top="2098" w:right="1531" w:bottom="1984" w:left="1531" w:header="0" w:footer="1365" w:gutter="0"/>
          <w:pgNumType w:fmt="decimal"/>
          <w:cols w:space="720" w:num="1"/>
        </w:sectPr>
      </w:pPr>
    </w:p>
    <w:sdt>
      <w:sdtPr>
        <w:rPr>
          <w:rFonts w:hint="eastAsia" w:ascii="黑体" w:hAnsi="黑体" w:eastAsia="黑体" w:cs="黑体"/>
          <w:snapToGrid w:val="0"/>
          <w:color w:val="000000" w:themeColor="text1"/>
          <w:kern w:val="0"/>
          <w:sz w:val="40"/>
          <w:szCs w:val="40"/>
          <w:lang w:val="en-US" w:eastAsia="en-US" w:bidi="ar-SA"/>
          <w14:textFill>
            <w14:solidFill>
              <w14:schemeClr w14:val="tx1"/>
            </w14:solidFill>
          </w14:textFill>
        </w:rPr>
        <w:id w:val="147468507"/>
        <w15:color w:val="DBDBDB"/>
        <w:docPartObj>
          <w:docPartGallery w:val="Table of Contents"/>
          <w:docPartUnique/>
        </w:docPartObj>
      </w:sdtPr>
      <w:sdtEndPr>
        <w:rPr>
          <w:rFonts w:hint="eastAsia" w:ascii="黑体" w:hAnsi="黑体" w:eastAsia="黑体" w:cs="黑体"/>
          <w:snapToGrid w:val="0"/>
          <w:color w:val="000000" w:themeColor="text1"/>
          <w:kern w:val="0"/>
          <w:sz w:val="40"/>
          <w:szCs w:val="40"/>
          <w:lang w:val="en-US" w:eastAsia="en-US" w:bidi="ar-SA"/>
          <w14:textFill>
            <w14:solidFill>
              <w14:schemeClr w14:val="tx1"/>
            </w14:solidFill>
          </w14:textFill>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color w:val="000000" w:themeColor="text1"/>
              <w:sz w:val="40"/>
              <w:szCs w:val="40"/>
              <w14:textFill>
                <w14:solidFill>
                  <w14:schemeClr w14:val="tx1"/>
                </w14:solidFill>
              </w14:textFill>
            </w:rPr>
          </w:pPr>
          <w:r>
            <w:rPr>
              <w:rFonts w:hint="eastAsia" w:ascii="黑体" w:hAnsi="黑体" w:eastAsia="黑体" w:cs="黑体"/>
              <w:color w:val="000000" w:themeColor="text1"/>
              <w:sz w:val="40"/>
              <w:szCs w:val="40"/>
              <w14:textFill>
                <w14:solidFill>
                  <w14:schemeClr w14:val="tx1"/>
                </w14:solidFill>
              </w14:textFill>
            </w:rPr>
            <w:t>目录</w:t>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TOC \o "1-3" \h \u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_Toc16919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方正小标宋简体" w:cs="Times New Roman"/>
              <w:color w:val="000000" w:themeColor="text1"/>
              <w:spacing w:val="0"/>
              <w:position w:val="0"/>
              <w:sz w:val="32"/>
              <w:szCs w:val="56"/>
              <w:lang w:val="en-US" w:eastAsia="zh-CN"/>
              <w14:textFill>
                <w14:solidFill>
                  <w14:schemeClr w14:val="tx1"/>
                </w14:solidFill>
              </w14:textFill>
            </w:rPr>
            <w:t>宜良县</w:t>
          </w:r>
          <w:r>
            <w:rPr>
              <w:rFonts w:hint="default" w:ascii="Times New Roman" w:hAnsi="Times New Roman" w:eastAsia="方正小标宋简体" w:cs="Times New Roman"/>
              <w:color w:val="000000" w:themeColor="text1"/>
              <w:spacing w:val="0"/>
              <w:position w:val="0"/>
              <w:sz w:val="32"/>
              <w:szCs w:val="56"/>
              <w14:textFill>
                <w14:solidFill>
                  <w14:schemeClr w14:val="tx1"/>
                </w14:solidFill>
              </w14:textFill>
            </w:rPr>
            <w:t>“十四五”医疗卫生服务体系规划</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_Toc16919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_Toc13095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一、规划背景</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_Toc13095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_Toc8639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（一）基本现状</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_Toc8639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_Toc6416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highlight w:val="none"/>
              <w14:textFill>
                <w14:solidFill>
                  <w14:schemeClr w14:val="tx1"/>
                </w14:solidFill>
              </w14:textFill>
            </w:rPr>
            <w:t>（二）存在的主要问题</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_Toc6416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5</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_Toc4223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（三）面临的机遇与挑战</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_Toc4223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8</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_Toc24060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二、总体要求</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_Toc24060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9</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_Toc13914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（一）指导思想</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_Toc13914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9</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_Toc5682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（二）基本原则</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_Toc5682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9</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_Toc31102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（三）发展目标</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_Toc31102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10</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_Toc19980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三、优化总体布局和资源配置</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_Toc19980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12</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_Toc65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（一）机构</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_Toc65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12</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_Toc6267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highlight w:val="none"/>
              <w14:textFill>
                <w14:solidFill>
                  <w14:schemeClr w14:val="tx1"/>
                </w14:solidFill>
              </w14:textFill>
            </w:rPr>
            <w:t>（二）床位</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_Toc6267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_Toc18417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（三）卫生人力资源</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_Toc18417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_Toc787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（四）设施设备</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_Toc787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16</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_Toc8014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（五）技术与学科</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_Toc8014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16</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_Toc9001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（六）信息</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_Toc9001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17</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_Toc2468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四、加快构建现代化公共卫生体系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_Toc2468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17</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_Toc19704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（一）改革完善疾病预防控制体系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_Toc19704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18</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_Toc30687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（二）完善监测预警和应急处置体系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_Toc30687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19</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_Toc19699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（三）健全传染病疫情和重大公共卫生事件救治体系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_Toc19699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20</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_Toc28430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五、加速推进高质量医疗服务体系建设</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_Toc28430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21</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_Toc31917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（一）建设医疗服务高地</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_Toc31917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21</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_Toc12333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（二）加快推进</w:t>
          </w:r>
          <w:r>
            <w:rPr>
              <w:rFonts w:hint="default" w:ascii="Times New Roman" w:hAnsi="Times New Roman" w:eastAsia="楷体" w:cs="Times New Roman"/>
              <w:color w:val="000000" w:themeColor="text1"/>
              <w:spacing w:val="0"/>
              <w:position w:val="0"/>
              <w:sz w:val="32"/>
              <w:szCs w:val="44"/>
              <w:lang w:val="en-US" w:eastAsia="zh-CN"/>
              <w14:textFill>
                <w14:solidFill>
                  <w14:schemeClr w14:val="tx1"/>
                </w14:solidFill>
              </w14:textFill>
            </w:rPr>
            <w:t>县</w:t>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级公立医院能力提升</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_Toc12333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22</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_Toc6146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（三）巩固提升县级医院综合能力</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_Toc6146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22</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_Toc21307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（四）不断提升基层医疗卫生机构综合服务能力</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_Toc21307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22</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_Toc7256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（五）引导非公立医疗机构协调发展</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_Toc7256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23</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_Toc6105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六、加强中医药（民族医药）服务体系建设</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_Toc6105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_Toc2877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（一）完善中医医疗服务体系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_Toc2877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_Toc9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（二）提升中医药服务能力</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_Toc9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_Toc29360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（三）推动中西医协同发展</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_Toc29360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25</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_Toc11720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（四）提升中医药疫病防治能力</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_Toc11720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25</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_Toc28873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七、完善全方位全周期健康服务体系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_Toc28873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26</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_Toc663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（一）发展普惠托育服务体系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_Toc663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26</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_Toc21929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（二）优化妇幼健康服务体系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_Toc21929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27</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_Toc14385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（三）强化老年健康服务体系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_Toc14385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28</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_Toc24016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（四）健全职业健康服务体系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_Toc24016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29</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_Toc9211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（五）加强健康教育服务体系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_Toc9211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29</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_Toc4179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（六）完善心理健康和精神卫生服务体系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_Toc4179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30</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_Toc8948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（七）加强康复医疗服务体系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_Toc8948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30</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_Toc26498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（八）优化采供血服务体系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_Toc26498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31</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_Toc23091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八、强化支撑体系</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_Toc23091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32</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_Toc24575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（一）深化重点领域改革</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_Toc24575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32</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_Toc6190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（二）强化人才队伍建设</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_Toc6190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33</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_Toc10586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（三）强化科学研究与创新</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_Toc10586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6"/>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_Toc17758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黑体" w:cs="Times New Roman"/>
              <w:color w:val="000000" w:themeColor="text1"/>
              <w:spacing w:val="0"/>
              <w:position w:val="0"/>
              <w:sz w:val="32"/>
              <w:szCs w:val="44"/>
              <w14:textFill>
                <w14:solidFill>
                  <w14:schemeClr w14:val="tx1"/>
                </w14:solidFill>
              </w14:textFill>
            </w:rPr>
            <w:t>九、健全规划实施机制</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_Toc17758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_Toc19621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（一）加强组织领导</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_Toc19621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_Toc1802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（二）加强部门协同</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_Toc1802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34</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pStyle w:val="7"/>
            <w:tabs>
              <w:tab w:val="right" w:leader="dot" w:pos="8803"/>
            </w:tabs>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HYPERLINK \l _Toc163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eastAsia="楷体" w:cs="Times New Roman"/>
              <w:color w:val="000000" w:themeColor="text1"/>
              <w:spacing w:val="0"/>
              <w:position w:val="0"/>
              <w:sz w:val="32"/>
              <w:szCs w:val="44"/>
              <w14:textFill>
                <w14:solidFill>
                  <w14:schemeClr w14:val="tx1"/>
                </w14:solidFill>
              </w14:textFill>
            </w:rPr>
            <w:t>（三）加强监督评估</w:t>
          </w:r>
          <w:r>
            <w:rPr>
              <w:rFonts w:hint="default" w:ascii="Times New Roman" w:hAnsi="Times New Roman" w:cs="Times New Roman"/>
              <w:color w:val="000000" w:themeColor="text1"/>
              <w:sz w:val="32"/>
              <w:szCs w:val="32"/>
              <w14:textFill>
                <w14:solidFill>
                  <w14:schemeClr w14:val="tx1"/>
                </w14:solidFill>
              </w14:textFill>
            </w:rPr>
            <w:tab/>
          </w:r>
          <w:r>
            <w:rPr>
              <w:rFonts w:hint="default" w:ascii="Times New Roman" w:hAnsi="Times New Roman" w:cs="Times New Roman"/>
              <w:color w:val="000000" w:themeColor="text1"/>
              <w:sz w:val="32"/>
              <w:szCs w:val="32"/>
              <w14:textFill>
                <w14:solidFill>
                  <w14:schemeClr w14:val="tx1"/>
                </w14:solidFill>
              </w14:textFill>
            </w:rPr>
            <w:fldChar w:fldCharType="begin"/>
          </w:r>
          <w:r>
            <w:rPr>
              <w:rFonts w:hint="default" w:ascii="Times New Roman" w:hAnsi="Times New Roman" w:cs="Times New Roman"/>
              <w:color w:val="000000" w:themeColor="text1"/>
              <w:sz w:val="32"/>
              <w:szCs w:val="32"/>
              <w14:textFill>
                <w14:solidFill>
                  <w14:schemeClr w14:val="tx1"/>
                </w14:solidFill>
              </w14:textFill>
            </w:rPr>
            <w:instrText xml:space="preserve"> PAGEREF _Toc163 \h </w:instrText>
          </w:r>
          <w:r>
            <w:rPr>
              <w:rFonts w:hint="default" w:ascii="Times New Roman" w:hAnsi="Times New Roman" w:cs="Times New Roman"/>
              <w:color w:val="000000" w:themeColor="text1"/>
              <w:sz w:val="32"/>
              <w:szCs w:val="32"/>
              <w14:textFill>
                <w14:solidFill>
                  <w14:schemeClr w14:val="tx1"/>
                </w14:solidFill>
              </w14:textFill>
            </w:rPr>
            <w:fldChar w:fldCharType="separate"/>
          </w:r>
          <w:r>
            <w:rPr>
              <w:rFonts w:hint="default" w:ascii="Times New Roman" w:hAnsi="Times New Roman" w:cs="Times New Roman"/>
              <w:color w:val="000000" w:themeColor="text1"/>
              <w:sz w:val="32"/>
              <w:szCs w:val="32"/>
              <w14:textFill>
                <w14:solidFill>
                  <w14:schemeClr w14:val="tx1"/>
                </w14:solidFill>
              </w14:textFill>
            </w:rPr>
            <w:t>35</w:t>
          </w:r>
          <w:r>
            <w:rPr>
              <w:rFonts w:hint="default" w:ascii="Times New Roman" w:hAnsi="Times New Roman" w:cs="Times New Roman"/>
              <w:color w:val="000000" w:themeColor="text1"/>
              <w:sz w:val="32"/>
              <w:szCs w:val="32"/>
              <w14:textFill>
                <w14:solidFill>
                  <w14:schemeClr w14:val="tx1"/>
                </w14:solidFill>
              </w14:textFill>
            </w:rPr>
            <w:fldChar w:fldCharType="end"/>
          </w:r>
          <w:r>
            <w:rPr>
              <w:rFonts w:hint="default" w:ascii="Times New Roman" w:hAnsi="Times New Roman" w:cs="Times New Roman"/>
              <w:color w:val="000000" w:themeColor="text1"/>
              <w:sz w:val="32"/>
              <w:szCs w:val="32"/>
              <w14:textFill>
                <w14:solidFill>
                  <w14:schemeClr w14:val="tx1"/>
                </w14:solidFill>
              </w14:textFill>
            </w:rPr>
            <w:fldChar w:fldCharType="end"/>
          </w:r>
        </w:p>
        <w:p>
          <w:pPr>
            <w:rPr>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end"/>
          </w:r>
        </w:p>
      </w:sdtContent>
    </w:sdt>
    <w:p>
      <w:pPr>
        <w:keepNext w:val="0"/>
        <w:keepLines w:val="0"/>
        <w:pageBreakBefore w:val="0"/>
        <w:widowControl w:val="0"/>
        <w:tabs>
          <w:tab w:val="right" w:leader="dot" w:pos="8812"/>
        </w:tabs>
        <w:kinsoku/>
        <w:wordWrap/>
        <w:overflowPunct/>
        <w:topLinePunct w:val="0"/>
        <w:autoSpaceDE w:val="0"/>
        <w:autoSpaceDN w:val="0"/>
        <w:bidi w:val="0"/>
        <w:adjustRightInd w:val="0"/>
        <w:snapToGrid w:val="0"/>
        <w:spacing w:line="600" w:lineRule="exact"/>
        <w:ind w:left="614" w:leftChars="0"/>
        <w:jc w:val="both"/>
        <w:textAlignment w:val="baseline"/>
        <w:rPr>
          <w:color w:val="000000" w:themeColor="text1"/>
          <w14:textFill>
            <w14:solidFill>
              <w14:schemeClr w14:val="tx1"/>
            </w14:solidFill>
          </w14:textFill>
        </w:rPr>
      </w:pPr>
    </w:p>
    <w:sdt>
      <w:sdtPr>
        <w:rPr>
          <w:rFonts w:hint="default" w:ascii="Times New Roman" w:hAnsi="Times New Roman" w:eastAsia="楷体" w:cs="Times New Roman"/>
          <w:color w:val="000000" w:themeColor="text1"/>
          <w:spacing w:val="0"/>
          <w:position w:val="0"/>
          <w:sz w:val="31"/>
          <w:szCs w:val="31"/>
          <w14:textFill>
            <w14:solidFill>
              <w14:schemeClr w14:val="tx1"/>
            </w14:solidFill>
          </w14:textFill>
        </w:rPr>
        <w:id w:val="3"/>
        <w:showingPlcHdr/>
        <w:docPartObj>
          <w:docPartGallery w:val="Table of Contents"/>
          <w:docPartUnique/>
        </w:docPartObj>
      </w:sdtPr>
      <w:sdtEndP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sdtEndPr>
      <w:sdtContent>
        <w:p>
          <w:pPr>
            <w:keepNext w:val="0"/>
            <w:keepLines w:val="0"/>
            <w:pageBreakBefore w:val="0"/>
            <w:widowControl w:val="0"/>
            <w:tabs>
              <w:tab w:val="right" w:leader="dot" w:pos="8800"/>
            </w:tabs>
            <w:kinsoku/>
            <w:wordWrap/>
            <w:overflowPunct/>
            <w:topLinePunct w:val="0"/>
            <w:autoSpaceDE w:val="0"/>
            <w:autoSpaceDN w:val="0"/>
            <w:bidi w:val="0"/>
            <w:adjustRightInd w:val="0"/>
            <w:snapToGrid w:val="0"/>
            <w:spacing w:line="600" w:lineRule="exact"/>
            <w:ind w:left="605"/>
            <w:jc w:val="both"/>
            <w:textAlignment w:val="baseline"/>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sectPr>
              <w:headerReference r:id="rId4" w:type="default"/>
              <w:footerReference r:id="rId5" w:type="default"/>
              <w:pgSz w:w="11906" w:h="16838"/>
              <w:pgMar w:top="1431" w:right="1495" w:bottom="1641" w:left="1608" w:header="0" w:footer="1365" w:gutter="0"/>
              <w:pgNumType w:fmt="decimal"/>
              <w:cols w:space="720" w:num="1"/>
            </w:sectPr>
          </w:pPr>
        </w:p>
      </w:sdtContent>
    </w:sdt>
    <w:p>
      <w:pPr>
        <w:keepNext w:val="0"/>
        <w:keepLines w:val="0"/>
        <w:pageBreakBefore w:val="0"/>
        <w:widowControl w:val="0"/>
        <w:kinsoku/>
        <w:wordWrap/>
        <w:overflowPunct/>
        <w:topLinePunct w:val="0"/>
        <w:autoSpaceDE w:val="0"/>
        <w:autoSpaceDN w:val="0"/>
        <w:bidi w:val="0"/>
        <w:adjustRightInd w:val="0"/>
        <w:snapToGrid w:val="0"/>
        <w:spacing w:line="600" w:lineRule="exact"/>
        <w:ind w:right="72" w:firstLine="63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为进一步优化医疗卫生资源配置，构建优质高效的医疗卫生服务体系，提升医疗卫生服务整体能力和效率，更好地满足全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人民群众日益增长的健康需求，助力健康</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建设，根据《云南省“十四五”医疗卫生服务体系规划》《“健康云南</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2030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”规划纲要》《昆明市“十四五”卫生与健康规划》</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昆明市</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“十四五”医疗卫生服务体系规划》《</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宜良县“十四五”卫生健康事业发展规划</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等文件，结合</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发展实际，制定本规划。</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32"/>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1" w:name="_Toc13095"/>
      <w:r>
        <w:rPr>
          <w:rFonts w:hint="default" w:ascii="Times New Roman" w:hAnsi="Times New Roman" w:eastAsia="黑体" w:cs="Times New Roman"/>
          <w:color w:val="000000" w:themeColor="text1"/>
          <w:spacing w:val="0"/>
          <w:position w:val="0"/>
          <w:sz w:val="31"/>
          <w:szCs w:val="31"/>
          <w14:textFill>
            <w14:solidFill>
              <w14:schemeClr w14:val="tx1"/>
            </w14:solidFill>
          </w14:textFill>
        </w:rPr>
        <w:t>一、规划背景</w:t>
      </w:r>
      <w:bookmarkEnd w:id="1"/>
    </w:p>
    <w:p>
      <w:pPr>
        <w:keepNext w:val="0"/>
        <w:keepLines w:val="0"/>
        <w:pageBreakBefore w:val="0"/>
        <w:widowControl w:val="0"/>
        <w:kinsoku/>
        <w:wordWrap/>
        <w:overflowPunct/>
        <w:topLinePunct w:val="0"/>
        <w:autoSpaceDE w:val="0"/>
        <w:autoSpaceDN w:val="0"/>
        <w:bidi w:val="0"/>
        <w:adjustRightInd w:val="0"/>
        <w:snapToGrid w:val="0"/>
        <w:spacing w:line="600" w:lineRule="exact"/>
        <w:ind w:left="619"/>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2" w:name="_Toc8639"/>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（一）基本现状</w:t>
      </w:r>
      <w:bookmarkEnd w:id="2"/>
    </w:p>
    <w:p>
      <w:pPr>
        <w:keepNext w:val="0"/>
        <w:keepLines w:val="0"/>
        <w:pageBreakBefore w:val="0"/>
        <w:widowControl w:val="0"/>
        <w:kinsoku/>
        <w:wordWrap/>
        <w:overflowPunct/>
        <w:topLinePunct w:val="0"/>
        <w:autoSpaceDE w:val="0"/>
        <w:autoSpaceDN w:val="0"/>
        <w:bidi w:val="0"/>
        <w:adjustRightInd w:val="0"/>
        <w:snapToGrid w:val="0"/>
        <w:spacing w:line="600" w:lineRule="exact"/>
        <w:ind w:left="652"/>
        <w:jc w:val="both"/>
        <w:textAlignment w:val="baseline"/>
        <w:outlineLvl w:val="9"/>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医疗卫生资源不断增加</w:t>
      </w:r>
    </w:p>
    <w:p>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2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全</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医疗卫生机构数从</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201</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年的</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252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个增加到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年的</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265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年，全</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共有医院</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9</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个（公立医院</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个，民营医院</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6</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个）；基层医疗卫生机构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2</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5</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个〔其中，社区卫生服务站</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个，乡镇卫生院</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9</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个，诊所（卫生所、医务室）</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126</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个，村卫生室</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11</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个〕；专业公共卫生机构</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6</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个〔其中，疾病预防控制中心</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个，妇幼</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健康</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服务中心</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个，卫生</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综合</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监督机构</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个，其他专业公共卫生机构</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全</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每千人口医疗卫生机构床位数从2015年的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4.8</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张增加到20</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20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6.17</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张；每千人口执业（助理）医师数、注册护士数分别从2015年的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1.68</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1.81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人增加至2020年的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2.27</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3.2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4"/>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医疗卫生服务能力持续提升</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4" w:firstLine="618"/>
        <w:jc w:val="both"/>
        <w:textAlignment w:val="baseline"/>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2020</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年，</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医疗卫生机构总诊疗人次达</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144.03</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万人次，其中医院</w:t>
      </w:r>
      <w:r>
        <w:rPr>
          <w:rFonts w:hint="default" w:ascii="Times New Roman" w:hAnsi="Times New Roman" w:eastAsia="宋体" w:cs="Times New Roman"/>
          <w:color w:val="000000" w:themeColor="text1"/>
          <w:spacing w:val="0"/>
          <w:position w:val="0"/>
          <w:sz w:val="31"/>
          <w:szCs w:val="31"/>
          <w:highlight w:val="none"/>
          <w:lang w:val="en-US" w:eastAsia="zh-CN"/>
          <w14:textFill>
            <w14:solidFill>
              <w14:schemeClr w14:val="tx1"/>
            </w14:solidFill>
          </w14:textFill>
        </w:rPr>
        <w:t>67.95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万人次（占</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47.18</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），基层医疗卫生机构</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52.67</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万人次（占</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36.57</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个体诊所23.41万人次（占16.25%）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优质医疗资源引进取得新突破，县第一人民医院完成提质达标验收和“五大中心”建设。全县公立医疗机构全面取消医用耗材加成，全面落实药品购销“两票制”，药品和高值医用耗材均通过云南省药品集中采购平台实施阳光采购、阳光交易。在全市首家县级医院开办国医大师工作室。9家乡镇卫生院完成中医药综合诊疗服务区改造，均能开展中药、中医针灸、</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拔罐</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、牵引、药物熏蒸、透药疗法、中医推拿等8类10种以上中医适宜技术服务</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9"/>
        <w:jc w:val="both"/>
        <w:textAlignment w:val="baseline"/>
        <w:outlineLvl w:val="9"/>
        <w:rPr>
          <w:rFonts w:hint="default" w:ascii="Times New Roman" w:hAnsi="Times New Roman" w:eastAsia="仿宋_GB2312" w:cs="Times New Roman"/>
          <w:color w:val="000000" w:themeColor="text1"/>
          <w:spacing w:val="0"/>
          <w:position w:val="0"/>
          <w:sz w:val="32"/>
          <w:szCs w:val="31"/>
          <w:highlight w:val="none"/>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居民综合健康水平显著提高</w:t>
      </w:r>
    </w:p>
    <w:p>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23"/>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b w:val="0"/>
          <w:bCs w:val="0"/>
          <w:color w:val="000000" w:themeColor="text1"/>
          <w:spacing w:val="0"/>
          <w:position w:val="0"/>
          <w:sz w:val="31"/>
          <w:szCs w:val="31"/>
          <w14:textFill>
            <w14:solidFill>
              <w14:schemeClr w14:val="tx1"/>
            </w14:solidFill>
          </w14:textFill>
        </w:rPr>
        <w:t>2020</w:t>
      </w:r>
      <w:r>
        <w:rPr>
          <w:rFonts w:hint="default" w:ascii="Times New Roman" w:hAnsi="Times New Roman" w:eastAsia="仿宋_GB2312" w:cs="Times New Roman"/>
          <w:b w:val="0"/>
          <w:bCs w:val="0"/>
          <w:color w:val="000000" w:themeColor="text1"/>
          <w:spacing w:val="0"/>
          <w:position w:val="0"/>
          <w:sz w:val="32"/>
          <w:szCs w:val="31"/>
          <w14:textFill>
            <w14:solidFill>
              <w14:schemeClr w14:val="tx1"/>
            </w14:solidFill>
          </w14:textFill>
        </w:rPr>
        <w:t>年，全</w:t>
      </w:r>
      <w:r>
        <w:rPr>
          <w:rFonts w:hint="default" w:ascii="Times New Roman" w:hAnsi="Times New Roman" w:eastAsia="仿宋_GB2312" w:cs="Times New Roman"/>
          <w:b w:val="0"/>
          <w:bCs w:val="0"/>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b w:val="0"/>
          <w:bCs w:val="0"/>
          <w:color w:val="000000" w:themeColor="text1"/>
          <w:spacing w:val="0"/>
          <w:position w:val="0"/>
          <w:sz w:val="32"/>
          <w:szCs w:val="31"/>
          <w14:textFill>
            <w14:solidFill>
              <w14:schemeClr w14:val="tx1"/>
            </w14:solidFill>
          </w14:textFill>
        </w:rPr>
        <w:t>人口平均预期寿命达到</w:t>
      </w:r>
      <w:r>
        <w:rPr>
          <w:rFonts w:hint="default" w:ascii="Times New Roman" w:hAnsi="Times New Roman" w:eastAsia="宋体" w:cs="Times New Roman"/>
          <w:b w:val="0"/>
          <w:bCs w:val="0"/>
          <w:color w:val="000000" w:themeColor="text1"/>
          <w:spacing w:val="0"/>
          <w:position w:val="0"/>
          <w:sz w:val="31"/>
          <w:szCs w:val="31"/>
          <w:lang w:val="en-US" w:eastAsia="zh-CN"/>
          <w14:textFill>
            <w14:solidFill>
              <w14:schemeClr w14:val="tx1"/>
            </w14:solidFill>
          </w14:textFill>
        </w:rPr>
        <w:t>79.7</w:t>
      </w:r>
      <w:r>
        <w:rPr>
          <w:rFonts w:hint="default" w:ascii="Times New Roman" w:hAnsi="Times New Roman" w:eastAsia="仿宋_GB2312" w:cs="Times New Roman"/>
          <w:b w:val="0"/>
          <w:bCs w:val="0"/>
          <w:color w:val="000000" w:themeColor="text1"/>
          <w:spacing w:val="0"/>
          <w:position w:val="0"/>
          <w:sz w:val="32"/>
          <w:szCs w:val="31"/>
          <w14:textFill>
            <w14:solidFill>
              <w14:schemeClr w14:val="tx1"/>
            </w14:solidFill>
          </w14:textFill>
        </w:rPr>
        <w:t>岁</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，完成《</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“十三五”卫生与健康规划》制定的</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年人均预期寿命达到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78</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岁的目标。全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居民健康素养水平稳步提升，孕产妇死亡率由</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2015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年的</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7.39</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万下降至</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2020年0</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万，婴儿死亡率由</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2015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7.67</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‰下降到</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2020年</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60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岁以下儿童死亡率由</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2015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10.68</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‰下降到</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2020年6.72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‰。“十三五”期间</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无甲类传染病报告，未发生因防控措施不力而导致的乙类传染病暴发流行；</w:t>
      </w:r>
      <w:r>
        <w:rPr>
          <w:rFonts w:hint="default" w:ascii="Times New Roman" w:hAnsi="Times New Roman" w:eastAsia="Times New Roman" w:cs="Times New Roman"/>
          <w:b w:val="0"/>
          <w:bCs w:val="0"/>
          <w:color w:val="000000" w:themeColor="text1"/>
          <w:spacing w:val="0"/>
          <w:position w:val="0"/>
          <w:sz w:val="31"/>
          <w:szCs w:val="31"/>
          <w14:textFill>
            <w14:solidFill>
              <w14:schemeClr w14:val="tx1"/>
            </w14:solidFill>
          </w14:textFill>
        </w:rPr>
        <w:t>2020</w:t>
      </w:r>
      <w:r>
        <w:rPr>
          <w:rFonts w:hint="default" w:ascii="Times New Roman" w:hAnsi="Times New Roman" w:eastAsia="仿宋_GB2312" w:cs="Times New Roman"/>
          <w:b w:val="0"/>
          <w:bCs w:val="0"/>
          <w:color w:val="000000" w:themeColor="text1"/>
          <w:spacing w:val="0"/>
          <w:position w:val="0"/>
          <w:sz w:val="32"/>
          <w:szCs w:val="31"/>
          <w14:textFill>
            <w14:solidFill>
              <w14:schemeClr w14:val="tx1"/>
            </w14:solidFill>
          </w14:textFill>
        </w:rPr>
        <w:t>年，乙类传染病发病率</w:t>
      </w:r>
      <w:r>
        <w:rPr>
          <w:rFonts w:hint="default" w:ascii="Times New Roman" w:hAnsi="Times New Roman" w:eastAsia="仿宋_GB2312" w:cs="Times New Roman"/>
          <w:b w:val="0"/>
          <w:bCs w:val="0"/>
          <w:color w:val="000000" w:themeColor="text1"/>
          <w:spacing w:val="0"/>
          <w:position w:val="0"/>
          <w:sz w:val="32"/>
          <w:szCs w:val="31"/>
          <w:lang w:val="en-US" w:eastAsia="zh-CN"/>
          <w14:textFill>
            <w14:solidFill>
              <w14:schemeClr w14:val="tx1"/>
            </w14:solidFill>
          </w14:textFill>
        </w:rPr>
        <w:t>181.29</w:t>
      </w:r>
      <w:r>
        <w:rPr>
          <w:rFonts w:hint="default" w:ascii="Times New Roman" w:hAnsi="Times New Roman" w:eastAsia="Times New Roman" w:cs="Times New Roman"/>
          <w:b w:val="0"/>
          <w:bCs w:val="0"/>
          <w:color w:val="000000" w:themeColor="text1"/>
          <w:spacing w:val="0"/>
          <w:position w:val="0"/>
          <w:sz w:val="31"/>
          <w:szCs w:val="31"/>
          <w14:textFill>
            <w14:solidFill>
              <w14:schemeClr w14:val="tx1"/>
            </w14:solidFill>
          </w14:textFill>
        </w:rPr>
        <w:t>/10</w:t>
      </w:r>
      <w:r>
        <w:rPr>
          <w:rFonts w:hint="default" w:ascii="Times New Roman" w:hAnsi="Times New Roman" w:eastAsia="仿宋_GB2312" w:cs="Times New Roman"/>
          <w:b w:val="0"/>
          <w:bCs w:val="0"/>
          <w:color w:val="000000" w:themeColor="text1"/>
          <w:spacing w:val="0"/>
          <w:position w:val="0"/>
          <w:sz w:val="32"/>
          <w:szCs w:val="31"/>
          <w14:textFill>
            <w14:solidFill>
              <w14:schemeClr w14:val="tx1"/>
            </w14:solidFill>
          </w14:textFill>
        </w:rPr>
        <w:t>万</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，远低于全国、全省平均水平。居民综合健康指标均已达到“十三五”规划目标，居民综合健康水平显著提高。</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0"/>
        <w:jc w:val="both"/>
        <w:textAlignment w:val="baseline"/>
        <w:outlineLvl w:val="1"/>
        <w:rPr>
          <w:rFonts w:hint="default" w:ascii="Times New Roman" w:hAnsi="Times New Roman" w:cs="Times New Roman"/>
          <w:color w:val="000000" w:themeColor="text1"/>
          <w:spacing w:val="0"/>
          <w:position w:val="0"/>
          <w:highlight w:val="none"/>
          <w14:textFill>
            <w14:solidFill>
              <w14:schemeClr w14:val="tx1"/>
            </w14:solidFill>
          </w14:textFill>
        </w:rPr>
      </w:pPr>
      <w:bookmarkStart w:id="3" w:name="_Toc6416"/>
      <w:r>
        <w:rPr>
          <w:rFonts w:hint="default" w:ascii="Times New Roman" w:hAnsi="Times New Roman" w:eastAsia="楷体" w:cs="Times New Roman"/>
          <w:color w:val="000000" w:themeColor="text1"/>
          <w:spacing w:val="0"/>
          <w:position w:val="0"/>
          <w:sz w:val="31"/>
          <w:szCs w:val="31"/>
          <w:highlight w:val="none"/>
          <w14:textFill>
            <w14:solidFill>
              <w14:schemeClr w14:val="tx1"/>
            </w14:solidFill>
          </w14:textFill>
        </w:rPr>
        <w:t>（二）存在的主要问题</w:t>
      </w:r>
      <w:bookmarkEnd w:id="3"/>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“十三五”期间，全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医疗卫生服务体系建设成效显著，但仍存在诸多问题，主要体现在：</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58"/>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卫生人力资源总量不足、结构不优</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一是基层医疗卫生队伍数量不足和能力偏低。</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年底，</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共有卫生技术人员</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2392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人，其中，执业（助理）医师</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859</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（执</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686人，助173人）</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。社区卫生服务站、乡镇（街道）卫生院等基层医疗卫生机构共有基层卫生技术人员</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355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人，占全</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卫生技术人员总量的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14.84</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，其中执业（助理）医师</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147</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人，占</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全</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执业（助理）医师的</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17.11</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。二是高层次人才缺乏，突出表现为全科医生短缺，药师数量不足且增长缓慢，精神科、儿科、康复科等医师短缺。受区位、成长平台等要素影响，</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级医疗机构对研究生</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及</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以上学历人员吸引力不足。全</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卫生科技高层次人才短缺，卫生领域引人难、留人难的问题较为突出，优秀的高层次人才引不来，培养成长起来的优秀人才留不住，无法有效带动全</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医疗卫生机构的人才培养和学科发展。</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4"/>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公共卫生机构体系不健全，疾控防疫能力待提升</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9" w:right="72" w:firstLine="62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疾病预防控制中心等专业公共卫生机构基础设施</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不健全</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设备装备现代化和智慧化水平不高。综合医院公共卫生服务意识不强、动力不足、平急结合转换能力弱。突发公共卫生事件监测预警、流行病学调查等疾病预防控制核心能力不强。重大疫情和突发事件应急机制仍不健全。公共卫生机构总体指挥调度协调不足，体系不健全，服务能力有待加强。与发达地区相比，</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疾病预防控制中心业务能力相对较弱，设施设备及业务用房配置不足，不能完全满足疾病预防控制工作要求。县妇幼</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健康</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服务中心</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规模偏小，</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无住院部，</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服务能力不强。</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医疗卫生资源区域分布不均衡、结构不合理，整体效率不高</w:t>
      </w:r>
    </w:p>
    <w:p>
      <w:pPr>
        <w:keepNext w:val="0"/>
        <w:keepLines w:val="0"/>
        <w:pageBreakBefore w:val="0"/>
        <w:widowControl w:val="0"/>
        <w:kinsoku/>
        <w:wordWrap/>
        <w:overflowPunct/>
        <w:topLinePunct w:val="0"/>
        <w:autoSpaceDE w:val="0"/>
        <w:autoSpaceDN w:val="0"/>
        <w:bidi w:val="0"/>
        <w:adjustRightInd w:val="0"/>
        <w:snapToGrid w:val="0"/>
        <w:spacing w:line="600" w:lineRule="exact"/>
        <w:ind w:right="24" w:firstLine="62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“十三五”期间，宜良县优质医疗资源仍主要集中于城区和二级医院，基层医疗卫生资源总量不足，资源要素结构失衡，全科、儿科、精神卫生、康复、护理等资源存在较大缺口。中医药特色优势发挥还不充分，</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民族医药传承发展不足，传统医药与</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西医互补协作格局尚未形成。部分卫生院、村卫生室由于过分重视公共卫生服务，对医疗服务能力建设重视不够。县级公立医院床位使用率达75.4%，民营医院病床使</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达</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到达74.9%，乡镇卫生院病床使用率达到38.5</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，运行效率低下。</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4.</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医疗卫生机构服务能力水平与人民群众的需求还有一定差距</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0" w:right="72" w:firstLine="61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十三五</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期间</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宜良县医疗机构数量、医师（助理医师）数量、护士数量有了显著增长，但跟昆明市主城区相比远远不及，加上主城区政策、资源、待遇等方面的优势，宜良县整体而言</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学科实力较落后，建设内涵不足，国家级</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省级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重点专科缺乏。另外，全</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居民死因排在前几位的分别是</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循环系统疾病、</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呼吸系统疾病、肿瘤等慢性非传染性疾病，应对此类慢性非传染性疾病的医疗服务质量和技术服务水平仍有待提高。县域医疗卫生服务能力尤其是基层医疗卫生机构服务能力仍然较弱，受新冠疫情和防控措施要求的影响，全</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基层医疗卫生机构病床使用率</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38.5%</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较低</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，与健全分级诊疗制度的目标还有很大差距。</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4" w:name="_Toc4223"/>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（三）面临的机遇与挑战</w:t>
      </w:r>
      <w:bookmarkEnd w:id="4"/>
    </w:p>
    <w:p>
      <w:pPr>
        <w:keepNext w:val="0"/>
        <w:keepLines w:val="0"/>
        <w:pageBreakBefore w:val="0"/>
        <w:widowControl w:val="0"/>
        <w:kinsoku/>
        <w:wordWrap/>
        <w:overflowPunct/>
        <w:topLinePunct w:val="0"/>
        <w:autoSpaceDE w:val="0"/>
        <w:autoSpaceDN w:val="0"/>
        <w:bidi w:val="0"/>
        <w:adjustRightInd w:val="0"/>
        <w:snapToGrid w:val="0"/>
        <w:spacing w:line="600" w:lineRule="exact"/>
        <w:ind w:left="18"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“十四五”期间，</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医疗卫生服务体系建设机遇与挑战并存。</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8" w:firstLine="640" w:firstLineChars="200"/>
        <w:jc w:val="both"/>
        <w:textAlignment w:val="baseline"/>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“十四五”时期是我国实现社会主义现代化的起步期，</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省委“3815”发展战略、市委“六个春城”建设为宜良县发展提供了根本遵循，“健康中国行动”“健康昆明行动”</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为推进医疗卫生服务体系加速从治病为中心向以人民健康为中心转变汇聚了合力</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县委县政府坚持“12321”发展战略不动摇，以“争当排头兵”大竞赛为主要抓手，聚焦民生福祉，推动卫生健康事业高质量发展。</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8"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随着</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社会主义现代化建设新征程</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开启</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医疗改革走深走实，城</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际交流日益</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频繁</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乡村振兴等重大战略的推进实施，</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对</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宜良县高端医疗服务、基层医疗服务</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和</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重大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传染病监测预警及应急处置能力提出了更高的要求。医疗保障政策的优化调整，对全</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医疗卫生机构加速转变发展模式、提高存量床位使用效率提出了更现实的要求。</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8"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人民群众对美好生活的要求不断提高，对卫生健康服务供给的可及性、便捷性、舒适性和质量的要求加速升级。人口老龄化进程加快，对</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老年健康服务体系、服务能力和服务模式提出了挑战。生育需求变化和生育政策的进一步调整，对</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妇幼健康服务体系建设和构建高质量普惠性的</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岁婴幼儿照护体系提出了新的要求和任务。</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6"/>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5" w:name="_Toc24060"/>
      <w:r>
        <w:rPr>
          <w:rFonts w:hint="default" w:ascii="Times New Roman" w:hAnsi="Times New Roman" w:eastAsia="黑体" w:cs="Times New Roman"/>
          <w:color w:val="000000" w:themeColor="text1"/>
          <w:spacing w:val="0"/>
          <w:position w:val="0"/>
          <w:sz w:val="31"/>
          <w:szCs w:val="31"/>
          <w14:textFill>
            <w14:solidFill>
              <w14:schemeClr w14:val="tx1"/>
            </w14:solidFill>
          </w14:textFill>
        </w:rPr>
        <w:t>二、总体要求</w:t>
      </w:r>
      <w:bookmarkEnd w:id="5"/>
    </w:p>
    <w:p>
      <w:pPr>
        <w:keepNext w:val="0"/>
        <w:keepLines w:val="0"/>
        <w:pageBreakBefore w:val="0"/>
        <w:widowControl w:val="0"/>
        <w:kinsoku/>
        <w:wordWrap/>
        <w:overflowPunct/>
        <w:topLinePunct w:val="0"/>
        <w:autoSpaceDE w:val="0"/>
        <w:autoSpaceDN w:val="0"/>
        <w:bidi w:val="0"/>
        <w:adjustRightInd w:val="0"/>
        <w:snapToGrid w:val="0"/>
        <w:spacing w:line="600" w:lineRule="exact"/>
        <w:ind w:left="61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6" w:name="_Toc13914"/>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（一）指导思想</w:t>
      </w:r>
      <w:bookmarkEnd w:id="6"/>
    </w:p>
    <w:p>
      <w:pPr>
        <w:keepNext w:val="0"/>
        <w:keepLines w:val="0"/>
        <w:pageBreakBefore w:val="0"/>
        <w:widowControl w:val="0"/>
        <w:kinsoku/>
        <w:wordWrap/>
        <w:overflowPunct/>
        <w:topLinePunct w:val="0"/>
        <w:autoSpaceDE w:val="0"/>
        <w:autoSpaceDN w:val="0"/>
        <w:bidi w:val="0"/>
        <w:adjustRightInd w:val="0"/>
        <w:snapToGrid w:val="0"/>
        <w:spacing w:line="600" w:lineRule="exact"/>
        <w:ind w:right="8" w:firstLine="63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坚持以习近平新时代中国特色社会主义思想为指导，深入贯彻党的二十大精神，贯彻落实习近平总书记关于卫生健康工作的重要论述和考察云南重要讲话精神，认真落实</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委、</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政府决策部署，坚持稳中求进工作总基调，完整、准确、全面贯彻新发展理念，深入落实新时代卫生健康工作方针，加快构建强大的公共卫生体系，推进建设覆盖全生命周期、健康全过程的整合型医疗卫生服务体系，推动发展方式从以治病为中心转变为以人民健康为中心、服务体系从规模数量增长型转变为质量效益提升型、资源配置从注重物质要素转变为更加注重人才技术要素，努力让人民群众享有更高水平的卫生健康服务。</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7" w:name="_Toc5682"/>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（二）基本原则</w:t>
      </w:r>
      <w:bookmarkEnd w:id="7"/>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12"/>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统筹规划，系统整合。统筹区域、城乡资源配置，统筹预防、治疗、康复与健康促进，坚持中西医并重，提高整体效能。结合人口结构、分布、疾病谱等因素，分类制定医疗卫生资源配置标准。</w:t>
      </w:r>
    </w:p>
    <w:p>
      <w:pPr>
        <w:keepNext w:val="0"/>
        <w:keepLines w:val="0"/>
        <w:pageBreakBefore w:val="0"/>
        <w:widowControl w:val="0"/>
        <w:kinsoku/>
        <w:wordWrap/>
        <w:overflowPunct/>
        <w:topLinePunct w:val="0"/>
        <w:autoSpaceDE w:val="0"/>
        <w:autoSpaceDN w:val="0"/>
        <w:bidi w:val="0"/>
        <w:adjustRightInd w:val="0"/>
        <w:snapToGrid w:val="0"/>
        <w:spacing w:line="600" w:lineRule="exact"/>
        <w:ind w:right="13"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需求导向，提质扩能。以主要健康问题为导向，扩大资源供给，优化结构布局，提升配置效率。加快优质医疗卫生资源扩容和区域均衡布局，缩小区域、城乡、人群之间资源配置和服务水平差距，夯实基层基础。</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1" w:firstLine="65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医防协同，平急结合。预防为主，防治结合，建立医防协同长效机制。立足平时需求和保障重大疫情防控需要，提高平急结合和快速转换能力，维护公共卫生安全。</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3" w:firstLine="621"/>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政府主导，多元参与。坚持基本医疗卫生事业的公益性，强化政府投入保障、管理监督等责任，加大公立医疗卫生机构建设力度。发挥市场机制作用，鼓励和引导社会力量依法举办医疗卫生机构，满足人民群众多层次、多样化健康需求。</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3" w:firstLine="659"/>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改革创新，强化支撑。持续深化医药卫生体制改革，注重医疗卫生资源配置与财政、医保、人力资源等政策的系统集成，发挥人才、科技和信息化的引领支撑作用。把握区域医疗中心建设重要机遇，增强核心引擎功能，扩大区域影响力和学科引领力。</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0"/>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8" w:name="_Toc31102"/>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（三）发展目标</w:t>
      </w:r>
      <w:bookmarkEnd w:id="8"/>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2"/>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年，基本建成与</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经济社会发展水平相适应、与居民健康需求相匹配的体系完整、布局合理、分工明确、功能互补、密切协作、优质高效的整合型医疗卫生服务体系。深入推进健康</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行动，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融入昆明市</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“国际大健康名城”和“区域性国际医疗中心”</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建设，</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初步建成</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医疗体系完善、服务昆明市</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“健康产业拓展区”</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高效快捷的公共卫生服务能力明显提升，优质均衡的医疗服务体系更加完备，特色鲜明的中医药服务体系更加健全，全方位全周期健康服务体系逐步完善，医学科技水平和创新能力不断提升，卫生健康服务水平全面提升，居民身心健康素质明显提高。</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840"/>
        <w:jc w:val="both"/>
        <w:textAlignment w:val="baseline"/>
        <w:rPr>
          <w:rFonts w:hint="default" w:ascii="Times New Roman" w:hAnsi="Times New Roman" w:eastAsia="黑体" w:cs="Times New Roman"/>
          <w:color w:val="000000" w:themeColor="text1"/>
          <w:spacing w:val="0"/>
          <w:position w:val="0"/>
          <w:sz w:val="29"/>
          <w:szCs w:val="29"/>
          <w14:textFill>
            <w14:solidFill>
              <w14:schemeClr w14:val="tx1"/>
            </w14:solidFill>
          </w14:textFill>
        </w:rPr>
      </w:pPr>
      <w:r>
        <w:rPr>
          <w:rFonts w:hint="default" w:ascii="Times New Roman" w:hAnsi="Times New Roman" w:eastAsia="黑体" w:cs="Times New Roman"/>
          <w:color w:val="000000" w:themeColor="text1"/>
          <w:spacing w:val="0"/>
          <w:position w:val="0"/>
          <w:sz w:val="29"/>
          <w:szCs w:val="29"/>
          <w14:textFill>
            <w14:solidFill>
              <w14:schemeClr w14:val="tx1"/>
            </w14:solidFill>
          </w14:textFill>
        </w:rPr>
        <w:t xml:space="preserve">表 </w:t>
      </w:r>
      <w:r>
        <w:rPr>
          <w:rFonts w:hint="default" w:ascii="Times New Roman" w:hAnsi="Times New Roman" w:eastAsia="微软雅黑" w:cs="Times New Roman"/>
          <w:color w:val="000000" w:themeColor="text1"/>
          <w:spacing w:val="0"/>
          <w:position w:val="0"/>
          <w:sz w:val="29"/>
          <w:szCs w:val="29"/>
          <w14:textFill>
            <w14:solidFill>
              <w14:schemeClr w14:val="tx1"/>
            </w14:solidFill>
          </w14:textFill>
        </w:rPr>
        <w:t xml:space="preserve">1   </w:t>
      </w:r>
      <w:r>
        <w:rPr>
          <w:rFonts w:hint="default" w:ascii="Times New Roman" w:hAnsi="Times New Roman" w:eastAsia="黑体" w:cs="Times New Roman"/>
          <w:color w:val="000000" w:themeColor="text1"/>
          <w:spacing w:val="0"/>
          <w:position w:val="0"/>
          <w:sz w:val="29"/>
          <w:szCs w:val="29"/>
          <w:lang w:val="en-US" w:eastAsia="zh-CN"/>
          <w14:textFill>
            <w14:solidFill>
              <w14:schemeClr w14:val="tx1"/>
            </w14:solidFill>
          </w14:textFill>
        </w:rPr>
        <w:t>宜良县</w:t>
      </w:r>
      <w:r>
        <w:rPr>
          <w:rFonts w:hint="default" w:ascii="Times New Roman" w:hAnsi="Times New Roman" w:eastAsia="黑体" w:cs="Times New Roman"/>
          <w:color w:val="000000" w:themeColor="text1"/>
          <w:spacing w:val="0"/>
          <w:position w:val="0"/>
          <w:sz w:val="29"/>
          <w:szCs w:val="29"/>
          <w14:textFill>
            <w14:solidFill>
              <w14:schemeClr w14:val="tx1"/>
            </w14:solidFill>
          </w14:textFill>
        </w:rPr>
        <w:t>“十四五”医疗卫生服务体系主要指标及目标</w:t>
      </w:r>
    </w:p>
    <w:tbl>
      <w:tblPr>
        <w:tblStyle w:val="10"/>
        <w:tblW w:w="91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9"/>
        <w:gridCol w:w="535"/>
        <w:gridCol w:w="4604"/>
        <w:gridCol w:w="972"/>
        <w:gridCol w:w="936"/>
        <w:gridCol w:w="9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069"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343"/>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任务</w:t>
            </w:r>
          </w:p>
        </w:tc>
        <w:tc>
          <w:tcPr>
            <w:tcW w:w="53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68"/>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序号</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0"/>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指标</w:t>
            </w:r>
          </w:p>
        </w:tc>
        <w:tc>
          <w:tcPr>
            <w:tcW w:w="972"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64"/>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微软雅黑" w:cs="Times New Roman"/>
                <w:color w:val="000000" w:themeColor="text1"/>
                <w:spacing w:val="0"/>
                <w:position w:val="0"/>
                <w14:textFill>
                  <w14:solidFill>
                    <w14:schemeClr w14:val="tx1"/>
                  </w14:solidFill>
                </w14:textFill>
              </w:rPr>
              <w:t>2020</w:t>
            </w:r>
            <w:r>
              <w:rPr>
                <w:rFonts w:hint="default" w:ascii="Times New Roman" w:hAnsi="Times New Roman" w:eastAsia="仿宋_GB2312" w:cs="Times New Roman"/>
                <w:color w:val="000000" w:themeColor="text1"/>
                <w:spacing w:val="0"/>
                <w:position w:val="0"/>
                <w14:textFill>
                  <w14:solidFill>
                    <w14:schemeClr w14:val="tx1"/>
                  </w14:solidFill>
                </w14:textFill>
              </w:rPr>
              <w:t>年</w:t>
            </w:r>
          </w:p>
        </w:tc>
        <w:tc>
          <w:tcPr>
            <w:tcW w:w="936"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44"/>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微软雅黑" w:cs="Times New Roman"/>
                <w:color w:val="000000" w:themeColor="text1"/>
                <w:spacing w:val="0"/>
                <w:position w:val="0"/>
                <w14:textFill>
                  <w14:solidFill>
                    <w14:schemeClr w14:val="tx1"/>
                  </w14:solidFill>
                </w14:textFill>
              </w:rPr>
              <w:t>2025</w:t>
            </w:r>
            <w:r>
              <w:rPr>
                <w:rFonts w:hint="default" w:ascii="Times New Roman" w:hAnsi="Times New Roman" w:eastAsia="仿宋_GB2312" w:cs="Times New Roman"/>
                <w:color w:val="000000" w:themeColor="text1"/>
                <w:spacing w:val="0"/>
                <w:position w:val="0"/>
                <w14:textFill>
                  <w14:solidFill>
                    <w14:schemeClr w14:val="tx1"/>
                  </w14:solidFill>
                </w14:textFill>
              </w:rPr>
              <w:t>年</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0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指标性质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069" w:type="dxa"/>
            <w:vMerge w:val="restart"/>
            <w:tcBorders>
              <w:bottom w:val="nil"/>
            </w:tcBorders>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46"/>
              <w:jc w:val="both"/>
              <w:textAlignment w:val="baseline"/>
              <w:rPr>
                <w:rFonts w:hint="default" w:ascii="Times New Roman" w:hAnsi="Times New Roman" w:eastAsia="仿宋_GB2312"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现代化疫情</w:t>
            </w:r>
          </w:p>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58"/>
              <w:jc w:val="both"/>
              <w:textAlignment w:val="baseline"/>
              <w:rPr>
                <w:rFonts w:hint="default" w:ascii="Times New Roman" w:hAnsi="Times New Roman" w:eastAsia="仿宋_GB2312"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防控和应急</w:t>
            </w:r>
          </w:p>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33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体系</w:t>
            </w: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3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每万人口公共卫生人员数（人）</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23"/>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8.05</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02"/>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9.75</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069" w:type="dxa"/>
            <w:vMerge w:val="continue"/>
            <w:tcBorders>
              <w:top w:val="nil"/>
              <w:bottom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1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2</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4"/>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疾病预防控制机构基础设施达标率（</w:t>
            </w:r>
            <w:r>
              <w:rPr>
                <w:rFonts w:hint="default" w:ascii="Times New Roman" w:hAnsi="Times New Roman" w:eastAsia="微软雅黑" w:cs="Times New Roman"/>
                <w:color w:val="000000" w:themeColor="text1"/>
                <w:spacing w:val="0"/>
                <w:position w:val="0"/>
                <w14:textFill>
                  <w14:solidFill>
                    <w14:schemeClr w14:val="tx1"/>
                  </w14:solidFill>
                </w14:textFill>
              </w:rPr>
              <w:t>%</w:t>
            </w:r>
            <w:r>
              <w:rPr>
                <w:rFonts w:hint="default" w:ascii="Times New Roman" w:hAnsi="Times New Roman" w:eastAsia="仿宋_GB2312" w:cs="Times New Roman"/>
                <w:color w:val="000000" w:themeColor="text1"/>
                <w:spacing w:val="0"/>
                <w:position w:val="0"/>
                <w14:textFill>
                  <w14:solidFill>
                    <w14:schemeClr w14:val="tx1"/>
                  </w14:solidFill>
                </w14:textFill>
              </w:rPr>
              <w:t>）</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42"/>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100</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1069" w:type="dxa"/>
            <w:vMerge w:val="continue"/>
            <w:tcBorders>
              <w:top w:val="nil"/>
              <w:bottom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21"/>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3</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32" w:hanging="6"/>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二级以上综合医院（含中医医院）设置感染性疾病科的比例（</w:t>
            </w:r>
            <w:r>
              <w:rPr>
                <w:rFonts w:hint="default" w:ascii="Times New Roman" w:hAnsi="Times New Roman" w:eastAsia="微软雅黑" w:cs="Times New Roman"/>
                <w:color w:val="000000" w:themeColor="text1"/>
                <w:spacing w:val="0"/>
                <w:position w:val="0"/>
                <w14:textFill>
                  <w14:solidFill>
                    <w14:schemeClr w14:val="tx1"/>
                  </w14:solidFill>
                </w14:textFill>
              </w:rPr>
              <w:t>%</w:t>
            </w:r>
            <w:r>
              <w:rPr>
                <w:rFonts w:hint="default" w:ascii="Times New Roman" w:hAnsi="Times New Roman" w:eastAsia="仿宋_GB2312" w:cs="Times New Roman"/>
                <w:color w:val="000000" w:themeColor="text1"/>
                <w:spacing w:val="0"/>
                <w:position w:val="0"/>
                <w14:textFill>
                  <w14:solidFill>
                    <w14:schemeClr w14:val="tx1"/>
                  </w14:solidFill>
                </w14:textFill>
              </w:rPr>
              <w:t>）</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42"/>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100</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069"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16"/>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4</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right="163" w:firstLine="29"/>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乡镇卫生院和社区卫生服务中心设置发热诊室（门 诊、哨点）比例（</w:t>
            </w:r>
            <w:r>
              <w:rPr>
                <w:rFonts w:hint="default" w:ascii="Times New Roman" w:hAnsi="Times New Roman" w:eastAsia="微软雅黑" w:cs="Times New Roman"/>
                <w:color w:val="000000" w:themeColor="text1"/>
                <w:spacing w:val="0"/>
                <w:position w:val="0"/>
                <w14:textFill>
                  <w14:solidFill>
                    <w14:schemeClr w14:val="tx1"/>
                  </w14:solidFill>
                </w14:textFill>
              </w:rPr>
              <w:t>%</w:t>
            </w:r>
            <w:r>
              <w:rPr>
                <w:rFonts w:hint="default" w:ascii="Times New Roman" w:hAnsi="Times New Roman" w:eastAsia="仿宋_GB2312" w:cs="Times New Roman"/>
                <w:color w:val="000000" w:themeColor="text1"/>
                <w:spacing w:val="0"/>
                <w:position w:val="0"/>
                <w14:textFill>
                  <w14:solidFill>
                    <w14:schemeClr w14:val="tx1"/>
                  </w14:solidFill>
                </w14:textFill>
              </w:rPr>
              <w:t>）</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81"/>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80</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069" w:type="dxa"/>
            <w:vMerge w:val="restart"/>
            <w:tcBorders>
              <w:bottom w:val="nil"/>
            </w:tcBorders>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42" w:right="18" w:hanging="94"/>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高质量医疗服务体系</w:t>
            </w: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23"/>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5</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每千人口医疗卫生机构床位数（张）</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6.17</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41"/>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Arial" w:hAnsi="Arial" w:eastAsia="微软雅黑" w:cs="Arial"/>
                <w:color w:val="000000" w:themeColor="text1"/>
                <w:spacing w:val="0"/>
                <w:position w:val="0"/>
                <w:sz w:val="20"/>
                <w:szCs w:val="20"/>
                <w14:textFill>
                  <w14:solidFill>
                    <w14:schemeClr w14:val="tx1"/>
                  </w14:solidFill>
                </w14:textFill>
              </w:rPr>
              <w:t>≤</w:t>
            </w: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8.33</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1069" w:type="dxa"/>
            <w:vMerge w:val="continue"/>
            <w:tcBorders>
              <w:top w:val="nil"/>
              <w:bottom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22"/>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6</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每千人口执业（助理）医师数（人）</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2.41</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97"/>
              <w:jc w:val="both"/>
              <w:textAlignment w:val="baseline"/>
              <w:rPr>
                <w:rFonts w:hint="default" w:ascii="Times New Roman" w:hAnsi="Times New Roman" w:eastAsia="微软雅黑" w:cs="Times New Roman"/>
                <w:color w:val="000000" w:themeColor="text1"/>
                <w:spacing w:val="0"/>
                <w:position w:val="0"/>
                <w:sz w:val="20"/>
                <w:szCs w:val="20"/>
                <w:lang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4.22</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069" w:type="dxa"/>
            <w:vMerge w:val="continue"/>
            <w:tcBorders>
              <w:top w:val="nil"/>
              <w:bottom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20"/>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7</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每千人口注册护士数（人）</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3.3</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04"/>
              <w:jc w:val="both"/>
              <w:textAlignment w:val="baseline"/>
              <w:rPr>
                <w:rFonts w:hint="default" w:ascii="Times New Roman" w:hAnsi="Times New Roman" w:eastAsia="微软雅黑" w:cs="Times New Roman"/>
                <w:color w:val="000000" w:themeColor="text1"/>
                <w:spacing w:val="0"/>
                <w:position w:val="0"/>
                <w:sz w:val="20"/>
                <w:szCs w:val="20"/>
                <w:lang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5.44</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1069" w:type="dxa"/>
            <w:vMerge w:val="continue"/>
            <w:tcBorders>
              <w:top w:val="nil"/>
              <w:bottom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25"/>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8</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每千人口药师（士）数</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0.42</w:t>
            </w:r>
          </w:p>
        </w:tc>
        <w:tc>
          <w:tcPr>
            <w:tcW w:w="936"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300" w:right="51" w:hanging="221"/>
              <w:jc w:val="both"/>
              <w:textAlignment w:val="baseline"/>
              <w:rPr>
                <w:rFonts w:hint="default" w:ascii="Times New Roman" w:hAnsi="Times New Roman" w:eastAsia="微软雅黑"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 xml:space="preserve">力争达到 </w:t>
            </w:r>
            <w:r>
              <w:rPr>
                <w:rFonts w:hint="default" w:ascii="Times New Roman" w:hAnsi="Times New Roman" w:eastAsia="微软雅黑" w:cs="Times New Roman"/>
                <w:color w:val="000000" w:themeColor="text1"/>
                <w:spacing w:val="0"/>
                <w:position w:val="0"/>
                <w14:textFill>
                  <w14:solidFill>
                    <w14:schemeClr w14:val="tx1"/>
                  </w14:solidFill>
                </w14:textFill>
              </w:rPr>
              <w:t>0.54</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069" w:type="dxa"/>
            <w:vMerge w:val="continue"/>
            <w:tcBorders>
              <w:top w:val="nil"/>
              <w:bottom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21"/>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9</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每万人口全科医生数</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2.9</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98"/>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2.94</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069"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8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10</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39"/>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医护比</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1:1.</w:t>
            </w: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41</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292"/>
              <w:jc w:val="both"/>
              <w:textAlignment w:val="baseline"/>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1:1.2</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069" w:type="dxa"/>
            <w:vMerge w:val="restart"/>
            <w:tcBorders>
              <w:bottom w:val="nil"/>
            </w:tcBorders>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334" w:right="18" w:hanging="270"/>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中医药服务体系</w:t>
            </w: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92"/>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11</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每千人口中医类别执业（助理）医师数（人）</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0.39</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51"/>
              <w:jc w:val="both"/>
              <w:textAlignment w:val="baseline"/>
              <w:rPr>
                <w:rFonts w:hint="default" w:ascii="Times New Roman" w:hAnsi="Times New Roman" w:eastAsia="微软雅黑" w:cs="Times New Roman"/>
                <w:color w:val="000000" w:themeColor="text1"/>
                <w:spacing w:val="0"/>
                <w:position w:val="0"/>
                <w:sz w:val="20"/>
                <w:szCs w:val="20"/>
                <w:lang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0.7</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1069" w:type="dxa"/>
            <w:vMerge w:val="continue"/>
            <w:tcBorders>
              <w:top w:val="nil"/>
              <w:bottom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8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12</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设置治未病科的二级及以上中医类医院的比例（</w:t>
            </w:r>
            <w:r>
              <w:rPr>
                <w:rFonts w:hint="default" w:ascii="Times New Roman" w:hAnsi="Times New Roman" w:eastAsia="微软雅黑" w:cs="Times New Roman"/>
                <w:color w:val="000000" w:themeColor="text1"/>
                <w:spacing w:val="0"/>
                <w:position w:val="0"/>
                <w14:textFill>
                  <w14:solidFill>
                    <w14:schemeClr w14:val="tx1"/>
                  </w14:solidFill>
                </w14:textFill>
              </w:rPr>
              <w:t>%</w:t>
            </w:r>
            <w:r>
              <w:rPr>
                <w:rFonts w:hint="default" w:ascii="Times New Roman" w:hAnsi="Times New Roman" w:eastAsia="仿宋_GB2312" w:cs="Times New Roman"/>
                <w:color w:val="000000" w:themeColor="text1"/>
                <w:spacing w:val="0"/>
                <w:position w:val="0"/>
                <w14:textFill>
                  <w14:solidFill>
                    <w14:schemeClr w14:val="tx1"/>
                  </w14:solidFill>
                </w14:textFill>
              </w:rPr>
              <w:t>）</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100</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76"/>
              <w:jc w:val="both"/>
              <w:textAlignment w:val="baseline"/>
              <w:rPr>
                <w:rFonts w:hint="default" w:ascii="Times New Roman" w:hAnsi="Times New Roman" w:eastAsia="微软雅黑" w:cs="Times New Roman"/>
                <w:color w:val="000000" w:themeColor="text1"/>
                <w:spacing w:val="0"/>
                <w:position w:val="0"/>
                <w:sz w:val="20"/>
                <w:szCs w:val="20"/>
                <w:lang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eastAsia="zh-CN"/>
                <w14:textFill>
                  <w14:solidFill>
                    <w14:schemeClr w14:val="tx1"/>
                  </w14:solidFill>
                </w14:textFill>
              </w:rPr>
              <w:t>100</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1069" w:type="dxa"/>
            <w:vMerge w:val="continue"/>
            <w:tcBorders>
              <w:top w:val="nil"/>
              <w:bottom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8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13</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1" w:right="161" w:firstLine="3"/>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设置中医馆的社区卫生服务中心和乡镇卫生院的比 例（</w:t>
            </w:r>
            <w:r>
              <w:rPr>
                <w:rFonts w:hint="default" w:ascii="Times New Roman" w:hAnsi="Times New Roman" w:eastAsia="微软雅黑" w:cs="Times New Roman"/>
                <w:color w:val="000000" w:themeColor="text1"/>
                <w:spacing w:val="0"/>
                <w:position w:val="0"/>
                <w14:textFill>
                  <w14:solidFill>
                    <w14:schemeClr w14:val="tx1"/>
                  </w14:solidFill>
                </w14:textFill>
              </w:rPr>
              <w:t>%</w:t>
            </w:r>
            <w:r>
              <w:rPr>
                <w:rFonts w:hint="default" w:ascii="Times New Roman" w:hAnsi="Times New Roman" w:eastAsia="仿宋_GB2312" w:cs="Times New Roman"/>
                <w:color w:val="000000" w:themeColor="text1"/>
                <w:spacing w:val="0"/>
                <w:position w:val="0"/>
                <w14:textFill>
                  <w14:solidFill>
                    <w14:schemeClr w14:val="tx1"/>
                  </w14:solidFill>
                </w14:textFill>
              </w:rPr>
              <w:t>）</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100</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42"/>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100</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069"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8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14</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每千人口公立中医类医院床位数（张）</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0.5</w:t>
            </w: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9</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01"/>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0.85</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 w:hRule="atLeast"/>
        </w:trPr>
        <w:tc>
          <w:tcPr>
            <w:tcW w:w="1069" w:type="dxa"/>
            <w:vMerge w:val="restart"/>
            <w:tcBorders>
              <w:bottom w:val="nil"/>
            </w:tcBorders>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33" w:right="18" w:firstLine="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重点人群健康服务体系</w:t>
            </w: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8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15</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5"/>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每千人口拥有</w:t>
            </w:r>
            <w:r>
              <w:rPr>
                <w:rFonts w:hint="default" w:ascii="Times New Roman" w:hAnsi="Times New Roman" w:eastAsia="微软雅黑" w:cs="Times New Roman"/>
                <w:color w:val="000000" w:themeColor="text1"/>
                <w:spacing w:val="0"/>
                <w:position w:val="0"/>
                <w14:textFill>
                  <w14:solidFill>
                    <w14:schemeClr w14:val="tx1"/>
                  </w14:solidFill>
                </w14:textFill>
              </w:rPr>
              <w:t>3</w:t>
            </w:r>
            <w:r>
              <w:rPr>
                <w:rFonts w:hint="default" w:ascii="Times New Roman" w:hAnsi="Times New Roman" w:eastAsia="仿宋_GB2312" w:cs="Times New Roman"/>
                <w:color w:val="000000" w:themeColor="text1"/>
                <w:spacing w:val="0"/>
                <w:position w:val="0"/>
                <w14:textFill>
                  <w14:solidFill>
                    <w14:schemeClr w14:val="tx1"/>
                  </w14:solidFill>
                </w14:textFill>
              </w:rPr>
              <w:t>岁以下婴幼儿托位数（个）</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4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4.5</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069"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8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16</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32" w:hanging="6"/>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二级及以上综合医院（含中医医院）设置老年医学科的比例（</w:t>
            </w:r>
            <w:r>
              <w:rPr>
                <w:rFonts w:hint="default" w:ascii="Times New Roman" w:hAnsi="Times New Roman" w:eastAsia="微软雅黑" w:cs="Times New Roman"/>
                <w:color w:val="000000" w:themeColor="text1"/>
                <w:spacing w:val="0"/>
                <w:position w:val="0"/>
                <w14:textFill>
                  <w14:solidFill>
                    <w14:schemeClr w14:val="tx1"/>
                  </w14:solidFill>
                </w14:textFill>
              </w:rPr>
              <w:t>%</w:t>
            </w:r>
            <w:r>
              <w:rPr>
                <w:rFonts w:hint="default" w:ascii="Times New Roman" w:hAnsi="Times New Roman" w:eastAsia="仿宋_GB2312" w:cs="Times New Roman"/>
                <w:color w:val="000000" w:themeColor="text1"/>
                <w:spacing w:val="0"/>
                <w:position w:val="0"/>
                <w14:textFill>
                  <w14:solidFill>
                    <w14:schemeClr w14:val="tx1"/>
                  </w14:solidFill>
                </w14:textFill>
              </w:rPr>
              <w:t>）</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100</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76"/>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100</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69" w:type="dxa"/>
            <w:vMerge w:val="restart"/>
            <w:tcBorders>
              <w:bottom w:val="nil"/>
            </w:tcBorders>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37"/>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健康水平</w:t>
            </w: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8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17</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6"/>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人均预期寿命（岁）</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79.</w:t>
            </w: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7</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76"/>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8</w:t>
            </w:r>
            <w:r>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0</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069" w:type="dxa"/>
            <w:vMerge w:val="continue"/>
            <w:tcBorders>
              <w:top w:val="nil"/>
            </w:tcBorders>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cs="Times New Roman"/>
                <w:color w:val="000000" w:themeColor="text1"/>
                <w:spacing w:val="0"/>
                <w:position w:val="0"/>
                <w:sz w:val="21"/>
                <w14:textFill>
                  <w14:solidFill>
                    <w14:schemeClr w14:val="tx1"/>
                  </w14:solidFill>
                </w14:textFill>
              </w:rPr>
            </w:pPr>
          </w:p>
        </w:tc>
        <w:tc>
          <w:tcPr>
            <w:tcW w:w="535"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187"/>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18</w:t>
            </w:r>
          </w:p>
        </w:tc>
        <w:tc>
          <w:tcPr>
            <w:tcW w:w="4604"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10"/>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居民健康素养水平（</w:t>
            </w:r>
            <w:r>
              <w:rPr>
                <w:rFonts w:hint="default" w:ascii="Times New Roman" w:hAnsi="Times New Roman" w:eastAsia="微软雅黑" w:cs="Times New Roman"/>
                <w:color w:val="000000" w:themeColor="text1"/>
                <w:spacing w:val="0"/>
                <w:position w:val="0"/>
                <w14:textFill>
                  <w14:solidFill>
                    <w14:schemeClr w14:val="tx1"/>
                  </w14:solidFill>
                </w14:textFill>
              </w:rPr>
              <w:t>%</w:t>
            </w:r>
            <w:r>
              <w:rPr>
                <w:rFonts w:hint="default" w:ascii="Times New Roman" w:hAnsi="Times New Roman" w:eastAsia="仿宋_GB2312" w:cs="Times New Roman"/>
                <w:color w:val="000000" w:themeColor="text1"/>
                <w:spacing w:val="0"/>
                <w:position w:val="0"/>
                <w14:textFill>
                  <w14:solidFill>
                    <w14:schemeClr w14:val="tx1"/>
                  </w14:solidFill>
                </w14:textFill>
              </w:rPr>
              <w:t>）</w:t>
            </w:r>
          </w:p>
        </w:tc>
        <w:tc>
          <w:tcPr>
            <w:tcW w:w="972"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pPr>
            <w:r>
              <w:rPr>
                <w:rFonts w:hint="eastAsia" w:ascii="Times New Roman" w:hAnsi="Times New Roman" w:eastAsia="微软雅黑" w:cs="Times New Roman"/>
                <w:color w:val="000000" w:themeColor="text1"/>
                <w:spacing w:val="0"/>
                <w:position w:val="0"/>
                <w:sz w:val="20"/>
                <w:szCs w:val="20"/>
                <w:lang w:val="en-US" w:eastAsia="zh-CN"/>
                <w14:textFill>
                  <w14:solidFill>
                    <w14:schemeClr w14:val="tx1"/>
                  </w14:solidFill>
                </w14:textFill>
              </w:rPr>
              <w:t>21</w:t>
            </w:r>
          </w:p>
        </w:tc>
        <w:tc>
          <w:tcPr>
            <w:tcW w:w="936"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left="318"/>
              <w:jc w:val="both"/>
              <w:textAlignment w:val="baseline"/>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pPr>
            <w:r>
              <w:rPr>
                <w:rFonts w:hint="default" w:ascii="Times New Roman" w:hAnsi="Times New Roman" w:eastAsia="微软雅黑" w:cs="Times New Roman"/>
                <w:color w:val="000000" w:themeColor="text1"/>
                <w:spacing w:val="0"/>
                <w:position w:val="0"/>
                <w:sz w:val="20"/>
                <w:szCs w:val="20"/>
                <w14:textFill>
                  <w14:solidFill>
                    <w14:schemeClr w14:val="tx1"/>
                  </w14:solidFill>
                </w14:textFill>
              </w:rPr>
              <w:t>≥30</w:t>
            </w:r>
          </w:p>
        </w:tc>
        <w:tc>
          <w:tcPr>
            <w:tcW w:w="995" w:type="dxa"/>
            <w:vAlign w:val="center"/>
          </w:tcPr>
          <w:p>
            <w:pPr>
              <w:pStyle w:val="11"/>
              <w:keepNext w:val="0"/>
              <w:keepLines w:val="0"/>
              <w:pageBreakBefore w:val="0"/>
              <w:widowControl w:val="0"/>
              <w:kinsoku/>
              <w:wordWrap/>
              <w:overflowPunct/>
              <w:topLinePunct w:val="0"/>
              <w:autoSpaceDE w:val="0"/>
              <w:autoSpaceDN w:val="0"/>
              <w:bidi w:val="0"/>
              <w:adjustRightInd w:val="0"/>
              <w:snapToGrid w:val="0"/>
              <w:spacing w:line="240" w:lineRule="auto"/>
              <w:ind w:left="21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14:textFill>
                  <w14:solidFill>
                    <w14:schemeClr w14:val="tx1"/>
                  </w14:solidFill>
                </w14:textFill>
              </w:rPr>
              <w:t>预期性</w:t>
            </w:r>
          </w:p>
        </w:tc>
      </w:tr>
    </w:tbl>
    <w:p>
      <w:pPr>
        <w:keepNext w:val="0"/>
        <w:keepLines w:val="0"/>
        <w:pageBreakBefore w:val="0"/>
        <w:widowControl w:val="0"/>
        <w:kinsoku/>
        <w:wordWrap/>
        <w:overflowPunct/>
        <w:topLinePunct w:val="0"/>
        <w:autoSpaceDE w:val="0"/>
        <w:autoSpaceDN w:val="0"/>
        <w:bidi w:val="0"/>
        <w:adjustRightInd w:val="0"/>
        <w:snapToGrid w:val="0"/>
        <w:spacing w:line="600" w:lineRule="exact"/>
        <w:ind w:left="150"/>
        <w:jc w:val="both"/>
        <w:textAlignment w:val="baseline"/>
        <w:rPr>
          <w:rFonts w:hint="default" w:ascii="Times New Roman" w:hAnsi="Times New Roman" w:eastAsia="仿宋_GB2312" w:cs="Times New Roman"/>
          <w:color w:val="000000" w:themeColor="text1"/>
          <w:spacing w:val="0"/>
          <w:position w:val="0"/>
          <w:sz w:val="20"/>
          <w:szCs w:val="20"/>
          <w14:textFill>
            <w14:solidFill>
              <w14:schemeClr w14:val="tx1"/>
            </w14:solidFill>
          </w14:textFill>
        </w:rPr>
      </w:pPr>
      <w:r>
        <w:rPr>
          <w:rFonts w:hint="default" w:ascii="Times New Roman" w:hAnsi="Times New Roman" w:eastAsia="仿宋_GB2312" w:cs="Times New Roman"/>
          <w:color w:val="000000" w:themeColor="text1"/>
          <w:spacing w:val="0"/>
          <w:position w:val="0"/>
          <w:sz w:val="20"/>
          <w:szCs w:val="20"/>
          <w14:textFill>
            <w14:solidFill>
              <w14:schemeClr w14:val="tx1"/>
            </w14:solidFill>
          </w14:textFill>
        </w:rPr>
        <w:t>注：医院床位含同级妇幼保健院和专科疾病防治院（所）床位</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777"/>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9" w:name="_Toc19980"/>
      <w:r>
        <w:rPr>
          <w:rFonts w:hint="default" w:ascii="Times New Roman" w:hAnsi="Times New Roman" w:eastAsia="黑体" w:cs="Times New Roman"/>
          <w:color w:val="000000" w:themeColor="text1"/>
          <w:spacing w:val="0"/>
          <w:position w:val="0"/>
          <w:sz w:val="31"/>
          <w:szCs w:val="31"/>
          <w14:textFill>
            <w14:solidFill>
              <w14:schemeClr w14:val="tx1"/>
            </w14:solidFill>
          </w14:textFill>
        </w:rPr>
        <w:t>三、优化总体布局和资源配置</w:t>
      </w:r>
      <w:bookmarkEnd w:id="9"/>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统筹规划布局医疗卫生资源，优化各级各类医疗卫生资源配置策略，引导优质医疗卫生资源下沉，提高跨区域医疗卫生服务和保障能力。结合服务人口规模和服务半径，统筹布局县域专业公共卫生机构、医院、基层医疗卫生机构及其他机构等医疗卫生资源。</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6"/>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10" w:name="_Toc65"/>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（一）机构</w:t>
      </w:r>
      <w:bookmarkEnd w:id="10"/>
    </w:p>
    <w:p>
      <w:pPr>
        <w:keepNext w:val="0"/>
        <w:keepLines w:val="0"/>
        <w:pageBreakBefore w:val="0"/>
        <w:widowControl w:val="0"/>
        <w:kinsoku/>
        <w:wordWrap/>
        <w:overflowPunct/>
        <w:topLinePunct w:val="0"/>
        <w:autoSpaceDE w:val="0"/>
        <w:autoSpaceDN w:val="0"/>
        <w:bidi w:val="0"/>
        <w:adjustRightInd w:val="0"/>
        <w:snapToGrid w:val="0"/>
        <w:spacing w:line="600" w:lineRule="exact"/>
        <w:ind w:left="4" w:firstLine="618"/>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医疗卫生服务体系由各级各类专业公共卫生机构、医院、基层医疗卫生机构、特殊人群健康照护设施及其他机构等组成，面向全人群提供覆盖全生命周期的健康促进、疾病预防、治疗、康复等健康全过程的服务。</w:t>
      </w:r>
    </w:p>
    <w:p>
      <w:pPr>
        <w:keepNext w:val="0"/>
        <w:keepLines w:val="0"/>
        <w:pageBreakBefore w:val="0"/>
        <w:widowControl w:val="0"/>
        <w:kinsoku/>
        <w:wordWrap/>
        <w:overflowPunct/>
        <w:topLinePunct w:val="0"/>
        <w:autoSpaceDE w:val="0"/>
        <w:autoSpaceDN w:val="0"/>
        <w:bidi w:val="0"/>
        <w:adjustRightInd w:val="0"/>
        <w:snapToGrid w:val="0"/>
        <w:spacing w:line="600" w:lineRule="exact"/>
        <w:ind w:right="13" w:firstLine="649"/>
        <w:jc w:val="both"/>
        <w:textAlignment w:val="baseline"/>
        <w:rPr>
          <w:rFonts w:hint="default" w:ascii="Times New Roman" w:hAnsi="Times New Roman" w:eastAsia="仿宋_GB2312" w:cs="Times New Roman"/>
          <w:color w:val="000000" w:themeColor="text1"/>
          <w:spacing w:val="0"/>
          <w:position w:val="0"/>
          <w:sz w:val="32"/>
          <w:szCs w:val="31"/>
          <w:highlight w:val="yellow"/>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专业公共卫生机构。专业公共卫生机构原则上由政府主办，包括疾病预防控制机构、妇幼保健机构、职业病防治机构、精神病防治机构、急救中心（站）、血站、健康教育机构、卫生健康综合监督机构等，主要提供传染病、慢性非传染性疾病、职业病、地方病等疾病预防控制和健康教育、食品安全风险监测评估、妇幼保健、精神卫生、院前急救、采供血、出生缺陷防治等公共卫生服务。</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到2025年，</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设置</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个固定采血点，根据需要设置专科疾病防治机构。</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6" w:right="20" w:firstLine="602"/>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院。包括公立医院和社会办医院。公立医院是我国医疗服务体系的主体，主要承担常见病、多发病、急危重症抢救与疑难病诊疗；负责基层医疗卫生机构人员培训指导，医学人才培养和医学科学研究等；开展传染病防控等公共卫生服务、自然灾害和突发事件紧急医疗救援等工作。社会办医院为人民群众提供多元化的医疗服务。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年，公立医院中</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县第一人民</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医院达到三级</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乙</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等水平，</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其余</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县级医院</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达到二级甲等及以上水平</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。鼓励</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公立医院转型为慢性病医疗机构，为患者提供连续性诊疗服务。支持以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医共体</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形式，延伸服务能力，支持城乡医疗资源均衡发展。</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4" w:firstLine="616"/>
        <w:jc w:val="both"/>
        <w:textAlignment w:val="baseline"/>
        <w:rPr>
          <w:rFonts w:hint="default" w:ascii="Times New Roman" w:hAnsi="Times New Roman" w:eastAsia="仿宋_GB2312" w:cs="Times New Roman"/>
          <w:color w:val="000000" w:themeColor="text1"/>
          <w:spacing w:val="0"/>
          <w:position w:val="0"/>
          <w:sz w:val="32"/>
          <w:szCs w:val="31"/>
          <w:highlight w:val="yellow"/>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基层医疗卫生机构。主要包括乡镇卫生院、社区卫生服务中心（站）、村卫生室、医务室、门诊部（所）等，主要提供预防、保健、健康教育、疾病管理等基本公共卫生服务和常见病、多发病的诊疗服务及部分疾病的康复、护理及向上级医疗机构转诊超出自身服务能力的患者等基本医疗服务。按照满足行政区域内人口需求的原则，每个乡镇办好</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所政府举办的标准化卫生院，每个街道办事处或每</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万—</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10</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万居民设置</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所政府举办的标准化社区卫生服务中心，合理设置标准化社区卫生服务站；原则上</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个行政村设置</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所村卫生室，人口较多或者居住分散的行政村可酌情增设，人口较少或面积较小的行政村，可与相邻行政村联合设置村卫生室。</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8" w:right="86" w:firstLine="607"/>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4.</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其他机构。包括医学影像诊断中心、医学检验实验室、血液透析中心（血液净化中心）等独立设置的医疗机构和医疗消毒供应中心、健康体检中心、护理院（中心、站）等接续性服务机构及婴幼儿照护服务机构。</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1"/>
        <w:jc w:val="both"/>
        <w:textAlignment w:val="baseline"/>
        <w:outlineLvl w:val="1"/>
        <w:rPr>
          <w:rFonts w:hint="default" w:ascii="Times New Roman" w:hAnsi="Times New Roman" w:eastAsia="楷体" w:cs="Times New Roman"/>
          <w:color w:val="000000" w:themeColor="text1"/>
          <w:spacing w:val="0"/>
          <w:position w:val="0"/>
          <w:sz w:val="31"/>
          <w:szCs w:val="31"/>
          <w:highlight w:val="none"/>
          <w14:textFill>
            <w14:solidFill>
              <w14:schemeClr w14:val="tx1"/>
            </w14:solidFill>
          </w14:textFill>
        </w:rPr>
      </w:pPr>
      <w:bookmarkStart w:id="11" w:name="_Toc6267"/>
      <w:r>
        <w:rPr>
          <w:rFonts w:hint="default" w:ascii="Times New Roman" w:hAnsi="Times New Roman" w:eastAsia="楷体" w:cs="Times New Roman"/>
          <w:color w:val="000000" w:themeColor="text1"/>
          <w:spacing w:val="0"/>
          <w:position w:val="0"/>
          <w:sz w:val="31"/>
          <w:szCs w:val="31"/>
          <w:highlight w:val="none"/>
          <w14:textFill>
            <w14:solidFill>
              <w14:schemeClr w14:val="tx1"/>
            </w14:solidFill>
          </w14:textFill>
        </w:rPr>
        <w:t>（二）床位</w:t>
      </w:r>
      <w:bookmarkEnd w:id="11"/>
    </w:p>
    <w:p>
      <w:pPr>
        <w:keepNext w:val="0"/>
        <w:keepLines w:val="0"/>
        <w:pageBreakBefore w:val="0"/>
        <w:widowControl w:val="0"/>
        <w:kinsoku/>
        <w:wordWrap/>
        <w:overflowPunct/>
        <w:topLinePunct w:val="0"/>
        <w:autoSpaceDE w:val="0"/>
        <w:autoSpaceDN w:val="0"/>
        <w:bidi w:val="0"/>
        <w:adjustRightInd w:val="0"/>
        <w:snapToGrid w:val="0"/>
        <w:spacing w:line="600" w:lineRule="exact"/>
        <w:ind w:left="5" w:firstLine="639"/>
        <w:jc w:val="both"/>
        <w:textAlignment w:val="baseline"/>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适度控制医疗卫生机构床位。适度合理配置公立医院床位总体规模，适度调整高水平高质量公立医院床位配置</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结合基层床位使用率合理确定床位数量和结构。到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年，全</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每千人口医疗卫生机构床位数的预期性指标为</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8.33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张。</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 w:firstLine="612"/>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优化调整床位结构。结合实际，适度控制治疗床位增长，增量床位优先向传染病、重症、儿科、康复、精神、老年病等短缺领域倾斜。结合床位使用率、平均住院日、床医比、医护比、床人（卫生人员）比等指标，引导县、乡级医疗机构合理设置床位。</w:t>
      </w:r>
    </w:p>
    <w:p>
      <w:pPr>
        <w:keepNext w:val="0"/>
        <w:keepLines w:val="0"/>
        <w:pageBreakBefore w:val="0"/>
        <w:widowControl w:val="0"/>
        <w:kinsoku/>
        <w:wordWrap/>
        <w:overflowPunct/>
        <w:topLinePunct w:val="0"/>
        <w:autoSpaceDE w:val="0"/>
        <w:autoSpaceDN w:val="0"/>
        <w:bidi w:val="0"/>
        <w:adjustRightInd w:val="0"/>
        <w:snapToGrid w:val="0"/>
        <w:spacing w:line="600" w:lineRule="exact"/>
        <w:ind w:right="2" w:firstLine="61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提高床位配置质量与效率。鼓励医疗机构打破以科室为单位的资源管理方式，对全院床位实行统筹调配。公立综合医院病床使用率低于</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75%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、平均住院日高于</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9</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天，不再新增床位。推动三级医院更加突出急危重症、疑难病症诊疗，逐步压缩一、二级手术占比，提高预约转诊比例和日间手术比例，提高床位使用效率。</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1"/>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12" w:name="_Toc18417"/>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（三）卫生人力资源</w:t>
      </w:r>
      <w:bookmarkEnd w:id="12"/>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1.进一步壮大卫生人才队伍，优化专业技术人才结构，合理配置人才资源。加大高层次人才引进力度，加强培育和引进急需紧缺专业人才，持续开展全科医生培养。到2025年，力争每万人口全科医生数达到2.94人、每千人口药师（士）数达到0.54人、每万人口公共卫生人员数达到9</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.75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8" w:firstLine="609"/>
        <w:jc w:val="both"/>
        <w:textAlignment w:val="baseline"/>
        <w:rPr>
          <w:rFonts w:hint="default" w:ascii="Times New Roman" w:hAnsi="Times New Roman" w:eastAsia="仿宋_GB2312" w:cs="Times New Roman"/>
          <w:color w:val="000000" w:themeColor="text1"/>
          <w:spacing w:val="0"/>
          <w:position w:val="0"/>
          <w:sz w:val="32"/>
          <w:szCs w:val="31"/>
          <w:highlight w:val="yellow"/>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合理提高公共卫生人员配置标准。疾病预防控制机构人员原则上按照每万人口</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1.75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人的比例核定，</w:t>
      </w:r>
      <w:r>
        <w:rPr>
          <w:rFonts w:hint="eastAsia" w:ascii="Times New Roman" w:hAnsi="Times New Roman" w:eastAsia="仿宋_GB2312" w:cs="Times New Roman"/>
          <w:color w:val="000000" w:themeColor="text1"/>
          <w:spacing w:val="0"/>
          <w:position w:val="0"/>
          <w:sz w:val="32"/>
          <w:szCs w:val="31"/>
          <w:highlight w:val="none"/>
          <w:lang w:eastAsia="zh-CN"/>
          <w14:textFill>
            <w14:solidFill>
              <w14:schemeClr w14:val="tx1"/>
            </w14:solidFill>
          </w14:textFill>
        </w:rPr>
        <w:t>专业</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技术人员占编制总额的比例不低于</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85%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，卫生技术人员占编制总额的比例不低于</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70%</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。每万人口配备</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名卫生监督员、</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名妇幼保健机构保健人员。健康教育机构、急救中心（站）、采供血机构等专业公共卫生机构根据服务人口、工作量和任务，合理配置人力资源。基层医疗卫生机构公共卫生人员所占编制不得低于专业技术人员编制数的</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25%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。社区卫生服务中心、乡镇卫生院、二级以上医疗机构均配备至少</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名公共卫生医师。推动乡村医生向执业（助理）医师转化。职业病防治技术支撑机构根据需要配备职业卫生、放射卫生、检测检验、工程技术、临床医学等专业技术人员。</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1" w:right="86" w:firstLine="613"/>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完善医疗机构人力资源配置。合理设置医、护、药、技、管等不同类别人员岗位。承担临床教学、带教实习、支援基层、医学科研等任务的医院可适当增加人员配置。依据国家规定和标准，加强医疗机构感控人员配备。加强乡镇卫生院和社区卫生服务机构全科医生配备。</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4" w:right="86" w:firstLine="612"/>
        <w:jc w:val="both"/>
        <w:textAlignment w:val="baseline"/>
        <w:rPr>
          <w:rFonts w:hint="default" w:ascii="Times New Roman" w:hAnsi="Times New Roman" w:eastAsia="仿宋_GB2312" w:cs="Times New Roman"/>
          <w:color w:val="000000" w:themeColor="text1"/>
          <w:spacing w:val="0"/>
          <w:position w:val="0"/>
          <w:sz w:val="32"/>
          <w:szCs w:val="31"/>
          <w:highlight w:val="yellow"/>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4.</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强化短缺人才供给。增加公共卫生类执业（助理）医师比例，加强精神、康复、全科、重症、急诊、麻醉、口腔、儿科、新生儿科、儿童保健科、产科、影像、病理、老年医学、职业健康等领域急需紧缺人才队伍建设。到</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年，全</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每</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10</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万人口精神科执业（助理）医师数量达到</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4.5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人以上、注册护士数达</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人以上，每个社区卫生服务中心（乡镇卫生院）配备至少</w:t>
      </w:r>
      <w:r>
        <w:rPr>
          <w:rFonts w:hint="default" w:ascii="Times New Roman" w:hAnsi="Times New Roman" w:eastAsia="Times New Roman" w:cs="Times New Roman"/>
          <w:color w:val="000000" w:themeColor="text1"/>
          <w:spacing w:val="0"/>
          <w:position w:val="0"/>
          <w:sz w:val="31"/>
          <w:szCs w:val="31"/>
          <w:highlight w:val="none"/>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名心理健康服务专干，全</w:t>
      </w:r>
      <w:r>
        <w:rPr>
          <w:rFonts w:hint="default"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心理治疗师达到</w:t>
      </w:r>
      <w:r>
        <w:rPr>
          <w:rFonts w:hint="eastAsia"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15</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人左右，精神卫生社会工作者达到</w:t>
      </w:r>
      <w:r>
        <w:rPr>
          <w:rFonts w:hint="eastAsia" w:ascii="Times New Roman" w:hAnsi="Times New Roman" w:eastAsia="仿宋_GB2312" w:cs="Times New Roman"/>
          <w:color w:val="000000" w:themeColor="text1"/>
          <w:spacing w:val="0"/>
          <w:position w:val="0"/>
          <w:sz w:val="32"/>
          <w:szCs w:val="31"/>
          <w:highlight w:val="none"/>
          <w:lang w:val="en-US" w:eastAsia="zh-CN"/>
          <w14:textFill>
            <w14:solidFill>
              <w14:schemeClr w14:val="tx1"/>
            </w14:solidFill>
          </w14:textFill>
        </w:rPr>
        <w:t>50</w:t>
      </w:r>
      <w:r>
        <w:rPr>
          <w:rFonts w:hint="default" w:ascii="Times New Roman" w:hAnsi="Times New Roman" w:eastAsia="仿宋_GB2312" w:cs="Times New Roman"/>
          <w:color w:val="000000" w:themeColor="text1"/>
          <w:spacing w:val="0"/>
          <w:position w:val="0"/>
          <w:sz w:val="32"/>
          <w:szCs w:val="31"/>
          <w:highlight w:val="none"/>
          <w14:textFill>
            <w14:solidFill>
              <w14:schemeClr w14:val="tx1"/>
            </w14:solidFill>
          </w14:textFill>
        </w:rPr>
        <w:t>人左右。</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13" w:name="_Toc787"/>
      <w:r>
        <w:rPr>
          <w:rFonts w:hint="default" w:ascii="Times New Roman" w:hAnsi="Times New Roman" w:eastAsia="楷体" w:cs="Times New Roman"/>
          <w:color w:val="000000" w:themeColor="text1"/>
          <w:spacing w:val="0"/>
          <w:position w:val="0"/>
          <w:sz w:val="31"/>
          <w:szCs w:val="31"/>
          <w14:textFill>
            <w14:solidFill>
              <w14:schemeClr w14:val="tx1"/>
            </w14:solidFill>
          </w14:textFill>
        </w:rPr>
        <w:t>（四）设施设备</w:t>
      </w:r>
      <w:bookmarkEnd w:id="13"/>
    </w:p>
    <w:p>
      <w:pPr>
        <w:keepNext w:val="0"/>
        <w:keepLines w:val="0"/>
        <w:pageBreakBefore w:val="0"/>
        <w:widowControl w:val="0"/>
        <w:kinsoku/>
        <w:wordWrap/>
        <w:overflowPunct/>
        <w:topLinePunct w:val="0"/>
        <w:autoSpaceDE w:val="0"/>
        <w:autoSpaceDN w:val="0"/>
        <w:bidi w:val="0"/>
        <w:adjustRightInd w:val="0"/>
        <w:snapToGrid w:val="0"/>
        <w:spacing w:line="600" w:lineRule="exact"/>
        <w:ind w:right="81" w:firstLine="62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医用设备配置。坚持资源共享、阶梯配置，按照云南省大型医用设备配置数量和布局，引导医疗机构合理配置适宜设备。落实社会办医配置乙类大型医用设备告知承诺制等改革要求。</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8" w:firstLine="614"/>
        <w:jc w:val="both"/>
        <w:textAlignment w:val="baseline"/>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公共卫生防控救治设备配置。根据保障公共卫生安全需要，参照国家有关标准，配置和更新专业公共卫生机构实验室检测检验、大型救治、应急和信息化等设施设备。加强应对重大突发公共卫生事件现场处置及防控救治设施设备配备。</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0"/>
        <w:jc w:val="both"/>
        <w:textAlignment w:val="baseline"/>
        <w:outlineLvl w:val="1"/>
        <w:rPr>
          <w:rFonts w:hint="default" w:ascii="Times New Roman" w:hAnsi="Times New Roman" w:eastAsia="楷体" w:cs="Times New Roman"/>
          <w:color w:val="000000" w:themeColor="text1"/>
          <w:spacing w:val="0"/>
          <w:position w:val="0"/>
          <w:sz w:val="31"/>
          <w:szCs w:val="31"/>
          <w:lang w:eastAsia="zh-CN"/>
          <w14:textFill>
            <w14:solidFill>
              <w14:schemeClr w14:val="tx1"/>
            </w14:solidFill>
          </w14:textFill>
        </w:rPr>
      </w:pPr>
      <w:bookmarkStart w:id="14" w:name="_Toc8014"/>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（五）技术与学科</w:t>
      </w:r>
      <w:bookmarkEnd w:id="14"/>
    </w:p>
    <w:p>
      <w:pPr>
        <w:keepNext w:val="0"/>
        <w:keepLines w:val="0"/>
        <w:pageBreakBefore w:val="0"/>
        <w:widowControl w:val="0"/>
        <w:kinsoku/>
        <w:wordWrap/>
        <w:overflowPunct/>
        <w:topLinePunct w:val="0"/>
        <w:autoSpaceDE w:val="0"/>
        <w:autoSpaceDN w:val="0"/>
        <w:bidi w:val="0"/>
        <w:adjustRightInd w:val="0"/>
        <w:snapToGrid w:val="0"/>
        <w:spacing w:line="600" w:lineRule="exact"/>
        <w:ind w:left="1" w:right="67" w:firstLine="64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促进医疗技术发展应用。鼓励医院加强与医疗技术较发达的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地区</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开展医学学术技术交流，不断强化同上海等拥有优势医疗资源地区的项目合作，采取“送出去”与“引进来”相结合的方式，进一步</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提升</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医疗技术水平，争取以点带面，全面提高</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医疗卫生业务水平。持续增强基层医疗卫生机构适宜性诊疗技术推广的深度和广度，鼓励</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县中医医院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充分结合自身学科和</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重点</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专科优势，整合资源，通过继续医学教育平台授课辅导、建立基层专家工作站、接收基层医疗卫生机构学员进修等模式，进一步拓宽基层医疗卫生机构适宜性诊疗技术的推广幅度，不断提升基层医疗卫生机构综合诊疗能力和水平。</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9" w:right="69" w:firstLine="613"/>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持续提升学科建设水平。结合居民疾病谱、人民群众看病就医情况、重点病种和重点手术质量安全情况，统筹考虑全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临床专科建设基础和发展趋势，组织实施临床重点专科能力建设，充分结合各医疗机构自身特色优势申报各级各类科研创新平台；持续加强与高校、科研院所的沟通与合作，促进医疗机构科研和教学能力的综合发展，以学科和平台为依托，不断增强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卫生科技创新能力和学科建设水平。</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0"/>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15" w:name="_Toc9001"/>
      <w:r>
        <w:rPr>
          <w:rFonts w:hint="default" w:ascii="Times New Roman" w:hAnsi="Times New Roman" w:eastAsia="楷体" w:cs="Times New Roman"/>
          <w:color w:val="000000" w:themeColor="text1"/>
          <w:spacing w:val="0"/>
          <w:position w:val="0"/>
          <w:sz w:val="31"/>
          <w:szCs w:val="31"/>
          <w14:textFill>
            <w14:solidFill>
              <w14:schemeClr w14:val="tx1"/>
            </w14:solidFill>
          </w14:textFill>
        </w:rPr>
        <w:t>（六）信息</w:t>
      </w:r>
      <w:bookmarkEnd w:id="15"/>
    </w:p>
    <w:p>
      <w:pPr>
        <w:keepNext w:val="0"/>
        <w:keepLines w:val="0"/>
        <w:pageBreakBefore w:val="0"/>
        <w:widowControl w:val="0"/>
        <w:kinsoku/>
        <w:wordWrap/>
        <w:overflowPunct/>
        <w:topLinePunct w:val="0"/>
        <w:autoSpaceDE w:val="0"/>
        <w:autoSpaceDN w:val="0"/>
        <w:bidi w:val="0"/>
        <w:adjustRightInd w:val="0"/>
        <w:snapToGrid w:val="0"/>
        <w:spacing w:line="600" w:lineRule="exact"/>
        <w:ind w:right="10" w:firstLine="632"/>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认真贯彻落实国家《“十四五”全民健康信息化规划》，推动电子健康档案、家庭医生签约、妇幼健康、职业健康、残疾人康复等公共卫生数据与医疗服务数据的融合和业务协同，逐步实现居民全生命周期健康数据的互通共享。努力推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县、乡、村医疗信息</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互联互通、业务协同和数据共享，充分释放大数据支持卫生健康服务与行业治理潜能。因地制宜，加快推进紧密型县域医共体信息化建设。强化网络安全建设，确保网络安全。</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47"/>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16" w:name="_Toc2468"/>
      <w:r>
        <w:rPr>
          <w:rFonts w:hint="default" w:ascii="Times New Roman" w:hAnsi="Times New Roman" w:eastAsia="黑体" w:cs="Times New Roman"/>
          <w:color w:val="000000" w:themeColor="text1"/>
          <w:spacing w:val="0"/>
          <w:position w:val="0"/>
          <w:sz w:val="31"/>
          <w:szCs w:val="31"/>
          <w14:textFill>
            <w14:solidFill>
              <w14:schemeClr w14:val="tx1"/>
            </w14:solidFill>
          </w14:textFill>
        </w:rPr>
        <w:t>四、加快构建现代化公共卫生体系</w:t>
      </w:r>
      <w:bookmarkEnd w:id="16"/>
    </w:p>
    <w:p>
      <w:pPr>
        <w:keepNext w:val="0"/>
        <w:keepLines w:val="0"/>
        <w:pageBreakBefore w:val="0"/>
        <w:widowControl w:val="0"/>
        <w:kinsoku/>
        <w:wordWrap/>
        <w:overflowPunct/>
        <w:topLinePunct w:val="0"/>
        <w:autoSpaceDE w:val="0"/>
        <w:autoSpaceDN w:val="0"/>
        <w:bidi w:val="0"/>
        <w:adjustRightInd w:val="0"/>
        <w:snapToGrid w:val="0"/>
        <w:spacing w:line="600" w:lineRule="exact"/>
        <w:ind w:left="24" w:right="80" w:firstLine="604"/>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加强以县、乡</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两</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级疾病预防控制机构和各类专科疾病防治机构为骨干，以医疗机构为依托，以基层医疗卫生机构为网底的公共卫生体系建设，强化防治结合、医防协同。</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0"/>
        <w:jc w:val="both"/>
        <w:textAlignment w:val="baseline"/>
        <w:outlineLvl w:val="1"/>
        <w:rPr>
          <w:rFonts w:hint="default" w:ascii="Times New Roman" w:hAnsi="Times New Roman" w:eastAsia="楷体" w:cs="Times New Roman"/>
          <w:color w:val="000000" w:themeColor="text1"/>
          <w:spacing w:val="0"/>
          <w:position w:val="0"/>
          <w:sz w:val="31"/>
          <w:szCs w:val="31"/>
          <w:lang w:eastAsia="zh-CN"/>
          <w14:textFill>
            <w14:solidFill>
              <w14:schemeClr w14:val="tx1"/>
            </w14:solidFill>
          </w14:textFill>
        </w:rPr>
      </w:pPr>
      <w:bookmarkStart w:id="17" w:name="_Toc19704"/>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（一）改革完善疾病预防控制体系</w:t>
      </w:r>
      <w:bookmarkEnd w:id="17"/>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53"/>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聚焦职责定位，提升核心能力。按照国家和省级部署，推进疾病预防控制体系改革，改善疾病预防控制机构设施设备条件。基本建成病原生物和化学品毒性综合检测实验室网络体系，提升“一槌定音”的检验检测能力和突发公共卫生事件快速应对能力；推进建设一批与城市公共卫生安全保障要求相适应的公共卫生重点学科群和学科领军人才队伍；建立与疾病预防控制能力提升相符合的投入保障和运行管理机制；完善疾病预防控制信息系统，形成疾病预防控制数据共享应用。</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26" w:right="84" w:firstLine="61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推进医防协同，提升防控效率。建立健全疾病预防控制机构与医院、其他专业公共卫生机构、基层医疗卫生机构和乡镇（街道）联动工作机制。加强疾病预防控制机构对医疗机构疾病预防控制工作的技术指导。探索疾病预防控制机构及专业人员参与</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医共体</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工作。</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29" w:right="84" w:firstLine="616"/>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公立医疗机构设立公共卫生科等直接从事疾病预防控制的科室，纳入属地传染病、慢性病等防治网络和健康教育促进网络管理。加强医疗机构内感染预防控制能力建设。医院、基层医疗卫生机构设立专（兼）职疾控管理人员。</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19" w:firstLine="671"/>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以高血压、糖尿病、结核病、严重精神障碍等疾病管理为突破口，为每个乡镇</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街道</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卫生院培养</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名具备医、防、管等能力的复合型骨干人才。为乡镇</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街道</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卫生院配备智能健康管理设备，设立科学健身门诊，提升基层防治结合能力。</w:t>
      </w:r>
    </w:p>
    <w:p>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p>
    <w:tbl>
      <w:tblPr>
        <w:tblStyle w:val="10"/>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064" w:type="dxa"/>
            <w:vAlign w:val="top"/>
          </w:tcPr>
          <w:p>
            <w:pPr>
              <w:keepNext w:val="0"/>
              <w:keepLines w:val="0"/>
              <w:pageBreakBefore w:val="0"/>
              <w:widowControl w:val="0"/>
              <w:kinsoku/>
              <w:wordWrap/>
              <w:overflowPunct/>
              <w:topLinePunct w:val="0"/>
              <w:autoSpaceDE w:val="0"/>
              <w:autoSpaceDN w:val="0"/>
              <w:bidi w:val="0"/>
              <w:adjustRightInd w:val="0"/>
              <w:snapToGrid w:val="0"/>
              <w:spacing w:line="600" w:lineRule="exact"/>
              <w:ind w:left="2419"/>
              <w:jc w:val="both"/>
              <w:textAlignment w:val="baseline"/>
              <w:rPr>
                <w:rFonts w:hint="default" w:ascii="Times New Roman" w:hAnsi="Times New Roman" w:eastAsia="黑体" w:cs="Times New Roman"/>
                <w:color w:val="000000" w:themeColor="text1"/>
                <w:spacing w:val="0"/>
                <w:position w:val="0"/>
                <w:sz w:val="28"/>
                <w:szCs w:val="28"/>
                <w14:textFill>
                  <w14:solidFill>
                    <w14:schemeClr w14:val="tx1"/>
                  </w14:solidFill>
                </w14:textFill>
              </w:rPr>
            </w:pP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 xml:space="preserve">专栏 </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 xml:space="preserve">1    </w:t>
            </w: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疾病预防控制能力提升工程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064" w:type="dxa"/>
            <w:vAlign w:val="top"/>
          </w:tcPr>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left="152" w:firstLine="560" w:firstLineChars="200"/>
              <w:jc w:val="both"/>
              <w:textAlignment w:val="baseline"/>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宜良县疾病预防控制中心实验室能力提升项目</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配齐实验室设备，提升实验室检测能力达到市级标准，应对南部片区平急两用需要</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right="37" w:firstLine="560" w:firstLineChars="200"/>
              <w:jc w:val="both"/>
              <w:textAlignment w:val="baseline"/>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2.</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疾病预防控制机构骨干人才培养计划：到</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年，</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疾病预防控制中心至少有</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名具有较高水平现场流行病学调查能力的骨干人才。</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right="37" w:firstLine="560" w:firstLineChars="200"/>
              <w:jc w:val="both"/>
              <w:textAlignment w:val="baseline"/>
              <w:rPr>
                <w:rFonts w:hint="default" w:ascii="Times New Roman" w:hAnsi="Times New Roman"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3.</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疾病预防控制机构标准化建设计划：到</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年，县疾病预防控制中心达到人均建筑面积</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60</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平方米的标准。</w:t>
            </w:r>
          </w:p>
        </w:tc>
      </w:tr>
    </w:tbl>
    <w:p>
      <w:pPr>
        <w:keepNext w:val="0"/>
        <w:keepLines w:val="0"/>
        <w:pageBreakBefore w:val="0"/>
        <w:widowControl w:val="0"/>
        <w:kinsoku/>
        <w:wordWrap/>
        <w:overflowPunct/>
        <w:topLinePunct w:val="0"/>
        <w:autoSpaceDE w:val="0"/>
        <w:autoSpaceDN w:val="0"/>
        <w:bidi w:val="0"/>
        <w:adjustRightInd w:val="0"/>
        <w:snapToGrid w:val="0"/>
        <w:spacing w:line="600" w:lineRule="exact"/>
        <w:ind w:left="739"/>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18" w:name="_Toc30687"/>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（二）完善监测预警和应急处置体系</w:t>
      </w:r>
      <w:bookmarkEnd w:id="18"/>
    </w:p>
    <w:p>
      <w:pPr>
        <w:keepNext w:val="0"/>
        <w:keepLines w:val="0"/>
        <w:pageBreakBefore w:val="0"/>
        <w:widowControl w:val="0"/>
        <w:kinsoku/>
        <w:wordWrap/>
        <w:overflowPunct/>
        <w:topLinePunct w:val="0"/>
        <w:autoSpaceDE w:val="0"/>
        <w:autoSpaceDN w:val="0"/>
        <w:bidi w:val="0"/>
        <w:adjustRightInd w:val="0"/>
        <w:snapToGrid w:val="0"/>
        <w:spacing w:line="600" w:lineRule="exact"/>
        <w:ind w:left="124" w:right="86" w:firstLine="64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完善突发公共卫生事件监测预警处置机制。以疾病预防控制机构为主体，以医院和基层医疗卫生机构为哨点，以信息化和大数据技术为支撑，建立监测预警机制，实现传染病疫情和突发公共卫生事件早发现、早报告、早隔离、早处置。完善县、乡级信息报告工作机制。</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24" w:right="86" w:firstLine="647"/>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提升卫生应急处置能力。健全公共卫生应急管理体系。完善卫生应急指挥体系，构建统一领导、反应灵敏、处置高效、联防联控的公共卫生应急管理格局。动态优化突发公共事件卫生应急预案体系，完善卫生应急专家决策咨询机制。依托</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县第一人民医院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县第二人民医院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县疾控中心</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建优配强</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级医疗卫生应急救援第一梯队，加强预备队和县、乡级医疗卫生应急救援队伍规范化建设。健全统一的医疗卫生应急物资保障体系，建设</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乡</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两级卫生应急物资储备库，科学调整储备物资的品类、规模、结构，增强医疗卫生机构应对重大突发公共卫生事件的能力。在全社会组织开展卫生应急知识技能宣传普及，开展卫生应急“进企业、进社区、进学校、进农村、进家庭”活动，在公共场所配置急救设施设备（</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AED</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），提升全民卫生应急素养和自救互救能力。</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4"/>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19" w:name="_Toc19699"/>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（三）健全传染病疫情和重大公共卫生事件救治体系</w:t>
      </w:r>
      <w:bookmarkEnd w:id="19"/>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完善传染病医疗救治体系。完善县、乡</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两</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级传染病医疗救治网络，加强</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县级公立</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医院和</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民营</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医院传染性疾病科建设，提升传染病综合救治能力和对新发再发传染病的诊断救治能力。到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年，县级公立综合医院布局建设相对独立的传染性疾病科病区，并按要求设置负压病房（病区）和重症监护病房。</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建设</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级重大疫情救治基地。结合</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实际</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设置县第一人民医院为</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县级重大疫情救治场所，负责承担县域内普通患者集中救治任务；</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县第二人民医院作为后备县级重大疫情救治场所</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 w:firstLine="622"/>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完善紧急医疗救援体系。推进紧急医学救援核心能力建设，加强紧急医学救援机构和队伍建设，提升重大及以上各类突发公共事件伤病员救治能力。二级以上综合医院设置急诊科，强化院前医疗急救与院内急诊有效衔接。加快推进急救站点建设，完善院前急救网络布局。全面启用急救电子病历系统，强化院前急救质控和监管。完善“血液中心—采血点”的供采血层级体系，推进</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单采血浆站</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项目建设，</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落实无偿献血奖励政策</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，为献血者提供便捷舒适的条件。强化血液质量和安全管理，提高采供血和血液制品的安全性。</w:t>
      </w:r>
    </w:p>
    <w:p>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p>
    <w:tbl>
      <w:tblPr>
        <w:tblStyle w:val="10"/>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064" w:type="dxa"/>
            <w:vAlign w:val="top"/>
          </w:tcPr>
          <w:p>
            <w:pPr>
              <w:keepNext w:val="0"/>
              <w:keepLines w:val="0"/>
              <w:pageBreakBefore w:val="0"/>
              <w:widowControl w:val="0"/>
              <w:kinsoku/>
              <w:wordWrap/>
              <w:overflowPunct/>
              <w:topLinePunct w:val="0"/>
              <w:autoSpaceDE w:val="0"/>
              <w:autoSpaceDN w:val="0"/>
              <w:bidi w:val="0"/>
              <w:adjustRightInd w:val="0"/>
              <w:snapToGrid w:val="0"/>
              <w:spacing w:line="600" w:lineRule="exact"/>
              <w:ind w:left="1879"/>
              <w:jc w:val="both"/>
              <w:textAlignment w:val="baseline"/>
              <w:rPr>
                <w:rFonts w:hint="default" w:ascii="Times New Roman" w:hAnsi="Times New Roman" w:eastAsia="黑体" w:cs="Times New Roman"/>
                <w:color w:val="000000" w:themeColor="text1"/>
                <w:spacing w:val="0"/>
                <w:position w:val="0"/>
                <w:sz w:val="28"/>
                <w:szCs w:val="28"/>
                <w14:textFill>
                  <w14:solidFill>
                    <w14:schemeClr w14:val="tx1"/>
                  </w14:solidFill>
                </w14:textFill>
              </w:rPr>
            </w:pP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 xml:space="preserve">专栏 </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 xml:space="preserve">2    </w:t>
            </w: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重大公共卫生事件处置能力提升工程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9064" w:type="dxa"/>
            <w:vAlign w:val="top"/>
          </w:tcPr>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left="119" w:right="65" w:firstLine="561"/>
              <w:jc w:val="both"/>
              <w:textAlignment w:val="baseline"/>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传染病救治和重症医学能力提升计划：重大疫情救治基地按照医院编制床位的</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10%</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设置重症监护病床，</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其他</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县级医院按照编制床位的</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2%</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设置可转换的重症监护病床。</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left="128" w:firstLine="560" w:firstLineChars="200"/>
              <w:jc w:val="both"/>
              <w:textAlignment w:val="baseline"/>
              <w:rPr>
                <w:rFonts w:hint="default" w:ascii="Times New Roman" w:hAnsi="Times New Roman"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2.</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卫生应急队伍培养计划：围绕卫生应急管理、突发公共卫生事件处 置、紧急医学救援等主题，通过线上、线下、专题、集中等方式开展卫生应急知识和技能培训，为队伍配备基础应急携行装备、标识和应急处置通信调度等装备。通过标准化建设、实战化训练、规范化管理，打造“素质过硬、专常兼备、反应迅速、处置高效”的应急队伍。</w:t>
            </w:r>
          </w:p>
        </w:tc>
      </w:tr>
    </w:tbl>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20" w:name="bookmark21"/>
      <w:bookmarkEnd w:id="20"/>
      <w:bookmarkStart w:id="21" w:name="_Toc28430"/>
      <w:r>
        <w:rPr>
          <w:rFonts w:hint="default" w:ascii="Times New Roman" w:hAnsi="Times New Roman" w:eastAsia="黑体" w:cs="Times New Roman"/>
          <w:color w:val="000000" w:themeColor="text1"/>
          <w:spacing w:val="0"/>
          <w:position w:val="0"/>
          <w:sz w:val="31"/>
          <w:szCs w:val="31"/>
          <w14:textFill>
            <w14:solidFill>
              <w14:schemeClr w14:val="tx1"/>
            </w14:solidFill>
          </w14:textFill>
        </w:rPr>
        <w:t>五、加速推进高质量医疗服务体系建设</w:t>
      </w:r>
      <w:bookmarkEnd w:id="21"/>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建设以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级医院为骨干，</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乡镇（街道）卫生院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为基础，紧密型县域医共体为载体的高水平公立医</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疗</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网络。推动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级医院扩容下沉，支持基层医疗机构提升综合服务能力，推进全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医疗服务体系高质量发展。“十四五”期间，建设</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7</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个市级重点专科。</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739"/>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22" w:name="_Toc31917"/>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（一）建设医疗服务高地</w:t>
      </w:r>
      <w:bookmarkEnd w:id="22"/>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加强优质医疗资源统筹布局，县</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第一人民医院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要充分发挥引领、示范作用，现有优势学科继续保持，补齐重点专业专科短板，推动优质医疗资源向县内扩容，以优势学科、龙头专业引领我县公立医院高质量发展。与省市级高水平医院</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医学院校</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在医、教、学、研等领域开展紧密型合作，提升重大疑难疾病诊疗救治能力</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减少跨区域就医</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到2025年，</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县第一人民</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医院达到三级</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乙</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等水平。</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outlineLvl w:val="1"/>
        <w:rPr>
          <w:rFonts w:hint="default" w:ascii="Times New Roman" w:hAnsi="Times New Roman" w:cs="Times New Roman"/>
          <w:color w:val="000000" w:themeColor="text1"/>
          <w:spacing w:val="0"/>
          <w:position w:val="0"/>
          <w14:textFill>
            <w14:solidFill>
              <w14:schemeClr w14:val="tx1"/>
            </w14:solidFill>
          </w14:textFill>
        </w:rPr>
      </w:pPr>
      <w:bookmarkStart w:id="23" w:name="_Toc12333"/>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（二）加快推进</w:t>
      </w:r>
      <w:r>
        <w:rPr>
          <w:rFonts w:hint="default" w:ascii="Times New Roman" w:hAnsi="Times New Roman" w:eastAsia="楷体" w:cs="Times New Roman"/>
          <w:color w:val="000000" w:themeColor="text1"/>
          <w:spacing w:val="0"/>
          <w:position w:val="0"/>
          <w:sz w:val="31"/>
          <w:szCs w:val="31"/>
          <w:lang w:val="en-US" w:eastAsia="zh-CN"/>
          <w14:textFill>
            <w14:solidFill>
              <w14:schemeClr w14:val="tx1"/>
            </w14:solidFill>
          </w14:textFill>
        </w:rPr>
        <w:t>县</w:t>
      </w:r>
      <w:r>
        <w:rPr>
          <w:rFonts w:hint="default" w:ascii="Times New Roman" w:hAnsi="Times New Roman" w:eastAsia="楷体" w:cs="Times New Roman"/>
          <w:color w:val="000000" w:themeColor="text1"/>
          <w:spacing w:val="0"/>
          <w:position w:val="0"/>
          <w:sz w:val="31"/>
          <w:szCs w:val="31"/>
          <w14:textFill>
            <w14:solidFill>
              <w14:schemeClr w14:val="tx1"/>
            </w14:solidFill>
          </w14:textFill>
        </w:rPr>
        <w:t>级公立医院能力提升</w:t>
      </w:r>
      <w:bookmarkEnd w:id="23"/>
    </w:p>
    <w:p>
      <w:pPr>
        <w:keepNext w:val="0"/>
        <w:keepLines w:val="0"/>
        <w:pageBreakBefore w:val="0"/>
        <w:widowControl w:val="0"/>
        <w:kinsoku/>
        <w:wordWrap/>
        <w:overflowPunct/>
        <w:topLinePunct w:val="0"/>
        <w:autoSpaceDE w:val="0"/>
        <w:autoSpaceDN w:val="0"/>
        <w:bidi w:val="0"/>
        <w:adjustRightInd w:val="0"/>
        <w:snapToGrid w:val="0"/>
        <w:spacing w:line="600" w:lineRule="exact"/>
        <w:ind w:right="0" w:firstLine="640" w:firstLineChars="200"/>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bookmarkStart w:id="24" w:name="bookmark23"/>
      <w:bookmarkEnd w:id="24"/>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域内死亡率高、外转率高的疾病为重点，支持</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级公立医院加强特色专科、平台专科建设，加快推进临床重点专科建设，提升</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级公立医院诊疗能力。“十四五”期间，争取</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个以上</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省</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级临床重点专科建设项目和</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个以上省级临床</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薄弱</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专科建设项目。</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2"/>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25" w:name="_Toc6146"/>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（三）巩固提升县级医院综合能力</w:t>
      </w:r>
      <w:bookmarkEnd w:id="25"/>
    </w:p>
    <w:p>
      <w:pPr>
        <w:keepNext w:val="0"/>
        <w:keepLines w:val="0"/>
        <w:pageBreakBefore w:val="0"/>
        <w:widowControl w:val="0"/>
        <w:kinsoku/>
        <w:wordWrap/>
        <w:overflowPunct/>
        <w:topLinePunct w:val="0"/>
        <w:autoSpaceDE w:val="0"/>
        <w:autoSpaceDN w:val="0"/>
        <w:bidi w:val="0"/>
        <w:adjustRightInd w:val="0"/>
        <w:snapToGrid w:val="0"/>
        <w:spacing w:line="600" w:lineRule="exact"/>
        <w:ind w:right="6" w:firstLine="640" w:firstLineChars="200"/>
        <w:jc w:val="both"/>
        <w:textAlignment w:val="baseline"/>
        <w:outlineLvl w:val="9"/>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巩固强化</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第一人民</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医院“五大中心”，</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加快县第二人民医院“三大中心”建设，到2025年，各乡镇（街道）急救站点全覆盖，县、乡两级院前</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急救</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体系完备。</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全面推进紧密型县域医共体建设，</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县域内检查、检验结果互认，推动</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县域医疗资源</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互联互通</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，不断提升县级医院综合服务能力，降低县域外就诊率。</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26" w:name="_Toc21307"/>
      <w:r>
        <w:rPr>
          <w:rFonts w:hint="default" w:ascii="Times New Roman" w:hAnsi="Times New Roman" w:eastAsia="楷体" w:cs="Times New Roman"/>
          <w:color w:val="000000" w:themeColor="text1"/>
          <w:spacing w:val="0"/>
          <w:position w:val="0"/>
          <w:sz w:val="31"/>
          <w:szCs w:val="31"/>
          <w14:textFill>
            <w14:solidFill>
              <w14:schemeClr w14:val="tx1"/>
            </w14:solidFill>
          </w14:textFill>
        </w:rPr>
        <w:t>（四）不断提升基层医疗卫生机构综合服务能力</w:t>
      </w:r>
      <w:bookmarkEnd w:id="26"/>
    </w:p>
    <w:p>
      <w:pPr>
        <w:keepNext w:val="0"/>
        <w:keepLines w:val="0"/>
        <w:pageBreakBefore w:val="0"/>
        <w:widowControl w:val="0"/>
        <w:kinsoku/>
        <w:wordWrap/>
        <w:overflowPunct/>
        <w:topLinePunct w:val="0"/>
        <w:autoSpaceDE w:val="0"/>
        <w:autoSpaceDN w:val="0"/>
        <w:bidi w:val="0"/>
        <w:adjustRightInd w:val="0"/>
        <w:snapToGrid w:val="0"/>
        <w:spacing w:line="600" w:lineRule="exact"/>
        <w:ind w:right="7" w:firstLine="66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以“优质服务基层行”活动为契机，加强基层慢性病管理中心和基层心脑血管救治站建设，提升基层慢病综合防治水平、急诊急救和应急处置能力。推进基层医疗卫生机构综合服务能力提升，优化基本医疗和公共卫生服务功能，筑牢基层常态化疫情防控网底，提升基本公共卫生服务水平及常见病、多发病、慢性病</w:t>
      </w:r>
      <w:bookmarkStart w:id="27" w:name="bookmark25"/>
      <w:bookmarkEnd w:id="27"/>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的诊疗护理、康复治疗、康复训练等综合服务能力。</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28" w:name="_Toc7256"/>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（五）引导非公立医疗机构协调发展</w:t>
      </w:r>
      <w:bookmarkEnd w:id="28"/>
    </w:p>
    <w:p>
      <w:pPr>
        <w:keepNext w:val="0"/>
        <w:keepLines w:val="0"/>
        <w:pageBreakBefore w:val="0"/>
        <w:widowControl w:val="0"/>
        <w:kinsoku/>
        <w:wordWrap/>
        <w:overflowPunct/>
        <w:topLinePunct w:val="0"/>
        <w:autoSpaceDE w:val="0"/>
        <w:autoSpaceDN w:val="0"/>
        <w:bidi w:val="0"/>
        <w:adjustRightInd w:val="0"/>
        <w:snapToGrid w:val="0"/>
        <w:spacing w:line="600" w:lineRule="exact"/>
        <w:ind w:right="18"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规范并引导社会力量兴办独立设置的医疗机构，加强规范化管理和质量控制，提高同质化水平。鼓励社会办医规模化、品牌化发展。支持非公立医疗机构与公立医院开展医疗业务、学科建设、人才培养等合作，支持非公立医疗机构加入城市医疗集团、紧密型县域医共体、专科联盟和远程医疗网络。</w:t>
      </w:r>
    </w:p>
    <w:p>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p>
    <w:tbl>
      <w:tblPr>
        <w:tblStyle w:val="10"/>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064" w:type="dxa"/>
            <w:vAlign w:val="top"/>
          </w:tcPr>
          <w:p>
            <w:pPr>
              <w:keepNext w:val="0"/>
              <w:keepLines w:val="0"/>
              <w:pageBreakBefore w:val="0"/>
              <w:widowControl w:val="0"/>
              <w:kinsoku/>
              <w:wordWrap/>
              <w:overflowPunct/>
              <w:topLinePunct w:val="0"/>
              <w:autoSpaceDE w:val="0"/>
              <w:autoSpaceDN w:val="0"/>
              <w:bidi w:val="0"/>
              <w:adjustRightInd w:val="0"/>
              <w:snapToGrid w:val="0"/>
              <w:spacing w:line="600" w:lineRule="exact"/>
              <w:ind w:left="2285"/>
              <w:jc w:val="both"/>
              <w:textAlignment w:val="baseline"/>
              <w:rPr>
                <w:rFonts w:hint="default" w:ascii="Times New Roman" w:hAnsi="Times New Roman" w:cs="Times New Roman"/>
                <w:color w:val="000000" w:themeColor="text1"/>
                <w:spacing w:val="0"/>
                <w:position w:val="0"/>
                <w:sz w:val="28"/>
                <w:szCs w:val="28"/>
                <w14:textFill>
                  <w14:solidFill>
                    <w14:schemeClr w14:val="tx1"/>
                  </w14:solidFill>
                </w14:textFill>
              </w:rPr>
            </w:pP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 xml:space="preserve">专栏 </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 xml:space="preserve">3    </w:t>
            </w: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高质量医疗服务体系建设工程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6" w:hRule="atLeast"/>
        </w:trPr>
        <w:tc>
          <w:tcPr>
            <w:tcW w:w="9064" w:type="dxa"/>
            <w:vAlign w:val="top"/>
          </w:tcPr>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left="125" w:firstLine="560" w:firstLineChars="200"/>
              <w:jc w:val="both"/>
              <w:textAlignment w:val="baseline"/>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1.</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县第一人民医院服务提升</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计划：</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推进县第一人民医院二期工程，加强优势专科建设，2025年达到三级</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乙等水平</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left="125" w:firstLine="560" w:firstLineChars="200"/>
              <w:jc w:val="both"/>
              <w:textAlignment w:val="baseline"/>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2.</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级医院专科能力提升计划：争取</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个以上省级临床重点专科建设项目</w:t>
            </w:r>
            <w:r>
              <w:rPr>
                <w:rFonts w:hint="default"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个以上省级临床薄弱专科建设项目</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left="125" w:firstLine="560" w:firstLineChars="200"/>
              <w:jc w:val="both"/>
              <w:textAlignment w:val="baseline"/>
              <w:rPr>
                <w:rFonts w:hint="default" w:ascii="Times New Roman" w:hAnsi="Times New Roman" w:cs="Times New Roman"/>
                <w:color w:val="000000" w:themeColor="text1"/>
                <w:spacing w:val="0"/>
                <w:position w:val="0"/>
                <w:sz w:val="28"/>
                <w:szCs w:val="28"/>
                <w14:textFill>
                  <w14:solidFill>
                    <w14:schemeClr w14:val="tx1"/>
                  </w14:solidFill>
                </w14:textFill>
              </w:rPr>
            </w:pP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3.实施基层医疗卫生机构服务能力提升计划：到2025年</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全</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90%以 上的乡镇</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街道</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卫生院达到国家服务能力基本标准并至少建成1个符合自身功能定位的特色科室；60%的中心卫生院达到国家服务能力推荐标准</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基层慢性病管理中心实现全覆盖，基层心脑血管救治站覆盖率逐步提升</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乡镇</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街道</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卫生院、二级以上医疗机构均配备至少1名公共卫生医师。</w:t>
            </w:r>
          </w:p>
        </w:tc>
      </w:tr>
    </w:tbl>
    <w:p>
      <w:pPr>
        <w:keepNext w:val="0"/>
        <w:keepLines w:val="0"/>
        <w:pageBreakBefore w:val="0"/>
        <w:widowControl w:val="0"/>
        <w:kinsoku/>
        <w:wordWrap/>
        <w:overflowPunct/>
        <w:topLinePunct w:val="0"/>
        <w:autoSpaceDE w:val="0"/>
        <w:autoSpaceDN w:val="0"/>
        <w:bidi w:val="0"/>
        <w:adjustRightInd w:val="0"/>
        <w:snapToGrid w:val="0"/>
        <w:spacing w:line="600" w:lineRule="exact"/>
        <w:ind w:left="757"/>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29" w:name="bookmark26"/>
      <w:bookmarkEnd w:id="29"/>
      <w:bookmarkStart w:id="30" w:name="_Toc6105"/>
      <w:r>
        <w:rPr>
          <w:rFonts w:hint="default" w:ascii="Times New Roman" w:hAnsi="Times New Roman" w:eastAsia="黑体" w:cs="Times New Roman"/>
          <w:color w:val="000000" w:themeColor="text1"/>
          <w:spacing w:val="0"/>
          <w:position w:val="0"/>
          <w:sz w:val="31"/>
          <w:szCs w:val="31"/>
          <w14:textFill>
            <w14:solidFill>
              <w14:schemeClr w14:val="tx1"/>
            </w14:solidFill>
          </w14:textFill>
        </w:rPr>
        <w:t>六、加强中医药（民族医药）服务体系建设</w:t>
      </w:r>
      <w:bookmarkEnd w:id="30"/>
    </w:p>
    <w:p>
      <w:pPr>
        <w:keepNext w:val="0"/>
        <w:keepLines w:val="0"/>
        <w:pageBreakBefore w:val="0"/>
        <w:widowControl w:val="0"/>
        <w:kinsoku/>
        <w:wordWrap/>
        <w:overflowPunct/>
        <w:topLinePunct w:val="0"/>
        <w:autoSpaceDE w:val="0"/>
        <w:autoSpaceDN w:val="0"/>
        <w:bidi w:val="0"/>
        <w:adjustRightInd w:val="0"/>
        <w:snapToGrid w:val="0"/>
        <w:spacing w:line="600" w:lineRule="exact"/>
        <w:ind w:left="126" w:right="74" w:firstLine="616"/>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健全完善以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中医医院为龙头，县级医疗机构中医临床科室为骨干，基层医疗卫生机构为基础，融预防养生、疾病治疗和康复于一体的中医药服务体系，提供覆盖全生命周期的中医药服务。加强综合医院和妇幼保健等专业医疗机构中医临床科室建设，综合医院中医床位数不少于医院床位总数的</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。支持社会力量举办具有特色优势的中</w:t>
      </w:r>
      <w:bookmarkStart w:id="31" w:name="bookmark27"/>
      <w:bookmarkEnd w:id="31"/>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医医疗机构，鼓励连锁经营。</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32" w:name="_Toc2877"/>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（一）完善中医医疗服务体系</w:t>
      </w:r>
      <w:bookmarkEnd w:id="32"/>
    </w:p>
    <w:p>
      <w:pPr>
        <w:keepNext w:val="0"/>
        <w:keepLines w:val="0"/>
        <w:pageBreakBefore w:val="0"/>
        <w:widowControl w:val="0"/>
        <w:kinsoku/>
        <w:wordWrap/>
        <w:overflowPunct/>
        <w:topLinePunct w:val="0"/>
        <w:autoSpaceDE w:val="0"/>
        <w:autoSpaceDN w:val="0"/>
        <w:bidi w:val="0"/>
        <w:adjustRightInd w:val="0"/>
        <w:snapToGrid w:val="0"/>
        <w:spacing w:line="600" w:lineRule="exact"/>
        <w:ind w:left="8" w:firstLine="62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推进县中医医院提标扩能项目，</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承担县域居民常见病、多发病中医诊疗和急危重症抢救与疑难病转诊任务</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综合医院</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妇幼保健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和其他</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专业医疗机构中医临床科室建设，强化临床科室中医医师配备。县中医医院成立中医药适宜技术推广中心，培养县级师资</w:t>
      </w:r>
      <w:r>
        <w:rPr>
          <w:rFonts w:hint="eastAsia" w:ascii="Times New Roman" w:hAnsi="Times New Roman" w:eastAsia="宋体" w:cs="Times New Roman"/>
          <w:color w:val="000000" w:themeColor="text1"/>
          <w:spacing w:val="0"/>
          <w:position w:val="0"/>
          <w:sz w:val="31"/>
          <w:szCs w:val="31"/>
          <w:lang w:val="en-US" w:eastAsia="zh-CN"/>
          <w14:textFill>
            <w14:solidFill>
              <w14:schemeClr w14:val="tx1"/>
            </w14:solidFill>
          </w14:textFill>
        </w:rPr>
        <w:t>8</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名。到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100%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社区卫生服务中心、乡镇卫生院能够规范开展</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6</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类</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项以上中医药适宜技术；</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100%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社区卫生服务站、</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80%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以上村卫生室能够规范熟练开展</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4</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类</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6</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项以上中医药适宜技术。完成</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4</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个示范中医馆建</w:t>
      </w:r>
      <w:bookmarkStart w:id="33" w:name="bookmark28"/>
      <w:bookmarkEnd w:id="33"/>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设，基层医疗卫生机构中医药服务占比不低于</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34" w:name="_Toc9"/>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（二）提升中医药服务能力</w:t>
      </w:r>
      <w:bookmarkEnd w:id="34"/>
    </w:p>
    <w:p>
      <w:pPr>
        <w:keepNext w:val="0"/>
        <w:keepLines w:val="0"/>
        <w:pageBreakBefore w:val="0"/>
        <w:widowControl w:val="0"/>
        <w:kinsoku/>
        <w:wordWrap/>
        <w:overflowPunct/>
        <w:topLinePunct w:val="0"/>
        <w:autoSpaceDE w:val="0"/>
        <w:autoSpaceDN w:val="0"/>
        <w:bidi w:val="0"/>
        <w:adjustRightInd w:val="0"/>
        <w:snapToGrid w:val="0"/>
        <w:spacing w:line="600" w:lineRule="exact"/>
        <w:ind w:left="28" w:right="86" w:firstLine="610"/>
        <w:jc w:val="both"/>
        <w:textAlignment w:val="baseline"/>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强化中医医院办院方向，规范科室设置，补齐短板弱项，优化就医环境。实施中医医疗服务能力提升行动，加强县中医医院临床薄弱科室和</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省级重点专</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科建设，提升医院综合服务能力</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县中医医院基层指导建设，负责全县中医药技术指导和业务培训。推进实施中医治未病健康促进工程，将治未病服务融入基层健康管理、家庭医生签约等服务内容中，推动建立覆盖全生命周期的中医治未病服务体系，探索建立一批规范化的治未病科室。</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0"/>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35" w:name="bookmark29"/>
      <w:bookmarkEnd w:id="35"/>
      <w:bookmarkStart w:id="36" w:name="_Toc29360"/>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（三）推动中西医协同发展</w:t>
      </w:r>
      <w:bookmarkEnd w:id="36"/>
    </w:p>
    <w:p>
      <w:pPr>
        <w:keepNext w:val="0"/>
        <w:keepLines w:val="0"/>
        <w:pageBreakBefore w:val="0"/>
        <w:widowControl w:val="0"/>
        <w:kinsoku/>
        <w:wordWrap/>
        <w:overflowPunct/>
        <w:topLinePunct w:val="0"/>
        <w:autoSpaceDE w:val="0"/>
        <w:autoSpaceDN w:val="0"/>
        <w:bidi w:val="0"/>
        <w:adjustRightInd w:val="0"/>
        <w:snapToGrid w:val="0"/>
        <w:spacing w:line="600" w:lineRule="exact"/>
        <w:ind w:left="7" w:right="72" w:firstLine="603"/>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在综合、专科医院和妇幼保健机构推广“有机制、有团队、有措施、有成效”的中西医结合诊疗模式，以解决重大疑难疾病临床治疗难点为核心，整合中西医优质资源，在肿瘤、内分泌和康复等专业领域形成一批中西医结合诊疗方案，</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探索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建设具有</w:t>
      </w:r>
      <w:bookmarkStart w:id="37" w:name="bookmark30"/>
      <w:bookmarkEnd w:id="37"/>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示范引领作用的重大疑难疾病中西医协同协作诊疗中心。</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0"/>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38" w:name="_Toc11720"/>
      <w:r>
        <w:rPr>
          <w:rFonts w:hint="default" w:ascii="Times New Roman" w:hAnsi="Times New Roman" w:eastAsia="楷体" w:cs="Times New Roman"/>
          <w:color w:val="000000" w:themeColor="text1"/>
          <w:spacing w:val="0"/>
          <w:position w:val="0"/>
          <w:sz w:val="31"/>
          <w:szCs w:val="31"/>
          <w14:textFill>
            <w14:solidFill>
              <w14:schemeClr w14:val="tx1"/>
            </w14:solidFill>
          </w14:textFill>
        </w:rPr>
        <w:t>（四）提升中医药疫病防治能力</w:t>
      </w:r>
      <w:bookmarkEnd w:id="38"/>
    </w:p>
    <w:p>
      <w:pPr>
        <w:keepNext w:val="0"/>
        <w:keepLines w:val="0"/>
        <w:pageBreakBefore w:val="0"/>
        <w:widowControl w:val="0"/>
        <w:kinsoku/>
        <w:wordWrap/>
        <w:overflowPunct/>
        <w:topLinePunct w:val="0"/>
        <w:autoSpaceDE w:val="0"/>
        <w:autoSpaceDN w:val="0"/>
        <w:bidi w:val="0"/>
        <w:adjustRightInd w:val="0"/>
        <w:snapToGrid w:val="0"/>
        <w:spacing w:line="600" w:lineRule="exact"/>
        <w:ind w:left="6" w:right="80" w:firstLine="62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建立重大疫情中医药人群预防和早期介入治疗机制，建立完善中医药参与重大疾病和传染病防治的处置工作机制和网络。加强</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中医医院应急和救治能力建设，</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重点支持急诊科、</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肺病科</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等相关科室建设，谋划</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感染性疾病科建设</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配强</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级中医药应急救治专家队伍。</w:t>
      </w:r>
    </w:p>
    <w:p>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p>
    <w:tbl>
      <w:tblPr>
        <w:tblStyle w:val="10"/>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064" w:type="dxa"/>
            <w:vAlign w:val="top"/>
          </w:tcPr>
          <w:p>
            <w:pPr>
              <w:keepNext w:val="0"/>
              <w:keepLines w:val="0"/>
              <w:pageBreakBefore w:val="0"/>
              <w:widowControl w:val="0"/>
              <w:kinsoku/>
              <w:wordWrap/>
              <w:overflowPunct/>
              <w:topLinePunct w:val="0"/>
              <w:autoSpaceDE w:val="0"/>
              <w:autoSpaceDN w:val="0"/>
              <w:bidi w:val="0"/>
              <w:adjustRightInd w:val="0"/>
              <w:snapToGrid w:val="0"/>
              <w:spacing w:line="600" w:lineRule="exact"/>
              <w:ind w:left="2823"/>
              <w:jc w:val="both"/>
              <w:textAlignment w:val="baseline"/>
              <w:outlineLvl w:val="9"/>
              <w:rPr>
                <w:rFonts w:hint="default" w:ascii="Times New Roman" w:hAnsi="Times New Roman" w:cs="Times New Roman"/>
                <w:color w:val="000000" w:themeColor="text1"/>
                <w:spacing w:val="0"/>
                <w:position w:val="0"/>
                <w:sz w:val="28"/>
                <w:szCs w:val="28"/>
                <w14:textFill>
                  <w14:solidFill>
                    <w14:schemeClr w14:val="tx1"/>
                  </w14:solidFill>
                </w14:textFill>
              </w:rPr>
            </w:pP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 xml:space="preserve">专栏 </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 xml:space="preserve">4    </w:t>
            </w: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中医药服务体系建设工程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0" w:hRule="atLeast"/>
        </w:trPr>
        <w:tc>
          <w:tcPr>
            <w:tcW w:w="9064" w:type="dxa"/>
            <w:vAlign w:val="top"/>
          </w:tcPr>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right="37" w:firstLine="560" w:firstLineChars="200"/>
              <w:jc w:val="both"/>
              <w:textAlignment w:val="baseline"/>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中医特色优势专科建设计划：支持</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中医医院建设</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个中医特色优势专科，争取建立“两专科一中心”。</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left="158" w:right="65" w:firstLine="471"/>
              <w:jc w:val="both"/>
              <w:textAlignment w:val="baseline"/>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宋体" w:cs="Times New Roman"/>
                <w:color w:val="000000" w:themeColor="text1"/>
                <w:spacing w:val="0"/>
                <w:position w:val="0"/>
                <w:sz w:val="28"/>
                <w:szCs w:val="28"/>
                <w:lang w:val="en-US" w:eastAsia="zh-CN"/>
                <w14:textFill>
                  <w14:solidFill>
                    <w14:schemeClr w14:val="tx1"/>
                  </w14:solidFill>
                </w14:textFill>
              </w:rPr>
              <w:t>2</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基层中医药服务能力提升计划：支持不少于</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的乡镇卫生院、社区卫生服务中心中医馆完成服务能力提升；支持不少于</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10%</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的村卫生室、社区卫生服务站设置“中医阁”。</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left="120" w:firstLine="540"/>
              <w:jc w:val="both"/>
              <w:textAlignment w:val="baseline"/>
              <w:rPr>
                <w:rFonts w:hint="default" w:ascii="Times New Roman" w:hAnsi="Times New Roman" w:eastAsia="宋体" w:cs="Times New Roman"/>
                <w:color w:val="000000" w:themeColor="text1"/>
                <w:spacing w:val="0"/>
                <w:position w:val="0"/>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8"/>
                <w:szCs w:val="28"/>
                <w:lang w:val="en-US" w:eastAsia="zh-CN"/>
                <w14:textFill>
                  <w14:solidFill>
                    <w14:schemeClr w14:val="tx1"/>
                  </w14:solidFill>
                </w14:textFill>
              </w:rPr>
              <w:t>3</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中医疫病防治能力提升计划：支持</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中医医院急诊科、肺病科建设；支持</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中医医院中医应急医疗能力提升建设。</w:t>
            </w:r>
          </w:p>
        </w:tc>
      </w:tr>
    </w:tbl>
    <w:p>
      <w:pPr>
        <w:keepNext w:val="0"/>
        <w:keepLines w:val="0"/>
        <w:pageBreakBefore w:val="0"/>
        <w:widowControl w:val="0"/>
        <w:kinsoku/>
        <w:wordWrap/>
        <w:overflowPunct/>
        <w:topLinePunct w:val="0"/>
        <w:autoSpaceDE w:val="0"/>
        <w:autoSpaceDN w:val="0"/>
        <w:bidi w:val="0"/>
        <w:adjustRightInd w:val="0"/>
        <w:snapToGrid w:val="0"/>
        <w:spacing w:line="600" w:lineRule="exact"/>
        <w:ind w:left="746"/>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39" w:name="bookmark31"/>
      <w:bookmarkEnd w:id="39"/>
      <w:bookmarkStart w:id="40" w:name="_Toc28873"/>
      <w:r>
        <w:rPr>
          <w:rFonts w:hint="default" w:ascii="Times New Roman" w:hAnsi="Times New Roman" w:eastAsia="黑体" w:cs="Times New Roman"/>
          <w:color w:val="000000" w:themeColor="text1"/>
          <w:spacing w:val="0"/>
          <w:position w:val="0"/>
          <w:sz w:val="31"/>
          <w:szCs w:val="31"/>
          <w14:textFill>
            <w14:solidFill>
              <w14:schemeClr w14:val="tx1"/>
            </w14:solidFill>
          </w14:textFill>
        </w:rPr>
        <w:t>七、完善全方位全周期健康服务体系</w:t>
      </w:r>
      <w:bookmarkEnd w:id="40"/>
    </w:p>
    <w:p>
      <w:pPr>
        <w:keepNext w:val="0"/>
        <w:keepLines w:val="0"/>
        <w:pageBreakBefore w:val="0"/>
        <w:widowControl w:val="0"/>
        <w:kinsoku/>
        <w:wordWrap/>
        <w:overflowPunct/>
        <w:topLinePunct w:val="0"/>
        <w:autoSpaceDE w:val="0"/>
        <w:autoSpaceDN w:val="0"/>
        <w:bidi w:val="0"/>
        <w:adjustRightInd w:val="0"/>
        <w:snapToGrid w:val="0"/>
        <w:spacing w:line="600" w:lineRule="exact"/>
        <w:ind w:left="137" w:right="69" w:firstLine="63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围绕全生命周期和健康全过程，以“一老一小”为重点，加快完善妇幼健康、老年健康、职业健康、精神卫生、血液供应保障服务体系，补齐健康教育、康复医疗、老年长期照护和安宁疗护等领域短板，建立完善</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岁以下婴幼儿照护服务政策标准体系和服务供给体系，全面提高全方位全周期健康服务能力。</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737"/>
        <w:jc w:val="both"/>
        <w:textAlignment w:val="baseline"/>
        <w:outlineLvl w:val="1"/>
        <w:rPr>
          <w:rFonts w:hint="default" w:ascii="Times New Roman" w:hAnsi="Times New Roman" w:cs="Times New Roman"/>
          <w:color w:val="000000" w:themeColor="text1"/>
          <w:spacing w:val="0"/>
          <w:position w:val="0"/>
          <w14:textFill>
            <w14:solidFill>
              <w14:schemeClr w14:val="tx1"/>
            </w14:solidFill>
          </w14:textFill>
        </w:rPr>
      </w:pPr>
      <w:bookmarkStart w:id="41" w:name="bookmark32"/>
      <w:bookmarkEnd w:id="41"/>
      <w:bookmarkStart w:id="42" w:name="_Toc663"/>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（一）发展普惠托育服务体系</w:t>
      </w:r>
      <w:bookmarkEnd w:id="42"/>
    </w:p>
    <w:p>
      <w:pPr>
        <w:keepNext w:val="0"/>
        <w:keepLines w:val="0"/>
        <w:pageBreakBefore w:val="0"/>
        <w:widowControl w:val="0"/>
        <w:kinsoku/>
        <w:wordWrap/>
        <w:overflowPunct/>
        <w:topLinePunct w:val="0"/>
        <w:autoSpaceDE w:val="0"/>
        <w:autoSpaceDN w:val="0"/>
        <w:bidi w:val="0"/>
        <w:adjustRightInd w:val="0"/>
        <w:snapToGrid w:val="0"/>
        <w:spacing w:line="600" w:lineRule="exact"/>
        <w:ind w:left="137" w:right="69" w:firstLine="63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建立完善促进普惠托育服务发展的政策标准和保障体系</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对家庭婴幼儿照护的支持和指导，强化社区婴幼儿照护服务设施与公共服务设施的功能衔接，推进“医育结合”。引导社会力量举办普惠托育服务机构。鼓励有条件的用人单位提供福利性婴幼儿照护服务，支持有条件的幼儿园开设托班，发展托幼一体化普惠托育。</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37" w:right="69" w:firstLine="63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鼓励有条件的妇幼保健机构和医疗卫生机构提供普惠性婴幼儿照护服务。建设一批托育机构自建、托育机构与用人单位联办、托幼一体机构等多元构建的普惠托育服务示范机构，逐步满足人民群众对婴幼儿照护服务的需求。深入开展示范性托育机构创建活动。</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9"/>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43" w:name="_Toc21929"/>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（二）优化妇幼健康服务体系</w:t>
      </w:r>
      <w:bookmarkEnd w:id="43"/>
    </w:p>
    <w:p>
      <w:pPr>
        <w:keepNext w:val="0"/>
        <w:keepLines w:val="0"/>
        <w:pageBreakBefore w:val="0"/>
        <w:widowControl w:val="0"/>
        <w:kinsoku/>
        <w:wordWrap/>
        <w:overflowPunct/>
        <w:topLinePunct w:val="0"/>
        <w:autoSpaceDE w:val="0"/>
        <w:autoSpaceDN w:val="0"/>
        <w:bidi w:val="0"/>
        <w:adjustRightInd w:val="0"/>
        <w:snapToGrid w:val="0"/>
        <w:spacing w:line="600" w:lineRule="exact"/>
        <w:ind w:right="4" w:firstLine="651"/>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健全妇幼健康三级服务网络。健全以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妇幼保健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服务中心</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为核心，以基层医疗卫生机构为基础，以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综合医院为支撑的妇幼健康服务网络。力争到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年，县妇幼保健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服务中心</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达到云南省二级妇幼保健院水平</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电子病历水平达到3级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。巩固乡村医生和妇幼专干网底，</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各</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乡镇</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街道</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卫生院配置不少于</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名专职妇幼健康工作人员。</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支持、鼓励乡镇（街道）卫生院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建设产房</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开展助产技术。强化公共卫生职能，加强政策宣传、培训、督导及效果评价，建立妇女儿童健康筛查—转诊—确诊治疗服务链。稳定提高孕产妇及儿童保健系统管理率，持续控制孕产妇死亡率和儿童死亡率。</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18"/>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设危重孕产妇和新生儿救治中心。加强县级危重孕产妇和新生儿救治中心能力建设。加强多学科联动的危重孕产妇和新生儿救治团队建设，完善应急响应及会诊、转诊机制，畅通危重孕产妇和新生儿救治绿色通道。落实危重救治分片包干和对口帮扶制度，对责任片区开展危重孕产妇和儿童临床救治帮扶工作。</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4"/>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巩固出生缺陷防治体系。推广出生缺陷“三级预防”，健全覆盖城乡居民、涵盖生育全程的出生缺陷防治体系。普遍开展婚前保健、孕前保健、产前筛查、新生儿遗传代谢病筛查、新生儿听力障碍筛查和新生儿先天性心脏病筛查。强化基层医疗卫生机构在出生缺陷防治宣传动员和健康教育中的网底作用。</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5" w:firstLine="611"/>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4.</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完善儿童健康服务网络。以儿童体格生长监测、营养与喂养指导、心理和行为发育评估、眼保健和口腔保健、听力障碍评估为重点，完善儿童健康管理体系。建立适应儿童早期发展需求的儿童保健、儿童营养与健康、心理与社会适应等多学科协作机制。加强</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与省、市级儿科优势医院合作</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，通过资源共享、优势互补、上下联动，促进分级诊疗的实施。加大儿科医师转岗培训力度，符合条件的有关专业医师通过培训，考核合格</w:t>
      </w:r>
      <w:bookmarkStart w:id="44" w:name="bookmark34"/>
      <w:bookmarkEnd w:id="44"/>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的在原专科执业范围的基础上增加儿科执业范围。</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lang w:eastAsia="zh-CN"/>
          <w14:textFill>
            <w14:solidFill>
              <w14:schemeClr w14:val="tx1"/>
            </w14:solidFill>
          </w14:textFill>
        </w:rPr>
      </w:pPr>
      <w:bookmarkStart w:id="45" w:name="_Toc14385"/>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（三）强化老年健康服务体系</w:t>
      </w:r>
      <w:bookmarkEnd w:id="45"/>
    </w:p>
    <w:p>
      <w:pPr>
        <w:keepNext w:val="0"/>
        <w:keepLines w:val="0"/>
        <w:pageBreakBefore w:val="0"/>
        <w:widowControl w:val="0"/>
        <w:kinsoku w:val="0"/>
        <w:wordWrap/>
        <w:overflowPunct/>
        <w:topLinePunct w:val="0"/>
        <w:autoSpaceDE w:val="0"/>
        <w:autoSpaceDN w:val="0"/>
        <w:bidi w:val="0"/>
        <w:adjustRightInd w:val="0"/>
        <w:snapToGrid w:val="0"/>
        <w:spacing w:line="600" w:lineRule="exact"/>
        <w:ind w:right="145" w:firstLine="656"/>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健全老年医学服务网络。建立健全县、</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村二</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级老年健康服务网络，构建预防、治疗、照护三位一体的老年健康服务模式，把</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县中院打造建设成县级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老年病诊疗中心</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和</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老年中医医疗健康中心。结合实际</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老年</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病</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医院、护理院建设，努力提升基层医疗机构老年医学服务能力。</w:t>
      </w:r>
    </w:p>
    <w:p>
      <w:pPr>
        <w:keepNext w:val="0"/>
        <w:keepLines w:val="0"/>
        <w:pageBreakBefore w:val="0"/>
        <w:widowControl w:val="0"/>
        <w:kinsoku w:val="0"/>
        <w:wordWrap/>
        <w:overflowPunct/>
        <w:topLinePunct w:val="0"/>
        <w:autoSpaceDE w:val="0"/>
        <w:autoSpaceDN w:val="0"/>
        <w:bidi w:val="0"/>
        <w:adjustRightInd w:val="0"/>
        <w:snapToGrid w:val="0"/>
        <w:spacing w:line="600" w:lineRule="exact"/>
        <w:ind w:left="9" w:right="70" w:firstLine="611"/>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深化医养结合。支持医疗资源丰富</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的县级医疗机构及卫生院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开展康复、护理及医养结合服务。鼓励养老机构与医疗机构毗邻建设、签约合作、共同建设等多种方式共享医养资源，发展医养结合服务。支持有条件的基层医疗卫生机构开展老年医疗照护、家庭病床、居家护理等服务。推进家庭医生签约服务，指导支持养老机构、医疗卫生机构开展签约合作。</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18" w:firstLine="613"/>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加强长期照护和安宁疗护服务。增加长期照护服务资源供给，乡镇</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街道</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卫生院</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社区卫生服务中心等医疗卫生机构及具备提供长期照护服务能力的社区日间照料中心、乡镇敬老院等养老机构，为失能老年人提供长期照护服务。到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努力</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建成</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所照护服务机构</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稳步</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推进宜良县第一人民医院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安宁疗护服务试点</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工作</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，鼓励有条件的乡镇</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街道</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卫生院</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社区卫生服务中心设立安宁疗护病床</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支持医养结合机构、护理院等社会力量</w:t>
      </w:r>
      <w:bookmarkStart w:id="46" w:name="bookmark35"/>
      <w:bookmarkEnd w:id="46"/>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规范开展安宁疗护服务。</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6"/>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47" w:name="_Toc24016"/>
      <w:r>
        <w:rPr>
          <w:rFonts w:hint="default" w:ascii="Times New Roman" w:hAnsi="Times New Roman" w:eastAsia="楷体" w:cs="Times New Roman"/>
          <w:color w:val="000000" w:themeColor="text1"/>
          <w:spacing w:val="0"/>
          <w:position w:val="0"/>
          <w:sz w:val="31"/>
          <w:szCs w:val="31"/>
          <w14:textFill>
            <w14:solidFill>
              <w14:schemeClr w14:val="tx1"/>
            </w14:solidFill>
          </w14:textFill>
        </w:rPr>
        <w:t>（四）健全职业健康服务体系</w:t>
      </w:r>
      <w:bookmarkEnd w:id="47"/>
    </w:p>
    <w:p>
      <w:pPr>
        <w:keepNext w:val="0"/>
        <w:keepLines w:val="0"/>
        <w:pageBreakBefore w:val="0"/>
        <w:widowControl w:val="0"/>
        <w:kinsoku/>
        <w:wordWrap/>
        <w:overflowPunct/>
        <w:topLinePunct w:val="0"/>
        <w:autoSpaceDE w:val="0"/>
        <w:autoSpaceDN w:val="0"/>
        <w:bidi w:val="0"/>
        <w:adjustRightInd w:val="0"/>
        <w:snapToGrid w:val="0"/>
        <w:spacing w:line="600" w:lineRule="exact"/>
        <w:ind w:left="6" w:firstLine="612"/>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依托省职业病防治技术支撑机构网络，提升县疾病预防控制中心职业病防治的监测、评估、统计和调查分析、病例报告、应急处置等技术支撑能力。</w:t>
      </w:r>
    </w:p>
    <w:p>
      <w:pPr>
        <w:keepNext w:val="0"/>
        <w:keepLines w:val="0"/>
        <w:pageBreakBefore w:val="0"/>
        <w:widowControl w:val="0"/>
        <w:kinsoku/>
        <w:wordWrap/>
        <w:overflowPunct/>
        <w:topLinePunct w:val="0"/>
        <w:autoSpaceDE w:val="0"/>
        <w:autoSpaceDN w:val="0"/>
        <w:bidi w:val="0"/>
        <w:adjustRightInd w:val="0"/>
        <w:snapToGrid w:val="0"/>
        <w:spacing w:line="600" w:lineRule="exact"/>
        <w:ind w:right="13" w:firstLine="621"/>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提升</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级职业病诊断医疗机构服务能力，依托</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宜良县第一人民医院</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自主开展</w:t>
      </w:r>
      <w:bookmarkStart w:id="48" w:name="bookmark36"/>
      <w:bookmarkEnd w:id="48"/>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工作场所职业危害因素检测</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6"/>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49" w:name="_Toc9211"/>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（五）加强健康教育服务体系</w:t>
      </w:r>
      <w:bookmarkEnd w:id="49"/>
    </w:p>
    <w:p>
      <w:pPr>
        <w:keepNext w:val="0"/>
        <w:keepLines w:val="0"/>
        <w:pageBreakBefore w:val="0"/>
        <w:widowControl w:val="0"/>
        <w:kinsoku/>
        <w:wordWrap/>
        <w:overflowPunct/>
        <w:topLinePunct w:val="0"/>
        <w:autoSpaceDE w:val="0"/>
        <w:autoSpaceDN w:val="0"/>
        <w:bidi w:val="0"/>
        <w:adjustRightInd w:val="0"/>
        <w:snapToGrid w:val="0"/>
        <w:spacing w:line="600" w:lineRule="exact"/>
        <w:ind w:left="6" w:right="86" w:firstLine="612"/>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健全由健康教育专业机构、健康教育服务基地、各类医疗卫生机构及机关、学校、社区、企事业单位的健康教育职能科室等组成的健康教育网络，为健康促进提供有力的体系支撑。推进各级各类医院、专业公共卫生机构和基层医疗卫生机构健康教育科室建设，提升医疗卫生机构健康教育服务能力，动员更多的社会力量参与健康知识普及工作。</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17"/>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50" w:name="bookmark37"/>
      <w:bookmarkEnd w:id="50"/>
      <w:bookmarkStart w:id="51" w:name="_Toc4179"/>
      <w:r>
        <w:rPr>
          <w:rFonts w:hint="default" w:ascii="Times New Roman" w:hAnsi="Times New Roman" w:eastAsia="楷体" w:cs="Times New Roman"/>
          <w:color w:val="000000" w:themeColor="text1"/>
          <w:spacing w:val="0"/>
          <w:position w:val="0"/>
          <w:sz w:val="31"/>
          <w:szCs w:val="31"/>
          <w14:textFill>
            <w14:solidFill>
              <w14:schemeClr w14:val="tx1"/>
            </w14:solidFill>
          </w14:textFill>
        </w:rPr>
        <w:t>（六）完善心理健康和精神卫生服务体系</w:t>
      </w:r>
      <w:bookmarkEnd w:id="51"/>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5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提升精神卫生服务能力。根据《云南省卫生健康委关于印发云南省精神卫生“十四五”发展规划的通知》（云卫医发〔</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号）文件精神，常住人口超过</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30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万的县域内至少有</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所公立精神专科医院或综合医院设置有精神科病房，合理确定病房床位数及医护比。</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各</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乡镇</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街道</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卫生院开展精神疾病患者慢病随访业务，提高基层精神（心理）卫生服务能力。鼓励</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安康</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精神</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病</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院参与建设专科联盟。鼓励符合条件的精神科医师全（兼）职开办精神专科诊所。健全精神卫生专业机构、社区康复机构及社会组织、家庭相互支持的精神障碍社区康复体系。鼓励社会力量在精神专科医疗服务资源薄弱地区举办非营利性精神病医院、开设精神心理门诊。</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3" w:right="139" w:firstLine="61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建立覆盖城乡的社会心理健康服务网络。依托</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安康</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精神病医院建立县级突发公共事件心理救援队伍。依托</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综治中心，整合城乡社区综合服务设施、社会心理服务人员，形成网格化管理，综合开展专业技能培训，强化服务能力。在网格化的指导下，合理、规范设置心理咨询（辅导）室或社会工作室（站），配备心理辅导人员或社会工作者。支持培育专业化、规范化的心理咨询、辅导机构承担心理健康服务。加强</w:t>
      </w:r>
      <w:bookmarkStart w:id="52" w:name="bookmark38"/>
      <w:bookmarkEnd w:id="52"/>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医疗卫生机构心理健康服务能力建设。</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53" w:name="_Toc8948"/>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（七）加强康复医疗服务体系</w:t>
      </w:r>
      <w:bookmarkEnd w:id="53"/>
    </w:p>
    <w:p>
      <w:pPr>
        <w:keepNext w:val="0"/>
        <w:keepLines w:val="0"/>
        <w:pageBreakBefore w:val="0"/>
        <w:widowControl w:val="0"/>
        <w:kinsoku/>
        <w:wordWrap/>
        <w:overflowPunct/>
        <w:topLinePunct w:val="0"/>
        <w:autoSpaceDE w:val="0"/>
        <w:autoSpaceDN w:val="0"/>
        <w:bidi w:val="0"/>
        <w:adjustRightInd w:val="0"/>
        <w:snapToGrid w:val="0"/>
        <w:spacing w:line="600" w:lineRule="exact"/>
        <w:ind w:right="10" w:firstLine="62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加强县级医院、基层医疗机构、妇幼保健机构康复医疗能力建设</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增加提供康复医疗服务的医疗机构和床位数量。二级及以上公立综合医院要设置并完善康复医学科，二级公立综合医院设置康复床位数不低于医院总床位数的</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，康复床位不少于</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张；三级公立综合医院设置康复床位数应为医院总床位数的</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5%</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加强县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中医医院康复医学科</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建设</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鼓励支持乡镇（街道）卫生院开展</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康复医疗服务。</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54" w:name="_Toc26498"/>
      <w:r>
        <w:rPr>
          <w:rFonts w:hint="default" w:ascii="Times New Roman" w:hAnsi="Times New Roman" w:eastAsia="楷体" w:cs="Times New Roman"/>
          <w:color w:val="000000" w:themeColor="text1"/>
          <w:spacing w:val="0"/>
          <w:position w:val="0"/>
          <w:sz w:val="31"/>
          <w:szCs w:val="31"/>
          <w14:textFill>
            <w14:solidFill>
              <w14:schemeClr w14:val="tx1"/>
            </w14:solidFill>
          </w14:textFill>
        </w:rPr>
        <w:t>（八）优化采供血服务体系</w:t>
      </w:r>
      <w:bookmarkEnd w:id="54"/>
    </w:p>
    <w:p>
      <w:pPr>
        <w:keepNext w:val="0"/>
        <w:keepLines w:val="0"/>
        <w:pageBreakBefore w:val="0"/>
        <w:widowControl w:val="0"/>
        <w:kinsoku/>
        <w:wordWrap/>
        <w:overflowPunct/>
        <w:topLinePunct w:val="0"/>
        <w:autoSpaceDE w:val="0"/>
        <w:autoSpaceDN w:val="0"/>
        <w:bidi w:val="0"/>
        <w:adjustRightInd w:val="0"/>
        <w:snapToGrid w:val="0"/>
        <w:spacing w:line="600" w:lineRule="exact"/>
        <w:ind w:left="7" w:firstLine="624"/>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加强无偿献血宣传、教育、组织、动员等工作，建立血液安全管理体系，持续开展血液质量控制与评价。做好血液应急检测、储备、供应和统筹调配等工作，提高突发公共事件血液应急保障能力。逐步完善信息系统，满足血液数据的采集、分析、应用等功能需求。持续优化调整县区采血点网络布局，积极推进储血点规范化建设工作，确保采供血服务体系与经济社会发展和医疗卫生事业发展相适应。</w:t>
      </w:r>
    </w:p>
    <w:p>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p>
    <w:tbl>
      <w:tblPr>
        <w:tblStyle w:val="10"/>
        <w:tblW w:w="89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8967" w:type="dxa"/>
            <w:vAlign w:val="top"/>
          </w:tcPr>
          <w:p>
            <w:pPr>
              <w:keepNext w:val="0"/>
              <w:keepLines w:val="0"/>
              <w:pageBreakBefore w:val="0"/>
              <w:widowControl w:val="0"/>
              <w:kinsoku/>
              <w:wordWrap/>
              <w:overflowPunct/>
              <w:topLinePunct w:val="0"/>
              <w:autoSpaceDE w:val="0"/>
              <w:autoSpaceDN w:val="0"/>
              <w:bidi w:val="0"/>
              <w:adjustRightInd w:val="0"/>
              <w:snapToGrid w:val="0"/>
              <w:spacing w:line="600" w:lineRule="exact"/>
              <w:ind w:left="2100"/>
              <w:jc w:val="both"/>
              <w:textAlignment w:val="baseline"/>
              <w:rPr>
                <w:rFonts w:hint="default" w:ascii="Times New Roman" w:hAnsi="Times New Roman" w:cs="Times New Roman"/>
                <w:color w:val="000000" w:themeColor="text1"/>
                <w:spacing w:val="0"/>
                <w:position w:val="0"/>
                <w:sz w:val="28"/>
                <w:szCs w:val="28"/>
                <w14:textFill>
                  <w14:solidFill>
                    <w14:schemeClr w14:val="tx1"/>
                  </w14:solidFill>
                </w14:textFill>
              </w:rPr>
            </w:pP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 xml:space="preserve">专栏 </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 xml:space="preserve">5    </w:t>
            </w:r>
            <w:r>
              <w:rPr>
                <w:rFonts w:hint="default" w:ascii="Times New Roman" w:hAnsi="Times New Roman" w:eastAsia="黑体" w:cs="Times New Roman"/>
                <w:color w:val="000000" w:themeColor="text1"/>
                <w:spacing w:val="0"/>
                <w:position w:val="0"/>
                <w:sz w:val="28"/>
                <w:szCs w:val="28"/>
                <w14:textFill>
                  <w14:solidFill>
                    <w14:schemeClr w14:val="tx1"/>
                  </w14:solidFill>
                </w14:textFill>
              </w:rPr>
              <w:t>重点人群健康服务体系提质工程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5" w:hRule="atLeast"/>
        </w:trPr>
        <w:tc>
          <w:tcPr>
            <w:tcW w:w="8967" w:type="dxa"/>
            <w:vAlign w:val="top"/>
          </w:tcPr>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firstLine="560" w:firstLineChars="200"/>
              <w:jc w:val="both"/>
              <w:textAlignment w:val="baseline"/>
              <w:outlineLvl w:val="9"/>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托育服务补短板计划：到2025年，至少建立2个具有示范性的托育服务机构，街道托育服务覆盖率达到100%。</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right="66" w:firstLine="560" w:firstLineChars="200"/>
              <w:jc w:val="both"/>
              <w:textAlignment w:val="baseline"/>
              <w:outlineLvl w:val="9"/>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2.</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妇幼健康服务能力提升计划：县妇幼保健</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服务中心</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达到云南省二级妇幼保健院水平</w:t>
            </w:r>
            <w:r>
              <w:rPr>
                <w:rFonts w:hint="default"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电子病历水平达到3级</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支持、鼓励乡镇（街道）卫生院</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建设产房</w:t>
            </w:r>
            <w:r>
              <w:rPr>
                <w:rFonts w:hint="default"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开展助产技术。</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firstLine="560" w:firstLineChars="200"/>
              <w:jc w:val="both"/>
              <w:textAlignment w:val="baseline"/>
              <w:outlineLvl w:val="9"/>
              <w:rPr>
                <w:rFonts w:hint="default" w:ascii="Times New Roman" w:hAnsi="Times New Roman" w:eastAsia="仿宋_GB2312" w:cs="Times New Roman"/>
                <w:color w:val="000000" w:themeColor="text1"/>
                <w:spacing w:val="0"/>
                <w:position w:val="0"/>
                <w:sz w:val="28"/>
                <w:szCs w:val="28"/>
                <w:lang w:eastAsia="zh-CN"/>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3.</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老年健康服务能力提升计划：到</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年，二级及以上综合医院老年医学科</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医疗服务能力进一步提升，努力</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建成</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1</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所照护服务机构</w:t>
            </w:r>
            <w:r>
              <w:rPr>
                <w:rFonts w:hint="default"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力争设置</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 xml:space="preserve">1 </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个标准化、规范化的安宁疗护病区（科），稳步推进宜良县第一人民医院安宁疗护服务试点工作</w:t>
            </w:r>
            <w:r>
              <w:rPr>
                <w:rFonts w:hint="default"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firstLine="560" w:firstLineChars="200"/>
              <w:jc w:val="both"/>
              <w:textAlignment w:val="baseline"/>
              <w:outlineLvl w:val="9"/>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4.</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康复服务能力提升计划：到2025年，</w:t>
            </w:r>
            <w:r>
              <w:rPr>
                <w:rFonts w:hint="default"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县级二级及以上医疗机构均</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设置康复科</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开展医养结合试点，提供一体化康养服务</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w:t>
            </w:r>
          </w:p>
          <w:p>
            <w:pPr>
              <w:pStyle w:val="11"/>
              <w:keepNext w:val="0"/>
              <w:keepLines w:val="0"/>
              <w:pageBreakBefore w:val="0"/>
              <w:widowControl w:val="0"/>
              <w:kinsoku/>
              <w:wordWrap/>
              <w:overflowPunct/>
              <w:topLinePunct w:val="0"/>
              <w:autoSpaceDE w:val="0"/>
              <w:autoSpaceDN w:val="0"/>
              <w:bidi w:val="0"/>
              <w:adjustRightInd w:val="0"/>
              <w:snapToGrid w:val="0"/>
              <w:spacing w:line="600" w:lineRule="exact"/>
              <w:ind w:firstLine="560" w:firstLineChars="200"/>
              <w:jc w:val="both"/>
              <w:textAlignment w:val="baseline"/>
              <w:outlineLvl w:val="9"/>
              <w:rPr>
                <w:rFonts w:hint="default" w:ascii="Times New Roman" w:hAnsi="Times New Roman" w:cs="Times New Roman"/>
                <w:color w:val="000000" w:themeColor="text1"/>
                <w:spacing w:val="0"/>
                <w:position w:val="0"/>
                <w:sz w:val="28"/>
                <w:szCs w:val="28"/>
                <w14:textFill>
                  <w14:solidFill>
                    <w14:schemeClr w14:val="tx1"/>
                  </w14:solidFill>
                </w14:textFill>
              </w:rPr>
            </w:pP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心理健康和精神卫生服务能力提升计划：到</w:t>
            </w:r>
            <w:r>
              <w:rPr>
                <w:rFonts w:hint="default" w:ascii="Times New Roman" w:hAnsi="Times New Roman" w:eastAsia="Times New Roman" w:cs="Times New Roman"/>
                <w:color w:val="000000" w:themeColor="text1"/>
                <w:spacing w:val="0"/>
                <w:position w:val="0"/>
                <w:sz w:val="28"/>
                <w:szCs w:val="28"/>
                <w14:textFill>
                  <w14:solidFill>
                    <w14:schemeClr w14:val="tx1"/>
                  </w14:solidFill>
                </w14:textFill>
              </w:rPr>
              <w:t>2025</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年，力争</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县第一人民医院</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提供精神卫生门诊</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住院</w:t>
            </w:r>
            <w:r>
              <w:rPr>
                <w:rFonts w:hint="eastAsia" w:ascii="Times New Roman" w:hAnsi="Times New Roman" w:eastAsia="仿宋_GB2312" w:cs="Times New Roman"/>
                <w:color w:val="000000" w:themeColor="text1"/>
                <w:spacing w:val="0"/>
                <w:position w:val="0"/>
                <w:sz w:val="28"/>
                <w:szCs w:val="28"/>
                <w:lang w:val="en-US" w:eastAsia="zh-CN"/>
                <w14:textFill>
                  <w14:solidFill>
                    <w14:schemeClr w14:val="tx1"/>
                  </w14:solidFill>
                </w14:textFill>
              </w:rPr>
              <w:t>服务</w:t>
            </w:r>
            <w:r>
              <w:rPr>
                <w:rFonts w:hint="eastAsia" w:ascii="Times New Roman" w:hAnsi="Times New Roman" w:eastAsia="仿宋_GB2312" w:cs="Times New Roman"/>
                <w:color w:val="000000" w:themeColor="text1"/>
                <w:spacing w:val="0"/>
                <w:position w:val="0"/>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28"/>
                <w:szCs w:val="28"/>
                <w14:textFill>
                  <w14:solidFill>
                    <w14:schemeClr w14:val="tx1"/>
                  </w14:solidFill>
                </w14:textFill>
              </w:rPr>
              <w:t>重点加强老年、孕产妇、儿童等重点人群及严重精神障碍、康复、进食障碍、睡眠、物质依赖、儿童心理行为发育异常等特殊领域的亚专科建设与发展。</w:t>
            </w:r>
          </w:p>
        </w:tc>
      </w:tr>
    </w:tbl>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55" w:name="bookmark40"/>
      <w:bookmarkEnd w:id="55"/>
      <w:bookmarkStart w:id="56" w:name="bookmark41"/>
      <w:bookmarkEnd w:id="56"/>
      <w:bookmarkStart w:id="57" w:name="_Toc23091"/>
      <w:r>
        <w:rPr>
          <w:rFonts w:hint="default" w:ascii="Times New Roman" w:hAnsi="Times New Roman" w:eastAsia="黑体" w:cs="Times New Roman"/>
          <w:color w:val="000000" w:themeColor="text1"/>
          <w:spacing w:val="0"/>
          <w:position w:val="0"/>
          <w:sz w:val="31"/>
          <w:szCs w:val="31"/>
          <w14:textFill>
            <w14:solidFill>
              <w14:schemeClr w14:val="tx1"/>
            </w14:solidFill>
          </w14:textFill>
        </w:rPr>
        <w:t>八、强化支撑体系</w:t>
      </w:r>
      <w:bookmarkEnd w:id="57"/>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0" w:firstLineChars="200"/>
        <w:jc w:val="both"/>
        <w:textAlignment w:val="baseline"/>
        <w:outlineLvl w:val="1"/>
        <w:rPr>
          <w:rFonts w:hint="default" w:ascii="Times New Roman" w:hAnsi="Times New Roman" w:eastAsia="楷体" w:cs="Times New Roman"/>
          <w:color w:val="000000" w:themeColor="text1"/>
          <w:spacing w:val="0"/>
          <w:position w:val="0"/>
          <w:sz w:val="31"/>
          <w:szCs w:val="31"/>
          <w:highlight w:val="yellow"/>
          <w:lang w:eastAsia="zh-CN"/>
          <w14:textFill>
            <w14:solidFill>
              <w14:schemeClr w14:val="tx1"/>
            </w14:solidFill>
          </w14:textFill>
        </w:rPr>
      </w:pPr>
      <w:bookmarkStart w:id="58" w:name="_Toc24575"/>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（一）深化重点领域改革</w:t>
      </w:r>
      <w:bookmarkEnd w:id="58"/>
    </w:p>
    <w:p>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坚持以人民健康为中心，坚持和加强党对公立医院的全面领导，坚持公立医院公益性，强化体系创新、技术创新、模式创新、管理创新，配合省级部门加快国家区域医疗中心建设，加快优质医疗资源扩容和区域均衡布局，加强重点专科建设，加强卫生健康人才队伍建设，推动全</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公立医院高质量发展。</w:t>
      </w:r>
    </w:p>
    <w:p>
      <w:pPr>
        <w:keepNext w:val="0"/>
        <w:keepLines w:val="0"/>
        <w:pageBreakBefore w:val="0"/>
        <w:widowControl w:val="0"/>
        <w:kinsoku w:val="0"/>
        <w:wordWrap/>
        <w:overflowPunct/>
        <w:topLinePunct w:val="0"/>
        <w:autoSpaceDE w:val="0"/>
        <w:autoSpaceDN w:val="0"/>
        <w:bidi w:val="0"/>
        <w:adjustRightInd w:val="0"/>
        <w:snapToGrid w:val="0"/>
        <w:spacing w:line="600" w:lineRule="exact"/>
        <w:ind w:left="11" w:firstLine="626"/>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深入推广“三明医改”经验，促进医疗、医保、医药协同发展和治理。稳妥有序推进医疗服务价格改革，落实医疗服务价格动态调整机制。完善中医类服务、“互联网</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服务”等医疗服务的价格政策和医保支付政策。全面推进紧密型县域医共体建设，持续推进紧密型县域医共体医保资金按人头打包付费改革。推行以按病种付费为主的多元复合式医保支付方式，健全适应医疗服务发展的医保基金支付方式和结算管理机制。</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9" w:right="72" w:firstLine="637"/>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实施国家、省</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市</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和省际联盟组织药品集中带量采购，完善集中带量采购配套激励约束机制，落实医保资金结余留用政策，优先使用集中带量采购中选药品。建立健全城市医联体、紧密型县域医共体等药品联动管理机制。继续巩固完善基本药物制度，推动各级医疗机构逐步形成“</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1+X</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1</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”为国家基本药物目录，“</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X</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为非基本药物）用药模式。健全完善短缺药品供应保障会商联动机制，健全县级短缺药品监测预警和分级应对体系。加强药品使用监测体系建设，药品使用监测范围力争实现公立医疗机构监测全覆盖。建立健全医疗机构合理用药考核机制，到</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202</w:t>
      </w:r>
      <w:r>
        <w:rPr>
          <w:rFonts w:hint="default" w:ascii="Times New Roman" w:hAnsi="Times New Roman" w:eastAsia="宋体" w:cs="Times New Roman"/>
          <w:color w:val="000000" w:themeColor="text1"/>
          <w:spacing w:val="0"/>
          <w:position w:val="0"/>
          <w:sz w:val="31"/>
          <w:szCs w:val="31"/>
          <w:lang w:val="en-US" w:eastAsia="zh-CN"/>
          <w14:textFill>
            <w14:solidFill>
              <w14:schemeClr w14:val="tx1"/>
            </w14:solidFill>
          </w14:textFill>
        </w:rPr>
        <w:t>5</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年，实现二级医疗机构考核全覆盖，基层医疗卫生机构考核覆盖</w:t>
      </w:r>
      <w:bookmarkStart w:id="59" w:name="bookmark42"/>
      <w:bookmarkEnd w:id="59"/>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率达</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8</w:t>
      </w:r>
      <w:r>
        <w:rPr>
          <w:rFonts w:hint="default" w:ascii="Times New Roman" w:hAnsi="Times New Roman" w:eastAsia="Times New Roman" w:cs="Times New Roman"/>
          <w:color w:val="000000" w:themeColor="text1"/>
          <w:spacing w:val="0"/>
          <w:position w:val="0"/>
          <w:sz w:val="31"/>
          <w:szCs w:val="31"/>
          <w14:textFill>
            <w14:solidFill>
              <w14:schemeClr w14:val="tx1"/>
            </w14:solidFill>
          </w14:textFill>
        </w:rPr>
        <w:t>0%</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以上并逐年提高。</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lang w:eastAsia="zh-CN"/>
          <w14:textFill>
            <w14:solidFill>
              <w14:schemeClr w14:val="tx1"/>
            </w14:solidFill>
          </w14:textFill>
        </w:rPr>
      </w:pPr>
      <w:bookmarkStart w:id="60" w:name="_Toc6190"/>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（二）强化人才队伍建设</w:t>
      </w:r>
      <w:bookmarkEnd w:id="60"/>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35"/>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抓好培养人才、引进人才、用好人才三个环节。根据卫生健康事业现代化发展的需求培养人才，完善继续教育、住院医师规范化培训等教育培养体制，充分发挥“春城名医</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十百千”工程为</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培养、储备卫生人才的能力；紧扣创新驱动引才聚才、改革体制机制选才育才、优化政策环境用才留才，吸引省内外优秀的专业技术人员、学科带头人到</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医疗机构工作，加强</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卫生人才储备。按照昆明市贯彻落实《云南省促进卫生健康人才队伍发展三十条措施》任务分解表，实施高层次医疗卫生人才培养项目。结合</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宜良县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实际情况，有针对性引进儿科、麻醉、全科、精神科、病理、康复、</w:t>
      </w:r>
      <w:bookmarkStart w:id="61" w:name="bookmark43"/>
      <w:bookmarkEnd w:id="61"/>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重症医学</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、公卫</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等急需紧缺专业人才。</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62" w:name="_Toc10586"/>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（三）强化科学研究与创新</w:t>
      </w:r>
      <w:bookmarkEnd w:id="62"/>
    </w:p>
    <w:p>
      <w:pPr>
        <w:keepNext w:val="0"/>
        <w:keepLines w:val="0"/>
        <w:pageBreakBefore w:val="0"/>
        <w:widowControl w:val="0"/>
        <w:kinsoku/>
        <w:wordWrap/>
        <w:overflowPunct/>
        <w:topLinePunct w:val="0"/>
        <w:autoSpaceDE w:val="0"/>
        <w:autoSpaceDN w:val="0"/>
        <w:bidi w:val="0"/>
        <w:adjustRightInd w:val="0"/>
        <w:snapToGrid w:val="0"/>
        <w:spacing w:line="600" w:lineRule="exact"/>
        <w:ind w:left="8" w:right="68" w:firstLine="666"/>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以科研创新能力提升为导向，鼓励全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机构结合自身学科和专科优势深化卫生科技创新，依托国家和省市各级各类科技平台开展卫生科研项目和医学研究，加强与高等医科院校合作，逐步凸显学科特色和学科影响力，实现更多科技成果的转化。以适宜技术推广应用为重点，筛选一批适合基层应用的安全、有效、经济、适用的临床诊疗、中医药、公共卫生、护理等领域的</w:t>
      </w:r>
      <w:bookmarkStart w:id="63" w:name="bookmark44"/>
      <w:bookmarkEnd w:id="63"/>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新技术和适宜技术进行推广应用。</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39"/>
        <w:jc w:val="both"/>
        <w:textAlignment w:val="baseline"/>
        <w:outlineLvl w:val="0"/>
        <w:rPr>
          <w:rFonts w:hint="default" w:ascii="Times New Roman" w:hAnsi="Times New Roman" w:eastAsia="黑体" w:cs="Times New Roman"/>
          <w:color w:val="000000" w:themeColor="text1"/>
          <w:spacing w:val="0"/>
          <w:position w:val="0"/>
          <w:sz w:val="31"/>
          <w:szCs w:val="31"/>
          <w14:textFill>
            <w14:solidFill>
              <w14:schemeClr w14:val="tx1"/>
            </w14:solidFill>
          </w14:textFill>
        </w:rPr>
      </w:pPr>
      <w:bookmarkStart w:id="64" w:name="bookmark45"/>
      <w:bookmarkEnd w:id="64"/>
      <w:bookmarkStart w:id="65" w:name="_Toc17758"/>
      <w:r>
        <w:rPr>
          <w:rFonts w:hint="default" w:ascii="Times New Roman" w:hAnsi="Times New Roman" w:eastAsia="黑体" w:cs="Times New Roman"/>
          <w:color w:val="000000" w:themeColor="text1"/>
          <w:spacing w:val="0"/>
          <w:position w:val="0"/>
          <w:sz w:val="31"/>
          <w:szCs w:val="31"/>
          <w14:textFill>
            <w14:solidFill>
              <w14:schemeClr w14:val="tx1"/>
            </w14:solidFill>
          </w14:textFill>
        </w:rPr>
        <w:t>九、健全规划实施机制</w:t>
      </w:r>
      <w:bookmarkEnd w:id="65"/>
    </w:p>
    <w:p>
      <w:pPr>
        <w:keepNext w:val="0"/>
        <w:keepLines w:val="0"/>
        <w:pageBreakBefore w:val="0"/>
        <w:widowControl w:val="0"/>
        <w:kinsoku/>
        <w:wordWrap/>
        <w:overflowPunct/>
        <w:topLinePunct w:val="0"/>
        <w:autoSpaceDE w:val="0"/>
        <w:autoSpaceDN w:val="0"/>
        <w:bidi w:val="0"/>
        <w:adjustRightInd w:val="0"/>
        <w:snapToGrid w:val="0"/>
        <w:spacing w:line="600" w:lineRule="exact"/>
        <w:ind w:left="623"/>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66" w:name="_Toc19621"/>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（一）加强组织领导</w:t>
      </w:r>
      <w:bookmarkEnd w:id="66"/>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医疗卫生服务体系规划是政府科学配置医疗卫生资源的重要手段。要强化政府责任，把医疗卫生服务体系规划列入政府工作目标</w:t>
      </w:r>
      <w:r>
        <w:rPr>
          <w:rFonts w:hint="default"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各医疗机构要按照</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健康</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宜良</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建设任务要求，全面加强医疗卫生机构党的建设，把党的领导落实到卫生健康事业改革发展各领域各方面各环节。</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人民政府负责研究编制</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级医疗卫生服务体系规划，拟定全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床位、执业（助理）医师、注册护士、全科医师配置等具体指标。</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1"/>
        <w:jc w:val="both"/>
        <w:textAlignment w:val="baseline"/>
        <w:outlineLvl w:val="1"/>
        <w:rPr>
          <w:rFonts w:hint="default" w:ascii="Times New Roman" w:hAnsi="Times New Roman" w:eastAsia="楷体" w:cs="Times New Roman"/>
          <w:color w:val="000000" w:themeColor="text1"/>
          <w:spacing w:val="0"/>
          <w:position w:val="0"/>
          <w:sz w:val="31"/>
          <w:szCs w:val="31"/>
          <w14:textFill>
            <w14:solidFill>
              <w14:schemeClr w14:val="tx1"/>
            </w14:solidFill>
          </w14:textFill>
        </w:rPr>
      </w:pPr>
      <w:bookmarkStart w:id="67" w:name="bookmark46"/>
      <w:bookmarkEnd w:id="67"/>
      <w:bookmarkStart w:id="68" w:name="_Toc1802"/>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（二）加强部门协同</w:t>
      </w:r>
      <w:bookmarkEnd w:id="68"/>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26"/>
        <w:jc w:val="both"/>
        <w:textAlignment w:val="baseline"/>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机构编制、发展改革、教育体育、科技、财政、人力资源社会保障、自然资源规划、卫生健康、医疗保障</w:t>
      </w:r>
      <w:r>
        <w:rPr>
          <w:rFonts w:hint="eastAsia" w:ascii="Times New Roman" w:hAnsi="Times New Roman" w:eastAsia="仿宋_GB2312" w:cs="Times New Roman"/>
          <w:color w:val="000000" w:themeColor="text1"/>
          <w:spacing w:val="0"/>
          <w:position w:val="0"/>
          <w:sz w:val="32"/>
          <w:szCs w:val="31"/>
          <w:lang w:eastAsia="zh-CN"/>
          <w14:textFill>
            <w14:solidFill>
              <w14:schemeClr w14:val="tx1"/>
            </w14:solidFill>
          </w14:textFill>
        </w:rPr>
        <w:t>、</w:t>
      </w:r>
      <w:r>
        <w:rPr>
          <w:rFonts w:hint="eastAsia"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民政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等部门要认真履行职责，加强政策协同，统筹推进医疗卫生服务体系规划编制和实施工作。机构编制部门要按照有关规定和标准合理制定并落实公立医院人员编制标准；发展改革部门要将医疗卫生服务体系规划纳入国民经济和社会发展规划，依据医疗卫生服务体系规划对新（改扩）建项目进行基本建设管理；财政部门要按照政府卫生投入政策落实有关经费；自然资源规划部门要在空间规划中统筹考虑医疗卫生机构发展需要，合理安排用地供给，优先保障非营利性医疗卫生机构用地；卫生健康部门要在政府领导下，牵头研究起草医疗卫生服务体系规划并根据需要按程序适时调整；医疗保障部门要加快医疗服务价格和支付制度改革；其他有关部门要各司其职，协同推进医疗卫生服务体系规划的实施。</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621"/>
        <w:jc w:val="both"/>
        <w:textAlignment w:val="baseline"/>
        <w:outlineLvl w:val="1"/>
        <w:rPr>
          <w:rFonts w:hint="default" w:ascii="Times New Roman" w:hAnsi="Times New Roman" w:cs="Times New Roman"/>
          <w:color w:val="000000" w:themeColor="text1"/>
          <w:spacing w:val="0"/>
          <w:position w:val="0"/>
          <w14:textFill>
            <w14:solidFill>
              <w14:schemeClr w14:val="tx1"/>
            </w14:solidFill>
          </w14:textFill>
        </w:rPr>
      </w:pPr>
      <w:bookmarkStart w:id="69" w:name="bookmark47"/>
      <w:bookmarkEnd w:id="69"/>
      <w:bookmarkStart w:id="70" w:name="_Toc163"/>
      <w:r>
        <w:rPr>
          <w:rFonts w:hint="default" w:ascii="Times New Roman" w:hAnsi="Times New Roman" w:eastAsia="楷体" w:cs="Times New Roman"/>
          <w:color w:val="000000" w:themeColor="text1"/>
          <w:spacing w:val="0"/>
          <w:position w:val="0"/>
          <w:sz w:val="31"/>
          <w:szCs w:val="31"/>
          <w14:textFill>
            <w14:solidFill>
              <w14:schemeClr w14:val="tx1"/>
            </w14:solidFill>
          </w14:textFill>
        </w:rPr>
        <w:t>（三）加强监督评估</w:t>
      </w:r>
      <w:bookmarkEnd w:id="70"/>
    </w:p>
    <w:p>
      <w:pPr>
        <w:keepNext w:val="0"/>
        <w:keepLines w:val="0"/>
        <w:pageBreakBefore w:val="0"/>
        <w:widowControl w:val="0"/>
        <w:kinsoku/>
        <w:wordWrap/>
        <w:overflowPunct/>
        <w:topLinePunct w:val="0"/>
        <w:autoSpaceDE w:val="0"/>
        <w:autoSpaceDN w:val="0"/>
        <w:bidi w:val="0"/>
        <w:adjustRightInd w:val="0"/>
        <w:snapToGrid w:val="0"/>
        <w:spacing w:line="600" w:lineRule="exact"/>
        <w:ind w:left="3" w:firstLine="616"/>
        <w:jc w:val="both"/>
        <w:textAlignment w:val="baseline"/>
        <w:rPr>
          <w:rFonts w:hint="default" w:ascii="Times New Roman" w:hAnsi="Times New Roman" w:cs="Times New Roman"/>
          <w:color w:val="000000" w:themeColor="text1"/>
          <w:spacing w:val="0"/>
          <w:position w:val="0"/>
          <w14:textFill>
            <w14:solidFill>
              <w14:schemeClr w14:val="tx1"/>
            </w14:solidFill>
          </w14:textFill>
        </w:rPr>
      </w:pP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要将医疗卫生服务体系规划作为批准有关建设项目立项的首要依据。建立全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医疗卫生服务体系规划和资源配置效率监测评价机制，组织开展全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医疗卫生服务体系规划实施进度和效果动态评价；建立全</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县</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医疗卫生机构床位综合评价体系，对各</w:t>
      </w:r>
      <w:r>
        <w:rPr>
          <w:rFonts w:hint="default" w:ascii="Times New Roman" w:hAnsi="Times New Roman" w:eastAsia="仿宋_GB2312" w:cs="Times New Roman"/>
          <w:color w:val="000000" w:themeColor="text1"/>
          <w:spacing w:val="0"/>
          <w:position w:val="0"/>
          <w:sz w:val="32"/>
          <w:szCs w:val="31"/>
          <w:lang w:val="en-US" w:eastAsia="zh-CN"/>
          <w14:textFill>
            <w14:solidFill>
              <w14:schemeClr w14:val="tx1"/>
            </w14:solidFill>
          </w14:textFill>
        </w:rPr>
        <w:t>医疗机构</w:t>
      </w:r>
      <w:r>
        <w:rPr>
          <w:rFonts w:hint="default" w:ascii="Times New Roman" w:hAnsi="Times New Roman" w:eastAsia="仿宋_GB2312" w:cs="Times New Roman"/>
          <w:color w:val="000000" w:themeColor="text1"/>
          <w:spacing w:val="0"/>
          <w:position w:val="0"/>
          <w:sz w:val="32"/>
          <w:szCs w:val="31"/>
          <w14:textFill>
            <w14:solidFill>
              <w14:schemeClr w14:val="tx1"/>
            </w14:solidFill>
          </w14:textFill>
        </w:rPr>
        <w:t>床位数量、质量、结构、效率进行综合评价，优化床位资源配置。按期开展阶段性评估，及时发现和解决规划执行中的问题，确保各项目标任务顺利完成。</w:t>
      </w:r>
    </w:p>
    <w:sectPr>
      <w:headerReference r:id="rId6" w:type="default"/>
      <w:footerReference r:id="rId7" w:type="default"/>
      <w:pgSz w:w="11906" w:h="16838"/>
      <w:pgMar w:top="1431" w:right="1531" w:bottom="1643" w:left="1531" w:header="0" w:footer="136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ind w:left="90"/>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left="7572"/>
      <w:rPr>
        <w:rFonts w:ascii="宋体" w:hAnsi="宋体" w:eastAsia="宋体" w:cs="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76" w:lineRule="auto"/>
      <w:ind w:left="291"/>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44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44</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documentProtection w:enforcement="0"/>
  <w:characterSpacingControl w:val="doNotCompress"/>
  <w:compat>
    <w:spaceForUL/>
    <w:ulTrailSpace/>
    <w:useFELayout/>
    <w:compatSetting w:name="compatibilityMode" w:uri="http://schemas.microsoft.com/office/word" w:val="14"/>
  </w:compat>
  <w:docVars>
    <w:docVar w:name="commondata" w:val="eyJoZGlkIjoiOTZjYjlhNjlmOTBiMjQ0MTg3ZjljZmYzNjUyMzgxNjcifQ=="/>
  </w:docVars>
  <w:rsids>
    <w:rsidRoot w:val="00000000"/>
    <w:rsid w:val="01C456FC"/>
    <w:rsid w:val="03AD3204"/>
    <w:rsid w:val="04CF1A3D"/>
    <w:rsid w:val="04F21E05"/>
    <w:rsid w:val="06667CE7"/>
    <w:rsid w:val="07170DD9"/>
    <w:rsid w:val="076B39F3"/>
    <w:rsid w:val="09A93ABB"/>
    <w:rsid w:val="0C2C0D3C"/>
    <w:rsid w:val="0D9076E2"/>
    <w:rsid w:val="0DC51F98"/>
    <w:rsid w:val="0F806C80"/>
    <w:rsid w:val="0F8A2437"/>
    <w:rsid w:val="0FCE3B0A"/>
    <w:rsid w:val="12D37301"/>
    <w:rsid w:val="1473173A"/>
    <w:rsid w:val="14891A12"/>
    <w:rsid w:val="15777B19"/>
    <w:rsid w:val="15C50828"/>
    <w:rsid w:val="15CF23B1"/>
    <w:rsid w:val="160D6B52"/>
    <w:rsid w:val="16337E88"/>
    <w:rsid w:val="18C11AAA"/>
    <w:rsid w:val="18E37EA5"/>
    <w:rsid w:val="1B5763C6"/>
    <w:rsid w:val="1BE44D0B"/>
    <w:rsid w:val="1FD77AD6"/>
    <w:rsid w:val="205B6824"/>
    <w:rsid w:val="20896BA6"/>
    <w:rsid w:val="21676C23"/>
    <w:rsid w:val="24847EA3"/>
    <w:rsid w:val="294B5EEC"/>
    <w:rsid w:val="29663051"/>
    <w:rsid w:val="296C4061"/>
    <w:rsid w:val="29742258"/>
    <w:rsid w:val="2C6642B0"/>
    <w:rsid w:val="2D855D5C"/>
    <w:rsid w:val="2F130889"/>
    <w:rsid w:val="2FAD43AF"/>
    <w:rsid w:val="336558F1"/>
    <w:rsid w:val="33B8025C"/>
    <w:rsid w:val="34E36606"/>
    <w:rsid w:val="34FD562B"/>
    <w:rsid w:val="37217B5C"/>
    <w:rsid w:val="39113C01"/>
    <w:rsid w:val="39364696"/>
    <w:rsid w:val="3A4A3635"/>
    <w:rsid w:val="3B16721F"/>
    <w:rsid w:val="3C1767BE"/>
    <w:rsid w:val="3D857A5D"/>
    <w:rsid w:val="3DCA6FE8"/>
    <w:rsid w:val="3E85000F"/>
    <w:rsid w:val="3F5D71A8"/>
    <w:rsid w:val="3FFA0F4B"/>
    <w:rsid w:val="468477C5"/>
    <w:rsid w:val="469561AE"/>
    <w:rsid w:val="46C22A0F"/>
    <w:rsid w:val="47A85730"/>
    <w:rsid w:val="4BF61609"/>
    <w:rsid w:val="4C726D24"/>
    <w:rsid w:val="4D4027BE"/>
    <w:rsid w:val="4D84279B"/>
    <w:rsid w:val="519A1336"/>
    <w:rsid w:val="544E3173"/>
    <w:rsid w:val="54864E48"/>
    <w:rsid w:val="54AE1C2C"/>
    <w:rsid w:val="553B0026"/>
    <w:rsid w:val="55777FDA"/>
    <w:rsid w:val="55CF0B80"/>
    <w:rsid w:val="56B152FB"/>
    <w:rsid w:val="572623AD"/>
    <w:rsid w:val="589F66DB"/>
    <w:rsid w:val="58CE6FC1"/>
    <w:rsid w:val="59822246"/>
    <w:rsid w:val="5A696015"/>
    <w:rsid w:val="5CAF0167"/>
    <w:rsid w:val="5D94270E"/>
    <w:rsid w:val="5E7A5C10"/>
    <w:rsid w:val="60326FDB"/>
    <w:rsid w:val="60865A58"/>
    <w:rsid w:val="61820584"/>
    <w:rsid w:val="626A430C"/>
    <w:rsid w:val="64B95AC0"/>
    <w:rsid w:val="67146E1E"/>
    <w:rsid w:val="688136EB"/>
    <w:rsid w:val="6B8628CC"/>
    <w:rsid w:val="6E797371"/>
    <w:rsid w:val="6FCA2B56"/>
    <w:rsid w:val="70AC5DF4"/>
    <w:rsid w:val="717A5EE5"/>
    <w:rsid w:val="72B16B98"/>
    <w:rsid w:val="736B7F1D"/>
    <w:rsid w:val="73C60B68"/>
    <w:rsid w:val="73D562DC"/>
    <w:rsid w:val="73FE6554"/>
    <w:rsid w:val="7660790C"/>
    <w:rsid w:val="76A15DE3"/>
    <w:rsid w:val="785D00A1"/>
    <w:rsid w:val="788B5A13"/>
    <w:rsid w:val="7A65732D"/>
    <w:rsid w:val="7AA46953"/>
    <w:rsid w:val="7BEF63D0"/>
    <w:rsid w:val="7C9C2A1B"/>
    <w:rsid w:val="7D9210E2"/>
    <w:rsid w:val="7DD540E3"/>
    <w:rsid w:val="7DE423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next w:val="1"/>
    <w:unhideWhenUsed/>
    <w:qFormat/>
    <w:uiPriority w:val="39"/>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7">
    <w:name w:val="toc 2"/>
    <w:basedOn w:val="1"/>
    <w:next w:val="1"/>
    <w:qFormat/>
    <w:uiPriority w:val="0"/>
    <w:pPr>
      <w:ind w:left="420" w:leftChars="200"/>
    </w:p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20"/>
      <w:szCs w:val="20"/>
      <w:lang w:val="en-US" w:eastAsia="en-US" w:bidi="ar-SA"/>
    </w:rPr>
  </w:style>
  <w:style w:type="paragraph" w:customStyle="1" w:styleId="12">
    <w:name w:val="WPSOffice手动目录 1"/>
    <w:qFormat/>
    <w:uiPriority w:val="0"/>
    <w:pPr>
      <w:ind w:leftChars="0"/>
    </w:pPr>
    <w:rPr>
      <w:rFonts w:ascii="Arial" w:hAnsi="Arial" w:eastAsia="Arial" w:cs="Arial"/>
      <w:sz w:val="20"/>
      <w:szCs w:val="20"/>
    </w:rPr>
  </w:style>
  <w:style w:type="paragraph" w:customStyle="1" w:styleId="13">
    <w:name w:val="WPSOffice手动目录 2"/>
    <w:qFormat/>
    <w:uiPriority w:val="0"/>
    <w:pPr>
      <w:ind w:leftChars="200"/>
    </w:pPr>
    <w:rPr>
      <w:rFonts w:ascii="Arial" w:hAnsi="Arial" w:eastAsia="Arial" w:cs="Arial"/>
      <w:sz w:val="20"/>
      <w:szCs w:val="20"/>
    </w:rPr>
  </w:style>
  <w:style w:type="paragraph" w:customStyle="1" w:styleId="14">
    <w:name w:val="WPSOffice手动目录 3"/>
    <w:qFormat/>
    <w:uiPriority w:val="0"/>
    <w:pPr>
      <w:ind w:leftChars="400"/>
    </w:pPr>
    <w:rPr>
      <w:rFonts w:ascii="Arial" w:hAnsi="Arial" w:eastAsia="Arial" w:cs="Arial"/>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149</TotalTime>
  <ScaleCrop>false</ScaleCrop>
  <LinksUpToDate>false</LinksUpToDate>
  <Application>WPS Office_11.8.6.8810_F1E327BC-269C-435d-A152-05C5408002CA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2023-09-05T09:26:00Z</dcterms:created>
  <dc:creator>hp</dc:creator>
  <cp:lastModifiedBy>Administrator</cp:lastModifiedBy>
  <cp:lastPrinted>2023-09-12T07:46:00Z</cp:lastPrinted>
  <dcterms:modified xsi:type="dcterms:W3CDTF">2023-11-09T08:58:41Z</dcterms:modified>
  <dc:title>昆明市人民政府文件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2023-09-05T09:26:25Z</vt:filetime>
  </property>
  <property fmtid="{D5CDD505-2E9C-101B-9397-08002B2CF9AE}" pid="4" name="KSOProductBuildVer">
    <vt:lpwstr>2052-11.8.6.8810</vt:lpwstr>
  </property>
  <property fmtid="{D5CDD505-2E9C-101B-9397-08002B2CF9AE}" pid="5" name="ICV">
    <vt:lpwstr>A823603EB75449148EEEC35DD49AD793_13</vt:lpwstr>
  </property>
</Properties>
</file>