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6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lang w:val="en-US" w:eastAsia="zh-CN"/>
              </w:rPr>
              <w:t>2023年</w:t>
            </w:r>
            <w:r>
              <w:rPr>
                <w:rFonts w:hint="eastAsia" w:ascii="方正小标宋_GBK" w:hAnsi="宋体" w:eastAsia="方正小标宋_GBK" w:cs="宋体"/>
                <w:kern w:val="0"/>
                <w:sz w:val="40"/>
                <w:szCs w:val="40"/>
              </w:rPr>
              <w:t>宜良县市场监管领域随机抽查事项清单</w:t>
            </w:r>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CellMar>
            <w:top w:w="0" w:type="dxa"/>
            <w:left w:w="108" w:type="dxa"/>
            <w:bottom w:w="0" w:type="dxa"/>
            <w:right w:w="108" w:type="dxa"/>
          </w:tblCellMar>
        </w:tblPrEx>
        <w:trPr>
          <w:trHeight w:val="26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县统计局（1类1项）</w:t>
            </w:r>
          </w:p>
        </w:tc>
        <w:tc>
          <w:tcPr>
            <w:tcW w:w="1450" w:type="dxa"/>
            <w:tcBorders>
              <w:top w:val="nil"/>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统计资料报送情况监督检查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1.调查对象依法提供统计资料的情况；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2.调查对象依法设置原始记录、统计台账的情况；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3.调查对象依法建立并执行统计资料管理制度的情况；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4.调查对象为依法履行法定填报职责提供保障的情况；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5.调查对象依法配合统计调查和统计监督的情况；</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6.调查对象遵守统计法律法规规章、统计调查制度等的情况。</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一套表调查单位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县级统计局</w:t>
            </w:r>
          </w:p>
        </w:tc>
        <w:tc>
          <w:tcPr>
            <w:tcW w:w="398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18"/>
                <w:szCs w:val="20"/>
              </w:rPr>
              <w:t>《统计法》第二十一条第一款 国家机关、企业事业单位和其他组织等统计调查对象，应当按照国家有关规定设置原始记录、统计台账，建立健全统计资料的审核、签署、交接、归档等管理制度。</w:t>
            </w:r>
            <w:r>
              <w:rPr>
                <w:rFonts w:hint="eastAsia" w:cs="宋体" w:asciiTheme="minorEastAsia" w:hAnsiTheme="minorEastAsia"/>
                <w:kern w:val="0"/>
                <w:sz w:val="18"/>
                <w:szCs w:val="20"/>
              </w:rPr>
              <w:br w:type="textWrapping"/>
            </w:r>
            <w:r>
              <w:rPr>
                <w:rFonts w:hint="eastAsia" w:cs="宋体" w:asciiTheme="minorEastAsia" w:hAnsiTheme="minorEastAsia"/>
                <w:kern w:val="0"/>
                <w:sz w:val="18"/>
                <w:szCs w:val="20"/>
              </w:rPr>
              <w:t>《统计法》第三十三条第二款 县级以上地方人民政府统计机构依法查处本行政区域内发生的统计违法行为。</w:t>
            </w:r>
            <w:r>
              <w:rPr>
                <w:rFonts w:hint="eastAsia" w:cs="宋体" w:asciiTheme="minorEastAsia" w:hAnsiTheme="minorEastAsia"/>
                <w:kern w:val="0"/>
                <w:sz w:val="18"/>
                <w:szCs w:val="20"/>
              </w:rPr>
              <w:br w:type="textWrapping"/>
            </w:r>
            <w:r>
              <w:rPr>
                <w:rFonts w:hint="eastAsia" w:cs="宋体" w:asciiTheme="minorEastAsia" w:hAnsiTheme="minorEastAsia"/>
                <w:kern w:val="0"/>
                <w:sz w:val="18"/>
                <w:szCs w:val="20"/>
              </w:rP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r>
              <w:rPr>
                <w:rFonts w:hint="eastAsia" w:cs="宋体" w:asciiTheme="minorEastAsia" w:hAnsiTheme="minorEastAsia"/>
                <w:kern w:val="0"/>
                <w:sz w:val="18"/>
                <w:szCs w:val="20"/>
              </w:rPr>
              <w:br w:type="textWrapping"/>
            </w:r>
            <w:r>
              <w:rPr>
                <w:rFonts w:hint="eastAsia" w:cs="宋体" w:asciiTheme="minorEastAsia" w:hAnsiTheme="minorEastAsia"/>
                <w:kern w:val="0"/>
                <w:sz w:val="18"/>
                <w:szCs w:val="20"/>
              </w:rPr>
              <w:t>《统计法》第四十二条 第一款 作为统计调查对象的国家机关、企业事业单位或者其他组织迟报统计资料，或者未按照国家有关规定设置原始记录、统计台账的，由县级以上人民政府统计机构责令改正，给予警告。</w:t>
            </w:r>
            <w:r>
              <w:rPr>
                <w:rFonts w:hint="eastAsia" w:cs="宋体" w:asciiTheme="minorEastAsia" w:hAnsiTheme="minorEastAsia"/>
                <w:kern w:val="0"/>
                <w:sz w:val="18"/>
                <w:szCs w:val="20"/>
              </w:rPr>
              <w:br w:type="textWrapping"/>
            </w:r>
            <w:r>
              <w:rPr>
                <w:rFonts w:hint="eastAsia" w:cs="宋体" w:asciiTheme="minorEastAsia" w:hAnsiTheme="minorEastAsia"/>
                <w:kern w:val="0"/>
                <w:sz w:val="18"/>
                <w:szCs w:val="20"/>
              </w:rPr>
              <w:t>《统计法实施条例》第三十四条 国家机关、企业事业单位和其他组织应当加强统计基础工作，为履行法定的统计资料报送义务提供组织、人员和工作条件保障。</w:t>
            </w:r>
            <w:r>
              <w:rPr>
                <w:rFonts w:hint="eastAsia" w:cs="宋体" w:asciiTheme="minorEastAsia" w:hAnsiTheme="minorEastAsia"/>
                <w:kern w:val="0"/>
                <w:sz w:val="18"/>
                <w:szCs w:val="20"/>
              </w:rPr>
              <w:br w:type="textWrapping"/>
            </w:r>
            <w:r>
              <w:rPr>
                <w:rFonts w:hint="eastAsia" w:cs="宋体" w:asciiTheme="minorEastAsia" w:hAnsiTheme="minorEastAsia"/>
                <w:kern w:val="0"/>
                <w:sz w:val="18"/>
                <w:szCs w:val="20"/>
              </w:rP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全县</w:t>
            </w:r>
          </w:p>
        </w:tc>
        <w:tc>
          <w:tcPr>
            <w:tcW w:w="156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县（市、区）事业单位性质的统计执法大队、统计执法监督队、统计执法队等统计执法机构受本县（市、区）统计局委托实施统计执法检查权；</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未设置事业单位性质统计执法机构的，由县级以上统计局实施统计执法</w:t>
            </w:r>
            <w:bookmarkStart w:id="0" w:name="_GoBack"/>
            <w:bookmarkEnd w:id="0"/>
            <w:r>
              <w:rPr>
                <w:rFonts w:hint="eastAsia" w:cs="宋体" w:asciiTheme="minorEastAsia" w:hAnsiTheme="minorEastAsia"/>
                <w:kern w:val="0"/>
                <w:sz w:val="20"/>
                <w:szCs w:val="20"/>
              </w:rPr>
              <w:t>检查权。</w:t>
            </w:r>
          </w:p>
          <w:p>
            <w:pPr>
              <w:widowControl/>
              <w:spacing w:line="22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开发（度假）区统计局无执法主体资格，协助属地县（市、区）开展执法检查工作。</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2"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4187"/>
    <w:rsid w:val="00092C04"/>
    <w:rsid w:val="001F0FE9"/>
    <w:rsid w:val="007A2969"/>
    <w:rsid w:val="008648A0"/>
    <w:rsid w:val="00987EC0"/>
    <w:rsid w:val="00A74187"/>
    <w:rsid w:val="31CE7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160</Words>
  <Characters>913</Characters>
  <Lines>7</Lines>
  <Paragraphs>2</Paragraphs>
  <TotalTime>6</TotalTime>
  <ScaleCrop>false</ScaleCrop>
  <LinksUpToDate>false</LinksUpToDate>
  <CharactersWithSpaces>1071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2021-08-17T01:25:00Z</dcterms:created>
  <dc:creator>P504VG7R</dc:creator>
  <cp:lastModifiedBy>Administrator</cp:lastModifiedBy>
  <dcterms:modified xsi:type="dcterms:W3CDTF">2023-11-06T09:33:27Z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7F3256866BD9400B8F215EF873A69841</vt:lpwstr>
  </property>
</Properties>
</file>