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cs="Times New Roman"/>
        </w:rPr>
      </w:pPr>
    </w:p>
    <w:p>
      <w:pPr>
        <w:rPr>
          <w:rFonts w:ascii="Times New Roman" w:hAnsi="Times New Roman" w:eastAsia="黑体" w:cs="Times New Roman"/>
          <w:sz w:val="28"/>
          <w:szCs w:val="28"/>
        </w:rPr>
      </w:pPr>
      <w:r>
        <w:rPr>
          <w:rFonts w:ascii="Times New Roman" w:hAnsi="Times New Roman" w:eastAsia="黑体" w:cs="Times New Roman"/>
          <w:sz w:val="28"/>
          <w:szCs w:val="28"/>
        </w:rPr>
        <w:t>附件3</w:t>
      </w:r>
    </w:p>
    <w:p>
      <w:pPr>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宜良县</w:t>
      </w:r>
      <w:r>
        <w:rPr>
          <w:rFonts w:hint="eastAsia" w:ascii="Times New Roman" w:hAnsi="Times New Roman" w:eastAsia="方正小标宋简体" w:cs="Times New Roman"/>
          <w:sz w:val="36"/>
          <w:szCs w:val="36"/>
        </w:rPr>
        <w:t>市场监督管理</w:t>
      </w:r>
      <w:r>
        <w:rPr>
          <w:rFonts w:ascii="Times New Roman" w:hAnsi="Times New Roman" w:eastAsia="方正小标宋简体" w:cs="Times New Roman"/>
          <w:sz w:val="36"/>
          <w:szCs w:val="36"/>
        </w:rPr>
        <w:t>局包容审慎监管“减免责清单”</w:t>
      </w:r>
    </w:p>
    <w:p>
      <w:pPr>
        <w:jc w:val="center"/>
        <w:rPr>
          <w:rFonts w:ascii="Times New Roman" w:hAnsi="Times New Roman" w:eastAsia="黑体" w:cs="Times New Roman"/>
          <w:sz w:val="44"/>
          <w:szCs w:val="44"/>
        </w:rPr>
      </w:pP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不予处罚事项清单</w:t>
      </w:r>
    </w:p>
    <w:p>
      <w:pPr>
        <w:jc w:val="left"/>
        <w:rPr>
          <w:rFonts w:ascii="Times New Roman" w:hAnsi="Times New Roman" w:eastAsia="楷体" w:cs="Times New Roman"/>
          <w:sz w:val="30"/>
          <w:szCs w:val="30"/>
        </w:rPr>
      </w:pPr>
      <w:r>
        <w:rPr>
          <w:rFonts w:ascii="Times New Roman" w:hAnsi="Times New Roman" w:eastAsia="楷体" w:cs="Times New Roman"/>
          <w:sz w:val="30"/>
          <w:szCs w:val="30"/>
        </w:rPr>
        <w:t>单位（公章）</w:t>
      </w:r>
      <w:r>
        <w:rPr>
          <w:rFonts w:ascii="宋体" w:hAnsi="宋体" w:cs="Times New Roman"/>
          <w:sz w:val="24"/>
          <w:szCs w:val="24"/>
        </w:rPr>
        <w:t>宜良县</w:t>
      </w:r>
      <w:r>
        <w:rPr>
          <w:rFonts w:hint="eastAsia" w:ascii="宋体" w:hAnsi="宋体" w:cs="Times New Roman"/>
          <w:sz w:val="24"/>
          <w:szCs w:val="24"/>
        </w:rPr>
        <w:t>市场监督管理</w:t>
      </w:r>
      <w:r>
        <w:rPr>
          <w:rFonts w:ascii="宋体" w:hAnsi="宋体" w:cs="Times New Roman"/>
          <w:sz w:val="24"/>
          <w:szCs w:val="24"/>
        </w:rPr>
        <w:t>局</w:t>
      </w:r>
    </w:p>
    <w:tbl>
      <w:tblPr>
        <w:tblStyle w:val="4"/>
        <w:tblW w:w="13645" w:type="dxa"/>
        <w:tblInd w:w="-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2"/>
        <w:gridCol w:w="1933"/>
        <w:gridCol w:w="5178"/>
        <w:gridCol w:w="1843"/>
        <w:gridCol w:w="2410"/>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722" w:type="dxa"/>
            <w:noWrap w:val="0"/>
            <w:vAlign w:val="center"/>
          </w:tcPr>
          <w:p>
            <w:pPr>
              <w:jc w:val="center"/>
              <w:rPr>
                <w:rFonts w:ascii="Times New Roman" w:hAnsi="Times New Roman" w:cs="Times New Roman"/>
                <w:sz w:val="24"/>
                <w:szCs w:val="24"/>
              </w:rPr>
            </w:pPr>
            <w:r>
              <w:rPr>
                <w:rFonts w:ascii="Times New Roman" w:hAnsi="Times New Roman" w:cs="Times New Roman"/>
                <w:sz w:val="24"/>
                <w:szCs w:val="24"/>
              </w:rPr>
              <w:t>序号</w:t>
            </w:r>
          </w:p>
        </w:tc>
        <w:tc>
          <w:tcPr>
            <w:tcW w:w="1933" w:type="dxa"/>
            <w:noWrap w:val="0"/>
            <w:vAlign w:val="center"/>
          </w:tcPr>
          <w:p>
            <w:pPr>
              <w:ind w:firstLine="240" w:firstLineChars="100"/>
              <w:jc w:val="center"/>
              <w:rPr>
                <w:rFonts w:ascii="Times New Roman" w:hAnsi="Times New Roman" w:cs="Times New Roman"/>
                <w:sz w:val="24"/>
                <w:szCs w:val="24"/>
              </w:rPr>
            </w:pPr>
            <w:r>
              <w:rPr>
                <w:rFonts w:ascii="Times New Roman" w:hAnsi="Times New Roman" w:cs="Times New Roman"/>
                <w:sz w:val="24"/>
                <w:szCs w:val="24"/>
              </w:rPr>
              <w:t>行政处罚事项</w:t>
            </w:r>
          </w:p>
        </w:tc>
        <w:tc>
          <w:tcPr>
            <w:tcW w:w="5178" w:type="dxa"/>
            <w:noWrap w:val="0"/>
            <w:vAlign w:val="center"/>
          </w:tcPr>
          <w:p>
            <w:pPr>
              <w:jc w:val="center"/>
              <w:rPr>
                <w:rFonts w:ascii="Times New Roman" w:hAnsi="Times New Roman" w:cs="Times New Roman"/>
                <w:sz w:val="24"/>
                <w:szCs w:val="24"/>
              </w:rPr>
            </w:pPr>
            <w:r>
              <w:rPr>
                <w:rFonts w:ascii="Times New Roman" w:hAnsi="Times New Roman" w:cs="Times New Roman"/>
                <w:sz w:val="24"/>
                <w:szCs w:val="24"/>
              </w:rPr>
              <w:t>设定法律依据</w:t>
            </w:r>
          </w:p>
        </w:tc>
        <w:tc>
          <w:tcPr>
            <w:tcW w:w="1843" w:type="dxa"/>
            <w:noWrap w:val="0"/>
            <w:vAlign w:val="center"/>
          </w:tcPr>
          <w:p>
            <w:pPr>
              <w:jc w:val="center"/>
              <w:rPr>
                <w:rFonts w:ascii="Times New Roman" w:hAnsi="Times New Roman" w:cs="Times New Roman"/>
                <w:sz w:val="24"/>
                <w:szCs w:val="24"/>
              </w:rPr>
            </w:pPr>
            <w:r>
              <w:rPr>
                <w:rFonts w:ascii="Times New Roman" w:hAnsi="Times New Roman" w:cs="Times New Roman"/>
                <w:sz w:val="24"/>
                <w:szCs w:val="24"/>
              </w:rPr>
              <w:t>适用情形</w:t>
            </w:r>
          </w:p>
        </w:tc>
        <w:tc>
          <w:tcPr>
            <w:tcW w:w="2410" w:type="dxa"/>
            <w:noWrap w:val="0"/>
            <w:vAlign w:val="center"/>
          </w:tcPr>
          <w:p>
            <w:pPr>
              <w:jc w:val="center"/>
              <w:rPr>
                <w:rFonts w:ascii="Times New Roman" w:hAnsi="Times New Roman" w:cs="Times New Roman"/>
                <w:sz w:val="24"/>
                <w:szCs w:val="24"/>
              </w:rPr>
            </w:pPr>
            <w:r>
              <w:rPr>
                <w:rFonts w:ascii="Times New Roman" w:hAnsi="Times New Roman" w:cs="Times New Roman"/>
                <w:sz w:val="24"/>
                <w:szCs w:val="24"/>
              </w:rPr>
              <w:t>不予处罚法律依据</w:t>
            </w:r>
          </w:p>
        </w:tc>
        <w:tc>
          <w:tcPr>
            <w:tcW w:w="1559" w:type="dxa"/>
            <w:noWrap w:val="0"/>
            <w:vAlign w:val="center"/>
          </w:tcPr>
          <w:p>
            <w:pPr>
              <w:jc w:val="center"/>
              <w:rPr>
                <w:rFonts w:ascii="Times New Roman" w:hAnsi="Times New Roman" w:cs="Times New Roman"/>
                <w:sz w:val="24"/>
                <w:szCs w:val="24"/>
              </w:rPr>
            </w:pPr>
            <w:r>
              <w:rPr>
                <w:rFonts w:ascii="Times New Roman" w:hAnsi="Times New Roman" w:cs="Times New Roman"/>
                <w:sz w:val="24"/>
                <w:szCs w:val="24"/>
              </w:rPr>
              <w:t>备注  （实施主体）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22" w:type="dxa"/>
            <w:noWrap w:val="0"/>
            <w:vAlign w:val="top"/>
          </w:tcPr>
          <w:p>
            <w:pPr>
              <w:rPr>
                <w:rFonts w:hint="eastAsia" w:ascii="宋体" w:hAnsi="宋体" w:cs="Times New Roman"/>
              </w:rPr>
            </w:pPr>
          </w:p>
          <w:p>
            <w:pPr>
              <w:pStyle w:val="3"/>
              <w:rPr>
                <w:rFonts w:hint="eastAsia" w:ascii="宋体" w:hAnsi="宋体"/>
                <w:sz w:val="21"/>
                <w:szCs w:val="21"/>
              </w:rPr>
            </w:pPr>
          </w:p>
          <w:p>
            <w:pPr>
              <w:pStyle w:val="3"/>
              <w:rPr>
                <w:rFonts w:ascii="宋体" w:hAnsi="宋体"/>
                <w:sz w:val="21"/>
                <w:szCs w:val="21"/>
              </w:rPr>
            </w:pPr>
            <w:r>
              <w:rPr>
                <w:rFonts w:hint="eastAsia" w:ascii="宋体" w:hAnsi="宋体"/>
                <w:sz w:val="21"/>
                <w:szCs w:val="21"/>
              </w:rPr>
              <w:t>1</w:t>
            </w:r>
          </w:p>
        </w:tc>
        <w:tc>
          <w:tcPr>
            <w:tcW w:w="1933" w:type="dxa"/>
            <w:noWrap w:val="0"/>
            <w:vAlign w:val="top"/>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未经设立登记从事一般经营活动的</w:t>
            </w:r>
          </w:p>
        </w:tc>
        <w:tc>
          <w:tcPr>
            <w:tcW w:w="5178"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《中华人民共和国市场主体登记管理条例》</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第三条第一款　市场主体应当依照本条例办理登记。未经登记，不得以市场主体名义从事经营活动。法律、行政法规规定无需办理登记的除外。</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第四十三条　未经设立登记从事经营活动的，由登记机关责令改正，没收违法所得；拒不改正的，处1万元以上10万元以下的罚款；情节严重的，依法责令关闭停业，并处10万元以上50万元以下的罚款。</w:t>
            </w:r>
          </w:p>
        </w:tc>
        <w:tc>
          <w:tcPr>
            <w:tcW w:w="1843" w:type="dxa"/>
            <w:noWrap w:val="0"/>
            <w:vAlign w:val="top"/>
          </w:tcPr>
          <w:p>
            <w:pPr>
              <w:rPr>
                <w:rFonts w:ascii="Times New Roman" w:hAnsi="Times New Roman" w:cs="Times New Roman"/>
              </w:rPr>
            </w:pPr>
          </w:p>
        </w:tc>
        <w:tc>
          <w:tcPr>
            <w:tcW w:w="2410"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1.初次被发现实施此类违法行为；</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2.危害后果轻微；</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3.不属于依法须取得行政许可的经营活动；</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4.被发现时已提交申请设立登记相关材料。</w:t>
            </w:r>
          </w:p>
        </w:tc>
        <w:tc>
          <w:tcPr>
            <w:tcW w:w="1559" w:type="dxa"/>
            <w:noWrap w:val="0"/>
            <w:vAlign w:val="top"/>
          </w:tcPr>
          <w:p>
            <w:pP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722" w:type="dxa"/>
            <w:noWrap w:val="0"/>
            <w:vAlign w:val="center"/>
          </w:tcPr>
          <w:p>
            <w:pPr>
              <w:spacing w:line="300" w:lineRule="exact"/>
              <w:jc w:val="center"/>
              <w:rPr>
                <w:rFonts w:ascii="宋体" w:hAnsi="宋体" w:cs="方正仿宋_GBK"/>
                <w:bCs/>
                <w:color w:val="000000"/>
              </w:rPr>
            </w:pPr>
            <w:r>
              <w:rPr>
                <w:rFonts w:hint="eastAsia" w:ascii="宋体" w:hAnsi="宋体" w:cs="方正仿宋_GBK"/>
                <w:bCs/>
                <w:color w:val="000000"/>
              </w:rPr>
              <w:t>2</w:t>
            </w:r>
          </w:p>
        </w:tc>
        <w:tc>
          <w:tcPr>
            <w:tcW w:w="1933"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市场主体未按照法律、行政法规规定的期限公示或者报送年度报告的</w:t>
            </w:r>
          </w:p>
        </w:tc>
        <w:tc>
          <w:tcPr>
            <w:tcW w:w="5178"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《中华人民共和国市场主体登记管理条例实施细则》</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第六十三条 市场主体应当于每年1月1日至6月30日，通过国家企业信用信息公示系统报送上一年度年度报告，并向社会公示。</w:t>
            </w:r>
          </w:p>
          <w:p>
            <w:pPr>
              <w:spacing w:line="300" w:lineRule="exact"/>
              <w:ind w:firstLine="300" w:firstLineChars="200"/>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个体工商户可以通过纸质方式报送年度报告，并自主选择年度报告内容是否向社会公示。</w:t>
            </w:r>
          </w:p>
          <w:p>
            <w:pPr>
              <w:spacing w:line="300" w:lineRule="exact"/>
              <w:ind w:firstLine="300" w:firstLineChars="200"/>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歇业的市场主体应当按时公示年度报告。</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第七十条 市场主体未按照法律、行政法规规定的期限公示或者报送年度报告的，由登记机关列入经营异常名录，可以处1万元以下的罚款。</w:t>
            </w:r>
          </w:p>
        </w:tc>
        <w:tc>
          <w:tcPr>
            <w:tcW w:w="1843" w:type="dxa"/>
            <w:noWrap w:val="0"/>
            <w:vAlign w:val="top"/>
          </w:tcPr>
          <w:p>
            <w:pPr>
              <w:rPr>
                <w:rFonts w:ascii="Times New Roman" w:hAnsi="Times New Roman" w:cs="Times New Roman"/>
              </w:rPr>
            </w:pPr>
          </w:p>
        </w:tc>
        <w:tc>
          <w:tcPr>
            <w:tcW w:w="2410" w:type="dxa"/>
            <w:noWrap w:val="0"/>
            <w:vAlign w:val="center"/>
          </w:tcPr>
          <w:p>
            <w:pPr>
              <w:widowControl/>
              <w:jc w:val="left"/>
              <w:textAlignment w:val="center"/>
              <w:rPr>
                <w:rFonts w:ascii="宋体" w:hAnsi="宋体" w:eastAsia="方正仿宋_GBK" w:cs="方正仿宋_GBK"/>
                <w:color w:val="000000"/>
                <w:kern w:val="0"/>
                <w:sz w:val="15"/>
                <w:szCs w:val="15"/>
                <w:lang w:bidi="ar"/>
              </w:rPr>
            </w:pPr>
            <w:r>
              <w:rPr>
                <w:rFonts w:hint="eastAsia" w:ascii="宋体" w:hAnsi="宋体" w:eastAsia="方正仿宋_GBK" w:cs="方正仿宋_GBK"/>
                <w:color w:val="000000"/>
                <w:kern w:val="0"/>
                <w:sz w:val="15"/>
                <w:szCs w:val="15"/>
                <w:lang w:bidi="ar"/>
              </w:rPr>
              <w:t>1.初次被发现实施此类违法行为；</w:t>
            </w:r>
          </w:p>
          <w:p>
            <w:pPr>
              <w:rPr>
                <w:rFonts w:ascii="宋体" w:hAnsi="宋体" w:eastAsia="方正仿宋_GBK" w:cs="方正仿宋_GBK"/>
                <w:color w:val="000000"/>
                <w:kern w:val="0"/>
                <w:sz w:val="15"/>
                <w:szCs w:val="15"/>
                <w:lang w:bidi="ar"/>
              </w:rPr>
            </w:pPr>
            <w:r>
              <w:rPr>
                <w:rFonts w:hint="eastAsia" w:ascii="宋体" w:hAnsi="宋体" w:eastAsia="方正仿宋_GBK" w:cs="方正仿宋_GBK"/>
                <w:bCs/>
                <w:color w:val="000000"/>
                <w:sz w:val="15"/>
                <w:szCs w:val="15"/>
              </w:rPr>
              <w:t>2.市场主体已被列入经营异常名录的；</w:t>
            </w:r>
          </w:p>
          <w:p>
            <w:pPr>
              <w:widowControl/>
              <w:jc w:val="left"/>
              <w:textAlignment w:val="center"/>
              <w:rPr>
                <w:rFonts w:ascii="宋体" w:hAnsi="宋体" w:eastAsia="方正仿宋_GBK" w:cs="方正仿宋_GBK"/>
                <w:color w:val="000000"/>
                <w:kern w:val="0"/>
                <w:sz w:val="15"/>
                <w:szCs w:val="15"/>
                <w:lang w:bidi="ar"/>
              </w:rPr>
            </w:pPr>
            <w:r>
              <w:rPr>
                <w:rFonts w:hint="eastAsia" w:ascii="宋体" w:hAnsi="宋体" w:eastAsia="方正仿宋_GBK" w:cs="方正仿宋_GBK"/>
                <w:color w:val="000000"/>
                <w:kern w:val="0"/>
                <w:sz w:val="15"/>
                <w:szCs w:val="15"/>
                <w:lang w:bidi="ar"/>
              </w:rPr>
              <w:t>3.危害后果轻微；</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color w:val="000000"/>
                <w:kern w:val="0"/>
                <w:sz w:val="15"/>
                <w:szCs w:val="15"/>
                <w:lang w:bidi="ar"/>
              </w:rPr>
              <w:t>4.责令限期改正后，</w:t>
            </w:r>
            <w:r>
              <w:rPr>
                <w:rFonts w:hint="eastAsia" w:ascii="宋体" w:hAnsi="宋体" w:eastAsia="方正仿宋_GBK" w:cs="方正仿宋_GBK"/>
                <w:bCs/>
                <w:color w:val="000000"/>
                <w:sz w:val="15"/>
                <w:szCs w:val="15"/>
              </w:rPr>
              <w:t>市场主体已及时补报年报的。</w:t>
            </w:r>
          </w:p>
        </w:tc>
        <w:tc>
          <w:tcPr>
            <w:tcW w:w="1559" w:type="dxa"/>
            <w:noWrap w:val="0"/>
            <w:vAlign w:val="top"/>
          </w:tcPr>
          <w:p>
            <w:pP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722" w:type="dxa"/>
            <w:noWrap w:val="0"/>
            <w:vAlign w:val="center"/>
          </w:tcPr>
          <w:p>
            <w:pPr>
              <w:spacing w:line="300" w:lineRule="exact"/>
              <w:jc w:val="center"/>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3</w:t>
            </w:r>
          </w:p>
        </w:tc>
        <w:tc>
          <w:tcPr>
            <w:tcW w:w="1933"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合伙企业未在名称中标明“普通合伙”字样的</w:t>
            </w:r>
          </w:p>
          <w:p>
            <w:pPr>
              <w:spacing w:line="300" w:lineRule="exact"/>
              <w:jc w:val="left"/>
              <w:rPr>
                <w:rFonts w:ascii="宋体" w:hAnsi="宋体" w:eastAsia="方正仿宋_GBK" w:cs="方正仿宋_GBK"/>
                <w:bCs/>
                <w:color w:val="000000"/>
                <w:sz w:val="15"/>
                <w:szCs w:val="15"/>
              </w:rPr>
            </w:pPr>
          </w:p>
        </w:tc>
        <w:tc>
          <w:tcPr>
            <w:tcW w:w="5178" w:type="dxa"/>
            <w:noWrap w:val="0"/>
            <w:vAlign w:val="top"/>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《中华人民共和国合伙企业法》</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第十五条　合伙企业名称中应当标明“普通合伙”字样。</w:t>
            </w:r>
          </w:p>
          <w:p>
            <w:pPr>
              <w:rPr>
                <w:rFonts w:ascii="宋体" w:hAnsi="宋体" w:cs="Times New Roman"/>
                <w:sz w:val="15"/>
                <w:szCs w:val="15"/>
              </w:rPr>
            </w:pPr>
            <w:r>
              <w:rPr>
                <w:rFonts w:hint="eastAsia" w:ascii="宋体" w:hAnsi="宋体" w:eastAsia="方正仿宋_GBK" w:cs="方正仿宋_GBK"/>
                <w:bCs/>
                <w:color w:val="000000"/>
                <w:sz w:val="15"/>
                <w:szCs w:val="15"/>
              </w:rPr>
              <w:t>第九十四条　违反本法规定，合伙企业未在其名称中标明“普通合伙”、“特殊普通合伙”或者“有限合伙”字样的，由企业登记机关责令限期改正，处以二千元以上一万元以下的罚款。</w:t>
            </w:r>
          </w:p>
        </w:tc>
        <w:tc>
          <w:tcPr>
            <w:tcW w:w="1843" w:type="dxa"/>
            <w:noWrap w:val="0"/>
            <w:vAlign w:val="top"/>
          </w:tcPr>
          <w:p>
            <w:pPr>
              <w:rPr>
                <w:rFonts w:ascii="Times New Roman" w:hAnsi="Times New Roman" w:cs="Times New Roman"/>
              </w:rPr>
            </w:pPr>
          </w:p>
        </w:tc>
        <w:tc>
          <w:tcPr>
            <w:tcW w:w="2410"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1.初次被发现实施此类违法行为；</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2.危害后果轻微；</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3.在市场监管部门责令改正期限内改正。</w:t>
            </w:r>
          </w:p>
        </w:tc>
        <w:tc>
          <w:tcPr>
            <w:tcW w:w="1559" w:type="dxa"/>
            <w:noWrap w:val="0"/>
            <w:vAlign w:val="top"/>
          </w:tcPr>
          <w:p>
            <w:pP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722" w:type="dxa"/>
            <w:noWrap w:val="0"/>
            <w:vAlign w:val="center"/>
          </w:tcPr>
          <w:p>
            <w:pPr>
              <w:spacing w:line="300" w:lineRule="exact"/>
              <w:jc w:val="center"/>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4</w:t>
            </w:r>
          </w:p>
        </w:tc>
        <w:tc>
          <w:tcPr>
            <w:tcW w:w="1933"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合伙企业未在名称中标明“特殊普通合伙”字样的</w:t>
            </w:r>
          </w:p>
          <w:p>
            <w:pPr>
              <w:spacing w:line="300" w:lineRule="exact"/>
              <w:jc w:val="left"/>
              <w:rPr>
                <w:rFonts w:ascii="宋体" w:hAnsi="宋体" w:eastAsia="方正仿宋_GBK" w:cs="方正仿宋_GBK"/>
                <w:bCs/>
                <w:color w:val="000000"/>
                <w:sz w:val="15"/>
                <w:szCs w:val="15"/>
              </w:rPr>
            </w:pPr>
          </w:p>
        </w:tc>
        <w:tc>
          <w:tcPr>
            <w:tcW w:w="5178"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《中华人民共和国合伙企业法》</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第五十六条　特殊的普通合伙企业名称中应当标明“特殊普通合伙”字样。</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第九十四条　违反本法规定，合伙企业未在其名称中标明“普通合伙”、“特殊普通合伙”或者“有限合伙”字样的，由企业登记机关责令限期改正，处以二千元以上一万元以下的罚款。</w:t>
            </w:r>
          </w:p>
        </w:tc>
        <w:tc>
          <w:tcPr>
            <w:tcW w:w="1843" w:type="dxa"/>
            <w:noWrap w:val="0"/>
            <w:vAlign w:val="top"/>
          </w:tcPr>
          <w:p>
            <w:pPr>
              <w:rPr>
                <w:rFonts w:ascii="Times New Roman" w:hAnsi="Times New Roman" w:cs="Times New Roman"/>
              </w:rPr>
            </w:pPr>
          </w:p>
        </w:tc>
        <w:tc>
          <w:tcPr>
            <w:tcW w:w="2410"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1.初次被发现实施此类违法行为；</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2.危害后果轻微；</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3.在市场监管部门责令改正期限内改正。</w:t>
            </w:r>
          </w:p>
        </w:tc>
        <w:tc>
          <w:tcPr>
            <w:tcW w:w="1559" w:type="dxa"/>
            <w:noWrap w:val="0"/>
            <w:vAlign w:val="top"/>
          </w:tcPr>
          <w:p>
            <w:pP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722" w:type="dxa"/>
            <w:noWrap w:val="0"/>
            <w:vAlign w:val="center"/>
          </w:tcPr>
          <w:p>
            <w:pPr>
              <w:spacing w:line="300" w:lineRule="exact"/>
              <w:jc w:val="center"/>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5</w:t>
            </w:r>
          </w:p>
        </w:tc>
        <w:tc>
          <w:tcPr>
            <w:tcW w:w="1933"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合伙企业未在名称中标明“有限合伙”字样的</w:t>
            </w:r>
          </w:p>
          <w:p>
            <w:pPr>
              <w:spacing w:line="300" w:lineRule="exact"/>
              <w:jc w:val="left"/>
              <w:rPr>
                <w:rFonts w:ascii="宋体" w:hAnsi="宋体" w:eastAsia="方正仿宋_GBK" w:cs="方正仿宋_GBK"/>
                <w:bCs/>
                <w:color w:val="000000"/>
                <w:sz w:val="15"/>
                <w:szCs w:val="15"/>
              </w:rPr>
            </w:pPr>
          </w:p>
        </w:tc>
        <w:tc>
          <w:tcPr>
            <w:tcW w:w="5178"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《中华人民共和国合伙企业法》</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第六十二条　有限合伙企业名称中应当标明“有限合伙”字样。</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第九十四条　违反本法规定，合伙企业未在其名称中标明“普通合伙”、“特殊普通合伙”或者“有限合伙”字样的，由企业登记机关责令限期改正，处以二千元以上一万元以下的罚款。</w:t>
            </w:r>
          </w:p>
        </w:tc>
        <w:tc>
          <w:tcPr>
            <w:tcW w:w="1843" w:type="dxa"/>
            <w:noWrap w:val="0"/>
            <w:vAlign w:val="top"/>
          </w:tcPr>
          <w:p>
            <w:pPr>
              <w:rPr>
                <w:rFonts w:ascii="Times New Roman" w:hAnsi="Times New Roman" w:cs="Times New Roman"/>
              </w:rPr>
            </w:pPr>
          </w:p>
        </w:tc>
        <w:tc>
          <w:tcPr>
            <w:tcW w:w="2410"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1.初次被发现实施此类违法行为；</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2.危害后果轻微；</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3.在市场监管部门责令改正期限内改正。</w:t>
            </w:r>
          </w:p>
        </w:tc>
        <w:tc>
          <w:tcPr>
            <w:tcW w:w="1559" w:type="dxa"/>
            <w:noWrap w:val="0"/>
            <w:vAlign w:val="top"/>
          </w:tcPr>
          <w:p>
            <w:pP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722" w:type="dxa"/>
            <w:noWrap w:val="0"/>
            <w:vAlign w:val="center"/>
          </w:tcPr>
          <w:p>
            <w:pPr>
              <w:spacing w:line="300" w:lineRule="exact"/>
              <w:jc w:val="center"/>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6</w:t>
            </w:r>
          </w:p>
        </w:tc>
        <w:tc>
          <w:tcPr>
            <w:tcW w:w="1933"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广告主发布广告使用“国家级”、“最高级”、“最佳”等用语的</w:t>
            </w:r>
          </w:p>
          <w:p>
            <w:pPr>
              <w:spacing w:line="300" w:lineRule="exact"/>
              <w:jc w:val="left"/>
              <w:rPr>
                <w:rFonts w:ascii="宋体" w:hAnsi="宋体" w:eastAsia="方正仿宋_GBK" w:cs="方正仿宋_GBK"/>
                <w:bCs/>
                <w:color w:val="000000"/>
                <w:sz w:val="15"/>
                <w:szCs w:val="15"/>
              </w:rPr>
            </w:pPr>
          </w:p>
        </w:tc>
        <w:tc>
          <w:tcPr>
            <w:tcW w:w="5178"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《中华人民共和国广告法》</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第九条第三项  广告不得有下列情形：（三）使用“国家级”、“最高级”、“最佳”等用语。</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第五十七条第一项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一）发布有本法第九条、第十条规定的禁止情形的广告的。</w:t>
            </w:r>
          </w:p>
          <w:p>
            <w:pPr>
              <w:spacing w:line="300" w:lineRule="exact"/>
              <w:jc w:val="left"/>
              <w:rPr>
                <w:rFonts w:ascii="宋体" w:hAnsi="宋体" w:eastAsia="方正仿宋_GBK" w:cs="方正仿宋_GBK"/>
                <w:bCs/>
                <w:color w:val="000000"/>
                <w:sz w:val="15"/>
                <w:szCs w:val="15"/>
              </w:rPr>
            </w:pPr>
          </w:p>
        </w:tc>
        <w:tc>
          <w:tcPr>
            <w:tcW w:w="1843" w:type="dxa"/>
            <w:noWrap w:val="0"/>
            <w:vAlign w:val="top"/>
          </w:tcPr>
          <w:p>
            <w:pPr>
              <w:rPr>
                <w:rFonts w:ascii="Times New Roman" w:hAnsi="Times New Roman" w:cs="Times New Roman"/>
              </w:rPr>
            </w:pPr>
          </w:p>
        </w:tc>
        <w:tc>
          <w:tcPr>
            <w:tcW w:w="2410" w:type="dxa"/>
            <w:noWrap w:val="0"/>
            <w:vAlign w:val="center"/>
          </w:tcPr>
          <w:p>
            <w:pPr>
              <w:spacing w:line="300" w:lineRule="exact"/>
              <w:ind w:left="210" w:leftChars="100"/>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1.初次被发现实施此类违法行为；</w:t>
            </w:r>
          </w:p>
          <w:p>
            <w:pPr>
              <w:spacing w:line="300" w:lineRule="exact"/>
              <w:ind w:left="210" w:leftChars="100"/>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2.适用于广告主在其经营场所、自设网站或拥有合法使用权的互联网媒介发布（在第三方平台网站首页发布或使用付费搜索发布的广告除外）的广告；</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3.符合下列情形之一，且及时改正，未造成危害后果的：</w:t>
            </w:r>
          </w:p>
          <w:p>
            <w:pPr>
              <w:spacing w:line="300" w:lineRule="exact"/>
              <w:jc w:val="left"/>
              <w:rPr>
                <w:rFonts w:ascii="宋体" w:hAnsi="宋体" w:eastAsia="方正仿宋_GBK" w:cs="方正仿宋_GBK"/>
                <w:bCs/>
                <w:color w:val="000000"/>
                <w:sz w:val="15"/>
                <w:szCs w:val="15"/>
              </w:rPr>
            </w:pPr>
            <w:r>
              <w:rPr>
                <w:rFonts w:ascii="宋体" w:hAnsi="宋体" w:eastAsia="方正仿宋_GBK" w:cs="Calibri"/>
                <w:bCs/>
                <w:color w:val="000000"/>
                <w:sz w:val="15"/>
                <w:szCs w:val="15"/>
              </w:rPr>
              <w:t>①</w:t>
            </w:r>
            <w:r>
              <w:rPr>
                <w:rFonts w:hint="eastAsia" w:ascii="宋体" w:hAnsi="宋体" w:eastAsia="方正仿宋_GBK" w:cs="方正仿宋_GBK"/>
                <w:bCs/>
                <w:color w:val="000000"/>
                <w:sz w:val="15"/>
                <w:szCs w:val="15"/>
              </w:rPr>
              <w:t>违法内容文字不是广告主体内容，字体未做显著标注的；</w:t>
            </w:r>
          </w:p>
          <w:p>
            <w:pPr>
              <w:spacing w:line="300" w:lineRule="exact"/>
              <w:jc w:val="left"/>
              <w:rPr>
                <w:rFonts w:ascii="宋体" w:hAnsi="宋体" w:eastAsia="方正仿宋_GBK" w:cs="方正仿宋_GBK"/>
                <w:bCs/>
                <w:color w:val="000000"/>
                <w:sz w:val="15"/>
                <w:szCs w:val="15"/>
              </w:rPr>
            </w:pPr>
            <w:r>
              <w:rPr>
                <w:rFonts w:ascii="宋体" w:hAnsi="宋体" w:eastAsia="方正仿宋_GBK" w:cs="Calibri"/>
                <w:bCs/>
                <w:color w:val="000000"/>
                <w:sz w:val="15"/>
                <w:szCs w:val="15"/>
              </w:rPr>
              <w:t>②</w:t>
            </w:r>
            <w:r>
              <w:rPr>
                <w:rFonts w:hint="eastAsia" w:ascii="宋体" w:hAnsi="宋体" w:eastAsia="方正仿宋_GBK" w:cs="方正仿宋_GBK"/>
                <w:bCs/>
                <w:color w:val="000000"/>
                <w:sz w:val="15"/>
                <w:szCs w:val="15"/>
              </w:rPr>
              <w:t>广告发布前后相同时段内商品销售额或服务营业额未增加的；</w:t>
            </w:r>
          </w:p>
          <w:p>
            <w:pPr>
              <w:spacing w:line="300" w:lineRule="exact"/>
              <w:jc w:val="left"/>
              <w:rPr>
                <w:rFonts w:ascii="宋体" w:hAnsi="宋体" w:eastAsia="方正仿宋_GBK" w:cs="方正仿宋_GBK"/>
                <w:bCs/>
                <w:color w:val="000000"/>
                <w:sz w:val="15"/>
                <w:szCs w:val="15"/>
              </w:rPr>
            </w:pPr>
            <w:r>
              <w:rPr>
                <w:rFonts w:ascii="宋体" w:hAnsi="宋体" w:eastAsia="方正仿宋_GBK" w:cs="Calibri"/>
                <w:bCs/>
                <w:color w:val="000000"/>
                <w:sz w:val="15"/>
                <w:szCs w:val="15"/>
              </w:rPr>
              <w:t>③</w:t>
            </w:r>
            <w:r>
              <w:rPr>
                <w:rFonts w:hint="eastAsia" w:ascii="宋体" w:hAnsi="宋体" w:eastAsia="方正仿宋_GBK" w:cs="方正仿宋_GBK"/>
                <w:bCs/>
                <w:color w:val="000000"/>
                <w:sz w:val="15"/>
                <w:szCs w:val="15"/>
              </w:rPr>
              <w:t>在市场监管部门责令改正期限内改正。</w:t>
            </w:r>
          </w:p>
        </w:tc>
        <w:tc>
          <w:tcPr>
            <w:tcW w:w="1559" w:type="dxa"/>
            <w:noWrap w:val="0"/>
            <w:vAlign w:val="top"/>
          </w:tcPr>
          <w:p>
            <w:pP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722" w:type="dxa"/>
            <w:noWrap w:val="0"/>
            <w:vAlign w:val="center"/>
          </w:tcPr>
          <w:p>
            <w:pPr>
              <w:spacing w:line="300" w:lineRule="exact"/>
              <w:jc w:val="center"/>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7</w:t>
            </w:r>
          </w:p>
        </w:tc>
        <w:tc>
          <w:tcPr>
            <w:tcW w:w="1933"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kern w:val="0"/>
                <w:sz w:val="15"/>
                <w:szCs w:val="15"/>
                <w:lang w:bidi="ar"/>
              </w:rPr>
              <w:t>广告经营者、广告发布者未按照国家有关规定建立、健全广告业务管理制度的</w:t>
            </w:r>
          </w:p>
        </w:tc>
        <w:tc>
          <w:tcPr>
            <w:tcW w:w="5178" w:type="dxa"/>
            <w:noWrap w:val="0"/>
            <w:vAlign w:val="center"/>
          </w:tcPr>
          <w:p>
            <w:pPr>
              <w:spacing w:line="300" w:lineRule="exact"/>
              <w:jc w:val="left"/>
              <w:rPr>
                <w:rFonts w:ascii="宋体" w:hAnsi="宋体" w:eastAsia="方正仿宋_GBK" w:cs="方正仿宋_GBK"/>
                <w:kern w:val="0"/>
                <w:sz w:val="15"/>
                <w:szCs w:val="15"/>
                <w:lang w:bidi="ar"/>
              </w:rPr>
            </w:pPr>
            <w:r>
              <w:rPr>
                <w:rFonts w:hint="eastAsia" w:ascii="宋体" w:hAnsi="宋体" w:eastAsia="方正仿宋_GBK" w:cs="方正仿宋_GBK"/>
                <w:kern w:val="0"/>
                <w:sz w:val="15"/>
                <w:szCs w:val="15"/>
                <w:lang w:bidi="ar"/>
              </w:rPr>
              <w:t>《中华人民共和国广告法》</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kern w:val="0"/>
                <w:sz w:val="15"/>
                <w:szCs w:val="15"/>
                <w:lang w:bidi="ar"/>
              </w:rPr>
              <w:t>第三十四条第一款  广告经营者、广告发布者应当按照国家有关规定，建立、健全广告业务的承接登记、审核、档案管理制度。</w:t>
            </w:r>
            <w:r>
              <w:rPr>
                <w:rFonts w:hint="eastAsia" w:ascii="宋体" w:hAnsi="宋体" w:eastAsia="方正仿宋_GBK" w:cs="方正仿宋_GBK"/>
                <w:kern w:val="0"/>
                <w:sz w:val="15"/>
                <w:szCs w:val="15"/>
                <w:lang w:bidi="ar"/>
              </w:rPr>
              <w:br w:type="textWrapping"/>
            </w:r>
            <w:r>
              <w:rPr>
                <w:rFonts w:hint="eastAsia" w:ascii="宋体" w:hAnsi="宋体" w:eastAsia="方正仿宋_GBK" w:cs="方正仿宋_GBK"/>
                <w:kern w:val="0"/>
                <w:sz w:val="15"/>
                <w:szCs w:val="15"/>
                <w:lang w:bidi="ar"/>
              </w:rPr>
              <w:t>第六十条第一款  违反本法第三十四条规定，广告经营者、广告发布者未按照国家有关规定建立、健全广告业务管理制度的，或者未对广告内容进行核对的，由市场监督管理部门责令改正，可以处五万元以下的罚款。</w:t>
            </w:r>
          </w:p>
        </w:tc>
        <w:tc>
          <w:tcPr>
            <w:tcW w:w="1843" w:type="dxa"/>
            <w:noWrap w:val="0"/>
            <w:vAlign w:val="top"/>
          </w:tcPr>
          <w:p>
            <w:pPr>
              <w:rPr>
                <w:rFonts w:ascii="Times New Roman" w:hAnsi="Times New Roman" w:cs="Times New Roman"/>
              </w:rPr>
            </w:pPr>
          </w:p>
        </w:tc>
        <w:tc>
          <w:tcPr>
            <w:tcW w:w="2410" w:type="dxa"/>
            <w:noWrap w:val="0"/>
            <w:vAlign w:val="center"/>
          </w:tcPr>
          <w:p>
            <w:pPr>
              <w:rPr>
                <w:rFonts w:ascii="宋体" w:hAnsi="宋体" w:eastAsia="方正仿宋_GBK" w:cs="方正仿宋_GBK"/>
                <w:kern w:val="0"/>
                <w:sz w:val="15"/>
                <w:szCs w:val="15"/>
                <w:lang w:bidi="ar"/>
              </w:rPr>
            </w:pPr>
            <w:r>
              <w:rPr>
                <w:rFonts w:hint="eastAsia" w:ascii="宋体" w:hAnsi="宋体" w:eastAsia="方正仿宋_GBK" w:cs="方正仿宋_GBK"/>
                <w:kern w:val="0"/>
                <w:sz w:val="15"/>
                <w:szCs w:val="15"/>
                <w:lang w:bidi="ar"/>
              </w:rPr>
              <w:t>1.初次被发现实施此类违法行为；</w:t>
            </w:r>
          </w:p>
          <w:p>
            <w:pPr>
              <w:rPr>
                <w:rFonts w:ascii="宋体" w:hAnsi="宋体" w:eastAsia="方正仿宋_GBK" w:cs="方正仿宋_GBK"/>
                <w:kern w:val="0"/>
                <w:sz w:val="15"/>
                <w:szCs w:val="15"/>
                <w:lang w:bidi="ar"/>
              </w:rPr>
            </w:pPr>
            <w:r>
              <w:rPr>
                <w:rFonts w:hint="eastAsia" w:ascii="宋体" w:hAnsi="宋体" w:eastAsia="方正仿宋_GBK" w:cs="方正仿宋_GBK"/>
                <w:kern w:val="0"/>
                <w:sz w:val="15"/>
                <w:szCs w:val="15"/>
                <w:lang w:bidi="ar"/>
              </w:rPr>
              <w:t>2.危害后果轻微；</w:t>
            </w:r>
          </w:p>
          <w:p>
            <w:pPr>
              <w:spacing w:line="300" w:lineRule="exact"/>
              <w:jc w:val="left"/>
              <w:rPr>
                <w:rFonts w:ascii="宋体" w:hAnsi="宋体" w:eastAsia="方正仿宋_GBK" w:cs="方正仿宋_GBK"/>
                <w:bCs/>
                <w:color w:val="000000"/>
                <w:sz w:val="15"/>
                <w:szCs w:val="15"/>
                <w:shd w:val="clear" w:color="auto" w:fill="FFFFFF"/>
              </w:rPr>
            </w:pPr>
            <w:r>
              <w:rPr>
                <w:rFonts w:hint="eastAsia" w:ascii="宋体" w:hAnsi="宋体" w:eastAsia="方正仿宋_GBK" w:cs="方正仿宋_GBK"/>
                <w:kern w:val="0"/>
                <w:sz w:val="15"/>
                <w:szCs w:val="15"/>
                <w:lang w:bidi="ar"/>
              </w:rPr>
              <w:t>3.在市场监管部门责令改正期限内改正。</w:t>
            </w:r>
          </w:p>
        </w:tc>
        <w:tc>
          <w:tcPr>
            <w:tcW w:w="1559" w:type="dxa"/>
            <w:noWrap w:val="0"/>
            <w:vAlign w:val="top"/>
          </w:tcPr>
          <w:p>
            <w:pP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722" w:type="dxa"/>
            <w:noWrap w:val="0"/>
            <w:vAlign w:val="center"/>
          </w:tcPr>
          <w:p>
            <w:pPr>
              <w:spacing w:line="300" w:lineRule="exact"/>
              <w:jc w:val="center"/>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8</w:t>
            </w:r>
          </w:p>
        </w:tc>
        <w:tc>
          <w:tcPr>
            <w:tcW w:w="1933"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未公布广告收费标准和收费办法的</w:t>
            </w:r>
          </w:p>
          <w:p>
            <w:pPr>
              <w:spacing w:line="300" w:lineRule="exact"/>
              <w:jc w:val="left"/>
              <w:rPr>
                <w:rFonts w:ascii="宋体" w:hAnsi="宋体" w:eastAsia="方正仿宋_GBK" w:cs="方正仿宋_GBK"/>
                <w:bCs/>
                <w:color w:val="000000"/>
                <w:sz w:val="15"/>
                <w:szCs w:val="15"/>
              </w:rPr>
            </w:pPr>
          </w:p>
        </w:tc>
        <w:tc>
          <w:tcPr>
            <w:tcW w:w="5178"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w:t>
            </w:r>
            <w:r>
              <w:rPr>
                <w:rFonts w:hint="eastAsia" w:ascii="宋体" w:hAnsi="宋体" w:eastAsia="方正仿宋_GBK" w:cs="方正仿宋_GBK"/>
                <w:kern w:val="0"/>
                <w:sz w:val="15"/>
                <w:szCs w:val="15"/>
                <w:lang w:bidi="ar"/>
              </w:rPr>
              <w:t>中华人民共和国</w:t>
            </w:r>
            <w:r>
              <w:rPr>
                <w:rFonts w:hint="eastAsia" w:ascii="宋体" w:hAnsi="宋体" w:eastAsia="方正仿宋_GBK" w:cs="方正仿宋_GBK"/>
                <w:bCs/>
                <w:color w:val="000000"/>
                <w:sz w:val="15"/>
                <w:szCs w:val="15"/>
              </w:rPr>
              <w:t>广告法》</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第三十五条　广告经营者、广告发布者应当公布其收费标准和收费办法。</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第六十条第二款 违反本法第三十五条规定，广告经营者、广告发布者未公布其收费标准和收费办法的，由价格主管部门责令改正，可以处五万元以下的罚款。</w:t>
            </w:r>
          </w:p>
        </w:tc>
        <w:tc>
          <w:tcPr>
            <w:tcW w:w="1843" w:type="dxa"/>
            <w:noWrap w:val="0"/>
            <w:vAlign w:val="top"/>
          </w:tcPr>
          <w:p>
            <w:pPr>
              <w:rPr>
                <w:rFonts w:ascii="Times New Roman" w:hAnsi="Times New Roman" w:cs="Times New Roman"/>
              </w:rPr>
            </w:pPr>
          </w:p>
        </w:tc>
        <w:tc>
          <w:tcPr>
            <w:tcW w:w="2410" w:type="dxa"/>
            <w:noWrap w:val="0"/>
            <w:vAlign w:val="center"/>
          </w:tcPr>
          <w:p>
            <w:pPr>
              <w:spacing w:line="300" w:lineRule="exact"/>
              <w:jc w:val="left"/>
              <w:rPr>
                <w:rFonts w:ascii="宋体" w:hAnsi="宋体" w:eastAsia="方正仿宋_GBK" w:cs="方正仿宋_GBK"/>
                <w:bCs/>
                <w:color w:val="000000"/>
                <w:sz w:val="15"/>
                <w:szCs w:val="15"/>
                <w:shd w:val="clear" w:color="auto" w:fill="FFFFFF"/>
              </w:rPr>
            </w:pPr>
            <w:r>
              <w:rPr>
                <w:rFonts w:hint="eastAsia" w:ascii="宋体" w:hAnsi="宋体" w:eastAsia="方正仿宋_GBK" w:cs="方正仿宋_GBK"/>
                <w:bCs/>
                <w:color w:val="000000"/>
                <w:sz w:val="15"/>
                <w:szCs w:val="15"/>
                <w:shd w:val="clear" w:color="auto" w:fill="FFFFFF"/>
              </w:rPr>
              <w:t>1.初次被发现实施此类违法行为；</w:t>
            </w:r>
          </w:p>
          <w:p>
            <w:pPr>
              <w:spacing w:line="300" w:lineRule="exact"/>
              <w:jc w:val="left"/>
              <w:rPr>
                <w:rFonts w:ascii="宋体" w:hAnsi="宋体" w:eastAsia="方正仿宋_GBK" w:cs="方正仿宋_GBK"/>
                <w:bCs/>
                <w:color w:val="000000"/>
                <w:sz w:val="15"/>
                <w:szCs w:val="15"/>
                <w:shd w:val="clear" w:color="auto" w:fill="FFFFFF"/>
              </w:rPr>
            </w:pPr>
            <w:r>
              <w:rPr>
                <w:rFonts w:hint="eastAsia" w:ascii="宋体" w:hAnsi="宋体" w:eastAsia="方正仿宋_GBK" w:cs="方正仿宋_GBK"/>
                <w:bCs/>
                <w:color w:val="000000"/>
                <w:sz w:val="15"/>
                <w:szCs w:val="15"/>
                <w:shd w:val="clear" w:color="auto" w:fill="FFFFFF"/>
              </w:rPr>
              <w:t>2.危害后果轻微；</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shd w:val="clear" w:color="auto" w:fill="FFFFFF"/>
              </w:rPr>
              <w:t>3.在市场监管部门责令改正期限内改正。</w:t>
            </w:r>
          </w:p>
        </w:tc>
        <w:tc>
          <w:tcPr>
            <w:tcW w:w="1559" w:type="dxa"/>
            <w:noWrap w:val="0"/>
            <w:vAlign w:val="top"/>
          </w:tcPr>
          <w:p>
            <w:pP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722" w:type="dxa"/>
            <w:noWrap w:val="0"/>
            <w:vAlign w:val="center"/>
          </w:tcPr>
          <w:p>
            <w:pPr>
              <w:spacing w:line="300" w:lineRule="exact"/>
              <w:jc w:val="center"/>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9</w:t>
            </w:r>
          </w:p>
        </w:tc>
        <w:tc>
          <w:tcPr>
            <w:tcW w:w="1933"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发布医疗广告未标注医疗机构第一名称或《医疗广告审查证明》文号的</w:t>
            </w:r>
          </w:p>
          <w:p>
            <w:pPr>
              <w:spacing w:line="300" w:lineRule="exact"/>
              <w:jc w:val="left"/>
              <w:rPr>
                <w:rFonts w:ascii="宋体" w:hAnsi="宋体" w:eastAsia="方正仿宋_GBK" w:cs="方正仿宋_GBK"/>
                <w:bCs/>
                <w:color w:val="000000"/>
                <w:sz w:val="15"/>
                <w:szCs w:val="15"/>
              </w:rPr>
            </w:pPr>
          </w:p>
        </w:tc>
        <w:tc>
          <w:tcPr>
            <w:tcW w:w="5178"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《医疗广告管理办法》</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第十四条　发布医疗广告应当标注医疗机构第一名称和《医疗广告审查证明》文号。</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第二十二条　工商行政管理机关对违反本办法规定的广告主、广告经营者、广告发布者依据《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作出认定。</w:t>
            </w:r>
          </w:p>
        </w:tc>
        <w:tc>
          <w:tcPr>
            <w:tcW w:w="1843" w:type="dxa"/>
            <w:noWrap w:val="0"/>
            <w:vAlign w:val="top"/>
          </w:tcPr>
          <w:p>
            <w:pPr>
              <w:rPr>
                <w:rFonts w:ascii="Times New Roman" w:hAnsi="Times New Roman" w:cs="Times New Roman"/>
              </w:rPr>
            </w:pPr>
          </w:p>
        </w:tc>
        <w:tc>
          <w:tcPr>
            <w:tcW w:w="2410"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1.初次被发现实施此类违法行为；</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2.广告系通过广告主自有经营场所或者自有互联网自媒体发布；</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3.在市场监管部门责令改正期限内改正。</w:t>
            </w:r>
          </w:p>
        </w:tc>
        <w:tc>
          <w:tcPr>
            <w:tcW w:w="1559" w:type="dxa"/>
            <w:noWrap w:val="0"/>
            <w:vAlign w:val="top"/>
          </w:tcPr>
          <w:p>
            <w:pP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722" w:type="dxa"/>
            <w:noWrap w:val="0"/>
            <w:vAlign w:val="center"/>
          </w:tcPr>
          <w:p>
            <w:pPr>
              <w:spacing w:line="300" w:lineRule="exact"/>
              <w:jc w:val="center"/>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10</w:t>
            </w:r>
          </w:p>
        </w:tc>
        <w:tc>
          <w:tcPr>
            <w:tcW w:w="1933"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发布房地产预售或者销售广告未依法载明开发企业名称、中介服务机构名称，以及预售或者销售许可证书号的</w:t>
            </w:r>
          </w:p>
          <w:p>
            <w:pPr>
              <w:spacing w:line="300" w:lineRule="exact"/>
              <w:jc w:val="left"/>
              <w:rPr>
                <w:rFonts w:ascii="宋体" w:hAnsi="宋体" w:eastAsia="方正仿宋_GBK" w:cs="方正仿宋_GBK"/>
                <w:bCs/>
                <w:color w:val="000000"/>
                <w:sz w:val="15"/>
                <w:szCs w:val="15"/>
              </w:rPr>
            </w:pPr>
          </w:p>
        </w:tc>
        <w:tc>
          <w:tcPr>
            <w:tcW w:w="5178"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《房地产广告发布规定》</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第七条 房地产预售、销售广告，必须载明以下事项：</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（一）开发企业名称；</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（二）中介服务机构代理销售的，载明该机构名称；</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（三）预售或者销售许可证书号。</w:t>
            </w:r>
          </w:p>
          <w:p>
            <w:pPr>
              <w:spacing w:line="300" w:lineRule="exact"/>
              <w:ind w:firstLine="300" w:firstLineChars="200"/>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广告中仅介绍房地产项目名称的，可以不必载明上述事项。</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843" w:type="dxa"/>
            <w:noWrap w:val="0"/>
            <w:vAlign w:val="top"/>
          </w:tcPr>
          <w:p>
            <w:pPr>
              <w:rPr>
                <w:rFonts w:ascii="Times New Roman" w:hAnsi="Times New Roman" w:cs="Times New Roman"/>
              </w:rPr>
            </w:pPr>
          </w:p>
        </w:tc>
        <w:tc>
          <w:tcPr>
            <w:tcW w:w="2410"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1.初次被发现实施此类违法行为；</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2.开发企业、中介服务机构具有合法经营资质；</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3.发布时已取得预售或者销售许可证书；</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4.在市场监管部门责令改正期限内改正。</w:t>
            </w:r>
          </w:p>
        </w:tc>
        <w:tc>
          <w:tcPr>
            <w:tcW w:w="1559" w:type="dxa"/>
            <w:noWrap w:val="0"/>
            <w:vAlign w:val="top"/>
          </w:tcPr>
          <w:p>
            <w:pPr>
              <w:rPr>
                <w:rFonts w:ascii="Times New Roman" w:hAnsi="Times New Roman" w:cs="Times New Roman"/>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722" w:type="dxa"/>
            <w:noWrap w:val="0"/>
            <w:vAlign w:val="center"/>
          </w:tcPr>
          <w:p>
            <w:pPr>
              <w:spacing w:line="300" w:lineRule="exact"/>
              <w:jc w:val="center"/>
              <w:rPr>
                <w:rFonts w:ascii="宋体" w:hAnsi="宋体" w:eastAsia="方正仿宋_GBK" w:cs="方正仿宋_GBK"/>
                <w:bCs/>
                <w:color w:val="000000"/>
              </w:rPr>
            </w:pPr>
            <w:r>
              <w:rPr>
                <w:rFonts w:hint="eastAsia" w:ascii="宋体" w:hAnsi="宋体" w:eastAsia="方正仿宋_GBK" w:cs="方正仿宋_GBK"/>
                <w:bCs/>
                <w:color w:val="000000"/>
              </w:rPr>
              <w:t>11</w:t>
            </w:r>
          </w:p>
        </w:tc>
        <w:tc>
          <w:tcPr>
            <w:tcW w:w="1933"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电子商务经营者未在首页显著位置公示营业执照信息、行政许可信息、属于不需要办理市场主体登记情形等信息，或者上述信息的链接标识的</w:t>
            </w:r>
          </w:p>
        </w:tc>
        <w:tc>
          <w:tcPr>
            <w:tcW w:w="5178" w:type="dxa"/>
            <w:noWrap w:val="0"/>
            <w:vAlign w:val="top"/>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《中华人民共和国电子商务法》</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第十五条第一款  电子商务经营者应当在其首页显著位置，持续公示营业执照信息、与其经营业务有关的行政许可信息、属于依照本法第十条规定的不需要办理市场主体登记情形等信息，或者上述信息的链接标识。</w:t>
            </w:r>
          </w:p>
          <w:p>
            <w:pPr>
              <w:spacing w:line="300" w:lineRule="exact"/>
              <w:ind w:firstLine="300" w:firstLineChars="200"/>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前款规定的信息发生变更的，电子商务经营者应当及时更新公示信息。</w:t>
            </w:r>
          </w:p>
          <w:p>
            <w:pPr>
              <w:rPr>
                <w:rFonts w:ascii="Times New Roman" w:hAnsi="Times New Roman" w:cs="Times New Roman"/>
              </w:rPr>
            </w:pPr>
            <w:r>
              <w:rPr>
                <w:rFonts w:hint="eastAsia" w:ascii="宋体" w:hAnsi="宋体" w:eastAsia="方正仿宋_GBK" w:cs="方正仿宋_GBK"/>
                <w:bCs/>
                <w:color w:val="000000"/>
                <w:sz w:val="15"/>
                <w:szCs w:val="15"/>
              </w:rPr>
              <w:t>第七十六条第一款第一项  电子商务经营者违反本法规定，有下列行为之一的，由市场监督管理部门责令限期改正，可以处一万元以下的罚款，对其中的电子商务平台经营者，依照本法第八十一条第一款的规定处罚：（一）未在首页显著位置公示营业执照信息、行政许可信息、属于不需要办理市场主体登记情形等信息，或者上述信息的链接标识的。</w:t>
            </w:r>
          </w:p>
        </w:tc>
        <w:tc>
          <w:tcPr>
            <w:tcW w:w="1843" w:type="dxa"/>
            <w:noWrap w:val="0"/>
            <w:vAlign w:val="top"/>
          </w:tcPr>
          <w:p>
            <w:pPr>
              <w:rPr>
                <w:rFonts w:ascii="Times New Roman" w:hAnsi="Times New Roman" w:cs="Times New Roman"/>
              </w:rPr>
            </w:pPr>
          </w:p>
        </w:tc>
        <w:tc>
          <w:tcPr>
            <w:tcW w:w="2410" w:type="dxa"/>
            <w:noWrap w:val="0"/>
            <w:vAlign w:val="top"/>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1.初次被发现实施此类违法行为；</w:t>
            </w:r>
          </w:p>
          <w:p>
            <w:pPr>
              <w:rPr>
                <w:rFonts w:ascii="Times New Roman" w:hAnsi="Times New Roman" w:cs="Times New Roman"/>
                <w:sz w:val="15"/>
                <w:szCs w:val="15"/>
              </w:rPr>
            </w:pPr>
            <w:r>
              <w:rPr>
                <w:rFonts w:hint="eastAsia" w:ascii="宋体" w:hAnsi="宋体" w:eastAsia="方正仿宋_GBK" w:cs="方正仿宋_GBK"/>
                <w:bCs/>
                <w:color w:val="000000"/>
                <w:sz w:val="15"/>
                <w:szCs w:val="15"/>
              </w:rPr>
              <w:t>2.在市场监管部门责令改正期限内改正。</w:t>
            </w:r>
          </w:p>
        </w:tc>
        <w:tc>
          <w:tcPr>
            <w:tcW w:w="1559" w:type="dxa"/>
            <w:noWrap w:val="0"/>
            <w:vAlign w:val="top"/>
          </w:tcPr>
          <w:p>
            <w:pP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722" w:type="dxa"/>
            <w:noWrap w:val="0"/>
            <w:vAlign w:val="center"/>
          </w:tcPr>
          <w:p>
            <w:pPr>
              <w:spacing w:line="300" w:lineRule="exact"/>
              <w:jc w:val="center"/>
              <w:rPr>
                <w:rFonts w:ascii="宋体" w:hAnsi="宋体" w:eastAsia="方正仿宋_GBK" w:cs="方正仿宋_GBK"/>
                <w:bCs/>
                <w:color w:val="000000"/>
              </w:rPr>
            </w:pPr>
            <w:r>
              <w:rPr>
                <w:rFonts w:hint="eastAsia" w:ascii="宋体" w:hAnsi="宋体" w:eastAsia="方正仿宋_GBK" w:cs="方正仿宋_GBK"/>
                <w:bCs/>
                <w:color w:val="000000"/>
              </w:rPr>
              <w:t>12</w:t>
            </w:r>
          </w:p>
        </w:tc>
        <w:tc>
          <w:tcPr>
            <w:tcW w:w="1933"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电子商务经营者自行终止从事电子商务，未按规定在首页显著位置持续公示有关信息</w:t>
            </w:r>
          </w:p>
          <w:p>
            <w:pPr>
              <w:spacing w:line="300" w:lineRule="exact"/>
              <w:jc w:val="left"/>
              <w:rPr>
                <w:rFonts w:ascii="宋体" w:hAnsi="宋体" w:eastAsia="方正仿宋_GBK" w:cs="方正仿宋_GBK"/>
                <w:bCs/>
                <w:color w:val="000000"/>
                <w:sz w:val="15"/>
                <w:szCs w:val="15"/>
              </w:rPr>
            </w:pPr>
          </w:p>
        </w:tc>
        <w:tc>
          <w:tcPr>
            <w:tcW w:w="5178"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《中华人民共和国电子商务法》</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第十六条  电子商务经营者自行终止从事电子商务的，应当提前三十日在首页显著位置持续公示有关信息。</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第七十六条第一款第二项  电子商务经营者违反本法规定，有下列行为之一的，由市场监督管理部门责令限期改正，可以处一万元以下的罚款，对其中的电子商务平台经营者，依照本法第八十一条第一款的规定处罚：（二）未在首页显著位置持续公示终止电子商务的有关信息的。</w:t>
            </w:r>
          </w:p>
        </w:tc>
        <w:tc>
          <w:tcPr>
            <w:tcW w:w="1843" w:type="dxa"/>
            <w:noWrap w:val="0"/>
            <w:vAlign w:val="top"/>
          </w:tcPr>
          <w:p>
            <w:pPr>
              <w:rPr>
                <w:rFonts w:ascii="Times New Roman" w:hAnsi="Times New Roman" w:cs="Times New Roman"/>
              </w:rPr>
            </w:pPr>
          </w:p>
        </w:tc>
        <w:tc>
          <w:tcPr>
            <w:tcW w:w="2410"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1.初次被发现实施此类违法行为；</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2.在市场监管部门责令改正期限内改正。</w:t>
            </w:r>
          </w:p>
        </w:tc>
        <w:tc>
          <w:tcPr>
            <w:tcW w:w="1559" w:type="dxa"/>
            <w:noWrap w:val="0"/>
            <w:vAlign w:val="top"/>
          </w:tcPr>
          <w:p>
            <w:pP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722" w:type="dxa"/>
            <w:noWrap w:val="0"/>
            <w:vAlign w:val="center"/>
          </w:tcPr>
          <w:p>
            <w:pPr>
              <w:spacing w:line="300" w:lineRule="exact"/>
              <w:jc w:val="center"/>
              <w:rPr>
                <w:rFonts w:ascii="宋体" w:hAnsi="宋体" w:eastAsia="方正仿宋_GBK" w:cs="方正仿宋_GBK"/>
                <w:bCs/>
                <w:color w:val="000000"/>
              </w:rPr>
            </w:pPr>
            <w:r>
              <w:rPr>
                <w:rFonts w:hint="eastAsia" w:ascii="宋体" w:hAnsi="宋体" w:eastAsia="方正仿宋_GBK" w:cs="方正仿宋_GBK"/>
                <w:bCs/>
                <w:color w:val="000000"/>
              </w:rPr>
              <w:t>13</w:t>
            </w:r>
          </w:p>
        </w:tc>
        <w:tc>
          <w:tcPr>
            <w:tcW w:w="1933"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电子商务经营者未明示用户信息查询、更正、删除以及用户注销的方式、程序，或者对用户信息查询、更正、删除以及用户注销设置不合理条件</w:t>
            </w:r>
          </w:p>
          <w:p>
            <w:pPr>
              <w:spacing w:line="300" w:lineRule="exact"/>
              <w:jc w:val="left"/>
              <w:rPr>
                <w:rFonts w:ascii="宋体" w:hAnsi="宋体" w:eastAsia="方正仿宋_GBK" w:cs="方正仿宋_GBK"/>
                <w:bCs/>
                <w:color w:val="000000"/>
                <w:sz w:val="15"/>
                <w:szCs w:val="15"/>
              </w:rPr>
            </w:pPr>
          </w:p>
        </w:tc>
        <w:tc>
          <w:tcPr>
            <w:tcW w:w="5178"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《中华人民共和国电子商务法》</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第二十四条第一款  电子商务经营者应当明示用户信息查询、更正、删除以及用户注销的方式、程序，不得对用户信息查询、更正、删除以及用户注销设置不合理条件。</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第七十六条第一款第三项  电子商务经营者违反本法规定，有下列行为之一的，由市场监督管理部门责令限期改正，可以处一万元以下的罚款，对其中的电子商务平台经营者，依照本法第八十一条第一款的规定处罚：（三）未明示用户信息查询、更正、删除以及用户注销的方式、程序，或者对用户信息查询、更正、删除以及用户注销设置不合理条件的。</w:t>
            </w:r>
          </w:p>
        </w:tc>
        <w:tc>
          <w:tcPr>
            <w:tcW w:w="1843" w:type="dxa"/>
            <w:noWrap w:val="0"/>
            <w:vAlign w:val="top"/>
          </w:tcPr>
          <w:p>
            <w:pPr>
              <w:rPr>
                <w:rFonts w:ascii="Times New Roman" w:hAnsi="Times New Roman" w:cs="Times New Roman"/>
              </w:rPr>
            </w:pPr>
          </w:p>
        </w:tc>
        <w:tc>
          <w:tcPr>
            <w:tcW w:w="2410"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1.初次被发现实施此类违法行为；</w:t>
            </w:r>
          </w:p>
          <w:p>
            <w:pPr>
              <w:spacing w:line="300" w:lineRule="exact"/>
              <w:jc w:val="left"/>
              <w:rPr>
                <w:rFonts w:ascii="宋体" w:hAnsi="宋体" w:eastAsia="方正仿宋_GBK" w:cs="方正仿宋_GBK"/>
                <w:bCs/>
                <w:color w:val="000000"/>
              </w:rPr>
            </w:pPr>
            <w:r>
              <w:rPr>
                <w:rFonts w:hint="eastAsia" w:ascii="宋体" w:hAnsi="宋体" w:eastAsia="方正仿宋_GBK" w:cs="方正仿宋_GBK"/>
                <w:bCs/>
                <w:color w:val="000000"/>
                <w:sz w:val="15"/>
                <w:szCs w:val="15"/>
              </w:rPr>
              <w:t>2.在市场监管部门责令改正期限内改正。</w:t>
            </w:r>
          </w:p>
        </w:tc>
        <w:tc>
          <w:tcPr>
            <w:tcW w:w="1559" w:type="dxa"/>
            <w:noWrap w:val="0"/>
            <w:vAlign w:val="top"/>
          </w:tcPr>
          <w:p>
            <w:pP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722" w:type="dxa"/>
            <w:noWrap w:val="0"/>
            <w:vAlign w:val="center"/>
          </w:tcPr>
          <w:p>
            <w:pPr>
              <w:spacing w:line="300" w:lineRule="exact"/>
              <w:jc w:val="center"/>
              <w:rPr>
                <w:rFonts w:ascii="宋体" w:hAnsi="宋体" w:eastAsia="方正仿宋_GBK" w:cs="方正仿宋_GBK"/>
                <w:bCs/>
                <w:color w:val="000000"/>
              </w:rPr>
            </w:pPr>
            <w:r>
              <w:rPr>
                <w:rFonts w:hint="eastAsia" w:ascii="宋体" w:hAnsi="宋体" w:eastAsia="方正仿宋_GBK" w:cs="方正仿宋_GBK"/>
                <w:bCs/>
                <w:color w:val="000000"/>
              </w:rPr>
              <w:t>14</w:t>
            </w:r>
          </w:p>
        </w:tc>
        <w:tc>
          <w:tcPr>
            <w:tcW w:w="1933"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kern w:val="0"/>
                <w:sz w:val="15"/>
                <w:szCs w:val="15"/>
                <w:lang w:bidi="ar"/>
              </w:rPr>
              <w:t>将未注册商标冒充注册商标使用的</w:t>
            </w:r>
          </w:p>
        </w:tc>
        <w:tc>
          <w:tcPr>
            <w:tcW w:w="5178" w:type="dxa"/>
            <w:noWrap w:val="0"/>
            <w:vAlign w:val="center"/>
          </w:tcPr>
          <w:p>
            <w:pPr>
              <w:spacing w:line="300" w:lineRule="exact"/>
              <w:jc w:val="left"/>
              <w:rPr>
                <w:rFonts w:ascii="宋体" w:hAnsi="宋体" w:eastAsia="方正仿宋_GBK" w:cs="方正仿宋_GBK"/>
                <w:kern w:val="0"/>
                <w:sz w:val="15"/>
                <w:szCs w:val="15"/>
                <w:lang w:bidi="ar"/>
              </w:rPr>
            </w:pPr>
            <w:r>
              <w:rPr>
                <w:rFonts w:hint="eastAsia" w:ascii="宋体" w:hAnsi="宋体" w:eastAsia="方正仿宋_GBK" w:cs="方正仿宋_GBK"/>
                <w:kern w:val="0"/>
                <w:sz w:val="15"/>
                <w:szCs w:val="15"/>
                <w:lang w:bidi="ar"/>
              </w:rPr>
              <w:t>《中华人民共和国商标法》</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kern w:val="0"/>
                <w:sz w:val="15"/>
                <w:szCs w:val="15"/>
                <w:lang w:bidi="ar"/>
              </w:rPr>
              <w:t>第五十二条 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tc>
        <w:tc>
          <w:tcPr>
            <w:tcW w:w="1843" w:type="dxa"/>
            <w:noWrap w:val="0"/>
            <w:vAlign w:val="top"/>
          </w:tcPr>
          <w:p>
            <w:pPr>
              <w:rPr>
                <w:rFonts w:ascii="Times New Roman" w:hAnsi="Times New Roman" w:cs="Times New Roman"/>
              </w:rPr>
            </w:pPr>
          </w:p>
        </w:tc>
        <w:tc>
          <w:tcPr>
            <w:tcW w:w="2410" w:type="dxa"/>
            <w:noWrap w:val="0"/>
            <w:vAlign w:val="center"/>
          </w:tcPr>
          <w:p>
            <w:pPr>
              <w:widowControl/>
              <w:jc w:val="left"/>
              <w:textAlignment w:val="center"/>
              <w:rPr>
                <w:rFonts w:ascii="宋体" w:hAnsi="宋体" w:eastAsia="方正仿宋_GBK" w:cs="方正仿宋_GBK"/>
                <w:kern w:val="0"/>
                <w:sz w:val="15"/>
                <w:szCs w:val="15"/>
                <w:lang w:bidi="ar"/>
              </w:rPr>
            </w:pPr>
            <w:r>
              <w:rPr>
                <w:rFonts w:hint="eastAsia" w:ascii="宋体" w:hAnsi="宋体" w:eastAsia="方正仿宋_GBK" w:cs="方正仿宋_GBK"/>
                <w:kern w:val="0"/>
                <w:sz w:val="15"/>
                <w:szCs w:val="15"/>
                <w:lang w:bidi="ar"/>
              </w:rPr>
              <w:t>1.初次被发现实施此类违法行为，且违法行为持续时间不超过6个月；</w:t>
            </w:r>
          </w:p>
          <w:p>
            <w:pPr>
              <w:spacing w:line="300" w:lineRule="exact"/>
              <w:jc w:val="left"/>
              <w:rPr>
                <w:rFonts w:ascii="宋体" w:hAnsi="宋体" w:eastAsia="方正仿宋_GBK" w:cs="方正仿宋_GBK"/>
                <w:kern w:val="0"/>
                <w:sz w:val="15"/>
                <w:szCs w:val="15"/>
                <w:lang w:bidi="ar"/>
              </w:rPr>
            </w:pPr>
            <w:r>
              <w:rPr>
                <w:rFonts w:hint="eastAsia" w:ascii="宋体" w:hAnsi="宋体" w:eastAsia="方正仿宋_GBK" w:cs="方正仿宋_GBK"/>
                <w:kern w:val="0"/>
                <w:sz w:val="15"/>
                <w:szCs w:val="15"/>
                <w:lang w:bidi="ar"/>
              </w:rPr>
              <w:t>2.没有违法经营额或者违法经营额不足2000元；</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kern w:val="0"/>
                <w:sz w:val="15"/>
                <w:szCs w:val="15"/>
                <w:lang w:bidi="ar"/>
              </w:rPr>
              <w:t>3.</w:t>
            </w:r>
            <w:r>
              <w:rPr>
                <w:rFonts w:hint="eastAsia" w:ascii="宋体" w:hAnsi="宋体" w:eastAsia="方正仿宋_GBK" w:cs="方正仿宋_GBK"/>
                <w:bCs/>
                <w:color w:val="000000"/>
                <w:sz w:val="15"/>
                <w:szCs w:val="15"/>
              </w:rPr>
              <w:t>在市场监管部门责令改正期限内改正。</w:t>
            </w:r>
          </w:p>
        </w:tc>
        <w:tc>
          <w:tcPr>
            <w:tcW w:w="1559" w:type="dxa"/>
            <w:noWrap w:val="0"/>
            <w:vAlign w:val="top"/>
          </w:tcPr>
          <w:p>
            <w:pP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722" w:type="dxa"/>
            <w:noWrap w:val="0"/>
            <w:vAlign w:val="center"/>
          </w:tcPr>
          <w:p>
            <w:pPr>
              <w:spacing w:line="300" w:lineRule="exact"/>
              <w:jc w:val="center"/>
              <w:rPr>
                <w:rFonts w:ascii="宋体" w:hAnsi="宋体" w:eastAsia="方正仿宋_GBK" w:cs="方正仿宋_GBK"/>
                <w:bCs/>
                <w:color w:val="000000"/>
              </w:rPr>
            </w:pPr>
            <w:r>
              <w:rPr>
                <w:rFonts w:hint="eastAsia" w:ascii="宋体" w:hAnsi="宋体" w:eastAsia="方正仿宋_GBK" w:cs="方正仿宋_GBK"/>
                <w:bCs/>
                <w:color w:val="000000"/>
              </w:rPr>
              <w:t>15</w:t>
            </w:r>
          </w:p>
        </w:tc>
        <w:tc>
          <w:tcPr>
            <w:tcW w:w="1933"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驰名商标所有人在自建网站和自有经营场所使用“驰名商标”字样用于宣传的</w:t>
            </w:r>
          </w:p>
          <w:p>
            <w:pPr>
              <w:spacing w:line="300" w:lineRule="exact"/>
              <w:jc w:val="left"/>
              <w:rPr>
                <w:rFonts w:ascii="宋体" w:hAnsi="宋体" w:eastAsia="方正仿宋_GBK" w:cs="方正仿宋_GBK"/>
                <w:bCs/>
                <w:color w:val="000000"/>
                <w:sz w:val="15"/>
                <w:szCs w:val="15"/>
              </w:rPr>
            </w:pPr>
          </w:p>
        </w:tc>
        <w:tc>
          <w:tcPr>
            <w:tcW w:w="5178"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《中华人民共和国商标法》</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第十四条第五款  生产、经营者不得将“驰名商标”字样用于商品、商品包装或者容器上，或者用于广告宣传、展览以及其他商业活动中。</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第五十三条  违反本法第十四条第五款规定的，由地方工商行政管理部门责令改正，处十万元罚款。</w:t>
            </w:r>
          </w:p>
        </w:tc>
        <w:tc>
          <w:tcPr>
            <w:tcW w:w="1843" w:type="dxa"/>
            <w:noWrap w:val="0"/>
            <w:vAlign w:val="top"/>
          </w:tcPr>
          <w:p>
            <w:pPr>
              <w:rPr>
                <w:rFonts w:ascii="Times New Roman" w:hAnsi="Times New Roman" w:cs="Times New Roman"/>
              </w:rPr>
            </w:pPr>
          </w:p>
        </w:tc>
        <w:tc>
          <w:tcPr>
            <w:tcW w:w="2410"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1.初次被发现实施此类违法行为；</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2.在市场监管部门责令改正期限内改正。</w:t>
            </w:r>
          </w:p>
        </w:tc>
        <w:tc>
          <w:tcPr>
            <w:tcW w:w="1559" w:type="dxa"/>
            <w:noWrap w:val="0"/>
            <w:vAlign w:val="top"/>
          </w:tcPr>
          <w:p>
            <w:pP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722" w:type="dxa"/>
            <w:noWrap w:val="0"/>
            <w:vAlign w:val="center"/>
          </w:tcPr>
          <w:p>
            <w:pPr>
              <w:spacing w:line="300" w:lineRule="exact"/>
              <w:jc w:val="center"/>
              <w:rPr>
                <w:rFonts w:ascii="宋体" w:hAnsi="宋体" w:eastAsia="方正仿宋_GBK" w:cs="方正仿宋_GBK"/>
                <w:bCs/>
                <w:color w:val="000000"/>
              </w:rPr>
            </w:pPr>
            <w:r>
              <w:rPr>
                <w:rFonts w:hint="eastAsia" w:ascii="宋体" w:hAnsi="宋体" w:eastAsia="方正仿宋_GBK" w:cs="方正仿宋_GBK"/>
                <w:bCs/>
                <w:color w:val="000000"/>
              </w:rPr>
              <w:t>16</w:t>
            </w:r>
          </w:p>
        </w:tc>
        <w:tc>
          <w:tcPr>
            <w:tcW w:w="1933" w:type="dxa"/>
            <w:noWrap w:val="0"/>
            <w:vAlign w:val="center"/>
          </w:tcPr>
          <w:p>
            <w:pPr>
              <w:spacing w:line="300" w:lineRule="exac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专利代理机构合伙人、股东或者法定代表人等事项发生变化未办理变更手续的</w:t>
            </w:r>
          </w:p>
          <w:p>
            <w:pPr>
              <w:spacing w:line="300" w:lineRule="exact"/>
              <w:rPr>
                <w:rFonts w:ascii="宋体" w:hAnsi="宋体" w:eastAsia="方正仿宋_GBK" w:cs="方正仿宋_GBK"/>
                <w:bCs/>
                <w:color w:val="000000"/>
                <w:sz w:val="15"/>
                <w:szCs w:val="15"/>
              </w:rPr>
            </w:pPr>
          </w:p>
        </w:tc>
        <w:tc>
          <w:tcPr>
            <w:tcW w:w="5178"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《专利代理条例》第九条第二款 专利代理机构合伙人、股东或者法定代表人等事项发生变化的，应当办理变更手续。</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第二十五条第一款第一项　专利代理机构有下列行为之一的，由省、自治区、直辖市人民政府管理专利工作的部门责令限期改正，予以警告，可以处10万元以下的罚款；情节严重或者逾期未改正的，由国务院专利行政部门责令停止承接新的专利代理业务6个月至12个月，直至吊销专利代理机构执业许可证：（一）合伙人、股东或者法定代表人等事项发生变化未办理变更手续。</w:t>
            </w:r>
          </w:p>
        </w:tc>
        <w:tc>
          <w:tcPr>
            <w:tcW w:w="1843" w:type="dxa"/>
            <w:noWrap w:val="0"/>
            <w:vAlign w:val="top"/>
          </w:tcPr>
          <w:p>
            <w:pPr>
              <w:rPr>
                <w:rFonts w:ascii="Times New Roman" w:hAnsi="Times New Roman" w:cs="Times New Roman"/>
              </w:rPr>
            </w:pPr>
          </w:p>
        </w:tc>
        <w:tc>
          <w:tcPr>
            <w:tcW w:w="2410"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1.初次被发现实施此类违法行为；</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2.在市场监管部门责令改正期限内改正。</w:t>
            </w:r>
          </w:p>
        </w:tc>
        <w:tc>
          <w:tcPr>
            <w:tcW w:w="1559" w:type="dxa"/>
            <w:noWrap w:val="0"/>
            <w:vAlign w:val="top"/>
          </w:tcPr>
          <w:p>
            <w:pP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722" w:type="dxa"/>
            <w:noWrap w:val="0"/>
            <w:vAlign w:val="center"/>
          </w:tcPr>
          <w:p>
            <w:pPr>
              <w:spacing w:line="300" w:lineRule="exact"/>
              <w:jc w:val="center"/>
              <w:rPr>
                <w:rFonts w:ascii="宋体" w:hAnsi="宋体" w:eastAsia="方正仿宋_GBK" w:cs="方正仿宋_GBK"/>
                <w:bCs/>
                <w:color w:val="000000"/>
              </w:rPr>
            </w:pPr>
            <w:r>
              <w:rPr>
                <w:rFonts w:hint="eastAsia" w:ascii="宋体" w:hAnsi="宋体" w:eastAsia="方正仿宋_GBK" w:cs="方正仿宋_GBK"/>
                <w:bCs/>
                <w:color w:val="000000"/>
              </w:rPr>
              <w:t>17</w:t>
            </w:r>
          </w:p>
        </w:tc>
        <w:tc>
          <w:tcPr>
            <w:tcW w:w="1933" w:type="dxa"/>
            <w:noWrap w:val="0"/>
            <w:vAlign w:val="center"/>
          </w:tcPr>
          <w:p>
            <w:pPr>
              <w:spacing w:line="300" w:lineRule="exac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专利代理师首次执业未依照规定进行备案</w:t>
            </w:r>
          </w:p>
          <w:p>
            <w:pPr>
              <w:spacing w:line="300" w:lineRule="exact"/>
              <w:rPr>
                <w:rFonts w:ascii="宋体" w:hAnsi="宋体" w:eastAsia="方正仿宋_GBK" w:cs="方正仿宋_GBK"/>
                <w:bCs/>
                <w:color w:val="000000"/>
                <w:sz w:val="15"/>
                <w:szCs w:val="15"/>
              </w:rPr>
            </w:pPr>
          </w:p>
        </w:tc>
        <w:tc>
          <w:tcPr>
            <w:tcW w:w="5178"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《专利代理条例》第十二条第一款　专利代理师首次执业，应当自执业之日起30日内向专利代理机构所在地省、自治区、直辖市人民政府管理专利工作的部门备案。</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第二十六条第一款第一项　专利代理师有下列行为之一的，由省、自治区、直辖市人民政府管理专利工作的部门责令限期改正，予以警告，可以处5万元以下的罚款；情节严重或者逾期未改正的，由国务院专利行政部门责令停止承办新的专利代理业务6个月至12个月，直至吊销专利代理师资格证：（一）未依照本条例规定进行备案。</w:t>
            </w:r>
          </w:p>
        </w:tc>
        <w:tc>
          <w:tcPr>
            <w:tcW w:w="1843" w:type="dxa"/>
            <w:noWrap w:val="0"/>
            <w:vAlign w:val="top"/>
          </w:tcPr>
          <w:p>
            <w:pPr>
              <w:rPr>
                <w:rFonts w:ascii="Times New Roman" w:hAnsi="Times New Roman" w:cs="Times New Roman"/>
              </w:rPr>
            </w:pPr>
          </w:p>
        </w:tc>
        <w:tc>
          <w:tcPr>
            <w:tcW w:w="2410"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1.初次被发现实施此类违法行为；</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2.在市场监管部门责令改正期限内改正。</w:t>
            </w:r>
          </w:p>
        </w:tc>
        <w:tc>
          <w:tcPr>
            <w:tcW w:w="1559" w:type="dxa"/>
            <w:noWrap w:val="0"/>
            <w:vAlign w:val="top"/>
          </w:tcPr>
          <w:p>
            <w:pP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722" w:type="dxa"/>
            <w:noWrap w:val="0"/>
            <w:vAlign w:val="center"/>
          </w:tcPr>
          <w:p>
            <w:pPr>
              <w:spacing w:line="300" w:lineRule="exact"/>
              <w:jc w:val="center"/>
              <w:rPr>
                <w:rFonts w:ascii="宋体" w:hAnsi="宋体" w:eastAsia="方正仿宋_GBK" w:cs="方正仿宋_GBK"/>
                <w:bCs/>
                <w:color w:val="000000"/>
              </w:rPr>
            </w:pPr>
            <w:r>
              <w:rPr>
                <w:rFonts w:hint="eastAsia" w:ascii="宋体" w:hAnsi="宋体" w:eastAsia="方正仿宋_GBK" w:cs="方正仿宋_GBK"/>
                <w:bCs/>
                <w:color w:val="000000"/>
              </w:rPr>
              <w:t>18</w:t>
            </w:r>
          </w:p>
        </w:tc>
        <w:tc>
          <w:tcPr>
            <w:tcW w:w="1933"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商标印制档案及商标标识出入库台帐未按要求存档备查的</w:t>
            </w:r>
          </w:p>
          <w:p>
            <w:pPr>
              <w:spacing w:line="300" w:lineRule="exact"/>
              <w:jc w:val="left"/>
              <w:rPr>
                <w:rFonts w:ascii="宋体" w:hAnsi="宋体" w:eastAsia="方正仿宋_GBK" w:cs="方正仿宋_GBK"/>
                <w:bCs/>
                <w:color w:val="000000"/>
                <w:sz w:val="15"/>
                <w:szCs w:val="15"/>
              </w:rPr>
            </w:pPr>
          </w:p>
        </w:tc>
        <w:tc>
          <w:tcPr>
            <w:tcW w:w="5178"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《商标印制管理办法》</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第十条  商标印制档案及商标标识出入库台帐应当存档备查，存查期为两年。</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第十一条  商标印制单位违反本办法第七条至第十条规定的，由所在地市场监督管理部门责令其限期改正，并视其情节予以警告，处以非法所得额三倍以下的罚款，但最高不超过三万元，没有违法所得的，可以处以一万元以下的罚款。</w:t>
            </w:r>
          </w:p>
        </w:tc>
        <w:tc>
          <w:tcPr>
            <w:tcW w:w="1843" w:type="dxa"/>
            <w:noWrap w:val="0"/>
            <w:vAlign w:val="top"/>
          </w:tcPr>
          <w:p>
            <w:pPr>
              <w:rPr>
                <w:rFonts w:ascii="Times New Roman" w:hAnsi="Times New Roman" w:cs="Times New Roman"/>
              </w:rPr>
            </w:pPr>
          </w:p>
        </w:tc>
        <w:tc>
          <w:tcPr>
            <w:tcW w:w="2410"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1.初次被发现实施此类违法行为；</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2.在市场监管部门责令改正期限内改正。</w:t>
            </w:r>
          </w:p>
        </w:tc>
        <w:tc>
          <w:tcPr>
            <w:tcW w:w="1559" w:type="dxa"/>
            <w:noWrap w:val="0"/>
            <w:vAlign w:val="top"/>
          </w:tcPr>
          <w:p>
            <w:pP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722" w:type="dxa"/>
            <w:noWrap w:val="0"/>
            <w:vAlign w:val="center"/>
          </w:tcPr>
          <w:p>
            <w:pPr>
              <w:widowControl/>
              <w:jc w:val="center"/>
              <w:textAlignment w:val="center"/>
              <w:rPr>
                <w:rFonts w:ascii="宋体" w:hAnsi="宋体" w:eastAsia="方正仿宋_GBK" w:cs="方正仿宋_GBK"/>
                <w:b/>
                <w:color w:val="000000"/>
              </w:rPr>
            </w:pPr>
            <w:r>
              <w:rPr>
                <w:rFonts w:hint="eastAsia" w:ascii="宋体" w:hAnsi="宋体" w:eastAsia="方正仿宋_GBK" w:cs="方正仿宋_GBK"/>
                <w:bCs/>
                <w:color w:val="000000"/>
              </w:rPr>
              <w:t>19</w:t>
            </w:r>
          </w:p>
        </w:tc>
        <w:tc>
          <w:tcPr>
            <w:tcW w:w="1933" w:type="dxa"/>
            <w:noWrap w:val="0"/>
            <w:vAlign w:val="center"/>
          </w:tcPr>
          <w:p>
            <w:pPr>
              <w:widowControl/>
              <w:jc w:val="left"/>
              <w:textAlignment w:val="center"/>
              <w:rPr>
                <w:rFonts w:ascii="宋体" w:hAnsi="宋体" w:eastAsia="方正仿宋_GBK" w:cs="方正仿宋_GBK"/>
                <w:color w:val="000000"/>
                <w:kern w:val="0"/>
                <w:sz w:val="15"/>
                <w:szCs w:val="15"/>
                <w:lang w:bidi="ar"/>
              </w:rPr>
            </w:pPr>
            <w:r>
              <w:rPr>
                <w:rFonts w:hint="eastAsia" w:ascii="宋体" w:hAnsi="宋体" w:eastAsia="方正仿宋_GBK" w:cs="方正仿宋_GBK"/>
                <w:color w:val="000000"/>
                <w:kern w:val="0"/>
                <w:sz w:val="15"/>
                <w:szCs w:val="15"/>
                <w:lang w:bidi="ar"/>
              </w:rPr>
              <w:t>对企事业单位的各项最高计量标准，未经有关人民政府计量行政部门考核合格而开展计量检定的</w:t>
            </w:r>
          </w:p>
          <w:p>
            <w:pPr>
              <w:widowControl/>
              <w:jc w:val="left"/>
              <w:textAlignment w:val="center"/>
              <w:rPr>
                <w:rFonts w:ascii="宋体" w:hAnsi="宋体" w:eastAsia="方正仿宋_GBK" w:cs="方正仿宋_GBK"/>
                <w:color w:val="000000"/>
                <w:kern w:val="0"/>
                <w:lang w:bidi="ar"/>
              </w:rPr>
            </w:pPr>
          </w:p>
        </w:tc>
        <w:tc>
          <w:tcPr>
            <w:tcW w:w="5178" w:type="dxa"/>
            <w:noWrap w:val="0"/>
            <w:vAlign w:val="top"/>
          </w:tcPr>
          <w:p>
            <w:pPr>
              <w:widowControl/>
              <w:jc w:val="left"/>
              <w:textAlignment w:val="center"/>
              <w:rPr>
                <w:rFonts w:ascii="宋体" w:hAnsi="宋体" w:eastAsia="方正仿宋_GBK" w:cs="方正仿宋_GBK"/>
                <w:color w:val="000000"/>
                <w:kern w:val="0"/>
                <w:sz w:val="15"/>
                <w:szCs w:val="15"/>
                <w:lang w:bidi="ar"/>
              </w:rPr>
            </w:pPr>
            <w:r>
              <w:rPr>
                <w:rFonts w:hint="eastAsia" w:ascii="宋体" w:hAnsi="宋体" w:eastAsia="方正仿宋_GBK" w:cs="方正仿宋_GBK"/>
                <w:color w:val="000000"/>
                <w:kern w:val="0"/>
                <w:sz w:val="15"/>
                <w:szCs w:val="15"/>
                <w:lang w:bidi="ar"/>
              </w:rPr>
              <w:t>《中华人民共和国计量法》第八条　企业、事业单位根据需要，可以建立本单位使用的计量标准器具，其各项最高计量标准器具经有关人民政府计量行政部门主持考核合格后使用。</w:t>
            </w:r>
            <w:r>
              <w:rPr>
                <w:rFonts w:hint="eastAsia" w:ascii="宋体" w:hAnsi="宋体" w:eastAsia="方正仿宋_GBK" w:cs="方正仿宋_GBK"/>
                <w:color w:val="000000"/>
                <w:kern w:val="0"/>
                <w:sz w:val="15"/>
                <w:szCs w:val="15"/>
                <w:lang w:bidi="ar"/>
              </w:rPr>
              <w:br w:type="textWrapping"/>
            </w:r>
            <w:r>
              <w:rPr>
                <w:rFonts w:hint="eastAsia" w:ascii="宋体" w:hAnsi="宋体" w:eastAsia="方正仿宋_GBK" w:cs="方正仿宋_GBK"/>
                <w:color w:val="000000"/>
                <w:kern w:val="0"/>
                <w:sz w:val="15"/>
                <w:szCs w:val="15"/>
                <w:lang w:bidi="ar"/>
              </w:rPr>
              <w:t>《中华人民共和国计量法实施细则》第九条　国务院有关主管部门和省、自治区、直辖市人民政府有关主管部门建立的本部门各项最高计量标准，经同级人民政府计量行政部门考核，符合本细则第七条,</w:t>
            </w:r>
            <w:r>
              <w:rPr>
                <w:rFonts w:hint="eastAsia" w:ascii="宋体" w:hAnsi="宋体" w:eastAsia="方正仿宋_GBK" w:cs="方正仿宋_GBK"/>
                <w:color w:val="000000"/>
                <w:kern w:val="0"/>
                <w:lang w:bidi="ar"/>
              </w:rPr>
              <w:t xml:space="preserve"> </w:t>
            </w:r>
            <w:r>
              <w:rPr>
                <w:rFonts w:hint="eastAsia" w:ascii="宋体" w:hAnsi="宋体" w:eastAsia="方正仿宋_GBK" w:cs="方正仿宋_GBK"/>
                <w:color w:val="000000"/>
                <w:kern w:val="0"/>
                <w:sz w:val="15"/>
                <w:szCs w:val="15"/>
                <w:lang w:bidi="ar"/>
              </w:rPr>
              <w:t>规定条件并取得考核合格证的，由有关主管部门批准使用。</w:t>
            </w:r>
            <w:r>
              <w:rPr>
                <w:rFonts w:hint="eastAsia" w:ascii="宋体" w:hAnsi="宋体" w:eastAsia="方正仿宋_GBK" w:cs="方正仿宋_GBK"/>
                <w:color w:val="000000"/>
                <w:kern w:val="0"/>
                <w:sz w:val="15"/>
                <w:szCs w:val="15"/>
                <w:lang w:bidi="ar"/>
              </w:rPr>
              <w:br w:type="textWrapping"/>
            </w:r>
            <w:r>
              <w:rPr>
                <w:rFonts w:hint="eastAsia" w:ascii="宋体" w:hAnsi="宋体" w:eastAsia="方正仿宋_GBK" w:cs="方正仿宋_GBK"/>
                <w:color w:val="000000"/>
                <w:kern w:val="0"/>
                <w:sz w:val="15"/>
                <w:szCs w:val="15"/>
                <w:lang w:bidi="ar"/>
              </w:rPr>
              <w:t>第四十二条　部门和企业、事业单位的各项最高计量标准，未经有关人民政府计量行政部门考核合格而开展计量检定的，责令其停止使用，可并处1000元以下的罚款。</w:t>
            </w:r>
          </w:p>
        </w:tc>
        <w:tc>
          <w:tcPr>
            <w:tcW w:w="1843" w:type="dxa"/>
            <w:noWrap w:val="0"/>
            <w:vAlign w:val="top"/>
          </w:tcPr>
          <w:p>
            <w:pPr>
              <w:rPr>
                <w:rFonts w:ascii="Times New Roman" w:hAnsi="Times New Roman" w:cs="Times New Roman"/>
              </w:rPr>
            </w:pPr>
          </w:p>
        </w:tc>
        <w:tc>
          <w:tcPr>
            <w:tcW w:w="2410" w:type="dxa"/>
            <w:noWrap w:val="0"/>
            <w:vAlign w:val="center"/>
          </w:tcPr>
          <w:p>
            <w:pPr>
              <w:widowControl/>
              <w:jc w:val="left"/>
              <w:textAlignment w:val="center"/>
              <w:rPr>
                <w:rFonts w:ascii="宋体" w:hAnsi="宋体" w:eastAsia="方正仿宋_GBK" w:cs="方正仿宋_GBK"/>
                <w:color w:val="000000"/>
                <w:kern w:val="0"/>
                <w:sz w:val="15"/>
                <w:szCs w:val="15"/>
                <w:lang w:bidi="ar"/>
              </w:rPr>
            </w:pPr>
            <w:r>
              <w:rPr>
                <w:rFonts w:hint="eastAsia" w:ascii="宋体" w:hAnsi="宋体" w:eastAsia="方正仿宋_GBK" w:cs="方正仿宋_GBK"/>
                <w:color w:val="000000"/>
                <w:kern w:val="0"/>
                <w:sz w:val="15"/>
                <w:szCs w:val="15"/>
                <w:lang w:bidi="ar"/>
              </w:rPr>
              <w:t>1.初次被发现实施此类违法行为；</w:t>
            </w:r>
          </w:p>
          <w:p>
            <w:pPr>
              <w:widowControl/>
              <w:jc w:val="left"/>
              <w:textAlignment w:val="center"/>
              <w:rPr>
                <w:rFonts w:ascii="宋体" w:hAnsi="宋体" w:eastAsia="方正仿宋_GBK" w:cs="方正仿宋_GBK"/>
                <w:color w:val="000000"/>
                <w:kern w:val="0"/>
                <w:sz w:val="15"/>
                <w:szCs w:val="15"/>
                <w:lang w:bidi="ar"/>
              </w:rPr>
            </w:pPr>
            <w:r>
              <w:rPr>
                <w:rFonts w:hint="eastAsia" w:ascii="宋体" w:hAnsi="宋体" w:eastAsia="方正仿宋_GBK" w:cs="方正仿宋_GBK"/>
                <w:color w:val="000000"/>
                <w:kern w:val="0"/>
                <w:sz w:val="15"/>
                <w:szCs w:val="15"/>
                <w:lang w:bidi="ar"/>
              </w:rPr>
              <w:t>2.危害后果轻微；</w:t>
            </w:r>
          </w:p>
          <w:p>
            <w:pPr>
              <w:widowControl/>
              <w:jc w:val="left"/>
              <w:textAlignment w:val="center"/>
              <w:rPr>
                <w:rFonts w:ascii="宋体" w:hAnsi="宋体" w:eastAsia="方正仿宋_GBK" w:cs="方正仿宋_GBK"/>
                <w:color w:val="C00000"/>
                <w:kern w:val="0"/>
                <w:sz w:val="15"/>
                <w:szCs w:val="15"/>
                <w:lang w:bidi="ar"/>
              </w:rPr>
            </w:pPr>
            <w:r>
              <w:rPr>
                <w:rFonts w:hint="eastAsia" w:ascii="宋体" w:hAnsi="宋体" w:eastAsia="方正仿宋_GBK" w:cs="方正仿宋_GBK"/>
                <w:kern w:val="0"/>
                <w:sz w:val="15"/>
                <w:szCs w:val="15"/>
                <w:lang w:bidi="ar"/>
              </w:rPr>
              <w:t>3.计量标准考核证书有效期满，未经原发证机关复查合格而继续开展检定的（或在考核合格有效期但经检查达不到原考核条件的）；</w:t>
            </w:r>
          </w:p>
          <w:p>
            <w:pPr>
              <w:widowControl/>
              <w:jc w:val="left"/>
              <w:textAlignment w:val="center"/>
              <w:rPr>
                <w:rFonts w:ascii="宋体" w:hAnsi="宋体" w:eastAsia="方正仿宋_GBK" w:cs="方正仿宋_GBK"/>
                <w:bCs/>
                <w:color w:val="000000"/>
                <w:sz w:val="15"/>
                <w:szCs w:val="15"/>
              </w:rPr>
            </w:pPr>
            <w:r>
              <w:rPr>
                <w:rFonts w:hint="eastAsia" w:ascii="宋体" w:hAnsi="宋体" w:eastAsia="方正仿宋_GBK" w:cs="方正仿宋_GBK"/>
                <w:color w:val="000000"/>
                <w:kern w:val="0"/>
                <w:sz w:val="15"/>
                <w:szCs w:val="15"/>
                <w:lang w:bidi="ar"/>
              </w:rPr>
              <w:t>4.在市场监管部门责令改正期限内改正。</w:t>
            </w:r>
          </w:p>
        </w:tc>
        <w:tc>
          <w:tcPr>
            <w:tcW w:w="1559" w:type="dxa"/>
            <w:noWrap w:val="0"/>
            <w:vAlign w:val="top"/>
          </w:tcPr>
          <w:p>
            <w:pP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722" w:type="dxa"/>
            <w:noWrap w:val="0"/>
            <w:vAlign w:val="center"/>
          </w:tcPr>
          <w:p>
            <w:pPr>
              <w:widowControl/>
              <w:jc w:val="center"/>
              <w:textAlignment w:val="center"/>
              <w:rPr>
                <w:rFonts w:ascii="宋体" w:hAnsi="宋体" w:eastAsia="方正仿宋_GBK" w:cs="方正仿宋_GBK"/>
                <w:bCs/>
                <w:color w:val="000000"/>
              </w:rPr>
            </w:pPr>
            <w:r>
              <w:rPr>
                <w:rFonts w:hint="eastAsia" w:ascii="宋体" w:hAnsi="宋体" w:eastAsia="方正仿宋_GBK" w:cs="方正仿宋_GBK"/>
                <w:color w:val="000000"/>
                <w:kern w:val="0"/>
                <w:lang w:bidi="ar"/>
              </w:rPr>
              <w:t>20</w:t>
            </w:r>
          </w:p>
        </w:tc>
        <w:tc>
          <w:tcPr>
            <w:tcW w:w="1933" w:type="dxa"/>
            <w:noWrap w:val="0"/>
            <w:vAlign w:val="center"/>
          </w:tcPr>
          <w:p>
            <w:pPr>
              <w:widowControl/>
              <w:jc w:val="left"/>
              <w:textAlignment w:val="center"/>
              <w:rPr>
                <w:rFonts w:ascii="宋体" w:hAnsi="宋体" w:eastAsia="方正仿宋_GBK" w:cs="方正仿宋_GBK"/>
                <w:color w:val="000000"/>
                <w:kern w:val="0"/>
                <w:sz w:val="15"/>
                <w:szCs w:val="15"/>
                <w:lang w:bidi="ar"/>
              </w:rPr>
            </w:pPr>
            <w:r>
              <w:rPr>
                <w:rFonts w:hint="eastAsia" w:ascii="宋体" w:hAnsi="宋体" w:eastAsia="方正仿宋_GBK" w:cs="方正仿宋_GBK"/>
                <w:color w:val="000000"/>
                <w:kern w:val="0"/>
                <w:sz w:val="15"/>
                <w:szCs w:val="15"/>
                <w:lang w:bidi="ar"/>
              </w:rPr>
              <w:t>使用非法定计量单位的</w:t>
            </w:r>
          </w:p>
          <w:p>
            <w:pPr>
              <w:widowControl/>
              <w:jc w:val="left"/>
              <w:textAlignment w:val="center"/>
              <w:rPr>
                <w:rFonts w:ascii="宋体" w:hAnsi="宋体" w:eastAsia="方正仿宋_GBK" w:cs="方正仿宋_GBK"/>
                <w:color w:val="000000"/>
                <w:kern w:val="0"/>
                <w:sz w:val="15"/>
                <w:szCs w:val="15"/>
                <w:lang w:bidi="ar"/>
              </w:rPr>
            </w:pPr>
          </w:p>
        </w:tc>
        <w:tc>
          <w:tcPr>
            <w:tcW w:w="5178" w:type="dxa"/>
            <w:noWrap w:val="0"/>
            <w:vAlign w:val="center"/>
          </w:tcPr>
          <w:p>
            <w:pPr>
              <w:widowControl/>
              <w:jc w:val="left"/>
              <w:textAlignment w:val="center"/>
              <w:rPr>
                <w:rFonts w:ascii="宋体" w:hAnsi="宋体" w:eastAsia="方正仿宋_GBK" w:cs="方正仿宋_GBK"/>
                <w:color w:val="000000"/>
                <w:kern w:val="0"/>
                <w:sz w:val="15"/>
                <w:szCs w:val="15"/>
                <w:lang w:bidi="ar"/>
              </w:rPr>
            </w:pPr>
            <w:r>
              <w:rPr>
                <w:rFonts w:hint="eastAsia" w:ascii="宋体" w:hAnsi="宋体" w:eastAsia="方正仿宋_GBK" w:cs="方正仿宋_GBK"/>
                <w:color w:val="000000"/>
                <w:kern w:val="0"/>
                <w:sz w:val="15"/>
                <w:szCs w:val="15"/>
                <w:lang w:bidi="ar"/>
              </w:rPr>
              <w:t>《中华人民共和国计量法实施细则》</w:t>
            </w:r>
          </w:p>
          <w:p>
            <w:pPr>
              <w:widowControl/>
              <w:jc w:val="left"/>
              <w:textAlignment w:val="center"/>
              <w:rPr>
                <w:rFonts w:ascii="宋体" w:hAnsi="宋体" w:eastAsia="方正仿宋_GBK" w:cs="方正仿宋_GBK"/>
                <w:bCs/>
                <w:color w:val="000000"/>
                <w:sz w:val="15"/>
                <w:szCs w:val="15"/>
              </w:rPr>
            </w:pPr>
            <w:r>
              <w:rPr>
                <w:rFonts w:hint="eastAsia" w:ascii="宋体" w:hAnsi="宋体" w:eastAsia="方正仿宋_GBK" w:cs="方正仿宋_GBK"/>
                <w:color w:val="000000"/>
                <w:kern w:val="0"/>
                <w:sz w:val="15"/>
                <w:szCs w:val="15"/>
                <w:lang w:bidi="ar"/>
              </w:rPr>
              <w:t>第二条  国家实行法定计量单位制度。法定计量单位的名称、符号按照国务院关于在我国统一实行法定计量单位的有关规定执行。</w:t>
            </w:r>
            <w:r>
              <w:rPr>
                <w:rFonts w:hint="eastAsia" w:ascii="宋体" w:hAnsi="宋体" w:eastAsia="方正仿宋_GBK" w:cs="方正仿宋_GBK"/>
                <w:color w:val="000000"/>
                <w:kern w:val="0"/>
                <w:sz w:val="15"/>
                <w:szCs w:val="15"/>
                <w:lang w:bidi="ar"/>
              </w:rPr>
              <w:br w:type="textWrapping"/>
            </w:r>
            <w:r>
              <w:rPr>
                <w:rFonts w:hint="eastAsia" w:ascii="宋体" w:hAnsi="宋体" w:eastAsia="方正仿宋_GBK" w:cs="方正仿宋_GBK"/>
                <w:color w:val="000000"/>
                <w:kern w:val="0"/>
                <w:sz w:val="15"/>
                <w:szCs w:val="15"/>
                <w:lang w:bidi="ar"/>
              </w:rPr>
              <w:t>第四十条　违反本细则第二条规定，使用非法定计量单位的，责令其改正；属出版物的，责令其停止销售，可并处1000元以下的罚款。</w:t>
            </w:r>
          </w:p>
        </w:tc>
        <w:tc>
          <w:tcPr>
            <w:tcW w:w="1843" w:type="dxa"/>
            <w:noWrap w:val="0"/>
            <w:vAlign w:val="top"/>
          </w:tcPr>
          <w:p>
            <w:pPr>
              <w:rPr>
                <w:rFonts w:ascii="Times New Roman" w:hAnsi="Times New Roman" w:cs="Times New Roman"/>
              </w:rPr>
            </w:pPr>
          </w:p>
        </w:tc>
        <w:tc>
          <w:tcPr>
            <w:tcW w:w="2410" w:type="dxa"/>
            <w:noWrap w:val="0"/>
            <w:vAlign w:val="center"/>
          </w:tcPr>
          <w:p>
            <w:pPr>
              <w:widowControl/>
              <w:jc w:val="left"/>
              <w:textAlignment w:val="center"/>
              <w:rPr>
                <w:rFonts w:ascii="宋体" w:hAnsi="宋体" w:eastAsia="方正仿宋_GBK" w:cs="方正仿宋_GBK"/>
                <w:color w:val="000000"/>
                <w:kern w:val="0"/>
                <w:sz w:val="15"/>
                <w:szCs w:val="15"/>
                <w:lang w:bidi="ar"/>
              </w:rPr>
            </w:pPr>
            <w:r>
              <w:rPr>
                <w:rFonts w:hint="eastAsia" w:ascii="宋体" w:hAnsi="宋体" w:eastAsia="方正仿宋_GBK" w:cs="方正仿宋_GBK"/>
                <w:color w:val="000000"/>
                <w:kern w:val="0"/>
                <w:sz w:val="15"/>
                <w:szCs w:val="15"/>
                <w:lang w:bidi="ar"/>
              </w:rPr>
              <w:t>1.初次被发现实施此类违法行为；</w:t>
            </w:r>
          </w:p>
          <w:p>
            <w:pPr>
              <w:widowControl/>
              <w:jc w:val="left"/>
              <w:textAlignment w:val="center"/>
              <w:rPr>
                <w:rFonts w:ascii="宋体" w:hAnsi="宋体" w:eastAsia="方正仿宋_GBK" w:cs="方正仿宋_GBK"/>
                <w:color w:val="000000"/>
                <w:kern w:val="0"/>
                <w:sz w:val="15"/>
                <w:szCs w:val="15"/>
                <w:lang w:bidi="ar"/>
              </w:rPr>
            </w:pPr>
            <w:r>
              <w:rPr>
                <w:rFonts w:hint="eastAsia" w:ascii="宋体" w:hAnsi="宋体" w:eastAsia="方正仿宋_GBK" w:cs="方正仿宋_GBK"/>
                <w:color w:val="000000"/>
                <w:kern w:val="0"/>
                <w:sz w:val="15"/>
                <w:szCs w:val="15"/>
                <w:lang w:bidi="ar"/>
              </w:rPr>
              <w:t>2.危害后果轻微；</w:t>
            </w:r>
          </w:p>
          <w:p>
            <w:pPr>
              <w:widowControl/>
              <w:jc w:val="left"/>
              <w:textAlignment w:val="center"/>
              <w:rPr>
                <w:rFonts w:ascii="宋体" w:hAnsi="宋体" w:eastAsia="方正仿宋_GBK" w:cs="方正仿宋_GBK"/>
                <w:bCs/>
                <w:color w:val="000000"/>
                <w:sz w:val="15"/>
                <w:szCs w:val="15"/>
              </w:rPr>
            </w:pPr>
            <w:r>
              <w:rPr>
                <w:rFonts w:hint="eastAsia" w:ascii="宋体" w:hAnsi="宋体" w:eastAsia="方正仿宋_GBK" w:cs="方正仿宋_GBK"/>
                <w:color w:val="000000"/>
                <w:kern w:val="0"/>
                <w:sz w:val="15"/>
                <w:szCs w:val="15"/>
                <w:lang w:bidi="ar"/>
              </w:rPr>
              <w:t>3.在市场监管部门责令改正期限内改正。</w:t>
            </w:r>
          </w:p>
        </w:tc>
        <w:tc>
          <w:tcPr>
            <w:tcW w:w="1559" w:type="dxa"/>
            <w:noWrap w:val="0"/>
            <w:vAlign w:val="top"/>
          </w:tcPr>
          <w:p>
            <w:pP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722" w:type="dxa"/>
            <w:noWrap w:val="0"/>
            <w:vAlign w:val="center"/>
          </w:tcPr>
          <w:p>
            <w:pPr>
              <w:widowControl/>
              <w:jc w:val="center"/>
              <w:textAlignment w:val="center"/>
              <w:rPr>
                <w:rFonts w:ascii="宋体" w:hAnsi="宋体" w:eastAsia="方正仿宋_GBK" w:cs="方正仿宋_GBK"/>
                <w:color w:val="000000"/>
                <w:kern w:val="0"/>
                <w:lang w:bidi="ar"/>
              </w:rPr>
            </w:pPr>
            <w:r>
              <w:rPr>
                <w:rFonts w:hint="eastAsia" w:ascii="宋体" w:hAnsi="宋体" w:eastAsia="方正仿宋_GBK" w:cs="方正仿宋_GBK"/>
                <w:color w:val="000000"/>
                <w:kern w:val="0"/>
                <w:lang w:bidi="ar"/>
              </w:rPr>
              <w:t>21</w:t>
            </w:r>
          </w:p>
        </w:tc>
        <w:tc>
          <w:tcPr>
            <w:tcW w:w="1933" w:type="dxa"/>
            <w:noWrap w:val="0"/>
            <w:vAlign w:val="center"/>
          </w:tcPr>
          <w:p>
            <w:pPr>
              <w:widowControl/>
              <w:jc w:val="left"/>
              <w:textAlignment w:val="center"/>
              <w:rPr>
                <w:rFonts w:ascii="宋体" w:hAnsi="宋体" w:eastAsia="方正仿宋_GBK" w:cs="方正仿宋_GBK"/>
                <w:color w:val="000000"/>
                <w:kern w:val="0"/>
                <w:sz w:val="15"/>
                <w:szCs w:val="15"/>
                <w:lang w:bidi="ar"/>
              </w:rPr>
            </w:pPr>
            <w:r>
              <w:rPr>
                <w:rFonts w:hint="eastAsia" w:ascii="宋体" w:hAnsi="宋体" w:eastAsia="方正仿宋_GBK" w:cs="方正仿宋_GBK"/>
                <w:color w:val="000000"/>
                <w:kern w:val="0"/>
                <w:sz w:val="15"/>
                <w:szCs w:val="15"/>
                <w:lang w:bidi="ar"/>
              </w:rPr>
              <w:t>属于非强制检定的计量器具，未按照规定自行定期检定或超过检定周期而继续使用的，以及经检定不合格而继续使用的</w:t>
            </w:r>
          </w:p>
        </w:tc>
        <w:tc>
          <w:tcPr>
            <w:tcW w:w="5178" w:type="dxa"/>
            <w:noWrap w:val="0"/>
            <w:vAlign w:val="center"/>
          </w:tcPr>
          <w:p>
            <w:pPr>
              <w:widowControl/>
              <w:snapToGrid w:val="0"/>
              <w:jc w:val="left"/>
              <w:rPr>
                <w:rFonts w:ascii="宋体" w:hAnsi="宋体" w:eastAsia="方正仿宋_GBK" w:cs="方正仿宋_GBK"/>
                <w:color w:val="000000"/>
                <w:kern w:val="0"/>
                <w:sz w:val="15"/>
                <w:szCs w:val="15"/>
                <w:lang w:bidi="ar"/>
              </w:rPr>
            </w:pPr>
            <w:r>
              <w:rPr>
                <w:rFonts w:hint="eastAsia" w:ascii="宋体" w:hAnsi="宋体" w:eastAsia="方正仿宋_GBK" w:cs="方正仿宋_GBK"/>
                <w:color w:val="000000"/>
                <w:kern w:val="0"/>
                <w:sz w:val="15"/>
                <w:szCs w:val="15"/>
                <w:lang w:bidi="ar"/>
              </w:rPr>
              <w:t>《中华人民共和国计量法实施细则》</w:t>
            </w:r>
          </w:p>
          <w:p>
            <w:pPr>
              <w:widowControl/>
              <w:snapToGrid w:val="0"/>
              <w:jc w:val="left"/>
              <w:rPr>
                <w:rFonts w:ascii="宋体" w:hAnsi="宋体" w:eastAsia="方正仿宋_GBK" w:cs="方正仿宋_GBK"/>
                <w:kern w:val="0"/>
                <w:sz w:val="15"/>
                <w:szCs w:val="15"/>
                <w:lang w:bidi="ar"/>
              </w:rPr>
            </w:pPr>
            <w:r>
              <w:rPr>
                <w:rFonts w:hint="eastAsia" w:ascii="宋体" w:hAnsi="宋体" w:eastAsia="方正仿宋_GBK" w:cs="方正仿宋_GBK"/>
                <w:kern w:val="0"/>
                <w:sz w:val="15"/>
                <w:szCs w:val="15"/>
                <w:lang w:bidi="ar"/>
              </w:rPr>
              <w:t>第十二条　企业、事业单位应当配备与生产、科研、经营管理相适应的计量检测设施，制定具体的检定管理办法和规章制度，规定本单位管理的计量器具明细目录及相应的检定周期，保证使用的非强制检定的计量器具定期检定。</w:t>
            </w:r>
          </w:p>
          <w:p>
            <w:pPr>
              <w:jc w:val="left"/>
              <w:rPr>
                <w:rFonts w:ascii="宋体" w:hAnsi="宋体" w:eastAsia="方正仿宋_GBK" w:cs="方正仿宋_GBK"/>
                <w:color w:val="000000"/>
                <w:kern w:val="0"/>
                <w:lang w:bidi="ar"/>
              </w:rPr>
            </w:pPr>
            <w:r>
              <w:rPr>
                <w:rFonts w:hint="eastAsia" w:ascii="宋体" w:hAnsi="宋体" w:eastAsia="方正仿宋_GBK" w:cs="方正仿宋_GBK"/>
                <w:color w:val="000000"/>
                <w:kern w:val="0"/>
                <w:sz w:val="15"/>
                <w:szCs w:val="15"/>
                <w:lang w:bidi="ar"/>
              </w:rPr>
              <w:t>第四十三条　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tc>
        <w:tc>
          <w:tcPr>
            <w:tcW w:w="1843" w:type="dxa"/>
            <w:noWrap w:val="0"/>
            <w:vAlign w:val="top"/>
          </w:tcPr>
          <w:p>
            <w:pPr>
              <w:rPr>
                <w:rFonts w:ascii="Times New Roman" w:hAnsi="Times New Roman" w:cs="Times New Roman"/>
              </w:rPr>
            </w:pPr>
          </w:p>
        </w:tc>
        <w:tc>
          <w:tcPr>
            <w:tcW w:w="2410" w:type="dxa"/>
            <w:noWrap w:val="0"/>
            <w:vAlign w:val="center"/>
          </w:tcPr>
          <w:p>
            <w:pPr>
              <w:widowControl/>
              <w:jc w:val="left"/>
              <w:textAlignment w:val="center"/>
              <w:rPr>
                <w:rFonts w:ascii="宋体" w:hAnsi="宋体" w:eastAsia="方正仿宋_GBK" w:cs="方正仿宋_GBK"/>
                <w:color w:val="000000"/>
                <w:kern w:val="0"/>
                <w:sz w:val="15"/>
                <w:szCs w:val="15"/>
                <w:lang w:bidi="ar"/>
              </w:rPr>
            </w:pPr>
            <w:r>
              <w:rPr>
                <w:rFonts w:hint="eastAsia" w:ascii="宋体" w:hAnsi="宋体" w:eastAsia="方正仿宋_GBK" w:cs="方正仿宋_GBK"/>
                <w:color w:val="000000"/>
                <w:kern w:val="0"/>
                <w:sz w:val="15"/>
                <w:szCs w:val="15"/>
                <w:lang w:bidi="ar"/>
              </w:rPr>
              <w:t>1.初次被发现实施此类违法行为；</w:t>
            </w:r>
          </w:p>
          <w:p>
            <w:pPr>
              <w:widowControl/>
              <w:jc w:val="left"/>
              <w:textAlignment w:val="center"/>
              <w:rPr>
                <w:rFonts w:ascii="宋体" w:hAnsi="宋体" w:eastAsia="方正仿宋_GBK" w:cs="方正仿宋_GBK"/>
                <w:color w:val="000000"/>
                <w:kern w:val="0"/>
                <w:sz w:val="15"/>
                <w:szCs w:val="15"/>
                <w:lang w:bidi="ar"/>
              </w:rPr>
            </w:pPr>
            <w:r>
              <w:rPr>
                <w:rFonts w:hint="eastAsia" w:ascii="宋体" w:hAnsi="宋体" w:eastAsia="方正仿宋_GBK" w:cs="方正仿宋_GBK"/>
                <w:color w:val="000000"/>
                <w:kern w:val="0"/>
                <w:sz w:val="15"/>
                <w:szCs w:val="15"/>
                <w:lang w:bidi="ar"/>
              </w:rPr>
              <w:t>2.危害后果轻微；</w:t>
            </w:r>
          </w:p>
          <w:p>
            <w:pPr>
              <w:widowControl/>
              <w:jc w:val="left"/>
              <w:textAlignment w:val="center"/>
              <w:rPr>
                <w:rFonts w:ascii="宋体" w:hAnsi="宋体" w:eastAsia="方正仿宋_GBK" w:cs="方正仿宋_GBK"/>
                <w:color w:val="000000"/>
                <w:kern w:val="0"/>
                <w:lang w:bidi="ar"/>
              </w:rPr>
            </w:pPr>
            <w:r>
              <w:rPr>
                <w:rFonts w:hint="eastAsia" w:ascii="宋体" w:hAnsi="宋体" w:eastAsia="方正仿宋_GBK" w:cs="方正仿宋_GBK"/>
                <w:color w:val="000000"/>
                <w:kern w:val="0"/>
                <w:sz w:val="15"/>
                <w:szCs w:val="15"/>
                <w:lang w:bidi="ar"/>
              </w:rPr>
              <w:t>3.在市场监管部门责令改正期限内改正。</w:t>
            </w:r>
          </w:p>
        </w:tc>
        <w:tc>
          <w:tcPr>
            <w:tcW w:w="1559" w:type="dxa"/>
            <w:noWrap w:val="0"/>
            <w:vAlign w:val="top"/>
          </w:tcPr>
          <w:p>
            <w:pP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722" w:type="dxa"/>
            <w:noWrap w:val="0"/>
            <w:vAlign w:val="center"/>
          </w:tcPr>
          <w:p>
            <w:pPr>
              <w:widowControl/>
              <w:jc w:val="center"/>
              <w:textAlignment w:val="center"/>
              <w:rPr>
                <w:rFonts w:ascii="宋体" w:hAnsi="宋体" w:eastAsia="方正仿宋_GBK" w:cs="方正仿宋_GBK"/>
                <w:bCs/>
                <w:color w:val="000000"/>
              </w:rPr>
            </w:pPr>
            <w:r>
              <w:rPr>
                <w:rFonts w:hint="eastAsia" w:ascii="宋体" w:hAnsi="宋体" w:eastAsia="方正仿宋_GBK" w:cs="方正仿宋_GBK"/>
                <w:color w:val="000000"/>
                <w:kern w:val="0"/>
                <w:lang w:bidi="ar"/>
              </w:rPr>
              <w:t>22</w:t>
            </w:r>
          </w:p>
        </w:tc>
        <w:tc>
          <w:tcPr>
            <w:tcW w:w="1933" w:type="dxa"/>
            <w:noWrap w:val="0"/>
            <w:vAlign w:val="center"/>
          </w:tcPr>
          <w:p>
            <w:pPr>
              <w:widowControl/>
              <w:jc w:val="left"/>
              <w:textAlignment w:val="center"/>
              <w:rPr>
                <w:rFonts w:ascii="宋体" w:hAnsi="宋体" w:eastAsia="方正仿宋_GBK" w:cs="方正仿宋_GBK"/>
                <w:color w:val="000000"/>
                <w:kern w:val="0"/>
                <w:sz w:val="15"/>
                <w:szCs w:val="15"/>
                <w:lang w:bidi="ar"/>
              </w:rPr>
            </w:pPr>
            <w:r>
              <w:rPr>
                <w:rFonts w:hint="eastAsia" w:ascii="宋体" w:hAnsi="宋体" w:eastAsia="方正仿宋_GBK" w:cs="方正仿宋_GBK"/>
                <w:color w:val="000000"/>
                <w:kern w:val="0"/>
                <w:sz w:val="15"/>
                <w:szCs w:val="15"/>
                <w:lang w:bidi="ar"/>
              </w:rPr>
              <w:t>个体工商户不按照规定场所从事制造、修理计量器具经营活动的</w:t>
            </w:r>
          </w:p>
          <w:p>
            <w:pPr>
              <w:widowControl/>
              <w:jc w:val="left"/>
              <w:textAlignment w:val="center"/>
              <w:rPr>
                <w:rFonts w:ascii="宋体" w:hAnsi="宋体" w:eastAsia="方正仿宋_GBK" w:cs="方正仿宋_GBK"/>
                <w:color w:val="000000"/>
                <w:kern w:val="0"/>
                <w:sz w:val="15"/>
                <w:szCs w:val="15"/>
                <w:lang w:bidi="ar"/>
              </w:rPr>
            </w:pPr>
          </w:p>
        </w:tc>
        <w:tc>
          <w:tcPr>
            <w:tcW w:w="5178" w:type="dxa"/>
            <w:noWrap w:val="0"/>
            <w:vAlign w:val="top"/>
          </w:tcPr>
          <w:p>
            <w:pPr>
              <w:widowControl/>
              <w:jc w:val="left"/>
              <w:textAlignment w:val="center"/>
              <w:rPr>
                <w:rFonts w:ascii="宋体" w:hAnsi="宋体" w:eastAsia="方正仿宋_GBK" w:cs="方正仿宋_GBK"/>
                <w:color w:val="000000"/>
                <w:kern w:val="0"/>
                <w:sz w:val="15"/>
                <w:szCs w:val="15"/>
                <w:lang w:bidi="ar"/>
              </w:rPr>
            </w:pPr>
            <w:r>
              <w:rPr>
                <w:rFonts w:hint="eastAsia" w:ascii="宋体" w:hAnsi="宋体" w:eastAsia="方正仿宋_GBK" w:cs="方正仿宋_GBK"/>
                <w:color w:val="000000"/>
                <w:kern w:val="0"/>
                <w:sz w:val="15"/>
                <w:szCs w:val="15"/>
                <w:lang w:bidi="ar"/>
              </w:rPr>
              <w:t>《中华人民共和国计量法实施细则》第十四条　制造、修理计量器具的企业、事业单位和个体工商户须在固定的场所从事经营，具有符合国家规定的生产设施、检验条件、技术人员等，并满足安全要求。</w:t>
            </w:r>
            <w:r>
              <w:rPr>
                <w:rFonts w:hint="eastAsia" w:ascii="宋体" w:hAnsi="宋体" w:eastAsia="方正仿宋_GBK" w:cs="方正仿宋_GBK"/>
                <w:color w:val="000000"/>
                <w:kern w:val="0"/>
                <w:sz w:val="15"/>
                <w:szCs w:val="15"/>
                <w:lang w:bidi="ar"/>
              </w:rPr>
              <w:br w:type="textWrapping"/>
            </w:r>
            <w:r>
              <w:rPr>
                <w:rFonts w:hint="eastAsia" w:ascii="宋体" w:hAnsi="宋体" w:eastAsia="方正仿宋_GBK" w:cs="方正仿宋_GBK"/>
                <w:color w:val="000000"/>
                <w:kern w:val="0"/>
                <w:sz w:val="15"/>
                <w:szCs w:val="15"/>
                <w:lang w:bidi="ar"/>
              </w:rPr>
              <w:t>第四十九条　个体工商户制造、修理国家规定范围以外的计量器具或者不按照规定场所从事经营活动的，责令其停止制造、修理，没收全部违法所得，可并处以500元以下的罚款。</w:t>
            </w:r>
          </w:p>
        </w:tc>
        <w:tc>
          <w:tcPr>
            <w:tcW w:w="1843" w:type="dxa"/>
            <w:noWrap w:val="0"/>
            <w:vAlign w:val="top"/>
          </w:tcPr>
          <w:p>
            <w:pPr>
              <w:rPr>
                <w:rFonts w:ascii="Times New Roman" w:hAnsi="Times New Roman" w:cs="Times New Roman"/>
              </w:rPr>
            </w:pPr>
          </w:p>
        </w:tc>
        <w:tc>
          <w:tcPr>
            <w:tcW w:w="2410" w:type="dxa"/>
            <w:noWrap w:val="0"/>
            <w:vAlign w:val="center"/>
          </w:tcPr>
          <w:p>
            <w:pPr>
              <w:widowControl/>
              <w:jc w:val="left"/>
              <w:textAlignment w:val="center"/>
              <w:rPr>
                <w:rFonts w:ascii="宋体" w:hAnsi="宋体" w:eastAsia="方正仿宋_GBK" w:cs="方正仿宋_GBK"/>
                <w:color w:val="000000"/>
                <w:kern w:val="0"/>
                <w:sz w:val="15"/>
                <w:szCs w:val="15"/>
                <w:lang w:bidi="ar"/>
              </w:rPr>
            </w:pPr>
            <w:r>
              <w:rPr>
                <w:rFonts w:hint="eastAsia" w:ascii="宋体" w:hAnsi="宋体" w:eastAsia="方正仿宋_GBK" w:cs="方正仿宋_GBK"/>
                <w:color w:val="000000"/>
                <w:kern w:val="0"/>
                <w:sz w:val="15"/>
                <w:szCs w:val="15"/>
                <w:lang w:bidi="ar"/>
              </w:rPr>
              <w:t>1.初次被发现实施此类违法行为；</w:t>
            </w:r>
          </w:p>
          <w:p>
            <w:pPr>
              <w:widowControl/>
              <w:jc w:val="left"/>
              <w:textAlignment w:val="center"/>
              <w:rPr>
                <w:rFonts w:ascii="宋体" w:hAnsi="宋体" w:eastAsia="方正仿宋_GBK" w:cs="方正仿宋_GBK"/>
                <w:color w:val="000000"/>
                <w:kern w:val="0"/>
                <w:sz w:val="15"/>
                <w:szCs w:val="15"/>
                <w:lang w:bidi="ar"/>
              </w:rPr>
            </w:pPr>
            <w:r>
              <w:rPr>
                <w:rFonts w:hint="eastAsia" w:ascii="宋体" w:hAnsi="宋体" w:eastAsia="方正仿宋_GBK" w:cs="方正仿宋_GBK"/>
                <w:color w:val="000000"/>
                <w:kern w:val="0"/>
                <w:sz w:val="15"/>
                <w:szCs w:val="15"/>
                <w:lang w:bidi="ar"/>
              </w:rPr>
              <w:t>2.危害后果轻微；</w:t>
            </w:r>
          </w:p>
          <w:p>
            <w:pPr>
              <w:widowControl/>
              <w:jc w:val="left"/>
              <w:textAlignment w:val="center"/>
              <w:rPr>
                <w:rFonts w:ascii="宋体" w:hAnsi="宋体" w:eastAsia="方正仿宋_GBK" w:cs="方正仿宋_GBK"/>
                <w:bCs/>
                <w:color w:val="000000"/>
                <w:sz w:val="15"/>
                <w:szCs w:val="15"/>
              </w:rPr>
            </w:pPr>
            <w:r>
              <w:rPr>
                <w:rFonts w:hint="eastAsia" w:ascii="宋体" w:hAnsi="宋体" w:eastAsia="方正仿宋_GBK" w:cs="方正仿宋_GBK"/>
                <w:color w:val="000000"/>
                <w:kern w:val="0"/>
                <w:sz w:val="15"/>
                <w:szCs w:val="15"/>
                <w:lang w:bidi="ar"/>
              </w:rPr>
              <w:t>3.在市场监管部门责令改正期限内改正。</w:t>
            </w:r>
          </w:p>
        </w:tc>
        <w:tc>
          <w:tcPr>
            <w:tcW w:w="1559" w:type="dxa"/>
            <w:noWrap w:val="0"/>
            <w:vAlign w:val="top"/>
          </w:tcPr>
          <w:p>
            <w:pP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722" w:type="dxa"/>
            <w:noWrap w:val="0"/>
            <w:vAlign w:val="center"/>
          </w:tcPr>
          <w:p>
            <w:pPr>
              <w:spacing w:line="300" w:lineRule="exact"/>
              <w:jc w:val="center"/>
              <w:rPr>
                <w:rFonts w:ascii="宋体" w:hAnsi="宋体" w:eastAsia="方正仿宋_GBK" w:cs="方正仿宋_GBK"/>
                <w:bCs/>
                <w:color w:val="0000FF"/>
              </w:rPr>
            </w:pPr>
            <w:r>
              <w:rPr>
                <w:rFonts w:hint="eastAsia" w:ascii="宋体" w:hAnsi="宋体" w:eastAsia="方正仿宋_GBK" w:cs="方正仿宋_GBK"/>
                <w:bCs/>
                <w:color w:val="000000"/>
              </w:rPr>
              <w:t>23</w:t>
            </w:r>
          </w:p>
        </w:tc>
        <w:tc>
          <w:tcPr>
            <w:tcW w:w="1933"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经营者不标明价格、不按照规定的内容和方式明码标价的</w:t>
            </w:r>
          </w:p>
          <w:p>
            <w:pPr>
              <w:spacing w:line="300" w:lineRule="exact"/>
              <w:jc w:val="left"/>
              <w:rPr>
                <w:rFonts w:ascii="宋体" w:hAnsi="宋体" w:eastAsia="方正仿宋_GBK" w:cs="方正仿宋_GBK"/>
                <w:bCs/>
                <w:color w:val="0000FF"/>
              </w:rPr>
            </w:pPr>
          </w:p>
        </w:tc>
        <w:tc>
          <w:tcPr>
            <w:tcW w:w="5178" w:type="dxa"/>
            <w:noWrap w:val="0"/>
            <w:vAlign w:val="top"/>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《中华人民共和国价格法》</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第十三条第一款  经营者销售、收购商品和提供服务，应当按照政府价格主管部门的规定明码标价，注明商品的品名、产地、规格、等级、计价单位、价格或者服务的项目、收费标准等有关情况。</w:t>
            </w:r>
          </w:p>
          <w:p>
            <w:pPr>
              <w:ind w:firstLine="300" w:firstLineChars="200"/>
              <w:rPr>
                <w:rFonts w:ascii="Times New Roman" w:hAnsi="Times New Roman" w:cs="Times New Roman"/>
              </w:rPr>
            </w:pPr>
            <w:r>
              <w:rPr>
                <w:rFonts w:hint="eastAsia" w:ascii="宋体" w:hAnsi="宋体" w:eastAsia="方正仿宋_GBK" w:cs="方正仿宋_GBK"/>
                <w:bCs/>
                <w:color w:val="000000"/>
                <w:sz w:val="15"/>
                <w:szCs w:val="15"/>
              </w:rPr>
              <w:t>第四十二条  经营者违反明码标价规定的，责令改正，没收违法所得，可以并处五千元以下的罚款。</w:t>
            </w:r>
          </w:p>
        </w:tc>
        <w:tc>
          <w:tcPr>
            <w:tcW w:w="1843" w:type="dxa"/>
            <w:noWrap w:val="0"/>
            <w:vAlign w:val="top"/>
          </w:tcPr>
          <w:p>
            <w:pPr>
              <w:rPr>
                <w:rFonts w:ascii="Times New Roman" w:hAnsi="Times New Roman" w:cs="Times New Roman"/>
              </w:rPr>
            </w:pPr>
          </w:p>
        </w:tc>
        <w:tc>
          <w:tcPr>
            <w:tcW w:w="2410" w:type="dxa"/>
            <w:noWrap w:val="0"/>
            <w:vAlign w:val="top"/>
          </w:tcPr>
          <w:p>
            <w:pPr>
              <w:spacing w:line="300" w:lineRule="exact"/>
              <w:jc w:val="left"/>
              <w:rPr>
                <w:rFonts w:ascii="宋体" w:hAnsi="宋体" w:eastAsia="方正仿宋_GBK" w:cs="方正仿宋_GBK"/>
                <w:color w:val="000000"/>
                <w:sz w:val="15"/>
                <w:szCs w:val="15"/>
              </w:rPr>
            </w:pPr>
            <w:r>
              <w:rPr>
                <w:rFonts w:hint="eastAsia" w:ascii="宋体" w:hAnsi="宋体" w:eastAsia="方正仿宋_GBK" w:cs="方正仿宋_GBK"/>
                <w:color w:val="000000"/>
                <w:sz w:val="15"/>
                <w:szCs w:val="15"/>
              </w:rPr>
              <w:t>1.初次被发现实施此类违法行为；</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2.没有造成危害后果的；</w:t>
            </w:r>
          </w:p>
          <w:p>
            <w:pPr>
              <w:rPr>
                <w:rFonts w:ascii="Times New Roman" w:hAnsi="Times New Roman" w:cs="Times New Roman"/>
                <w:sz w:val="15"/>
                <w:szCs w:val="15"/>
              </w:rPr>
            </w:pPr>
            <w:r>
              <w:rPr>
                <w:rFonts w:hint="eastAsia" w:ascii="宋体" w:hAnsi="宋体" w:eastAsia="方正仿宋_GBK" w:cs="方正仿宋_GBK"/>
                <w:color w:val="000000"/>
                <w:sz w:val="15"/>
                <w:szCs w:val="15"/>
              </w:rPr>
              <w:t>3.在市场监管部门责令改正期限内改正。</w:t>
            </w:r>
          </w:p>
        </w:tc>
        <w:tc>
          <w:tcPr>
            <w:tcW w:w="1559" w:type="dxa"/>
            <w:noWrap w:val="0"/>
            <w:vAlign w:val="top"/>
          </w:tcPr>
          <w:p>
            <w:pP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722" w:type="dxa"/>
            <w:noWrap w:val="0"/>
            <w:vAlign w:val="center"/>
          </w:tcPr>
          <w:p>
            <w:pPr>
              <w:pStyle w:val="3"/>
              <w:ind w:left="0"/>
              <w:jc w:val="center"/>
              <w:rPr>
                <w:rFonts w:ascii="宋体" w:hAnsi="宋体"/>
                <w:sz w:val="21"/>
                <w:szCs w:val="21"/>
              </w:rPr>
            </w:pPr>
            <w:r>
              <w:rPr>
                <w:rFonts w:hint="eastAsia" w:ascii="宋体" w:hAnsi="宋体"/>
                <w:sz w:val="21"/>
                <w:szCs w:val="21"/>
              </w:rPr>
              <w:t>24</w:t>
            </w:r>
          </w:p>
        </w:tc>
        <w:tc>
          <w:tcPr>
            <w:tcW w:w="1933"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发布药品、医疗器械、保健食品和特殊医学用途配方食品广告未显著标明广告批准文号的</w:t>
            </w:r>
          </w:p>
          <w:p>
            <w:pPr>
              <w:spacing w:line="300" w:lineRule="exact"/>
              <w:jc w:val="left"/>
              <w:rPr>
                <w:rFonts w:ascii="宋体" w:hAnsi="宋体" w:eastAsia="方正仿宋_GBK" w:cs="方正仿宋_GBK"/>
                <w:bCs/>
                <w:color w:val="000000"/>
                <w:sz w:val="15"/>
                <w:szCs w:val="15"/>
              </w:rPr>
            </w:pPr>
          </w:p>
        </w:tc>
        <w:tc>
          <w:tcPr>
            <w:tcW w:w="5178"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《药品、医疗器械、保健食品、特殊医学用途配方食品广告审查管理暂行办法》</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第九条　药品、医疗器械、保健食品和特殊医学用途配方食品广告应当显著标明广告批准文号。</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第十条　药品、医疗器械、保健食品和特殊医学用途配方食品广告中应当显著标明的内容，其字体和颜色必须清晰可见、易于辨认，在视频广告中应当持续显示。</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第二十五条  违反本办法第十条规定，未显著、清晰表示广告中应当显著标明内容的，按照《中华人民共和国广告法》第五十九条处罚。</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《中华人民共和国广告法》</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第八条第三款 法律、行政法规规定广告中应当明示的内容，应当显著、清晰表示。</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第五十九条第一款第一项  有下列行为之一的，由市场监督管理部门责令停止发布广告，对广告主处十万元以下的罚款：（一）广告内容违反本法第八条规定的。</w:t>
            </w:r>
          </w:p>
        </w:tc>
        <w:tc>
          <w:tcPr>
            <w:tcW w:w="1843" w:type="dxa"/>
            <w:noWrap w:val="0"/>
            <w:vAlign w:val="top"/>
          </w:tcPr>
          <w:p>
            <w:pPr>
              <w:rPr>
                <w:rFonts w:ascii="Times New Roman" w:hAnsi="Times New Roman" w:cs="Times New Roman"/>
              </w:rPr>
            </w:pPr>
          </w:p>
        </w:tc>
        <w:tc>
          <w:tcPr>
            <w:tcW w:w="2410"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1.发布时已取得药品、医疗器械、保健食品和特殊医学用途配方食品广告批准文号并在有效期内；</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2.在市场监管部门责令改正期限内改正。</w:t>
            </w:r>
          </w:p>
        </w:tc>
        <w:tc>
          <w:tcPr>
            <w:tcW w:w="1559" w:type="dxa"/>
            <w:noWrap w:val="0"/>
            <w:vAlign w:val="top"/>
          </w:tcPr>
          <w:p>
            <w:pP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722" w:type="dxa"/>
            <w:noWrap w:val="0"/>
            <w:vAlign w:val="center"/>
          </w:tcPr>
          <w:p>
            <w:pPr>
              <w:pStyle w:val="3"/>
              <w:ind w:left="0"/>
              <w:jc w:val="center"/>
              <w:rPr>
                <w:rFonts w:ascii="宋体" w:hAnsi="宋体"/>
                <w:sz w:val="21"/>
                <w:szCs w:val="21"/>
              </w:rPr>
            </w:pPr>
            <w:r>
              <w:rPr>
                <w:rFonts w:hint="eastAsia" w:ascii="宋体" w:hAnsi="宋体"/>
                <w:sz w:val="21"/>
                <w:szCs w:val="21"/>
              </w:rPr>
              <w:t>25</w:t>
            </w:r>
          </w:p>
        </w:tc>
        <w:tc>
          <w:tcPr>
            <w:tcW w:w="1933"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发布农药广告未将广告批准文号列为广告内容同时发布的</w:t>
            </w:r>
          </w:p>
          <w:p>
            <w:pPr>
              <w:spacing w:line="300" w:lineRule="exact"/>
              <w:jc w:val="left"/>
              <w:rPr>
                <w:rFonts w:ascii="宋体" w:hAnsi="宋体" w:eastAsia="方正仿宋_GBK" w:cs="方正仿宋_GBK"/>
                <w:bCs/>
                <w:color w:val="000000"/>
                <w:sz w:val="15"/>
                <w:szCs w:val="15"/>
              </w:rPr>
            </w:pPr>
          </w:p>
        </w:tc>
        <w:tc>
          <w:tcPr>
            <w:tcW w:w="5178"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《农药广告审查发布规定》</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第十一条  农药广告的批准文号应当列为广告内容同时发布。</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第十三条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843" w:type="dxa"/>
            <w:noWrap w:val="0"/>
            <w:vAlign w:val="top"/>
          </w:tcPr>
          <w:p>
            <w:pPr>
              <w:rPr>
                <w:rFonts w:ascii="Times New Roman" w:hAnsi="Times New Roman" w:cs="Times New Roman"/>
              </w:rPr>
            </w:pPr>
          </w:p>
        </w:tc>
        <w:tc>
          <w:tcPr>
            <w:tcW w:w="2410"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1.发布时已取得农药广告批准文号并在有效期内；</w:t>
            </w:r>
          </w:p>
          <w:p>
            <w:pPr>
              <w:spacing w:line="300" w:lineRule="exact"/>
              <w:jc w:val="left"/>
              <w:rPr>
                <w:rFonts w:ascii="宋体" w:hAnsi="宋体" w:eastAsia="方正仿宋_GBK" w:cs="方正仿宋_GBK"/>
                <w:bCs/>
                <w:color w:val="000000"/>
              </w:rPr>
            </w:pPr>
            <w:r>
              <w:rPr>
                <w:rFonts w:hint="eastAsia" w:ascii="宋体" w:hAnsi="宋体" w:eastAsia="方正仿宋_GBK" w:cs="方正仿宋_GBK"/>
                <w:bCs/>
                <w:color w:val="000000"/>
                <w:sz w:val="15"/>
                <w:szCs w:val="15"/>
              </w:rPr>
              <w:t>2.在市场监管部门责令改正期限内改正。</w:t>
            </w:r>
          </w:p>
        </w:tc>
        <w:tc>
          <w:tcPr>
            <w:tcW w:w="1559" w:type="dxa"/>
            <w:noWrap w:val="0"/>
            <w:vAlign w:val="top"/>
          </w:tcPr>
          <w:p>
            <w:pP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722" w:type="dxa"/>
            <w:noWrap w:val="0"/>
            <w:vAlign w:val="center"/>
          </w:tcPr>
          <w:p>
            <w:pPr>
              <w:pStyle w:val="3"/>
              <w:ind w:left="0"/>
              <w:jc w:val="center"/>
              <w:rPr>
                <w:rFonts w:ascii="宋体" w:hAnsi="宋体"/>
                <w:sz w:val="21"/>
                <w:szCs w:val="21"/>
              </w:rPr>
            </w:pPr>
            <w:r>
              <w:rPr>
                <w:rFonts w:hint="eastAsia" w:ascii="宋体" w:hAnsi="宋体"/>
                <w:sz w:val="21"/>
                <w:szCs w:val="21"/>
              </w:rPr>
              <w:t>26</w:t>
            </w:r>
          </w:p>
        </w:tc>
        <w:tc>
          <w:tcPr>
            <w:tcW w:w="1933"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发布兽药广告未将广告批准文号列为广告内容同时发布的</w:t>
            </w:r>
          </w:p>
          <w:p>
            <w:pPr>
              <w:spacing w:line="300" w:lineRule="exact"/>
              <w:jc w:val="left"/>
              <w:rPr>
                <w:rFonts w:ascii="宋体" w:hAnsi="宋体" w:eastAsia="方正仿宋_GBK" w:cs="方正仿宋_GBK"/>
                <w:bCs/>
                <w:color w:val="000000"/>
                <w:sz w:val="15"/>
                <w:szCs w:val="15"/>
              </w:rPr>
            </w:pPr>
          </w:p>
        </w:tc>
        <w:tc>
          <w:tcPr>
            <w:tcW w:w="5178"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《兽药广告审查发布规定》</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第十条  兽药广告的批准文号应当列为广告内容同时发布。</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第十二条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843" w:type="dxa"/>
            <w:noWrap w:val="0"/>
            <w:vAlign w:val="top"/>
          </w:tcPr>
          <w:p>
            <w:pPr>
              <w:rPr>
                <w:rFonts w:ascii="Times New Roman" w:hAnsi="Times New Roman" w:cs="Times New Roman"/>
              </w:rPr>
            </w:pPr>
          </w:p>
        </w:tc>
        <w:tc>
          <w:tcPr>
            <w:tcW w:w="2410"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1.发布时已取得兽药广告批准文号并在有效期内；</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2.在市场监管部门责令改正期限内改正。</w:t>
            </w:r>
          </w:p>
        </w:tc>
        <w:tc>
          <w:tcPr>
            <w:tcW w:w="1559" w:type="dxa"/>
            <w:noWrap w:val="0"/>
            <w:vAlign w:val="top"/>
          </w:tcPr>
          <w:p>
            <w:pP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722" w:type="dxa"/>
            <w:noWrap w:val="0"/>
            <w:vAlign w:val="center"/>
          </w:tcPr>
          <w:p>
            <w:pPr>
              <w:pStyle w:val="3"/>
              <w:ind w:left="0"/>
              <w:jc w:val="center"/>
              <w:rPr>
                <w:rFonts w:ascii="宋体" w:hAnsi="宋体"/>
                <w:sz w:val="21"/>
                <w:szCs w:val="21"/>
              </w:rPr>
            </w:pPr>
            <w:r>
              <w:rPr>
                <w:rFonts w:hint="eastAsia" w:ascii="宋体" w:hAnsi="宋体"/>
                <w:sz w:val="21"/>
                <w:szCs w:val="21"/>
              </w:rPr>
              <w:t>27</w:t>
            </w:r>
          </w:p>
        </w:tc>
        <w:tc>
          <w:tcPr>
            <w:tcW w:w="1933"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未在广告中标明引证内容出处或者未明确表示引证内容的适用范围和有效期限的</w:t>
            </w:r>
          </w:p>
          <w:p>
            <w:pPr>
              <w:spacing w:line="300" w:lineRule="exact"/>
              <w:jc w:val="left"/>
              <w:rPr>
                <w:rFonts w:ascii="宋体" w:hAnsi="宋体" w:eastAsia="方正仿宋_GBK" w:cs="方正仿宋_GBK"/>
                <w:bCs/>
                <w:color w:val="000000"/>
                <w:sz w:val="15"/>
                <w:szCs w:val="15"/>
              </w:rPr>
            </w:pPr>
          </w:p>
        </w:tc>
        <w:tc>
          <w:tcPr>
            <w:tcW w:w="5178"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《中华人民共和国广告法》</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第十一条第二款  广告使用数据、统计资料、调查结果、文摘、引用语等引证内容的，应当真实、准确，并表明出处。引证内容有适用范围和有效期限的，应当明确表示。</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第五十九条第一款第二项  有下列行为之一的，由市场监督管理部门责令停止发布广告，对广告主处十万元以下的罚款：（二）广告引证内容违反本法第十一条规定的。</w:t>
            </w:r>
          </w:p>
        </w:tc>
        <w:tc>
          <w:tcPr>
            <w:tcW w:w="1843" w:type="dxa"/>
            <w:noWrap w:val="0"/>
            <w:vAlign w:val="top"/>
          </w:tcPr>
          <w:p>
            <w:pPr>
              <w:rPr>
                <w:rFonts w:ascii="Times New Roman" w:hAnsi="Times New Roman" w:cs="Times New Roman"/>
              </w:rPr>
            </w:pPr>
          </w:p>
        </w:tc>
        <w:tc>
          <w:tcPr>
            <w:tcW w:w="2410"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1.广告引证内容真实、准确、合法有据；</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2.没有造成危害后果；</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3.在市场监管部门责令改正期限内改正。</w:t>
            </w:r>
          </w:p>
        </w:tc>
        <w:tc>
          <w:tcPr>
            <w:tcW w:w="1559" w:type="dxa"/>
            <w:noWrap w:val="0"/>
            <w:vAlign w:val="top"/>
          </w:tcPr>
          <w:p>
            <w:pP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722" w:type="dxa"/>
            <w:noWrap w:val="0"/>
            <w:vAlign w:val="center"/>
          </w:tcPr>
          <w:p>
            <w:pPr>
              <w:pStyle w:val="3"/>
              <w:ind w:left="0"/>
              <w:jc w:val="center"/>
              <w:rPr>
                <w:rFonts w:ascii="宋体" w:hAnsi="宋体"/>
                <w:sz w:val="21"/>
                <w:szCs w:val="21"/>
              </w:rPr>
            </w:pPr>
            <w:r>
              <w:rPr>
                <w:rFonts w:hint="eastAsia" w:ascii="宋体" w:hAnsi="宋体"/>
                <w:sz w:val="21"/>
                <w:szCs w:val="21"/>
              </w:rPr>
              <w:t>28</w:t>
            </w:r>
          </w:p>
        </w:tc>
        <w:tc>
          <w:tcPr>
            <w:tcW w:w="1933"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广告涉及专利内容未标明专利号或专利种类</w:t>
            </w:r>
          </w:p>
          <w:p>
            <w:pPr>
              <w:spacing w:line="300" w:lineRule="exact"/>
              <w:jc w:val="left"/>
              <w:rPr>
                <w:rFonts w:ascii="宋体" w:hAnsi="宋体" w:eastAsia="方正仿宋_GBK" w:cs="方正仿宋_GBK"/>
                <w:bCs/>
                <w:color w:val="000000"/>
                <w:sz w:val="15"/>
                <w:szCs w:val="15"/>
              </w:rPr>
            </w:pPr>
          </w:p>
        </w:tc>
        <w:tc>
          <w:tcPr>
            <w:tcW w:w="5178"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《中华人民共和国广告法》</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第十二条第一款  广告中涉及专利产品或者专利方法的，应当标明专利号和专利种类。</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第五十九条第一款第三项  有下列行为之一的，由市场监督管理部门责令停止发布广告，对广告主处十万元以下的罚款：（三）涉及专利的广告违反本法第十二条规定的。</w:t>
            </w:r>
          </w:p>
        </w:tc>
        <w:tc>
          <w:tcPr>
            <w:tcW w:w="1843" w:type="dxa"/>
            <w:noWrap w:val="0"/>
            <w:vAlign w:val="top"/>
          </w:tcPr>
          <w:p>
            <w:pPr>
              <w:rPr>
                <w:rFonts w:ascii="Times New Roman" w:hAnsi="Times New Roman" w:cs="Times New Roman"/>
              </w:rPr>
            </w:pPr>
          </w:p>
        </w:tc>
        <w:tc>
          <w:tcPr>
            <w:tcW w:w="2410"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1.具备真实合法有效专利证明；</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2.没有造成危害后果；</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3.在市场监管部门责令改正期限内改正。</w:t>
            </w:r>
          </w:p>
        </w:tc>
        <w:tc>
          <w:tcPr>
            <w:tcW w:w="1559" w:type="dxa"/>
            <w:noWrap w:val="0"/>
            <w:vAlign w:val="top"/>
          </w:tcPr>
          <w:p>
            <w:pP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722" w:type="dxa"/>
            <w:noWrap w:val="0"/>
            <w:vAlign w:val="center"/>
          </w:tcPr>
          <w:p>
            <w:pPr>
              <w:pStyle w:val="3"/>
              <w:ind w:left="0"/>
              <w:jc w:val="center"/>
              <w:rPr>
                <w:rFonts w:ascii="宋体" w:hAnsi="宋体"/>
                <w:sz w:val="21"/>
                <w:szCs w:val="21"/>
              </w:rPr>
            </w:pPr>
            <w:r>
              <w:rPr>
                <w:rFonts w:hint="eastAsia" w:ascii="宋体" w:hAnsi="宋体"/>
                <w:sz w:val="21"/>
                <w:szCs w:val="21"/>
              </w:rPr>
              <w:t>29</w:t>
            </w:r>
          </w:p>
        </w:tc>
        <w:tc>
          <w:tcPr>
            <w:tcW w:w="1933" w:type="dxa"/>
            <w:noWrap w:val="0"/>
            <w:vAlign w:val="top"/>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食品小作坊、食品摊贩未在显著位置明示《云南省食品生产加工小作坊和食品摊贩管理办法》第二十一条、第二十五条规定的内容的</w:t>
            </w:r>
          </w:p>
        </w:tc>
        <w:tc>
          <w:tcPr>
            <w:tcW w:w="5178" w:type="dxa"/>
            <w:noWrap w:val="0"/>
            <w:vAlign w:val="top"/>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《云南省食品生产加工小作坊和食品摊贩管理办法》</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第二十一条  食品小作坊应当在生产加工场所的显著位置明示《食品生产加工小作坊登记证》、食品安全责任书、从业人员健康证明、使用的食品添加剂目录、举报投诉电话等。</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第二十五条第三款  食品摊贩应当在摊位或者经营门店的显著位置明示《食品摊贩备案卡》、食品安全责任书、食品安全管理制度、从业人员健康证明、投诉举报电话等。第四十一条 食品小作坊违反本办法第二十一条规定的，食品摊贩违反本办法第二十五条第三款规定的，由县级人民政府食品药品监督管理部门责令改正，给予警告；拒不改正的，处200元罚款。</w:t>
            </w:r>
          </w:p>
          <w:p>
            <w:pPr>
              <w:rPr>
                <w:rFonts w:ascii="Times New Roman" w:hAnsi="Times New Roman" w:cs="Times New Roman"/>
                <w:sz w:val="15"/>
                <w:szCs w:val="15"/>
              </w:rPr>
            </w:pPr>
          </w:p>
        </w:tc>
        <w:tc>
          <w:tcPr>
            <w:tcW w:w="1843" w:type="dxa"/>
            <w:noWrap w:val="0"/>
            <w:vAlign w:val="top"/>
          </w:tcPr>
          <w:p>
            <w:pPr>
              <w:rPr>
                <w:rFonts w:ascii="Times New Roman" w:hAnsi="Times New Roman" w:cs="Times New Roman"/>
              </w:rPr>
            </w:pPr>
          </w:p>
        </w:tc>
        <w:tc>
          <w:tcPr>
            <w:tcW w:w="2410" w:type="dxa"/>
            <w:noWrap w:val="0"/>
            <w:vAlign w:val="top"/>
          </w:tcPr>
          <w:p>
            <w:pPr>
              <w:rPr>
                <w:rFonts w:ascii="Times New Roman" w:hAnsi="Times New Roman" w:cs="Times New Roman"/>
                <w:sz w:val="15"/>
                <w:szCs w:val="15"/>
              </w:rPr>
            </w:pPr>
            <w:r>
              <w:rPr>
                <w:rFonts w:hint="eastAsia" w:ascii="宋体" w:hAnsi="宋体" w:eastAsia="方正仿宋_GBK" w:cs="方正仿宋_GBK"/>
                <w:bCs/>
                <w:color w:val="000000"/>
                <w:sz w:val="15"/>
                <w:szCs w:val="15"/>
              </w:rPr>
              <w:t>在市场监管部门责令改正期限内改正。</w:t>
            </w:r>
          </w:p>
        </w:tc>
        <w:tc>
          <w:tcPr>
            <w:tcW w:w="1559" w:type="dxa"/>
            <w:noWrap w:val="0"/>
            <w:vAlign w:val="top"/>
          </w:tcPr>
          <w:p>
            <w:pP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722" w:type="dxa"/>
            <w:noWrap w:val="0"/>
            <w:vAlign w:val="center"/>
          </w:tcPr>
          <w:p>
            <w:pPr>
              <w:pStyle w:val="3"/>
              <w:ind w:left="0"/>
              <w:jc w:val="center"/>
              <w:rPr>
                <w:rFonts w:ascii="宋体" w:hAnsi="宋体"/>
                <w:sz w:val="21"/>
                <w:szCs w:val="21"/>
              </w:rPr>
            </w:pPr>
            <w:r>
              <w:rPr>
                <w:rFonts w:hint="eastAsia" w:ascii="宋体" w:hAnsi="宋体"/>
                <w:sz w:val="21"/>
                <w:szCs w:val="21"/>
              </w:rPr>
              <w:t>30</w:t>
            </w:r>
          </w:p>
        </w:tc>
        <w:tc>
          <w:tcPr>
            <w:tcW w:w="1933" w:type="dxa"/>
            <w:noWrap w:val="0"/>
            <w:vAlign w:val="top"/>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通过自建网站交易的食品生产经营者未履行相应备案义务的</w:t>
            </w:r>
          </w:p>
        </w:tc>
        <w:tc>
          <w:tcPr>
            <w:tcW w:w="5178" w:type="dxa"/>
            <w:noWrap w:val="0"/>
            <w:vAlign w:val="top"/>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《网络食品安全违法行为查处办法》</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第八条第二款 通过自建网站交易的食品生产经营者应当在通信主管部门批准后30个工作日内，向所在地市、县级市场监督管理部门备案，取得备案号。</w:t>
            </w:r>
          </w:p>
          <w:p>
            <w:pPr>
              <w:rPr>
                <w:rFonts w:ascii="Times New Roman" w:hAnsi="Times New Roman" w:cs="Times New Roman"/>
              </w:rPr>
            </w:pPr>
            <w:r>
              <w:rPr>
                <w:rFonts w:hint="eastAsia" w:ascii="宋体" w:hAnsi="宋体" w:eastAsia="方正仿宋_GBK" w:cs="方正仿宋_GBK"/>
                <w:bCs/>
                <w:color w:val="000000"/>
                <w:sz w:val="15"/>
                <w:szCs w:val="15"/>
              </w:rPr>
              <w:t>第二十九条  违反本办法第八条规定，网络食品交易第三方平台提供者和通过自建网站交易的食品生产经营者未履行相应备案义务的，由县级以上地方市场监督管理部门责令改正，给予警告；拒不改正的，处5000元以上3万元以下罚款。</w:t>
            </w:r>
          </w:p>
        </w:tc>
        <w:tc>
          <w:tcPr>
            <w:tcW w:w="1843" w:type="dxa"/>
            <w:noWrap w:val="0"/>
            <w:vAlign w:val="top"/>
          </w:tcPr>
          <w:p>
            <w:pPr>
              <w:rPr>
                <w:rFonts w:ascii="Times New Roman" w:hAnsi="Times New Roman" w:cs="Times New Roman"/>
              </w:rPr>
            </w:pPr>
          </w:p>
        </w:tc>
        <w:tc>
          <w:tcPr>
            <w:tcW w:w="2410" w:type="dxa"/>
            <w:noWrap w:val="0"/>
            <w:vAlign w:val="top"/>
          </w:tcPr>
          <w:p>
            <w:pPr>
              <w:rPr>
                <w:rFonts w:ascii="Times New Roman" w:hAnsi="Times New Roman" w:cs="Times New Roman"/>
                <w:sz w:val="15"/>
                <w:szCs w:val="15"/>
              </w:rPr>
            </w:pPr>
            <w:r>
              <w:rPr>
                <w:rFonts w:hint="eastAsia" w:ascii="宋体" w:hAnsi="宋体" w:eastAsia="方正仿宋_GBK" w:cs="方正仿宋_GBK"/>
                <w:bCs/>
                <w:color w:val="000000"/>
                <w:sz w:val="15"/>
                <w:szCs w:val="15"/>
              </w:rPr>
              <w:t>在市场监管部门责令改正期限内改正。</w:t>
            </w:r>
          </w:p>
        </w:tc>
        <w:tc>
          <w:tcPr>
            <w:tcW w:w="1559" w:type="dxa"/>
            <w:noWrap w:val="0"/>
            <w:vAlign w:val="top"/>
          </w:tcPr>
          <w:p>
            <w:pP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722" w:type="dxa"/>
            <w:noWrap w:val="0"/>
            <w:vAlign w:val="center"/>
          </w:tcPr>
          <w:p>
            <w:pPr>
              <w:pStyle w:val="3"/>
              <w:ind w:left="0"/>
              <w:jc w:val="center"/>
              <w:rPr>
                <w:rFonts w:ascii="宋体" w:hAnsi="宋体"/>
                <w:sz w:val="21"/>
                <w:szCs w:val="21"/>
              </w:rPr>
            </w:pPr>
            <w:r>
              <w:rPr>
                <w:rFonts w:hint="eastAsia" w:ascii="宋体" w:hAnsi="宋体"/>
                <w:sz w:val="21"/>
                <w:szCs w:val="21"/>
              </w:rPr>
              <w:t>31</w:t>
            </w:r>
          </w:p>
        </w:tc>
        <w:tc>
          <w:tcPr>
            <w:tcW w:w="1933"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违反《网络食品安全违法行为查处办法》第十条，网络食品交易第三方平台提供者未按要求建立入网食品生产经营者审查登记、食品安全自查、食品安全违法行为制止及报告、严重违法行为平台服务停止、食品安全投诉举报处理等制度的或者未公开以上制度的</w:t>
            </w:r>
          </w:p>
        </w:tc>
        <w:tc>
          <w:tcPr>
            <w:tcW w:w="5178"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《网络食品安全违法行为查处办法》</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第十条  网络食品交易第三方平台提供者应当建立入网食品生产经营者审查登记、食品安全自查、食品安全违法行为制止及报告、严重违法行为平台服务停止、食品安全投诉举报处理等制度，并在网络平台上公开。</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第三十一条  违反本办法第十条规定，网络食品交易第三方平台提供者未按要求建立入网食品生产经营者审查登记、食品安全自查、食品安全违法行为制止及报告、严重违法行为平台服务停止、食品安全投诉举报处理等制度的或者未公开以上制度的，由县级以上地方市场监督管理部门责令改正，给予警告；拒不改正的，处5000元以上3万元以下罚款。</w:t>
            </w:r>
          </w:p>
        </w:tc>
        <w:tc>
          <w:tcPr>
            <w:tcW w:w="1843" w:type="dxa"/>
            <w:noWrap w:val="0"/>
            <w:vAlign w:val="top"/>
          </w:tcPr>
          <w:p>
            <w:pPr>
              <w:rPr>
                <w:rFonts w:ascii="Times New Roman" w:hAnsi="Times New Roman" w:cs="Times New Roman"/>
              </w:rPr>
            </w:pPr>
          </w:p>
        </w:tc>
        <w:tc>
          <w:tcPr>
            <w:tcW w:w="2410" w:type="dxa"/>
            <w:noWrap w:val="0"/>
            <w:vAlign w:val="top"/>
          </w:tcPr>
          <w:p>
            <w:pPr>
              <w:rPr>
                <w:rFonts w:ascii="Times New Roman" w:hAnsi="Times New Roman" w:cs="Times New Roman"/>
              </w:rPr>
            </w:pPr>
            <w:r>
              <w:rPr>
                <w:rFonts w:hint="eastAsia" w:ascii="宋体" w:hAnsi="宋体" w:eastAsia="方正仿宋_GBK" w:cs="方正仿宋_GBK"/>
                <w:bCs/>
                <w:color w:val="000000"/>
                <w:sz w:val="15"/>
                <w:szCs w:val="15"/>
              </w:rPr>
              <w:t>在市场监管部门责令改正期限内改正。</w:t>
            </w:r>
          </w:p>
        </w:tc>
        <w:tc>
          <w:tcPr>
            <w:tcW w:w="1559" w:type="dxa"/>
            <w:noWrap w:val="0"/>
            <w:vAlign w:val="top"/>
          </w:tcPr>
          <w:p>
            <w:pP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722" w:type="dxa"/>
            <w:noWrap w:val="0"/>
            <w:vAlign w:val="center"/>
          </w:tcPr>
          <w:p>
            <w:pPr>
              <w:pStyle w:val="3"/>
              <w:ind w:left="0"/>
              <w:jc w:val="center"/>
              <w:rPr>
                <w:rFonts w:ascii="宋体" w:hAnsi="宋体"/>
                <w:sz w:val="21"/>
                <w:szCs w:val="21"/>
              </w:rPr>
            </w:pPr>
            <w:r>
              <w:rPr>
                <w:rFonts w:hint="eastAsia" w:ascii="宋体" w:hAnsi="宋体"/>
                <w:sz w:val="21"/>
                <w:szCs w:val="21"/>
              </w:rPr>
              <w:t>32</w:t>
            </w:r>
          </w:p>
        </w:tc>
        <w:tc>
          <w:tcPr>
            <w:tcW w:w="1933"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违反《网络食品安全违法行为查处办法》第十二条，网络食品交易第三方平台提供者未建立入网食品生产经营者档案、记录入网食品生产经营者相关信息的</w:t>
            </w:r>
          </w:p>
        </w:tc>
        <w:tc>
          <w:tcPr>
            <w:tcW w:w="5178"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 xml:space="preserve">《网络食品安全违法行为查处办法》 </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第十二条  网络食品交易第三方平台提供者应当建立入网食品生产经营者档案，记录入网食品生产经营者的基本情况、食品安全管理人员等信息。</w:t>
            </w:r>
          </w:p>
          <w:p>
            <w:pPr>
              <w:spacing w:line="300" w:lineRule="exact"/>
              <w:jc w:val="left"/>
              <w:rPr>
                <w:rFonts w:ascii="宋体" w:hAnsi="宋体" w:eastAsia="方正仿宋_GBK" w:cs="方正仿宋_GBK"/>
                <w:bCs/>
                <w:color w:val="000000"/>
              </w:rPr>
            </w:pPr>
            <w:r>
              <w:rPr>
                <w:rFonts w:hint="eastAsia" w:ascii="宋体" w:hAnsi="宋体" w:eastAsia="方正仿宋_GBK" w:cs="方正仿宋_GBK"/>
                <w:bCs/>
                <w:color w:val="000000"/>
                <w:sz w:val="15"/>
                <w:szCs w:val="15"/>
              </w:rPr>
              <w:t>第三十三条  违反本办法第十二条规定，网络食品交易第三方平台提供者未建立入网食品生产经营者档案、记录入网食品生产经营者相关信息的，由县级以上地方市场监督管理部门责令改正，给予警告；拒不改正的，处5000元以上3万元以下罚款。</w:t>
            </w:r>
          </w:p>
        </w:tc>
        <w:tc>
          <w:tcPr>
            <w:tcW w:w="1843" w:type="dxa"/>
            <w:noWrap w:val="0"/>
            <w:vAlign w:val="top"/>
          </w:tcPr>
          <w:p>
            <w:pPr>
              <w:rPr>
                <w:rFonts w:ascii="Times New Roman" w:hAnsi="Times New Roman" w:cs="Times New Roman"/>
              </w:rPr>
            </w:pPr>
          </w:p>
        </w:tc>
        <w:tc>
          <w:tcPr>
            <w:tcW w:w="2410" w:type="dxa"/>
            <w:noWrap w:val="0"/>
            <w:vAlign w:val="top"/>
          </w:tcPr>
          <w:p>
            <w:pPr>
              <w:rPr>
                <w:rFonts w:ascii="Times New Roman" w:hAnsi="Times New Roman" w:cs="Times New Roman"/>
              </w:rPr>
            </w:pPr>
            <w:r>
              <w:rPr>
                <w:rFonts w:hint="eastAsia" w:ascii="宋体" w:hAnsi="宋体" w:eastAsia="方正仿宋_GBK" w:cs="方正仿宋_GBK"/>
                <w:bCs/>
                <w:color w:val="000000"/>
                <w:sz w:val="15"/>
                <w:szCs w:val="15"/>
              </w:rPr>
              <w:t>在市场监管部门责令改正期限内改正。</w:t>
            </w:r>
          </w:p>
        </w:tc>
        <w:tc>
          <w:tcPr>
            <w:tcW w:w="1559" w:type="dxa"/>
            <w:noWrap w:val="0"/>
            <w:vAlign w:val="top"/>
          </w:tcPr>
          <w:p>
            <w:pP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722" w:type="dxa"/>
            <w:noWrap w:val="0"/>
            <w:vAlign w:val="center"/>
          </w:tcPr>
          <w:p>
            <w:pPr>
              <w:pStyle w:val="3"/>
              <w:ind w:left="0"/>
              <w:jc w:val="center"/>
              <w:rPr>
                <w:rFonts w:ascii="宋体" w:hAnsi="宋体"/>
                <w:sz w:val="21"/>
                <w:szCs w:val="21"/>
              </w:rPr>
            </w:pPr>
            <w:r>
              <w:rPr>
                <w:rFonts w:hint="eastAsia" w:ascii="宋体" w:hAnsi="宋体"/>
                <w:sz w:val="21"/>
                <w:szCs w:val="21"/>
              </w:rPr>
              <w:t>33</w:t>
            </w:r>
          </w:p>
        </w:tc>
        <w:tc>
          <w:tcPr>
            <w:tcW w:w="1933"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违反《网络食品安全违法行为查处办法》第十四条第一款，网络食品交易第三方平台提供者未设置专门的网络食品安全管理机构或者指定专职食品安全管理人员对平台上的食品安全经营行为及信息进行检查的</w:t>
            </w:r>
          </w:p>
        </w:tc>
        <w:tc>
          <w:tcPr>
            <w:tcW w:w="5178" w:type="dxa"/>
            <w:noWrap w:val="0"/>
            <w:vAlign w:val="center"/>
          </w:tcPr>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《网络食品安全违法行为查处办法》</w:t>
            </w:r>
          </w:p>
          <w:p>
            <w:pPr>
              <w:spacing w:line="300" w:lineRule="exact"/>
              <w:jc w:val="left"/>
              <w:rPr>
                <w:rFonts w:ascii="宋体" w:hAnsi="宋体" w:eastAsia="方正仿宋_GBK" w:cs="方正仿宋_GBK"/>
                <w:bCs/>
                <w:color w:val="000000"/>
                <w:sz w:val="15"/>
                <w:szCs w:val="15"/>
              </w:rPr>
            </w:pPr>
            <w:r>
              <w:rPr>
                <w:rFonts w:hint="eastAsia" w:ascii="宋体" w:hAnsi="宋体" w:eastAsia="方正仿宋_GBK" w:cs="方正仿宋_GBK"/>
                <w:bCs/>
                <w:color w:val="000000"/>
                <w:sz w:val="15"/>
                <w:szCs w:val="15"/>
              </w:rPr>
              <w:t>第十四条第一款 网络食品交易第三方平台提供者应当设置专门的网络食品安全管理机构或者指定专职食品安全管理人员，对平台上的食品经营行为及信息进行检查。</w:t>
            </w:r>
          </w:p>
          <w:p>
            <w:pPr>
              <w:spacing w:line="300" w:lineRule="exact"/>
              <w:jc w:val="left"/>
              <w:rPr>
                <w:rFonts w:ascii="宋体" w:hAnsi="宋体" w:eastAsia="方正仿宋_GBK" w:cs="方正仿宋_GBK"/>
                <w:bCs/>
                <w:color w:val="000000"/>
              </w:rPr>
            </w:pPr>
            <w:r>
              <w:rPr>
                <w:rFonts w:hint="eastAsia" w:ascii="宋体" w:hAnsi="宋体" w:eastAsia="方正仿宋_GBK" w:cs="方正仿宋_GBK"/>
                <w:bCs/>
                <w:color w:val="000000"/>
                <w:sz w:val="15"/>
                <w:szCs w:val="15"/>
              </w:rPr>
              <w:t>第三十五条  违反本办法第十四条规定，网络食品交易第三方平台提供者未设置专门的网络食品安全管理机构或者指定专职食品安全管理人员对平台上的食品安全经营行为及信息进行检查的，由县级以上地方市场监督管理部门责令改正，给予警告；拒不改正的，处5000元以上3万元以下罚款。</w:t>
            </w:r>
          </w:p>
        </w:tc>
        <w:tc>
          <w:tcPr>
            <w:tcW w:w="1843" w:type="dxa"/>
            <w:noWrap w:val="0"/>
            <w:vAlign w:val="top"/>
          </w:tcPr>
          <w:p>
            <w:pPr>
              <w:rPr>
                <w:rFonts w:ascii="Times New Roman" w:hAnsi="Times New Roman" w:cs="Times New Roman"/>
              </w:rPr>
            </w:pPr>
          </w:p>
        </w:tc>
        <w:tc>
          <w:tcPr>
            <w:tcW w:w="2410" w:type="dxa"/>
            <w:noWrap w:val="0"/>
            <w:vAlign w:val="top"/>
          </w:tcPr>
          <w:p>
            <w:pPr>
              <w:rPr>
                <w:rFonts w:ascii="Times New Roman" w:hAnsi="Times New Roman" w:cs="Times New Roman"/>
              </w:rPr>
            </w:pPr>
            <w:r>
              <w:rPr>
                <w:rFonts w:hint="eastAsia" w:ascii="宋体" w:hAnsi="宋体" w:eastAsia="方正仿宋_GBK" w:cs="方正仿宋_GBK"/>
                <w:bCs/>
                <w:color w:val="000000"/>
                <w:sz w:val="15"/>
                <w:szCs w:val="15"/>
              </w:rPr>
              <w:t>在市场监管部门责令改正期限内改正。</w:t>
            </w:r>
          </w:p>
        </w:tc>
        <w:tc>
          <w:tcPr>
            <w:tcW w:w="1559" w:type="dxa"/>
            <w:noWrap w:val="0"/>
            <w:vAlign w:val="top"/>
          </w:tcPr>
          <w:p>
            <w:pPr>
              <w:rPr>
                <w:rFonts w:ascii="Times New Roman" w:hAnsi="Times New Roman" w:cs="Times New Roman"/>
              </w:rPr>
            </w:pPr>
          </w:p>
        </w:tc>
      </w:tr>
    </w:tbl>
    <w:p>
      <w:pPr>
        <w:rPr>
          <w:rFonts w:ascii="Times New Roman" w:hAnsi="Times New Roman" w:cs="Times New Roman"/>
        </w:rPr>
      </w:pPr>
    </w:p>
    <w:p>
      <w:pPr>
        <w:rPr>
          <w:rFonts w:hint="eastAsia" w:ascii="Times New Roman" w:hAnsi="Times New Roman" w:cs="Times New Roman"/>
        </w:rPr>
      </w:pPr>
    </w:p>
    <w:p>
      <w:pPr>
        <w:pStyle w:val="3"/>
        <w:rPr>
          <w:rFonts w:hint="eastAsia"/>
        </w:rPr>
      </w:pPr>
    </w:p>
    <w:p>
      <w:bookmarkStart w:id="0" w:name="_GoBack"/>
      <w:bookmarkEnd w:id="0"/>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-73660</wp:posOffset>
              </wp:positionV>
              <wp:extent cx="571500" cy="3041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1500" cy="304165"/>
                      </a:xfrm>
                      <a:prstGeom prst="rect">
                        <a:avLst/>
                      </a:prstGeom>
                      <a:noFill/>
                      <a:ln>
                        <a:noFill/>
                      </a:ln>
                    </wps:spPr>
                    <wps:txbx>
                      <w:txbxContent>
                        <w:p>
                          <w:pPr>
                            <w:pStyle w:val="2"/>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- 1 -</w:t>
                          </w:r>
                          <w:r>
                            <w:rPr>
                              <w:rFonts w:hint="eastAsia" w:ascii="宋体" w:hAnsi="宋体"/>
                              <w:sz w:val="28"/>
                              <w:szCs w:val="28"/>
                            </w:rPr>
                            <w:fldChar w:fldCharType="end"/>
                          </w:r>
                        </w:p>
                      </w:txbxContent>
                    </wps:txbx>
                    <wps:bodyPr lIns="0" tIns="0" rIns="0" bIns="0" upright="0"/>
                  </wps:wsp>
                </a:graphicData>
              </a:graphic>
            </wp:anchor>
          </w:drawing>
        </mc:Choice>
        <mc:Fallback>
          <w:pict>
            <v:shape id="_x0000_s1026" o:spid="_x0000_s1026" o:spt="202" type="#_x0000_t202" style="position:absolute;left:0pt;margin-top:-5.8pt;height:23.95pt;width:45pt;mso-position-horizontal:outside;mso-position-horizontal-relative:margin;z-index:251659264;mso-width-relative:page;mso-height-relative:page;" filled="f" stroked="f" coordsize="21600,21600" o:gfxdata="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yOAetNUAAAAGAQAADwAAAAAAAAABACAAAAAiAAAAZHJzL2Rvd25yZXYueG1sUEsBAhQAFAAA&#10;AAgAh07iQLKTAmi5AQAAcQMAAA4AAAAAAAAAAQAgAAAAJAEAAGRycy9lMm9Eb2MueG1sUEsFBgAA&#10;AAAGAAYAWQEAAE8FAAAAAA==&#10;">
              <v:fill on="f" focussize="0,0"/>
              <v:stroke on="f"/>
              <v:imagedata o:title=""/>
              <o:lock v:ext="edit" aspectratio="f"/>
              <v:textbox inset="0mm,0mm,0mm,0mm">
                <w:txbxContent>
                  <w:p>
                    <w:pPr>
                      <w:pStyle w:val="2"/>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- 1 -</w:t>
                    </w:r>
                    <w:r>
                      <w:rPr>
                        <w:rFonts w:hint="eastAsia" w:ascii="宋体" w:hAnsi="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OWM5MWY0YjQxOWZkMmI5YTMzNDI5ODdiYTYxYzEifQ=="/>
  </w:docVars>
  <w:rsids>
    <w:rsidRoot w:val="3F0B7105"/>
    <w:rsid w:val="3A4D19D4"/>
    <w:rsid w:val="3F0B7105"/>
    <w:rsid w:val="74821A87"/>
    <w:rsid w:val="767E39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小标宋简体" w:hAnsi="方正小标宋简体" w:eastAsia="宋体" w:cs="宋体"/>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Body Text"/>
    <w:basedOn w:val="1"/>
    <w:qFormat/>
    <w:uiPriority w:val="1"/>
    <w:pPr>
      <w:ind w:left="106"/>
    </w:pPr>
    <w:rPr>
      <w:sz w:val="32"/>
      <w:szCs w:val="32"/>
    </w:rPr>
  </w:style>
  <w:style w:type="character" w:styleId="6">
    <w:name w:val="Hyperlink"/>
    <w:basedOn w:val="5"/>
    <w:qFormat/>
    <w:uiPriority w:val="0"/>
    <w:rPr>
      <w:color w:val="0000FF"/>
      <w:u w:val="single"/>
    </w:rPr>
  </w:style>
  <w:style w:type="paragraph" w:customStyle="1" w:styleId="7">
    <w:name w:val="实施方案正文"/>
    <w:basedOn w:val="1"/>
    <w:qFormat/>
    <w:uiPriority w:val="0"/>
    <w:pPr>
      <w:ind w:firstLine="566" w:firstLineChars="202"/>
    </w:pPr>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2023-08-23T01:00:00Z</dcterms:created>
  <dc:creator>AAA</dc:creator>
  <cp:lastModifiedBy>AAA</cp:lastModifiedBy>
  <dcterms:modified xsi:type="dcterms:W3CDTF">2023-08-23T01:06:45Z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E845458FF3164241A0332061010722D4_13</vt:lpwstr>
  </property>
</Properties>
</file>