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auto"/>
          <w:sz w:val="48"/>
          <w:szCs w:val="56"/>
        </w:rPr>
      </w:pPr>
      <w:r>
        <w:rPr>
          <w:rFonts w:ascii="宋体" w:hAnsi="宋体"/>
          <w:b/>
          <w:bCs/>
          <w:color w:val="auto"/>
          <w:sz w:val="48"/>
          <w:szCs w:val="56"/>
        </w:rPr>
        <w:t>目</w:t>
      </w:r>
      <w:r>
        <w:rPr>
          <w:rFonts w:hint="eastAsia" w:ascii="宋体" w:hAnsi="宋体"/>
          <w:b/>
          <w:bCs/>
          <w:color w:val="auto"/>
          <w:sz w:val="48"/>
          <w:szCs w:val="56"/>
        </w:rPr>
        <w:t xml:space="preserve">  </w:t>
      </w:r>
      <w:r>
        <w:rPr>
          <w:rFonts w:ascii="宋体" w:hAnsi="宋体"/>
          <w:b/>
          <w:bCs/>
          <w:color w:val="auto"/>
          <w:sz w:val="48"/>
          <w:szCs w:val="56"/>
        </w:rPr>
        <w:t>录</w:t>
      </w:r>
    </w:p>
    <w:p>
      <w:pPr>
        <w:pStyle w:val="3"/>
        <w:rPr>
          <w:color w:val="auto"/>
        </w:rPr>
      </w:pPr>
    </w:p>
    <w:p>
      <w:pPr>
        <w:pStyle w:val="57"/>
        <w:tabs>
          <w:tab w:val="right" w:leader="dot" w:pos="8844"/>
        </w:tabs>
        <w:spacing w:line="360" w:lineRule="auto"/>
        <w:rPr>
          <w:color w:val="auto"/>
          <w:sz w:val="32"/>
          <w:szCs w:val="32"/>
        </w:rPr>
      </w:pPr>
      <w:r>
        <w:rPr>
          <w:b/>
          <w:bCs/>
          <w:color w:val="auto"/>
          <w:sz w:val="32"/>
          <w:szCs w:val="32"/>
        </w:rPr>
        <w:fldChar w:fldCharType="begin"/>
      </w:r>
      <w:r>
        <w:rPr>
          <w:b/>
          <w:bCs/>
          <w:color w:val="auto"/>
          <w:sz w:val="32"/>
          <w:szCs w:val="32"/>
        </w:rPr>
        <w:instrText xml:space="preserve">TOC \o "1-1" \h \u </w:instrText>
      </w:r>
      <w:r>
        <w:rPr>
          <w:b/>
          <w:bCs/>
          <w:color w:val="auto"/>
          <w:sz w:val="32"/>
          <w:szCs w:val="32"/>
        </w:rPr>
        <w:fldChar w:fldCharType="separate"/>
      </w:r>
      <w:r>
        <w:rPr>
          <w:color w:val="auto"/>
        </w:rPr>
        <w:fldChar w:fldCharType="begin"/>
      </w:r>
      <w:r>
        <w:rPr>
          <w:color w:val="auto"/>
        </w:rPr>
        <w:instrText xml:space="preserve"> HYPERLINK \l "_Toc5744" </w:instrText>
      </w:r>
      <w:r>
        <w:rPr>
          <w:color w:val="auto"/>
        </w:rPr>
        <w:fldChar w:fldCharType="separate"/>
      </w:r>
      <w:r>
        <w:rPr>
          <w:snapToGrid w:val="0"/>
          <w:color w:val="auto"/>
          <w:sz w:val="32"/>
          <w:szCs w:val="32"/>
        </w:rPr>
        <w:t>一、建设项目基本情况</w:t>
      </w:r>
      <w:r>
        <w:rPr>
          <w:color w:val="auto"/>
          <w:sz w:val="32"/>
          <w:szCs w:val="32"/>
        </w:rPr>
        <w:tab/>
      </w:r>
      <w:r>
        <w:rPr>
          <w:color w:val="auto"/>
          <w:sz w:val="32"/>
          <w:szCs w:val="32"/>
        </w:rPr>
        <w:fldChar w:fldCharType="begin"/>
      </w:r>
      <w:r>
        <w:rPr>
          <w:color w:val="auto"/>
          <w:sz w:val="32"/>
          <w:szCs w:val="32"/>
        </w:rPr>
        <w:instrText xml:space="preserve"> PAGEREF _Toc5744 \h </w:instrText>
      </w:r>
      <w:r>
        <w:rPr>
          <w:color w:val="auto"/>
          <w:sz w:val="32"/>
          <w:szCs w:val="32"/>
        </w:rPr>
        <w:fldChar w:fldCharType="separate"/>
      </w:r>
      <w:r>
        <w:rPr>
          <w:color w:val="auto"/>
          <w:sz w:val="32"/>
          <w:szCs w:val="32"/>
        </w:rPr>
        <w:t>1</w:t>
      </w:r>
      <w:r>
        <w:rPr>
          <w:color w:val="auto"/>
          <w:sz w:val="32"/>
          <w:szCs w:val="32"/>
        </w:rPr>
        <w:fldChar w:fldCharType="end"/>
      </w:r>
      <w:r>
        <w:rPr>
          <w:color w:val="auto"/>
          <w:sz w:val="32"/>
          <w:szCs w:val="32"/>
        </w:rPr>
        <w:fldChar w:fldCharType="end"/>
      </w:r>
    </w:p>
    <w:p>
      <w:pPr>
        <w:pStyle w:val="57"/>
        <w:tabs>
          <w:tab w:val="right" w:leader="dot" w:pos="8844"/>
        </w:tabs>
        <w:spacing w:line="360" w:lineRule="auto"/>
        <w:rPr>
          <w:color w:val="auto"/>
          <w:sz w:val="32"/>
          <w:szCs w:val="32"/>
        </w:rPr>
      </w:pPr>
      <w:r>
        <w:rPr>
          <w:color w:val="auto"/>
        </w:rPr>
        <w:fldChar w:fldCharType="begin"/>
      </w:r>
      <w:r>
        <w:rPr>
          <w:color w:val="auto"/>
        </w:rPr>
        <w:instrText xml:space="preserve"> HYPERLINK \l "_Toc11335" </w:instrText>
      </w:r>
      <w:r>
        <w:rPr>
          <w:color w:val="auto"/>
        </w:rPr>
        <w:fldChar w:fldCharType="separate"/>
      </w:r>
      <w:r>
        <w:rPr>
          <w:snapToGrid w:val="0"/>
          <w:color w:val="auto"/>
          <w:sz w:val="32"/>
          <w:szCs w:val="32"/>
        </w:rPr>
        <w:t>二、建设项目工程分析</w:t>
      </w:r>
      <w:r>
        <w:rPr>
          <w:color w:val="auto"/>
          <w:sz w:val="32"/>
          <w:szCs w:val="32"/>
        </w:rPr>
        <w:tab/>
      </w:r>
      <w:r>
        <w:rPr>
          <w:color w:val="auto"/>
          <w:sz w:val="32"/>
          <w:szCs w:val="32"/>
        </w:rPr>
        <w:fldChar w:fldCharType="begin"/>
      </w:r>
      <w:r>
        <w:rPr>
          <w:color w:val="auto"/>
          <w:sz w:val="32"/>
          <w:szCs w:val="32"/>
        </w:rPr>
        <w:instrText xml:space="preserve"> PAGEREF _Toc11335 \h </w:instrText>
      </w:r>
      <w:r>
        <w:rPr>
          <w:color w:val="auto"/>
          <w:sz w:val="32"/>
          <w:szCs w:val="32"/>
        </w:rPr>
        <w:fldChar w:fldCharType="separate"/>
      </w:r>
      <w:r>
        <w:rPr>
          <w:color w:val="auto"/>
          <w:sz w:val="32"/>
          <w:szCs w:val="32"/>
        </w:rPr>
        <w:t>16</w:t>
      </w:r>
      <w:r>
        <w:rPr>
          <w:color w:val="auto"/>
          <w:sz w:val="32"/>
          <w:szCs w:val="32"/>
        </w:rPr>
        <w:fldChar w:fldCharType="end"/>
      </w:r>
      <w:r>
        <w:rPr>
          <w:color w:val="auto"/>
          <w:sz w:val="32"/>
          <w:szCs w:val="32"/>
        </w:rPr>
        <w:fldChar w:fldCharType="end"/>
      </w:r>
    </w:p>
    <w:p>
      <w:pPr>
        <w:pStyle w:val="57"/>
        <w:tabs>
          <w:tab w:val="right" w:leader="dot" w:pos="8844"/>
        </w:tabs>
        <w:spacing w:line="360" w:lineRule="auto"/>
        <w:rPr>
          <w:color w:val="auto"/>
          <w:sz w:val="32"/>
          <w:szCs w:val="32"/>
        </w:rPr>
      </w:pPr>
      <w:r>
        <w:rPr>
          <w:color w:val="auto"/>
        </w:rPr>
        <w:fldChar w:fldCharType="begin"/>
      </w:r>
      <w:r>
        <w:rPr>
          <w:color w:val="auto"/>
        </w:rPr>
        <w:instrText xml:space="preserve"> HYPERLINK \l "_Toc31056" </w:instrText>
      </w:r>
      <w:r>
        <w:rPr>
          <w:color w:val="auto"/>
        </w:rPr>
        <w:fldChar w:fldCharType="separate"/>
      </w:r>
      <w:r>
        <w:rPr>
          <w:snapToGrid w:val="0"/>
          <w:color w:val="auto"/>
          <w:sz w:val="32"/>
          <w:szCs w:val="32"/>
        </w:rPr>
        <w:t>三、区域环境质量现状、环境保护目标及评价标准</w:t>
      </w:r>
      <w:r>
        <w:rPr>
          <w:color w:val="auto"/>
          <w:sz w:val="32"/>
          <w:szCs w:val="32"/>
        </w:rPr>
        <w:tab/>
      </w:r>
      <w:r>
        <w:rPr>
          <w:color w:val="auto"/>
          <w:sz w:val="32"/>
          <w:szCs w:val="32"/>
        </w:rPr>
        <w:fldChar w:fldCharType="begin"/>
      </w:r>
      <w:r>
        <w:rPr>
          <w:color w:val="auto"/>
          <w:sz w:val="32"/>
          <w:szCs w:val="32"/>
        </w:rPr>
        <w:instrText xml:space="preserve"> PAGEREF _Toc31056 \h </w:instrText>
      </w:r>
      <w:r>
        <w:rPr>
          <w:color w:val="auto"/>
          <w:sz w:val="32"/>
          <w:szCs w:val="32"/>
        </w:rPr>
        <w:fldChar w:fldCharType="separate"/>
      </w:r>
      <w:r>
        <w:rPr>
          <w:color w:val="auto"/>
          <w:sz w:val="32"/>
          <w:szCs w:val="32"/>
        </w:rPr>
        <w:t>40</w:t>
      </w:r>
      <w:r>
        <w:rPr>
          <w:color w:val="auto"/>
          <w:sz w:val="32"/>
          <w:szCs w:val="32"/>
        </w:rPr>
        <w:fldChar w:fldCharType="end"/>
      </w:r>
      <w:r>
        <w:rPr>
          <w:color w:val="auto"/>
          <w:sz w:val="32"/>
          <w:szCs w:val="32"/>
        </w:rPr>
        <w:fldChar w:fldCharType="end"/>
      </w:r>
    </w:p>
    <w:p>
      <w:pPr>
        <w:pStyle w:val="57"/>
        <w:tabs>
          <w:tab w:val="right" w:leader="dot" w:pos="8844"/>
        </w:tabs>
        <w:spacing w:line="360" w:lineRule="auto"/>
        <w:rPr>
          <w:color w:val="auto"/>
          <w:sz w:val="32"/>
          <w:szCs w:val="32"/>
        </w:rPr>
      </w:pPr>
      <w:r>
        <w:rPr>
          <w:color w:val="auto"/>
        </w:rPr>
        <w:fldChar w:fldCharType="begin"/>
      </w:r>
      <w:r>
        <w:rPr>
          <w:color w:val="auto"/>
        </w:rPr>
        <w:instrText xml:space="preserve"> HYPERLINK \l "_Toc6461" </w:instrText>
      </w:r>
      <w:r>
        <w:rPr>
          <w:color w:val="auto"/>
        </w:rPr>
        <w:fldChar w:fldCharType="separate"/>
      </w:r>
      <w:r>
        <w:rPr>
          <w:snapToGrid w:val="0"/>
          <w:color w:val="auto"/>
          <w:sz w:val="32"/>
          <w:szCs w:val="32"/>
        </w:rPr>
        <w:t>四、主要环境影响和保护措施</w:t>
      </w:r>
      <w:r>
        <w:rPr>
          <w:color w:val="auto"/>
          <w:sz w:val="32"/>
          <w:szCs w:val="32"/>
        </w:rPr>
        <w:tab/>
      </w:r>
      <w:r>
        <w:rPr>
          <w:color w:val="auto"/>
          <w:sz w:val="32"/>
          <w:szCs w:val="32"/>
        </w:rPr>
        <w:fldChar w:fldCharType="begin"/>
      </w:r>
      <w:r>
        <w:rPr>
          <w:color w:val="auto"/>
          <w:sz w:val="32"/>
          <w:szCs w:val="32"/>
        </w:rPr>
        <w:instrText xml:space="preserve"> PAGEREF _Toc6461 \h </w:instrText>
      </w:r>
      <w:r>
        <w:rPr>
          <w:color w:val="auto"/>
          <w:sz w:val="32"/>
          <w:szCs w:val="32"/>
        </w:rPr>
        <w:fldChar w:fldCharType="separate"/>
      </w:r>
      <w:r>
        <w:rPr>
          <w:color w:val="auto"/>
          <w:sz w:val="32"/>
          <w:szCs w:val="32"/>
        </w:rPr>
        <w:t>47</w:t>
      </w:r>
      <w:r>
        <w:rPr>
          <w:color w:val="auto"/>
          <w:sz w:val="32"/>
          <w:szCs w:val="32"/>
        </w:rPr>
        <w:fldChar w:fldCharType="end"/>
      </w:r>
      <w:r>
        <w:rPr>
          <w:color w:val="auto"/>
          <w:sz w:val="32"/>
          <w:szCs w:val="32"/>
        </w:rPr>
        <w:fldChar w:fldCharType="end"/>
      </w:r>
    </w:p>
    <w:p>
      <w:pPr>
        <w:pStyle w:val="57"/>
        <w:tabs>
          <w:tab w:val="right" w:leader="dot" w:pos="8844"/>
        </w:tabs>
        <w:spacing w:line="360" w:lineRule="auto"/>
        <w:rPr>
          <w:color w:val="auto"/>
          <w:sz w:val="32"/>
          <w:szCs w:val="32"/>
        </w:rPr>
      </w:pPr>
      <w:r>
        <w:rPr>
          <w:color w:val="auto"/>
        </w:rPr>
        <w:fldChar w:fldCharType="begin"/>
      </w:r>
      <w:r>
        <w:rPr>
          <w:color w:val="auto"/>
        </w:rPr>
        <w:instrText xml:space="preserve"> HYPERLINK \l "_Toc13991" </w:instrText>
      </w:r>
      <w:r>
        <w:rPr>
          <w:color w:val="auto"/>
        </w:rPr>
        <w:fldChar w:fldCharType="separate"/>
      </w:r>
      <w:r>
        <w:rPr>
          <w:snapToGrid w:val="0"/>
          <w:color w:val="auto"/>
          <w:sz w:val="32"/>
          <w:szCs w:val="32"/>
        </w:rPr>
        <w:t>五、环境保护措施监督检查清单</w:t>
      </w:r>
      <w:r>
        <w:rPr>
          <w:color w:val="auto"/>
          <w:sz w:val="32"/>
          <w:szCs w:val="32"/>
        </w:rPr>
        <w:tab/>
      </w:r>
      <w:r>
        <w:rPr>
          <w:color w:val="auto"/>
          <w:sz w:val="32"/>
          <w:szCs w:val="32"/>
        </w:rPr>
        <w:fldChar w:fldCharType="begin"/>
      </w:r>
      <w:r>
        <w:rPr>
          <w:color w:val="auto"/>
          <w:sz w:val="32"/>
          <w:szCs w:val="32"/>
        </w:rPr>
        <w:instrText xml:space="preserve"> PAGEREF _Toc13991 \h </w:instrText>
      </w:r>
      <w:r>
        <w:rPr>
          <w:color w:val="auto"/>
          <w:sz w:val="32"/>
          <w:szCs w:val="32"/>
        </w:rPr>
        <w:fldChar w:fldCharType="separate"/>
      </w:r>
      <w:r>
        <w:rPr>
          <w:color w:val="auto"/>
          <w:sz w:val="32"/>
          <w:szCs w:val="32"/>
        </w:rPr>
        <w:t>68</w:t>
      </w:r>
      <w:r>
        <w:rPr>
          <w:color w:val="auto"/>
          <w:sz w:val="32"/>
          <w:szCs w:val="32"/>
        </w:rPr>
        <w:fldChar w:fldCharType="end"/>
      </w:r>
      <w:r>
        <w:rPr>
          <w:color w:val="auto"/>
          <w:sz w:val="32"/>
          <w:szCs w:val="32"/>
        </w:rPr>
        <w:fldChar w:fldCharType="end"/>
      </w:r>
    </w:p>
    <w:p>
      <w:pPr>
        <w:pStyle w:val="57"/>
        <w:tabs>
          <w:tab w:val="right" w:leader="dot" w:pos="8844"/>
        </w:tabs>
        <w:spacing w:line="360" w:lineRule="auto"/>
        <w:rPr>
          <w:color w:val="auto"/>
          <w:sz w:val="32"/>
          <w:szCs w:val="32"/>
        </w:rPr>
      </w:pPr>
      <w:r>
        <w:rPr>
          <w:color w:val="auto"/>
        </w:rPr>
        <w:fldChar w:fldCharType="begin"/>
      </w:r>
      <w:r>
        <w:rPr>
          <w:color w:val="auto"/>
        </w:rPr>
        <w:instrText xml:space="preserve"> HYPERLINK \l "_Toc16418" </w:instrText>
      </w:r>
      <w:r>
        <w:rPr>
          <w:color w:val="auto"/>
        </w:rPr>
        <w:fldChar w:fldCharType="separate"/>
      </w:r>
      <w:r>
        <w:rPr>
          <w:snapToGrid w:val="0"/>
          <w:color w:val="auto"/>
          <w:sz w:val="32"/>
          <w:szCs w:val="32"/>
        </w:rPr>
        <w:t>六、结论</w:t>
      </w:r>
      <w:r>
        <w:rPr>
          <w:color w:val="auto"/>
          <w:sz w:val="32"/>
          <w:szCs w:val="32"/>
        </w:rPr>
        <w:tab/>
      </w:r>
      <w:r>
        <w:rPr>
          <w:color w:val="auto"/>
          <w:sz w:val="32"/>
          <w:szCs w:val="32"/>
        </w:rPr>
        <w:fldChar w:fldCharType="begin"/>
      </w:r>
      <w:r>
        <w:rPr>
          <w:color w:val="auto"/>
          <w:sz w:val="32"/>
          <w:szCs w:val="32"/>
        </w:rPr>
        <w:instrText xml:space="preserve"> PAGEREF _Toc16418 \h </w:instrText>
      </w:r>
      <w:r>
        <w:rPr>
          <w:color w:val="auto"/>
          <w:sz w:val="32"/>
          <w:szCs w:val="32"/>
        </w:rPr>
        <w:fldChar w:fldCharType="separate"/>
      </w:r>
      <w:r>
        <w:rPr>
          <w:color w:val="auto"/>
          <w:sz w:val="32"/>
          <w:szCs w:val="32"/>
        </w:rPr>
        <w:t>70</w:t>
      </w:r>
      <w:r>
        <w:rPr>
          <w:color w:val="auto"/>
          <w:sz w:val="32"/>
          <w:szCs w:val="32"/>
        </w:rPr>
        <w:fldChar w:fldCharType="end"/>
      </w:r>
      <w:r>
        <w:rPr>
          <w:color w:val="auto"/>
          <w:sz w:val="32"/>
          <w:szCs w:val="32"/>
        </w:rPr>
        <w:fldChar w:fldCharType="end"/>
      </w:r>
    </w:p>
    <w:p>
      <w:pPr>
        <w:pStyle w:val="19"/>
        <w:spacing w:before="0" w:beforeAutospacing="0" w:after="0" w:afterAutospacing="0"/>
        <w:jc w:val="both"/>
        <w:rPr>
          <w:rFonts w:ascii="Times New Roman" w:hAnsi="Times New Roman"/>
          <w:bCs/>
          <w:color w:val="auto"/>
          <w:sz w:val="32"/>
          <w:szCs w:val="32"/>
        </w:rPr>
      </w:pPr>
      <w:r>
        <w:rPr>
          <w:rFonts w:ascii="Times New Roman" w:hAnsi="Times New Roman"/>
          <w:bCs/>
          <w:color w:val="auto"/>
          <w:sz w:val="32"/>
          <w:szCs w:val="32"/>
        </w:rPr>
        <w:fldChar w:fldCharType="end"/>
      </w:r>
    </w:p>
    <w:p>
      <w:pPr>
        <w:pStyle w:val="19"/>
        <w:spacing w:before="0" w:beforeAutospacing="0" w:after="0" w:afterAutospacing="0" w:line="360" w:lineRule="auto"/>
        <w:jc w:val="both"/>
        <w:rPr>
          <w:rFonts w:ascii="Times New Roman" w:hAnsi="Times New Roman"/>
          <w:bCs/>
          <w:color w:val="auto"/>
          <w:szCs w:val="24"/>
        </w:rPr>
        <w:sectPr>
          <w:footerReference r:id="rId3" w:type="default"/>
          <w:pgSz w:w="11906" w:h="16838"/>
          <w:pgMar w:top="1701" w:right="1531" w:bottom="1701" w:left="1531" w:header="851" w:footer="1077" w:gutter="0"/>
          <w:pgNumType w:start="1"/>
          <w:cols w:space="720" w:num="1"/>
          <w:docGrid w:linePitch="312" w:charSpace="0"/>
        </w:sectPr>
      </w:pPr>
    </w:p>
    <w:p>
      <w:pPr>
        <w:pStyle w:val="19"/>
        <w:spacing w:before="0" w:beforeAutospacing="0" w:after="0" w:afterAutospacing="0" w:line="360" w:lineRule="auto"/>
        <w:jc w:val="both"/>
        <w:rPr>
          <w:rFonts w:ascii="Times New Roman" w:hAnsi="Times New Roman"/>
          <w:bCs/>
          <w:color w:val="auto"/>
          <w:szCs w:val="24"/>
        </w:rPr>
      </w:pPr>
    </w:p>
    <w:p>
      <w:pPr>
        <w:pStyle w:val="19"/>
        <w:spacing w:before="0" w:beforeAutospacing="0" w:after="0" w:afterAutospacing="0"/>
        <w:jc w:val="both"/>
        <w:rPr>
          <w:rFonts w:ascii="Times New Roman" w:hAnsi="Times New Roman"/>
          <w:bCs/>
          <w:color w:val="auto"/>
          <w:szCs w:val="24"/>
        </w:rPr>
      </w:pPr>
      <w:r>
        <w:rPr>
          <w:rFonts w:hint="eastAsia" w:ascii="Times New Roman" w:hAnsi="Times New Roman"/>
          <w:bCs/>
          <w:color w:val="auto"/>
          <w:szCs w:val="24"/>
        </w:rPr>
        <w:t>附表：</w:t>
      </w:r>
    </w:p>
    <w:p>
      <w:pPr>
        <w:pStyle w:val="19"/>
        <w:spacing w:before="0" w:beforeAutospacing="0" w:after="0" w:afterAutospacing="0"/>
        <w:jc w:val="both"/>
        <w:rPr>
          <w:rFonts w:ascii="Times New Roman" w:hAnsi="Times New Roman"/>
          <w:bCs/>
          <w:color w:val="auto"/>
          <w:szCs w:val="24"/>
        </w:rPr>
      </w:pPr>
      <w:r>
        <w:rPr>
          <w:rFonts w:hint="eastAsia" w:ascii="Times New Roman" w:hAnsi="Times New Roman"/>
          <w:bCs/>
          <w:color w:val="auto"/>
          <w:szCs w:val="24"/>
        </w:rPr>
        <w:t>附表1  建设项目污染物排放量汇总表</w:t>
      </w:r>
    </w:p>
    <w:p>
      <w:pPr>
        <w:pStyle w:val="19"/>
        <w:spacing w:before="0" w:beforeAutospacing="0" w:after="0" w:afterAutospacing="0"/>
        <w:jc w:val="both"/>
        <w:rPr>
          <w:rFonts w:ascii="Times New Roman" w:hAnsi="Times New Roman"/>
          <w:bCs/>
          <w:color w:val="auto"/>
          <w:szCs w:val="24"/>
        </w:rPr>
      </w:pPr>
    </w:p>
    <w:p>
      <w:pPr>
        <w:pStyle w:val="19"/>
        <w:spacing w:before="0" w:beforeAutospacing="0" w:after="0" w:afterAutospacing="0"/>
        <w:jc w:val="both"/>
        <w:rPr>
          <w:rFonts w:ascii="Times New Roman" w:hAnsi="Times New Roman"/>
          <w:bCs/>
          <w:color w:val="auto"/>
          <w:szCs w:val="24"/>
        </w:rPr>
      </w:pPr>
      <w:r>
        <w:rPr>
          <w:rFonts w:hint="eastAsia" w:ascii="Times New Roman" w:hAnsi="Times New Roman"/>
          <w:bCs/>
          <w:color w:val="auto"/>
          <w:szCs w:val="24"/>
        </w:rPr>
        <w:t>附图：</w:t>
      </w:r>
    </w:p>
    <w:p>
      <w:pPr>
        <w:pStyle w:val="19"/>
        <w:spacing w:before="0" w:beforeAutospacing="0" w:after="0" w:afterAutospacing="0"/>
        <w:jc w:val="both"/>
        <w:rPr>
          <w:rFonts w:ascii="Times New Roman" w:hAnsi="Times New Roman"/>
          <w:bCs/>
          <w:color w:val="auto"/>
          <w:szCs w:val="24"/>
        </w:rPr>
      </w:pPr>
      <w:r>
        <w:rPr>
          <w:rFonts w:hint="eastAsia" w:ascii="Times New Roman" w:hAnsi="Times New Roman"/>
          <w:bCs/>
          <w:color w:val="auto"/>
          <w:szCs w:val="24"/>
        </w:rPr>
        <w:t>附图1  项目地理位置图</w:t>
      </w:r>
    </w:p>
    <w:p>
      <w:pPr>
        <w:pStyle w:val="19"/>
        <w:spacing w:before="0" w:beforeAutospacing="0" w:after="0" w:afterAutospacing="0"/>
        <w:jc w:val="both"/>
        <w:rPr>
          <w:rFonts w:ascii="Times New Roman" w:hAnsi="Times New Roman"/>
          <w:bCs/>
          <w:color w:val="auto"/>
          <w:szCs w:val="24"/>
        </w:rPr>
      </w:pPr>
      <w:r>
        <w:rPr>
          <w:rFonts w:hint="eastAsia" w:ascii="Times New Roman" w:hAnsi="Times New Roman"/>
          <w:bCs/>
          <w:color w:val="auto"/>
          <w:szCs w:val="24"/>
        </w:rPr>
        <w:t>附图2  项目平面布置图</w:t>
      </w:r>
    </w:p>
    <w:p>
      <w:pPr>
        <w:pStyle w:val="19"/>
        <w:spacing w:before="0" w:beforeAutospacing="0" w:after="0" w:afterAutospacing="0"/>
        <w:jc w:val="both"/>
        <w:rPr>
          <w:rFonts w:ascii="Times New Roman" w:hAnsi="Times New Roman"/>
          <w:bCs/>
          <w:color w:val="auto"/>
          <w:szCs w:val="24"/>
        </w:rPr>
      </w:pPr>
      <w:r>
        <w:rPr>
          <w:rFonts w:hint="eastAsia" w:ascii="Times New Roman" w:hAnsi="Times New Roman"/>
          <w:bCs/>
          <w:color w:val="auto"/>
          <w:szCs w:val="24"/>
        </w:rPr>
        <w:t>附图3  项目周边关系图</w:t>
      </w:r>
    </w:p>
    <w:p>
      <w:pPr>
        <w:pStyle w:val="19"/>
        <w:spacing w:before="0" w:beforeAutospacing="0" w:after="0" w:afterAutospacing="0"/>
        <w:jc w:val="both"/>
        <w:rPr>
          <w:rFonts w:ascii="Times New Roman" w:hAnsi="Times New Roman"/>
          <w:bCs/>
          <w:color w:val="auto"/>
          <w:szCs w:val="24"/>
        </w:rPr>
      </w:pPr>
      <w:r>
        <w:rPr>
          <w:rFonts w:hint="eastAsia" w:ascii="Times New Roman" w:hAnsi="Times New Roman"/>
          <w:bCs/>
          <w:color w:val="auto"/>
          <w:szCs w:val="24"/>
        </w:rPr>
        <w:t>附图4  项目周边水系图</w:t>
      </w:r>
    </w:p>
    <w:p>
      <w:pPr>
        <w:pStyle w:val="19"/>
        <w:spacing w:before="0" w:beforeAutospacing="0" w:after="0" w:afterAutospacing="0"/>
        <w:jc w:val="both"/>
        <w:rPr>
          <w:rFonts w:ascii="Times New Roman" w:hAnsi="Times New Roman"/>
          <w:bCs/>
          <w:color w:val="auto"/>
          <w:szCs w:val="24"/>
        </w:rPr>
      </w:pPr>
      <w:r>
        <w:rPr>
          <w:rFonts w:hint="eastAsia" w:ascii="Times New Roman" w:hAnsi="Times New Roman"/>
          <w:bCs/>
          <w:color w:val="auto"/>
          <w:szCs w:val="24"/>
        </w:rPr>
        <w:t>附图5  现状监测布点图</w:t>
      </w:r>
    </w:p>
    <w:p>
      <w:pPr>
        <w:pStyle w:val="19"/>
        <w:spacing w:before="0" w:beforeAutospacing="0" w:after="0" w:afterAutospacing="0"/>
        <w:jc w:val="both"/>
        <w:rPr>
          <w:rFonts w:ascii="Times New Roman" w:hAnsi="Times New Roman"/>
          <w:bCs/>
          <w:color w:val="auto"/>
          <w:szCs w:val="24"/>
        </w:rPr>
      </w:pPr>
    </w:p>
    <w:p>
      <w:pPr>
        <w:pStyle w:val="19"/>
        <w:spacing w:before="0" w:beforeAutospacing="0" w:after="0" w:afterAutospacing="0"/>
        <w:jc w:val="both"/>
        <w:rPr>
          <w:rFonts w:ascii="Times New Roman" w:hAnsi="Times New Roman"/>
          <w:bCs/>
          <w:color w:val="auto"/>
          <w:szCs w:val="24"/>
        </w:rPr>
      </w:pPr>
      <w:r>
        <w:rPr>
          <w:rFonts w:hint="eastAsia" w:ascii="Times New Roman" w:hAnsi="Times New Roman"/>
          <w:bCs/>
          <w:color w:val="auto"/>
          <w:szCs w:val="24"/>
        </w:rPr>
        <w:t>附件：</w:t>
      </w:r>
    </w:p>
    <w:p>
      <w:pPr>
        <w:pStyle w:val="19"/>
        <w:spacing w:before="0" w:beforeAutospacing="0" w:after="0" w:afterAutospacing="0"/>
        <w:jc w:val="both"/>
        <w:rPr>
          <w:rFonts w:ascii="Times New Roman" w:hAnsi="Times New Roman"/>
          <w:bCs/>
          <w:color w:val="auto"/>
          <w:szCs w:val="24"/>
        </w:rPr>
      </w:pPr>
      <w:r>
        <w:rPr>
          <w:rFonts w:hint="eastAsia" w:ascii="Times New Roman" w:hAnsi="Times New Roman"/>
          <w:bCs/>
          <w:color w:val="auto"/>
          <w:szCs w:val="24"/>
        </w:rPr>
        <w:t>附件1  委托书</w:t>
      </w:r>
    </w:p>
    <w:p>
      <w:pPr>
        <w:pStyle w:val="19"/>
        <w:spacing w:before="0" w:beforeAutospacing="0" w:after="0" w:afterAutospacing="0"/>
        <w:jc w:val="both"/>
        <w:rPr>
          <w:rFonts w:ascii="Times New Roman" w:hAnsi="Times New Roman"/>
          <w:bCs/>
          <w:color w:val="auto"/>
          <w:szCs w:val="24"/>
        </w:rPr>
      </w:pPr>
      <w:r>
        <w:rPr>
          <w:rFonts w:hint="eastAsia" w:ascii="Times New Roman" w:hAnsi="Times New Roman"/>
          <w:bCs/>
          <w:color w:val="auto"/>
          <w:szCs w:val="24"/>
        </w:rPr>
        <w:t>附件2  营业执照</w:t>
      </w:r>
    </w:p>
    <w:p>
      <w:pPr>
        <w:pStyle w:val="19"/>
        <w:spacing w:before="0" w:beforeAutospacing="0" w:after="0" w:afterAutospacing="0"/>
        <w:ind w:right="-615" w:rightChars="-293"/>
        <w:jc w:val="both"/>
        <w:rPr>
          <w:rFonts w:ascii="Times New Roman" w:hAnsi="Times New Roman"/>
          <w:bCs/>
          <w:color w:val="auto"/>
          <w:szCs w:val="24"/>
        </w:rPr>
      </w:pPr>
      <w:r>
        <w:rPr>
          <w:rFonts w:hint="eastAsia" w:ascii="Times New Roman" w:hAnsi="Times New Roman"/>
          <w:bCs/>
          <w:color w:val="auto"/>
          <w:szCs w:val="24"/>
        </w:rPr>
        <w:t>附件3  土地证</w:t>
      </w:r>
    </w:p>
    <w:p>
      <w:pPr>
        <w:pStyle w:val="19"/>
        <w:spacing w:before="0" w:beforeAutospacing="0" w:after="0" w:afterAutospacing="0"/>
        <w:ind w:left="960" w:right="-615" w:rightChars="-293" w:hanging="960" w:hangingChars="400"/>
        <w:jc w:val="both"/>
        <w:rPr>
          <w:rFonts w:ascii="Times New Roman" w:hAnsi="Times New Roman"/>
          <w:bCs/>
          <w:color w:val="auto"/>
          <w:szCs w:val="24"/>
        </w:rPr>
      </w:pPr>
      <w:r>
        <w:rPr>
          <w:rFonts w:hint="eastAsia" w:ascii="Times New Roman" w:hAnsi="Times New Roman"/>
          <w:bCs/>
          <w:color w:val="auto"/>
          <w:szCs w:val="24"/>
        </w:rPr>
        <w:t>附件4  云南省生态环境厅关于《宜良工业园区总体规划（2016-2030）环境影响报告书》审查意见的函</w:t>
      </w:r>
    </w:p>
    <w:p>
      <w:pPr>
        <w:pStyle w:val="19"/>
        <w:spacing w:before="0" w:beforeAutospacing="0" w:after="0" w:afterAutospacing="0"/>
        <w:ind w:right="-615" w:rightChars="-293"/>
        <w:jc w:val="both"/>
        <w:rPr>
          <w:rFonts w:ascii="Times New Roman" w:hAnsi="Times New Roman"/>
          <w:bCs/>
          <w:color w:val="auto"/>
          <w:szCs w:val="24"/>
        </w:rPr>
      </w:pPr>
      <w:r>
        <w:rPr>
          <w:rFonts w:hint="eastAsia" w:ascii="Times New Roman" w:hAnsi="Times New Roman"/>
          <w:bCs/>
          <w:color w:val="auto"/>
          <w:szCs w:val="24"/>
        </w:rPr>
        <w:t xml:space="preserve">附件5 </w:t>
      </w:r>
      <w:r>
        <w:rPr>
          <w:rFonts w:hint="eastAsia" w:ascii="Times New Roman" w:hAnsi="Times New Roman"/>
          <w:bCs/>
          <w:color w:val="auto"/>
          <w:szCs w:val="24"/>
          <w:lang w:val="en-US" w:eastAsia="zh-CN"/>
        </w:rPr>
        <w:t xml:space="preserve"> </w:t>
      </w:r>
      <w:r>
        <w:rPr>
          <w:rFonts w:hint="eastAsia" w:ascii="Times New Roman" w:hAnsi="Times New Roman"/>
          <w:bCs/>
          <w:color w:val="auto"/>
          <w:szCs w:val="24"/>
        </w:rPr>
        <w:t>关于对《年产10万吨耐火材料生产线建设项目环境影响报告表》的批复（2008</w:t>
      </w:r>
      <w:r>
        <w:rPr>
          <w:rFonts w:hint="eastAsia" w:ascii="Times New Roman" w:hAnsi="Times New Roman"/>
          <w:bCs/>
          <w:color w:val="auto"/>
          <w:szCs w:val="24"/>
          <w:lang w:val="en-US" w:eastAsia="zh-CN"/>
        </w:rPr>
        <w:t>年</w:t>
      </w:r>
      <w:r>
        <w:rPr>
          <w:rFonts w:hint="eastAsia" w:ascii="Times New Roman" w:hAnsi="Times New Roman"/>
          <w:bCs/>
          <w:color w:val="auto"/>
          <w:szCs w:val="24"/>
        </w:rPr>
        <w:t>）</w:t>
      </w:r>
    </w:p>
    <w:p>
      <w:pPr>
        <w:pStyle w:val="19"/>
        <w:spacing w:before="0" w:beforeAutospacing="0" w:after="0" w:afterAutospacing="0"/>
        <w:ind w:left="960" w:right="-615" w:rightChars="-293" w:hanging="960" w:hangingChars="400"/>
        <w:jc w:val="both"/>
        <w:rPr>
          <w:rFonts w:ascii="Times New Roman" w:hAnsi="Times New Roman"/>
          <w:bCs/>
          <w:color w:val="auto"/>
          <w:szCs w:val="24"/>
        </w:rPr>
      </w:pPr>
      <w:r>
        <w:rPr>
          <w:rFonts w:hint="eastAsia" w:ascii="Times New Roman" w:hAnsi="Times New Roman"/>
          <w:bCs/>
          <w:color w:val="auto"/>
          <w:szCs w:val="24"/>
        </w:rPr>
        <w:t>附件6  关于对“年产10万吨耐火材料生产线（一期）建设项目竣工环境保护验收”的审核意见（2013</w:t>
      </w:r>
      <w:r>
        <w:rPr>
          <w:rFonts w:hint="eastAsia" w:ascii="Times New Roman" w:hAnsi="Times New Roman"/>
          <w:bCs/>
          <w:color w:val="auto"/>
          <w:szCs w:val="24"/>
          <w:lang w:val="en-US" w:eastAsia="zh-CN"/>
        </w:rPr>
        <w:t>年</w:t>
      </w:r>
      <w:r>
        <w:rPr>
          <w:rFonts w:hint="eastAsia" w:ascii="Times New Roman" w:hAnsi="Times New Roman"/>
          <w:bCs/>
          <w:color w:val="auto"/>
          <w:szCs w:val="24"/>
        </w:rPr>
        <w:t>）</w:t>
      </w:r>
    </w:p>
    <w:p>
      <w:pPr>
        <w:pStyle w:val="19"/>
        <w:spacing w:before="0" w:beforeAutospacing="0" w:after="0" w:afterAutospacing="0"/>
        <w:ind w:left="960" w:right="-615" w:rightChars="-293" w:hanging="960" w:hangingChars="400"/>
        <w:jc w:val="both"/>
        <w:rPr>
          <w:rFonts w:ascii="Times New Roman" w:hAnsi="Times New Roman"/>
          <w:bCs/>
          <w:color w:val="auto"/>
          <w:szCs w:val="24"/>
        </w:rPr>
      </w:pPr>
      <w:r>
        <w:rPr>
          <w:rFonts w:hint="eastAsia" w:ascii="Times New Roman" w:hAnsi="Times New Roman"/>
          <w:bCs/>
          <w:color w:val="auto"/>
          <w:szCs w:val="24"/>
        </w:rPr>
        <w:t>附件7  关于对《昆明红枫湖耐火材料有限公司年产10万吨耐火材料生产线技改项目环境影响报告表》的批复（2020</w:t>
      </w:r>
      <w:r>
        <w:rPr>
          <w:rFonts w:hint="eastAsia" w:ascii="Times New Roman" w:hAnsi="Times New Roman"/>
          <w:bCs/>
          <w:color w:val="auto"/>
          <w:szCs w:val="24"/>
          <w:lang w:val="en-US" w:eastAsia="zh-CN"/>
        </w:rPr>
        <w:t>年</w:t>
      </w:r>
      <w:r>
        <w:rPr>
          <w:rFonts w:hint="eastAsia" w:ascii="Times New Roman" w:hAnsi="Times New Roman"/>
          <w:bCs/>
          <w:color w:val="auto"/>
          <w:szCs w:val="24"/>
        </w:rPr>
        <w:t>）</w:t>
      </w:r>
    </w:p>
    <w:p>
      <w:pPr>
        <w:pStyle w:val="19"/>
        <w:spacing w:before="0" w:beforeAutospacing="0" w:after="0" w:afterAutospacing="0"/>
        <w:ind w:right="-615" w:rightChars="-293"/>
        <w:jc w:val="both"/>
        <w:rPr>
          <w:rFonts w:ascii="Times New Roman" w:hAnsi="Times New Roman"/>
          <w:bCs/>
          <w:color w:val="auto"/>
          <w:szCs w:val="24"/>
        </w:rPr>
      </w:pPr>
      <w:r>
        <w:rPr>
          <w:rFonts w:hint="eastAsia" w:ascii="Times New Roman" w:hAnsi="Times New Roman"/>
          <w:bCs/>
          <w:color w:val="auto"/>
          <w:szCs w:val="24"/>
        </w:rPr>
        <w:t>附件8  年产10万吨耐火材料生产线技改项目竣工环境保护验收意见（2021</w:t>
      </w:r>
      <w:r>
        <w:rPr>
          <w:rFonts w:hint="eastAsia" w:ascii="Times New Roman" w:hAnsi="Times New Roman"/>
          <w:bCs/>
          <w:color w:val="auto"/>
          <w:szCs w:val="24"/>
          <w:lang w:val="en-US" w:eastAsia="zh-CN"/>
        </w:rPr>
        <w:t>年</w:t>
      </w:r>
      <w:r>
        <w:rPr>
          <w:rFonts w:hint="eastAsia" w:ascii="Times New Roman" w:hAnsi="Times New Roman"/>
          <w:bCs/>
          <w:color w:val="auto"/>
          <w:szCs w:val="24"/>
        </w:rPr>
        <w:t>）</w:t>
      </w:r>
    </w:p>
    <w:p>
      <w:pPr>
        <w:pStyle w:val="19"/>
        <w:spacing w:before="0" w:beforeAutospacing="0" w:after="0" w:afterAutospacing="0"/>
        <w:ind w:right="-615" w:rightChars="-293"/>
        <w:jc w:val="both"/>
        <w:rPr>
          <w:rFonts w:hint="default" w:ascii="Times New Roman" w:hAnsi="Times New Roman" w:eastAsia="宋体"/>
          <w:bCs/>
          <w:color w:val="auto"/>
          <w:szCs w:val="24"/>
          <w:lang w:val="en-US" w:eastAsia="zh-CN"/>
        </w:rPr>
      </w:pPr>
      <w:r>
        <w:rPr>
          <w:rFonts w:hint="eastAsia" w:ascii="Times New Roman" w:hAnsi="Times New Roman"/>
          <w:bCs/>
          <w:color w:val="auto"/>
          <w:szCs w:val="24"/>
        </w:rPr>
        <w:t>附件9  关于对《年产10万吨耐火材料生产线改建项目环境影响报告表》的批复（20</w:t>
      </w:r>
      <w:r>
        <w:rPr>
          <w:rFonts w:hint="eastAsia" w:ascii="Times New Roman" w:hAnsi="Times New Roman"/>
          <w:bCs/>
          <w:color w:val="auto"/>
          <w:szCs w:val="24"/>
          <w:lang w:val="en-US" w:eastAsia="zh-CN"/>
        </w:rPr>
        <w:t>22年</w:t>
      </w:r>
      <w:r>
        <w:rPr>
          <w:rFonts w:hint="eastAsia" w:ascii="Times New Roman" w:hAnsi="Times New Roman"/>
          <w:bCs/>
          <w:color w:val="auto"/>
          <w:szCs w:val="24"/>
        </w:rPr>
        <w:t>）</w:t>
      </w:r>
    </w:p>
    <w:p>
      <w:pPr>
        <w:pStyle w:val="19"/>
        <w:spacing w:before="0" w:beforeAutospacing="0" w:after="0" w:afterAutospacing="0"/>
        <w:ind w:right="-615" w:rightChars="-293"/>
        <w:jc w:val="both"/>
        <w:rPr>
          <w:rFonts w:hint="eastAsia" w:ascii="Times New Roman" w:hAnsi="Times New Roman"/>
          <w:bCs/>
          <w:color w:val="auto"/>
          <w:szCs w:val="24"/>
          <w:highlight w:val="none"/>
        </w:rPr>
      </w:pPr>
      <w:r>
        <w:rPr>
          <w:rFonts w:hint="eastAsia" w:ascii="Times New Roman" w:hAnsi="Times New Roman"/>
          <w:bCs/>
          <w:color w:val="auto"/>
          <w:szCs w:val="24"/>
          <w:highlight w:val="none"/>
        </w:rPr>
        <w:t>附件1</w:t>
      </w:r>
      <w:r>
        <w:rPr>
          <w:rFonts w:hint="eastAsia" w:ascii="Times New Roman" w:hAnsi="Times New Roman"/>
          <w:bCs/>
          <w:color w:val="auto"/>
          <w:szCs w:val="24"/>
          <w:highlight w:val="none"/>
          <w:lang w:val="en-US" w:eastAsia="zh-CN"/>
        </w:rPr>
        <w:t>0</w:t>
      </w:r>
      <w:r>
        <w:rPr>
          <w:rFonts w:hint="eastAsia" w:ascii="Times New Roman" w:hAnsi="Times New Roman"/>
          <w:bCs/>
          <w:color w:val="auto"/>
          <w:szCs w:val="24"/>
          <w:highlight w:val="none"/>
        </w:rPr>
        <w:t xml:space="preserve">  排污许可证</w:t>
      </w:r>
    </w:p>
    <w:p>
      <w:pPr>
        <w:pStyle w:val="19"/>
        <w:spacing w:before="0" w:beforeAutospacing="0" w:after="0" w:afterAutospacing="0"/>
        <w:ind w:right="-615" w:rightChars="-293"/>
        <w:jc w:val="both"/>
        <w:rPr>
          <w:rFonts w:ascii="Times New Roman" w:hAnsi="Times New Roman"/>
          <w:bCs/>
          <w:color w:val="auto"/>
          <w:szCs w:val="24"/>
          <w:highlight w:val="none"/>
        </w:rPr>
      </w:pPr>
      <w:r>
        <w:rPr>
          <w:rFonts w:hint="eastAsia" w:ascii="Times New Roman" w:hAnsi="Times New Roman"/>
          <w:bCs/>
          <w:color w:val="auto"/>
          <w:szCs w:val="24"/>
          <w:highlight w:val="none"/>
        </w:rPr>
        <w:t>附件1</w:t>
      </w:r>
      <w:r>
        <w:rPr>
          <w:rFonts w:hint="eastAsia" w:ascii="Times New Roman" w:hAnsi="Times New Roman"/>
          <w:bCs/>
          <w:color w:val="auto"/>
          <w:szCs w:val="24"/>
          <w:highlight w:val="none"/>
          <w:lang w:val="en-US" w:eastAsia="zh-CN"/>
        </w:rPr>
        <w:t>1</w:t>
      </w:r>
      <w:r>
        <w:rPr>
          <w:rFonts w:hint="eastAsia" w:ascii="Times New Roman" w:hAnsi="Times New Roman"/>
          <w:bCs/>
          <w:color w:val="auto"/>
          <w:szCs w:val="24"/>
          <w:highlight w:val="none"/>
        </w:rPr>
        <w:t xml:space="preserve">  原料成分检测报告</w:t>
      </w:r>
    </w:p>
    <w:p>
      <w:pPr>
        <w:pStyle w:val="19"/>
        <w:spacing w:before="0" w:beforeAutospacing="0" w:after="0" w:afterAutospacing="0"/>
        <w:ind w:right="-615" w:rightChars="-293"/>
        <w:jc w:val="both"/>
        <w:rPr>
          <w:rFonts w:ascii="Times New Roman" w:hAnsi="Times New Roman"/>
          <w:bCs/>
          <w:color w:val="auto"/>
          <w:szCs w:val="24"/>
          <w:highlight w:val="none"/>
        </w:rPr>
      </w:pPr>
      <w:r>
        <w:rPr>
          <w:rFonts w:hint="eastAsia" w:ascii="Times New Roman" w:hAnsi="Times New Roman"/>
          <w:bCs/>
          <w:color w:val="auto"/>
          <w:szCs w:val="24"/>
          <w:highlight w:val="none"/>
        </w:rPr>
        <w:t>附件1</w:t>
      </w:r>
      <w:r>
        <w:rPr>
          <w:rFonts w:hint="eastAsia" w:ascii="Times New Roman" w:hAnsi="Times New Roman"/>
          <w:bCs/>
          <w:color w:val="auto"/>
          <w:szCs w:val="24"/>
          <w:highlight w:val="none"/>
          <w:lang w:val="en-US" w:eastAsia="zh-CN"/>
        </w:rPr>
        <w:t>2</w:t>
      </w:r>
      <w:r>
        <w:rPr>
          <w:rFonts w:hint="eastAsia" w:ascii="Times New Roman" w:hAnsi="Times New Roman"/>
          <w:bCs/>
          <w:color w:val="auto"/>
          <w:szCs w:val="24"/>
          <w:highlight w:val="none"/>
        </w:rPr>
        <w:t xml:space="preserve">  </w:t>
      </w:r>
      <w:r>
        <w:rPr>
          <w:rFonts w:hint="eastAsia" w:ascii="Times New Roman" w:hAnsi="Times New Roman"/>
          <w:bCs/>
          <w:color w:val="auto"/>
          <w:szCs w:val="24"/>
          <w:highlight w:val="none"/>
          <w:lang w:val="en-US" w:eastAsia="zh-CN"/>
        </w:rPr>
        <w:t>2021年</w:t>
      </w:r>
      <w:r>
        <w:rPr>
          <w:rFonts w:hint="eastAsia" w:ascii="Times New Roman" w:hAnsi="Times New Roman"/>
          <w:bCs/>
          <w:color w:val="auto"/>
          <w:szCs w:val="24"/>
          <w:highlight w:val="none"/>
        </w:rPr>
        <w:t>项目技改</w:t>
      </w:r>
      <w:r>
        <w:rPr>
          <w:rFonts w:hint="eastAsia" w:ascii="Times New Roman" w:hAnsi="Times New Roman"/>
          <w:bCs/>
          <w:color w:val="auto"/>
          <w:szCs w:val="24"/>
          <w:highlight w:val="none"/>
          <w:lang w:val="en-US" w:eastAsia="zh-CN"/>
        </w:rPr>
        <w:t>后</w:t>
      </w:r>
      <w:r>
        <w:rPr>
          <w:rFonts w:hint="eastAsia" w:ascii="Times New Roman" w:hAnsi="Times New Roman"/>
          <w:bCs/>
          <w:color w:val="auto"/>
          <w:szCs w:val="24"/>
          <w:highlight w:val="none"/>
        </w:rPr>
        <w:t>竣工环保验收检测报告</w:t>
      </w:r>
    </w:p>
    <w:p>
      <w:pPr>
        <w:pStyle w:val="19"/>
        <w:spacing w:before="0" w:beforeAutospacing="0" w:after="0" w:afterAutospacing="0"/>
        <w:ind w:right="-615" w:rightChars="-293"/>
        <w:jc w:val="both"/>
        <w:rPr>
          <w:rFonts w:hint="eastAsia" w:ascii="Times New Roman" w:hAnsi="Times New Roman" w:eastAsia="宋体"/>
          <w:bCs/>
          <w:color w:val="auto"/>
          <w:szCs w:val="24"/>
          <w:highlight w:val="none"/>
          <w:lang w:val="en-US" w:eastAsia="zh-CN"/>
        </w:rPr>
      </w:pPr>
      <w:r>
        <w:rPr>
          <w:rFonts w:hint="eastAsia" w:ascii="Times New Roman" w:hAnsi="Times New Roman"/>
          <w:bCs/>
          <w:color w:val="auto"/>
          <w:szCs w:val="24"/>
          <w:highlight w:val="none"/>
        </w:rPr>
        <w:t>附件1</w:t>
      </w:r>
      <w:r>
        <w:rPr>
          <w:rFonts w:hint="eastAsia" w:ascii="Times New Roman" w:hAnsi="Times New Roman"/>
          <w:bCs/>
          <w:color w:val="auto"/>
          <w:szCs w:val="24"/>
          <w:highlight w:val="none"/>
          <w:lang w:val="en-US" w:eastAsia="zh-CN"/>
        </w:rPr>
        <w:t>3</w:t>
      </w:r>
      <w:r>
        <w:rPr>
          <w:rFonts w:hint="eastAsia" w:ascii="Times New Roman" w:hAnsi="Times New Roman"/>
          <w:bCs/>
          <w:color w:val="auto"/>
          <w:szCs w:val="24"/>
          <w:highlight w:val="none"/>
        </w:rPr>
        <w:t xml:space="preserve">  昆明红枫湖耐火材料有限公司2022年底2季度自行监测</w:t>
      </w:r>
      <w:r>
        <w:rPr>
          <w:rFonts w:hint="eastAsia" w:ascii="Times New Roman" w:hAnsi="Times New Roman"/>
          <w:bCs/>
          <w:color w:val="auto"/>
          <w:szCs w:val="24"/>
          <w:highlight w:val="none"/>
          <w:lang w:val="en-US" w:eastAsia="zh-CN"/>
        </w:rPr>
        <w:t>报告</w:t>
      </w:r>
    </w:p>
    <w:p>
      <w:pPr>
        <w:pStyle w:val="19"/>
        <w:spacing w:before="0" w:beforeAutospacing="0" w:after="0" w:afterAutospacing="0"/>
        <w:ind w:right="-615" w:rightChars="-293"/>
        <w:jc w:val="both"/>
        <w:rPr>
          <w:rFonts w:ascii="Times New Roman" w:hAnsi="Times New Roman"/>
          <w:bCs/>
          <w:color w:val="auto"/>
          <w:szCs w:val="24"/>
          <w:highlight w:val="none"/>
        </w:rPr>
      </w:pPr>
      <w:r>
        <w:rPr>
          <w:rFonts w:hint="eastAsia" w:ascii="Times New Roman" w:hAnsi="Times New Roman"/>
          <w:bCs/>
          <w:color w:val="auto"/>
          <w:szCs w:val="24"/>
          <w:highlight w:val="none"/>
        </w:rPr>
        <w:t>附件1</w:t>
      </w:r>
      <w:r>
        <w:rPr>
          <w:rFonts w:hint="eastAsia" w:ascii="Times New Roman" w:hAnsi="Times New Roman"/>
          <w:bCs/>
          <w:color w:val="auto"/>
          <w:szCs w:val="24"/>
          <w:highlight w:val="none"/>
          <w:lang w:val="en-US" w:eastAsia="zh-CN"/>
        </w:rPr>
        <w:t>4</w:t>
      </w:r>
      <w:r>
        <w:rPr>
          <w:rFonts w:hint="eastAsia" w:ascii="Times New Roman" w:hAnsi="Times New Roman"/>
          <w:bCs/>
          <w:color w:val="auto"/>
          <w:szCs w:val="24"/>
          <w:highlight w:val="none"/>
        </w:rPr>
        <w:t xml:space="preserve">  环境质量现状监测报告</w:t>
      </w:r>
    </w:p>
    <w:p>
      <w:pPr>
        <w:pStyle w:val="19"/>
        <w:spacing w:before="0" w:beforeAutospacing="0" w:after="0" w:afterAutospacing="0"/>
        <w:ind w:right="-615" w:rightChars="-293"/>
        <w:jc w:val="both"/>
        <w:rPr>
          <w:rFonts w:ascii="Times New Roman" w:hAnsi="Times New Roman"/>
          <w:bCs/>
          <w:color w:val="auto"/>
          <w:szCs w:val="24"/>
          <w:highlight w:val="none"/>
        </w:rPr>
      </w:pPr>
      <w:r>
        <w:rPr>
          <w:rFonts w:hint="eastAsia" w:ascii="Times New Roman" w:hAnsi="Times New Roman"/>
          <w:bCs/>
          <w:color w:val="auto"/>
          <w:szCs w:val="24"/>
          <w:highlight w:val="none"/>
        </w:rPr>
        <w:t>附件1</w:t>
      </w:r>
      <w:r>
        <w:rPr>
          <w:rFonts w:hint="eastAsia" w:ascii="Times New Roman" w:hAnsi="Times New Roman"/>
          <w:bCs/>
          <w:color w:val="auto"/>
          <w:szCs w:val="24"/>
          <w:highlight w:val="none"/>
          <w:lang w:val="en-US" w:eastAsia="zh-CN"/>
        </w:rPr>
        <w:t>5</w:t>
      </w:r>
      <w:r>
        <w:rPr>
          <w:rFonts w:hint="eastAsia" w:ascii="Times New Roman" w:hAnsi="Times New Roman"/>
          <w:bCs/>
          <w:color w:val="auto"/>
          <w:szCs w:val="24"/>
          <w:highlight w:val="none"/>
        </w:rPr>
        <w:t xml:space="preserve">  近一年在线监测数据统计</w:t>
      </w:r>
    </w:p>
    <w:p>
      <w:pPr>
        <w:pStyle w:val="19"/>
        <w:spacing w:before="0" w:beforeAutospacing="0" w:after="0" w:afterAutospacing="0"/>
        <w:ind w:right="-615" w:rightChars="-293"/>
        <w:jc w:val="both"/>
        <w:rPr>
          <w:rFonts w:ascii="Times New Roman" w:hAnsi="Times New Roman"/>
          <w:bCs/>
          <w:color w:val="auto"/>
          <w:szCs w:val="24"/>
          <w:highlight w:val="none"/>
        </w:rPr>
      </w:pPr>
      <w:r>
        <w:rPr>
          <w:rFonts w:hint="eastAsia" w:ascii="Times New Roman" w:hAnsi="Times New Roman"/>
          <w:bCs/>
          <w:color w:val="auto"/>
          <w:szCs w:val="24"/>
          <w:highlight w:val="none"/>
        </w:rPr>
        <w:t>附件1</w:t>
      </w:r>
      <w:r>
        <w:rPr>
          <w:rFonts w:hint="eastAsia" w:ascii="Times New Roman" w:hAnsi="Times New Roman"/>
          <w:bCs/>
          <w:color w:val="auto"/>
          <w:szCs w:val="24"/>
          <w:highlight w:val="none"/>
          <w:lang w:val="en-US" w:eastAsia="zh-CN"/>
        </w:rPr>
        <w:t>6</w:t>
      </w:r>
      <w:r>
        <w:rPr>
          <w:rFonts w:hint="eastAsia" w:ascii="Times New Roman" w:hAnsi="Times New Roman"/>
          <w:bCs/>
          <w:color w:val="auto"/>
          <w:szCs w:val="24"/>
          <w:highlight w:val="none"/>
        </w:rPr>
        <w:t xml:space="preserve">  天然气供应协议</w:t>
      </w:r>
    </w:p>
    <w:p>
      <w:pPr>
        <w:pStyle w:val="19"/>
        <w:spacing w:before="0" w:beforeAutospacing="0" w:after="0" w:afterAutospacing="0"/>
        <w:ind w:right="-615" w:rightChars="-293"/>
        <w:jc w:val="both"/>
        <w:rPr>
          <w:rFonts w:ascii="Times New Roman" w:hAnsi="Times New Roman"/>
          <w:bCs/>
          <w:color w:val="auto"/>
          <w:szCs w:val="24"/>
          <w:highlight w:val="none"/>
        </w:rPr>
      </w:pPr>
      <w:r>
        <w:rPr>
          <w:rFonts w:hint="eastAsia" w:ascii="Times New Roman" w:hAnsi="Times New Roman"/>
          <w:bCs/>
          <w:color w:val="auto"/>
          <w:szCs w:val="24"/>
          <w:highlight w:val="none"/>
        </w:rPr>
        <w:t>附件</w:t>
      </w:r>
      <w:r>
        <w:rPr>
          <w:rFonts w:hint="eastAsia" w:ascii="Times New Roman" w:hAnsi="Times New Roman"/>
          <w:bCs/>
          <w:color w:val="auto"/>
          <w:szCs w:val="24"/>
          <w:highlight w:val="none"/>
          <w:lang w:val="en-US" w:eastAsia="zh-CN"/>
        </w:rPr>
        <w:t>17</w:t>
      </w:r>
      <w:r>
        <w:rPr>
          <w:rFonts w:hint="eastAsia" w:ascii="Times New Roman" w:hAnsi="Times New Roman"/>
          <w:bCs/>
          <w:color w:val="auto"/>
          <w:szCs w:val="24"/>
          <w:highlight w:val="none"/>
        </w:rPr>
        <w:t xml:space="preserve">  环评合同</w:t>
      </w:r>
    </w:p>
    <w:p>
      <w:pPr>
        <w:pStyle w:val="19"/>
        <w:spacing w:before="0" w:beforeAutospacing="0" w:after="0" w:afterAutospacing="0"/>
        <w:ind w:right="-615" w:rightChars="-293"/>
        <w:jc w:val="both"/>
        <w:rPr>
          <w:rFonts w:ascii="Times New Roman" w:hAnsi="Times New Roman"/>
          <w:bCs/>
          <w:color w:val="auto"/>
          <w:szCs w:val="24"/>
          <w:highlight w:val="none"/>
        </w:rPr>
      </w:pPr>
      <w:r>
        <w:rPr>
          <w:rFonts w:hint="eastAsia" w:ascii="Times New Roman" w:hAnsi="Times New Roman"/>
          <w:bCs/>
          <w:color w:val="auto"/>
          <w:szCs w:val="24"/>
          <w:highlight w:val="none"/>
        </w:rPr>
        <w:t>附件</w:t>
      </w:r>
      <w:r>
        <w:rPr>
          <w:rFonts w:hint="eastAsia" w:ascii="Times New Roman" w:hAnsi="Times New Roman"/>
          <w:bCs/>
          <w:color w:val="auto"/>
          <w:szCs w:val="24"/>
          <w:highlight w:val="none"/>
          <w:lang w:val="en-US" w:eastAsia="zh-CN"/>
        </w:rPr>
        <w:t>18</w:t>
      </w:r>
      <w:r>
        <w:rPr>
          <w:rFonts w:hint="eastAsia" w:ascii="Times New Roman" w:hAnsi="Times New Roman"/>
          <w:bCs/>
          <w:color w:val="auto"/>
          <w:szCs w:val="24"/>
          <w:highlight w:val="none"/>
        </w:rPr>
        <w:t xml:space="preserve">  项目进度表</w:t>
      </w:r>
    </w:p>
    <w:p>
      <w:pPr>
        <w:pStyle w:val="19"/>
        <w:spacing w:before="0" w:beforeAutospacing="0" w:after="0" w:afterAutospacing="0"/>
        <w:ind w:right="-615" w:rightChars="-293"/>
        <w:jc w:val="both"/>
        <w:rPr>
          <w:rFonts w:ascii="Times New Roman" w:hAnsi="Times New Roman"/>
          <w:bCs/>
          <w:color w:val="auto"/>
          <w:szCs w:val="24"/>
          <w:highlight w:val="none"/>
        </w:rPr>
      </w:pPr>
      <w:r>
        <w:rPr>
          <w:rFonts w:hint="eastAsia" w:ascii="Times New Roman" w:hAnsi="Times New Roman"/>
          <w:bCs/>
          <w:color w:val="auto"/>
          <w:szCs w:val="24"/>
          <w:highlight w:val="none"/>
        </w:rPr>
        <w:t>附件</w:t>
      </w:r>
      <w:r>
        <w:rPr>
          <w:rFonts w:hint="eastAsia" w:ascii="Times New Roman" w:hAnsi="Times New Roman"/>
          <w:bCs/>
          <w:color w:val="auto"/>
          <w:szCs w:val="24"/>
          <w:highlight w:val="none"/>
          <w:lang w:val="en-US" w:eastAsia="zh-CN"/>
        </w:rPr>
        <w:t>19</w:t>
      </w:r>
      <w:r>
        <w:rPr>
          <w:rFonts w:hint="eastAsia" w:ascii="Times New Roman" w:hAnsi="Times New Roman"/>
          <w:bCs/>
          <w:color w:val="auto"/>
          <w:szCs w:val="24"/>
          <w:highlight w:val="none"/>
        </w:rPr>
        <w:t xml:space="preserve">  两级审核表</w:t>
      </w:r>
    </w:p>
    <w:p>
      <w:pPr>
        <w:pStyle w:val="19"/>
        <w:spacing w:before="0" w:beforeAutospacing="0" w:after="0" w:afterAutospacing="0"/>
        <w:ind w:right="-615" w:rightChars="-293"/>
        <w:jc w:val="both"/>
        <w:rPr>
          <w:rFonts w:ascii="Times New Roman" w:hAnsi="Times New Roman"/>
          <w:bCs/>
          <w:color w:val="auto"/>
          <w:szCs w:val="24"/>
          <w:highlight w:val="none"/>
        </w:rPr>
      </w:pPr>
      <w:r>
        <w:rPr>
          <w:rFonts w:hint="eastAsia" w:ascii="Times New Roman" w:hAnsi="Times New Roman"/>
          <w:bCs/>
          <w:color w:val="auto"/>
          <w:szCs w:val="24"/>
          <w:highlight w:val="none"/>
        </w:rPr>
        <w:t>附件2</w:t>
      </w:r>
      <w:r>
        <w:rPr>
          <w:rFonts w:hint="eastAsia" w:ascii="Times New Roman" w:hAnsi="Times New Roman"/>
          <w:bCs/>
          <w:color w:val="auto"/>
          <w:szCs w:val="24"/>
          <w:highlight w:val="none"/>
          <w:lang w:val="en-US" w:eastAsia="zh-CN"/>
        </w:rPr>
        <w:t>0</w:t>
      </w:r>
      <w:r>
        <w:rPr>
          <w:rFonts w:hint="eastAsia" w:ascii="Times New Roman" w:hAnsi="Times New Roman"/>
          <w:bCs/>
          <w:color w:val="auto"/>
          <w:szCs w:val="24"/>
          <w:highlight w:val="none"/>
        </w:rPr>
        <w:t xml:space="preserve">  </w:t>
      </w:r>
      <w:r>
        <w:rPr>
          <w:rFonts w:ascii="Times New Roman" w:hAnsi="Times New Roman"/>
          <w:bCs/>
          <w:color w:val="auto"/>
          <w:szCs w:val="24"/>
          <w:highlight w:val="none"/>
        </w:rPr>
        <w:t>评估中心全本信息公开公示截图</w:t>
      </w:r>
    </w:p>
    <w:p>
      <w:pPr>
        <w:pStyle w:val="19"/>
        <w:spacing w:before="0" w:beforeAutospacing="0" w:after="0" w:afterAutospacing="0"/>
        <w:jc w:val="both"/>
        <w:rPr>
          <w:rFonts w:ascii="Times New Roman" w:hAnsi="Times New Roman"/>
          <w:bCs/>
          <w:color w:val="auto"/>
          <w:szCs w:val="24"/>
        </w:rPr>
      </w:pPr>
      <w:r>
        <w:rPr>
          <w:rFonts w:hint="eastAsia" w:ascii="Times New Roman" w:hAnsi="Times New Roman"/>
          <w:bCs/>
          <w:color w:val="auto"/>
          <w:szCs w:val="24"/>
        </w:rPr>
        <w:t xml:space="preserve">  </w:t>
      </w:r>
    </w:p>
    <w:p>
      <w:pPr>
        <w:pStyle w:val="19"/>
        <w:spacing w:before="0" w:beforeAutospacing="0" w:after="0" w:afterAutospacing="0"/>
        <w:jc w:val="both"/>
        <w:rPr>
          <w:rFonts w:ascii="Times New Roman" w:hAnsi="Times New Roman"/>
          <w:bCs/>
          <w:color w:val="auto"/>
          <w:szCs w:val="24"/>
        </w:rPr>
        <w:sectPr>
          <w:pgSz w:w="11906" w:h="16838"/>
          <w:pgMar w:top="1701" w:right="1531" w:bottom="1701" w:left="1531" w:header="851" w:footer="1077" w:gutter="0"/>
          <w:pgNumType w:start="1"/>
          <w:cols w:space="720" w:num="1"/>
          <w:docGrid w:linePitch="312" w:charSpace="0"/>
        </w:sectPr>
      </w:pPr>
      <w:r>
        <w:rPr>
          <w:rFonts w:hint="eastAsia" w:ascii="Times New Roman" w:hAnsi="Times New Roman"/>
          <w:bCs/>
          <w:color w:val="auto"/>
          <w:szCs w:val="24"/>
        </w:rPr>
        <w:t xml:space="preserve">  </w:t>
      </w:r>
    </w:p>
    <w:p>
      <w:pPr>
        <w:pStyle w:val="19"/>
        <w:jc w:val="center"/>
        <w:outlineLvl w:val="0"/>
        <w:rPr>
          <w:rFonts w:ascii="黑体" w:hAnsi="黑体" w:eastAsia="黑体"/>
          <w:snapToGrid w:val="0"/>
          <w:color w:val="auto"/>
          <w:sz w:val="30"/>
          <w:szCs w:val="30"/>
        </w:rPr>
      </w:pPr>
      <w:bookmarkStart w:id="0" w:name="_Toc5744"/>
      <w:r>
        <w:rPr>
          <w:rFonts w:hint="eastAsia" w:ascii="黑体" w:hAnsi="黑体" w:eastAsia="黑体"/>
          <w:snapToGrid w:val="0"/>
          <w:color w:val="auto"/>
          <w:sz w:val="30"/>
          <w:szCs w:val="30"/>
        </w:rPr>
        <w:t>一、建设项目基本情况</w:t>
      </w:r>
      <w:bookmarkEnd w:id="0"/>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00"/>
        <w:gridCol w:w="2276"/>
        <w:gridCol w:w="2241"/>
        <w:gridCol w:w="27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479" w:type="dxa"/>
            <w:tcMar>
              <w:top w:w="16" w:type="dxa"/>
              <w:left w:w="16" w:type="dxa"/>
              <w:right w:w="16" w:type="dxa"/>
            </w:tcMar>
            <w:vAlign w:val="center"/>
          </w:tcPr>
          <w:p>
            <w:pPr>
              <w:adjustRightInd w:val="0"/>
              <w:snapToGrid w:val="0"/>
              <w:jc w:val="center"/>
              <w:rPr>
                <w:color w:val="auto"/>
                <w:sz w:val="22"/>
                <w:szCs w:val="22"/>
              </w:rPr>
            </w:pPr>
            <w:r>
              <w:rPr>
                <w:color w:val="auto"/>
                <w:sz w:val="22"/>
                <w:szCs w:val="22"/>
              </w:rPr>
              <w:t>建设项目名称</w:t>
            </w:r>
          </w:p>
        </w:tc>
        <w:tc>
          <w:tcPr>
            <w:tcW w:w="7479" w:type="dxa"/>
            <w:gridSpan w:val="3"/>
            <w:vAlign w:val="center"/>
          </w:tcPr>
          <w:p>
            <w:pPr>
              <w:adjustRightInd w:val="0"/>
              <w:snapToGrid w:val="0"/>
              <w:jc w:val="center"/>
              <w:rPr>
                <w:color w:val="auto"/>
                <w:sz w:val="22"/>
                <w:szCs w:val="22"/>
              </w:rPr>
            </w:pPr>
            <w:r>
              <w:rPr>
                <w:rFonts w:hint="eastAsia"/>
                <w:color w:val="auto"/>
                <w:sz w:val="22"/>
                <w:szCs w:val="22"/>
              </w:rPr>
              <w:t>年产10万吨耐火材料生产线改扩建项目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479" w:type="dxa"/>
            <w:tcMar>
              <w:top w:w="16" w:type="dxa"/>
              <w:left w:w="16" w:type="dxa"/>
              <w:right w:w="16" w:type="dxa"/>
            </w:tcMar>
            <w:vAlign w:val="center"/>
          </w:tcPr>
          <w:p>
            <w:pPr>
              <w:adjustRightInd w:val="0"/>
              <w:snapToGrid w:val="0"/>
              <w:jc w:val="center"/>
              <w:rPr>
                <w:color w:val="auto"/>
                <w:sz w:val="22"/>
                <w:szCs w:val="22"/>
              </w:rPr>
            </w:pPr>
            <w:r>
              <w:rPr>
                <w:color w:val="auto"/>
                <w:sz w:val="22"/>
                <w:szCs w:val="22"/>
              </w:rPr>
              <w:t>项目代码</w:t>
            </w:r>
          </w:p>
        </w:tc>
        <w:tc>
          <w:tcPr>
            <w:tcW w:w="7479" w:type="dxa"/>
            <w:gridSpan w:val="3"/>
            <w:vAlign w:val="center"/>
          </w:tcPr>
          <w:p>
            <w:pPr>
              <w:adjustRightInd w:val="0"/>
              <w:snapToGrid w:val="0"/>
              <w:jc w:val="center"/>
              <w:rPr>
                <w:color w:val="auto"/>
                <w:sz w:val="22"/>
                <w:szCs w:val="22"/>
              </w:rPr>
            </w:pPr>
            <w:r>
              <w:rPr>
                <w:rFonts w:hint="eastAsia"/>
                <w:color w:val="auto"/>
                <w:sz w:val="22"/>
                <w:szCs w:val="22"/>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479" w:type="dxa"/>
            <w:tcMar>
              <w:top w:w="16" w:type="dxa"/>
              <w:left w:w="16" w:type="dxa"/>
              <w:right w:w="16" w:type="dxa"/>
            </w:tcMar>
            <w:vAlign w:val="center"/>
          </w:tcPr>
          <w:p>
            <w:pPr>
              <w:adjustRightInd w:val="0"/>
              <w:snapToGrid w:val="0"/>
              <w:jc w:val="center"/>
              <w:rPr>
                <w:color w:val="auto"/>
                <w:sz w:val="22"/>
                <w:szCs w:val="22"/>
              </w:rPr>
            </w:pPr>
            <w:r>
              <w:rPr>
                <w:color w:val="auto"/>
                <w:sz w:val="22"/>
                <w:szCs w:val="22"/>
              </w:rPr>
              <w:t>建设单位联系人</w:t>
            </w:r>
          </w:p>
        </w:tc>
        <w:tc>
          <w:tcPr>
            <w:tcW w:w="7479" w:type="dxa"/>
            <w:vAlign w:val="center"/>
          </w:tcPr>
          <w:p>
            <w:pPr>
              <w:adjustRightInd w:val="0"/>
              <w:snapToGrid w:val="0"/>
              <w:jc w:val="center"/>
              <w:rPr>
                <w:rFonts w:hint="default" w:eastAsia="宋体"/>
                <w:color w:val="auto"/>
                <w:sz w:val="22"/>
                <w:szCs w:val="22"/>
                <w:lang w:val="en-US" w:eastAsia="zh-CN"/>
              </w:rPr>
            </w:pPr>
            <w:r>
              <w:rPr>
                <w:rFonts w:hint="eastAsia"/>
                <w:color w:val="auto"/>
                <w:sz w:val="22"/>
                <w:szCs w:val="22"/>
              </w:rPr>
              <w:t>钟</w:t>
            </w:r>
            <w:r>
              <w:rPr>
                <w:rFonts w:hint="eastAsia"/>
                <w:color w:val="auto"/>
                <w:sz w:val="22"/>
                <w:szCs w:val="22"/>
                <w:lang w:val="en-US" w:eastAsia="zh-CN"/>
              </w:rPr>
              <w:t>**</w:t>
            </w:r>
          </w:p>
        </w:tc>
        <w:tc>
          <w:tcPr>
            <w:tcW w:w="7479" w:type="dxa"/>
            <w:vAlign w:val="center"/>
          </w:tcPr>
          <w:p>
            <w:pPr>
              <w:adjustRightInd w:val="0"/>
              <w:snapToGrid w:val="0"/>
              <w:jc w:val="center"/>
              <w:rPr>
                <w:color w:val="auto"/>
                <w:sz w:val="22"/>
                <w:szCs w:val="22"/>
              </w:rPr>
            </w:pPr>
            <w:r>
              <w:rPr>
                <w:color w:val="auto"/>
                <w:sz w:val="22"/>
                <w:szCs w:val="22"/>
              </w:rPr>
              <w:t>联系方式</w:t>
            </w:r>
          </w:p>
        </w:tc>
        <w:tc>
          <w:tcPr>
            <w:tcW w:w="7479" w:type="dxa"/>
            <w:vAlign w:val="center"/>
          </w:tcPr>
          <w:p>
            <w:pPr>
              <w:adjustRightInd w:val="0"/>
              <w:snapToGrid w:val="0"/>
              <w:jc w:val="center"/>
              <w:rPr>
                <w:rFonts w:hint="default" w:eastAsia="宋体"/>
                <w:color w:val="auto"/>
                <w:sz w:val="22"/>
                <w:szCs w:val="22"/>
                <w:lang w:val="en-US" w:eastAsia="zh-CN"/>
              </w:rPr>
            </w:pPr>
            <w:r>
              <w:rPr>
                <w:rFonts w:hint="eastAsia"/>
                <w:color w:val="auto"/>
                <w:sz w:val="22"/>
                <w:szCs w:val="22"/>
              </w:rPr>
              <w:t>137</w:t>
            </w:r>
            <w:r>
              <w:rPr>
                <w:rFonts w:hint="eastAsia"/>
                <w:color w:val="auto"/>
                <w:sz w:val="22"/>
                <w:szCs w:val="22"/>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479" w:type="dxa"/>
            <w:tcMar>
              <w:top w:w="16" w:type="dxa"/>
              <w:left w:w="16" w:type="dxa"/>
              <w:right w:w="16" w:type="dxa"/>
            </w:tcMar>
            <w:vAlign w:val="center"/>
          </w:tcPr>
          <w:p>
            <w:pPr>
              <w:adjustRightInd w:val="0"/>
              <w:snapToGrid w:val="0"/>
              <w:jc w:val="center"/>
              <w:rPr>
                <w:color w:val="auto"/>
                <w:sz w:val="22"/>
                <w:szCs w:val="22"/>
              </w:rPr>
            </w:pPr>
            <w:r>
              <w:rPr>
                <w:color w:val="auto"/>
                <w:sz w:val="22"/>
                <w:szCs w:val="22"/>
              </w:rPr>
              <w:t>建设地点</w:t>
            </w:r>
          </w:p>
        </w:tc>
        <w:tc>
          <w:tcPr>
            <w:tcW w:w="7479" w:type="dxa"/>
            <w:gridSpan w:val="3"/>
            <w:vAlign w:val="center"/>
          </w:tcPr>
          <w:p>
            <w:pPr>
              <w:adjustRightInd w:val="0"/>
              <w:snapToGrid w:val="0"/>
              <w:jc w:val="center"/>
              <w:rPr>
                <w:color w:val="auto"/>
                <w:sz w:val="22"/>
                <w:szCs w:val="22"/>
              </w:rPr>
            </w:pPr>
            <w:r>
              <w:rPr>
                <w:rFonts w:hint="eastAsia"/>
                <w:color w:val="auto"/>
                <w:sz w:val="22"/>
                <w:szCs w:val="22"/>
              </w:rPr>
              <w:t>宜良工业园区北古城片区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479" w:type="dxa"/>
            <w:tcMar>
              <w:top w:w="16" w:type="dxa"/>
              <w:left w:w="16" w:type="dxa"/>
              <w:right w:w="16" w:type="dxa"/>
            </w:tcMar>
            <w:vAlign w:val="center"/>
          </w:tcPr>
          <w:p>
            <w:pPr>
              <w:adjustRightInd w:val="0"/>
              <w:snapToGrid w:val="0"/>
              <w:jc w:val="center"/>
              <w:rPr>
                <w:color w:val="auto"/>
                <w:sz w:val="22"/>
                <w:szCs w:val="22"/>
              </w:rPr>
            </w:pPr>
            <w:r>
              <w:rPr>
                <w:color w:val="auto"/>
                <w:sz w:val="22"/>
                <w:szCs w:val="22"/>
              </w:rPr>
              <w:t>地理坐标</w:t>
            </w:r>
          </w:p>
        </w:tc>
        <w:tc>
          <w:tcPr>
            <w:tcW w:w="7479" w:type="dxa"/>
            <w:gridSpan w:val="3"/>
            <w:vAlign w:val="center"/>
          </w:tcPr>
          <w:p>
            <w:pPr>
              <w:jc w:val="center"/>
              <w:rPr>
                <w:color w:val="auto"/>
                <w:sz w:val="22"/>
                <w:szCs w:val="22"/>
              </w:rPr>
            </w:pPr>
            <w:r>
              <w:rPr>
                <w:rFonts w:hint="eastAsia"/>
                <w:color w:val="auto"/>
                <w:sz w:val="22"/>
                <w:szCs w:val="22"/>
              </w:rPr>
              <w:t>东经：103</w:t>
            </w:r>
            <w:r>
              <w:rPr>
                <w:color w:val="auto"/>
                <w:sz w:val="22"/>
                <w:szCs w:val="22"/>
              </w:rPr>
              <w:t>度</w:t>
            </w:r>
            <w:r>
              <w:rPr>
                <w:rFonts w:hint="eastAsia"/>
                <w:color w:val="auto"/>
                <w:sz w:val="22"/>
                <w:szCs w:val="22"/>
              </w:rPr>
              <w:t>12</w:t>
            </w:r>
            <w:r>
              <w:rPr>
                <w:color w:val="auto"/>
                <w:sz w:val="22"/>
                <w:szCs w:val="22"/>
              </w:rPr>
              <w:t>分</w:t>
            </w:r>
            <w:r>
              <w:rPr>
                <w:rFonts w:hint="eastAsia"/>
                <w:color w:val="auto"/>
                <w:sz w:val="22"/>
                <w:szCs w:val="22"/>
              </w:rPr>
              <w:t>43.991</w:t>
            </w:r>
            <w:r>
              <w:rPr>
                <w:color w:val="auto"/>
                <w:sz w:val="22"/>
                <w:szCs w:val="22"/>
              </w:rPr>
              <w:t>秒，</w:t>
            </w:r>
            <w:r>
              <w:rPr>
                <w:rFonts w:hint="eastAsia"/>
                <w:color w:val="auto"/>
                <w:sz w:val="22"/>
                <w:szCs w:val="22"/>
              </w:rPr>
              <w:t>北纬：</w:t>
            </w:r>
            <w:r>
              <w:rPr>
                <w:color w:val="auto"/>
                <w:sz w:val="22"/>
                <w:szCs w:val="22"/>
              </w:rPr>
              <w:t>2</w:t>
            </w:r>
            <w:r>
              <w:rPr>
                <w:rFonts w:hint="eastAsia"/>
                <w:color w:val="auto"/>
                <w:sz w:val="22"/>
                <w:szCs w:val="22"/>
              </w:rPr>
              <w:t>5</w:t>
            </w:r>
            <w:r>
              <w:rPr>
                <w:color w:val="auto"/>
                <w:sz w:val="22"/>
                <w:szCs w:val="22"/>
              </w:rPr>
              <w:t>度</w:t>
            </w:r>
            <w:r>
              <w:rPr>
                <w:rFonts w:hint="eastAsia"/>
                <w:color w:val="auto"/>
                <w:sz w:val="22"/>
                <w:szCs w:val="22"/>
              </w:rPr>
              <w:t>0</w:t>
            </w:r>
            <w:r>
              <w:rPr>
                <w:color w:val="auto"/>
                <w:sz w:val="22"/>
                <w:szCs w:val="22"/>
              </w:rPr>
              <w:t>分</w:t>
            </w:r>
            <w:r>
              <w:rPr>
                <w:rFonts w:hint="eastAsia"/>
                <w:color w:val="auto"/>
                <w:sz w:val="22"/>
                <w:szCs w:val="22"/>
              </w:rPr>
              <w:t>14.492</w:t>
            </w:r>
            <w:r>
              <w:rPr>
                <w:color w:val="auto"/>
                <w:sz w:val="22"/>
                <w:szCs w:val="22"/>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479" w:type="dxa"/>
            <w:tcMar>
              <w:top w:w="16" w:type="dxa"/>
              <w:left w:w="16" w:type="dxa"/>
              <w:right w:w="16" w:type="dxa"/>
            </w:tcMar>
            <w:vAlign w:val="center"/>
          </w:tcPr>
          <w:p>
            <w:pPr>
              <w:adjustRightInd w:val="0"/>
              <w:snapToGrid w:val="0"/>
              <w:jc w:val="center"/>
              <w:rPr>
                <w:color w:val="auto"/>
                <w:sz w:val="22"/>
                <w:szCs w:val="22"/>
              </w:rPr>
            </w:pPr>
            <w:r>
              <w:rPr>
                <w:color w:val="auto"/>
                <w:sz w:val="22"/>
                <w:szCs w:val="22"/>
              </w:rPr>
              <w:t>国民经济</w:t>
            </w:r>
          </w:p>
          <w:p>
            <w:pPr>
              <w:adjustRightInd w:val="0"/>
              <w:snapToGrid w:val="0"/>
              <w:jc w:val="center"/>
              <w:rPr>
                <w:color w:val="auto"/>
                <w:sz w:val="22"/>
                <w:szCs w:val="22"/>
              </w:rPr>
            </w:pPr>
            <w:r>
              <w:rPr>
                <w:color w:val="auto"/>
                <w:sz w:val="22"/>
                <w:szCs w:val="22"/>
              </w:rPr>
              <w:t>行业类别</w:t>
            </w:r>
          </w:p>
        </w:tc>
        <w:tc>
          <w:tcPr>
            <w:tcW w:w="7479" w:type="dxa"/>
            <w:vAlign w:val="center"/>
          </w:tcPr>
          <w:p>
            <w:pPr>
              <w:adjustRightInd w:val="0"/>
              <w:snapToGrid w:val="0"/>
              <w:rPr>
                <w:color w:val="auto"/>
                <w:sz w:val="22"/>
                <w:szCs w:val="22"/>
              </w:rPr>
            </w:pPr>
            <w:r>
              <w:rPr>
                <w:rFonts w:hint="eastAsia"/>
                <w:color w:val="auto"/>
                <w:sz w:val="22"/>
                <w:szCs w:val="22"/>
              </w:rPr>
              <w:t>C3089耐火陶瓷制品及其他耐火材料制造</w:t>
            </w:r>
          </w:p>
        </w:tc>
        <w:tc>
          <w:tcPr>
            <w:tcW w:w="7479" w:type="dxa"/>
            <w:vAlign w:val="center"/>
          </w:tcPr>
          <w:p>
            <w:pPr>
              <w:adjustRightInd w:val="0"/>
              <w:snapToGrid w:val="0"/>
              <w:jc w:val="center"/>
              <w:rPr>
                <w:color w:val="auto"/>
                <w:sz w:val="22"/>
                <w:szCs w:val="22"/>
              </w:rPr>
            </w:pPr>
            <w:bookmarkStart w:id="1" w:name="_Hlk49843745"/>
            <w:r>
              <w:rPr>
                <w:color w:val="auto"/>
                <w:sz w:val="22"/>
                <w:szCs w:val="22"/>
              </w:rPr>
              <w:t>建设项目</w:t>
            </w:r>
          </w:p>
          <w:p>
            <w:pPr>
              <w:adjustRightInd w:val="0"/>
              <w:snapToGrid w:val="0"/>
              <w:jc w:val="center"/>
              <w:rPr>
                <w:color w:val="auto"/>
                <w:sz w:val="22"/>
                <w:szCs w:val="22"/>
              </w:rPr>
            </w:pPr>
            <w:r>
              <w:rPr>
                <w:color w:val="auto"/>
                <w:sz w:val="22"/>
                <w:szCs w:val="22"/>
              </w:rPr>
              <w:t>行业类别</w:t>
            </w:r>
            <w:bookmarkEnd w:id="1"/>
          </w:p>
        </w:tc>
        <w:tc>
          <w:tcPr>
            <w:tcW w:w="7479" w:type="dxa"/>
            <w:vAlign w:val="center"/>
          </w:tcPr>
          <w:p>
            <w:pPr>
              <w:adjustRightInd w:val="0"/>
              <w:snapToGrid w:val="0"/>
              <w:rPr>
                <w:color w:val="auto"/>
                <w:sz w:val="22"/>
                <w:szCs w:val="22"/>
              </w:rPr>
            </w:pPr>
            <w:r>
              <w:rPr>
                <w:rFonts w:hint="eastAsia"/>
                <w:color w:val="auto"/>
                <w:sz w:val="22"/>
                <w:szCs w:val="22"/>
              </w:rPr>
              <w:t>二十七、非金属矿物制品业—耐火材料</w:t>
            </w:r>
            <w:bookmarkStart w:id="8" w:name="_GoBack"/>
            <w:bookmarkEnd w:id="8"/>
            <w:r>
              <w:rPr>
                <w:rFonts w:hint="eastAsia"/>
                <w:color w:val="auto"/>
                <w:sz w:val="22"/>
                <w:szCs w:val="22"/>
              </w:rPr>
              <w:t>制品制造（其他）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479" w:type="dxa"/>
            <w:tcMar>
              <w:top w:w="16" w:type="dxa"/>
              <w:left w:w="16" w:type="dxa"/>
              <w:right w:w="16" w:type="dxa"/>
            </w:tcMar>
            <w:vAlign w:val="center"/>
          </w:tcPr>
          <w:p>
            <w:pPr>
              <w:adjustRightInd w:val="0"/>
              <w:snapToGrid w:val="0"/>
              <w:jc w:val="center"/>
              <w:rPr>
                <w:color w:val="auto"/>
                <w:sz w:val="22"/>
                <w:szCs w:val="22"/>
              </w:rPr>
            </w:pPr>
            <w:r>
              <w:rPr>
                <w:color w:val="auto"/>
                <w:sz w:val="22"/>
                <w:szCs w:val="22"/>
              </w:rPr>
              <w:t>建设性质</w:t>
            </w:r>
          </w:p>
        </w:tc>
        <w:tc>
          <w:tcPr>
            <w:tcW w:w="7479" w:type="dxa"/>
            <w:vAlign w:val="center"/>
          </w:tcPr>
          <w:p>
            <w:pPr>
              <w:jc w:val="left"/>
              <w:rPr>
                <w:color w:val="auto"/>
                <w:sz w:val="22"/>
                <w:szCs w:val="22"/>
              </w:rPr>
            </w:pPr>
            <w:r>
              <w:rPr>
                <w:color w:val="auto"/>
                <w:sz w:val="22"/>
                <w:szCs w:val="22"/>
              </w:rPr>
              <w:sym w:font="Wingdings 2" w:char="00A3"/>
            </w:r>
            <w:r>
              <w:rPr>
                <w:color w:val="auto"/>
                <w:sz w:val="22"/>
                <w:szCs w:val="22"/>
              </w:rPr>
              <w:t>新建（迁建）</w:t>
            </w:r>
          </w:p>
          <w:p>
            <w:pPr>
              <w:jc w:val="left"/>
              <w:rPr>
                <w:color w:val="auto"/>
                <w:sz w:val="22"/>
                <w:szCs w:val="22"/>
              </w:rPr>
            </w:pPr>
            <w:r>
              <w:rPr>
                <w:color w:val="auto"/>
                <w:sz w:val="22"/>
                <w:szCs w:val="22"/>
              </w:rPr>
              <w:sym w:font="Wingdings 2" w:char="0052"/>
            </w:r>
            <w:r>
              <w:rPr>
                <w:color w:val="auto"/>
                <w:sz w:val="22"/>
                <w:szCs w:val="22"/>
              </w:rPr>
              <w:t>改扩建</w:t>
            </w:r>
          </w:p>
          <w:p>
            <w:pPr>
              <w:jc w:val="left"/>
              <w:rPr>
                <w:color w:val="auto"/>
                <w:sz w:val="22"/>
                <w:szCs w:val="22"/>
              </w:rPr>
            </w:pPr>
            <w:r>
              <w:rPr>
                <w:color w:val="auto"/>
                <w:sz w:val="22"/>
                <w:szCs w:val="22"/>
              </w:rPr>
              <w:sym w:font="Wingdings 2" w:char="00A3"/>
            </w:r>
            <w:r>
              <w:rPr>
                <w:color w:val="auto"/>
                <w:sz w:val="22"/>
                <w:szCs w:val="22"/>
              </w:rPr>
              <w:t>扩建</w:t>
            </w:r>
          </w:p>
          <w:p>
            <w:pPr>
              <w:jc w:val="left"/>
              <w:rPr>
                <w:color w:val="auto"/>
                <w:sz w:val="22"/>
                <w:szCs w:val="22"/>
              </w:rPr>
            </w:pPr>
            <w:r>
              <w:rPr>
                <w:color w:val="auto"/>
                <w:sz w:val="22"/>
                <w:szCs w:val="22"/>
              </w:rPr>
              <w:sym w:font="Wingdings 2" w:char="00A3"/>
            </w:r>
            <w:r>
              <w:rPr>
                <w:color w:val="auto"/>
                <w:sz w:val="22"/>
                <w:szCs w:val="22"/>
              </w:rPr>
              <w:t>技术改造</w:t>
            </w:r>
          </w:p>
        </w:tc>
        <w:tc>
          <w:tcPr>
            <w:tcW w:w="7479" w:type="dxa"/>
            <w:vAlign w:val="center"/>
          </w:tcPr>
          <w:p>
            <w:pPr>
              <w:adjustRightInd w:val="0"/>
              <w:snapToGrid w:val="0"/>
              <w:jc w:val="center"/>
              <w:rPr>
                <w:color w:val="auto"/>
                <w:sz w:val="22"/>
                <w:szCs w:val="22"/>
              </w:rPr>
            </w:pPr>
            <w:r>
              <w:rPr>
                <w:color w:val="auto"/>
                <w:sz w:val="22"/>
                <w:szCs w:val="22"/>
              </w:rPr>
              <w:t>建设项目</w:t>
            </w:r>
          </w:p>
          <w:p>
            <w:pPr>
              <w:adjustRightInd w:val="0"/>
              <w:snapToGrid w:val="0"/>
              <w:jc w:val="center"/>
              <w:rPr>
                <w:color w:val="auto"/>
                <w:sz w:val="22"/>
                <w:szCs w:val="22"/>
              </w:rPr>
            </w:pPr>
            <w:r>
              <w:rPr>
                <w:color w:val="auto"/>
                <w:sz w:val="22"/>
                <w:szCs w:val="22"/>
              </w:rPr>
              <w:t>申报情形</w:t>
            </w:r>
          </w:p>
        </w:tc>
        <w:tc>
          <w:tcPr>
            <w:tcW w:w="7479" w:type="dxa"/>
            <w:vAlign w:val="center"/>
          </w:tcPr>
          <w:p>
            <w:pPr>
              <w:jc w:val="left"/>
              <w:rPr>
                <w:color w:val="auto"/>
                <w:sz w:val="22"/>
                <w:szCs w:val="22"/>
              </w:rPr>
            </w:pPr>
            <w:r>
              <w:rPr>
                <w:color w:val="auto"/>
                <w:sz w:val="22"/>
                <w:szCs w:val="22"/>
              </w:rPr>
              <w:sym w:font="Wingdings 2" w:char="00A3"/>
            </w:r>
            <w:r>
              <w:rPr>
                <w:color w:val="auto"/>
                <w:sz w:val="22"/>
                <w:szCs w:val="22"/>
              </w:rPr>
              <w:t xml:space="preserve">首次申报项目             </w:t>
            </w:r>
          </w:p>
          <w:p>
            <w:pPr>
              <w:jc w:val="left"/>
              <w:rPr>
                <w:color w:val="auto"/>
                <w:sz w:val="22"/>
                <w:szCs w:val="22"/>
              </w:rPr>
            </w:pPr>
            <w:r>
              <w:rPr>
                <w:color w:val="auto"/>
                <w:sz w:val="22"/>
                <w:szCs w:val="22"/>
              </w:rPr>
              <w:sym w:font="Wingdings 2" w:char="00A3"/>
            </w:r>
            <w:r>
              <w:rPr>
                <w:color w:val="auto"/>
                <w:sz w:val="22"/>
                <w:szCs w:val="22"/>
              </w:rPr>
              <w:t>不予批准后再次申报项目</w:t>
            </w:r>
          </w:p>
          <w:p>
            <w:pPr>
              <w:jc w:val="left"/>
              <w:rPr>
                <w:color w:val="auto"/>
                <w:sz w:val="22"/>
                <w:szCs w:val="22"/>
              </w:rPr>
            </w:pPr>
            <w:r>
              <w:rPr>
                <w:color w:val="auto"/>
                <w:sz w:val="22"/>
                <w:szCs w:val="22"/>
              </w:rPr>
              <w:sym w:font="Wingdings 2" w:char="00A3"/>
            </w:r>
            <w:r>
              <w:rPr>
                <w:color w:val="auto"/>
                <w:sz w:val="22"/>
                <w:szCs w:val="22"/>
              </w:rPr>
              <w:t xml:space="preserve">超五年重新审核项目     </w:t>
            </w:r>
          </w:p>
          <w:p>
            <w:pPr>
              <w:jc w:val="left"/>
              <w:rPr>
                <w:color w:val="auto"/>
                <w:sz w:val="22"/>
                <w:szCs w:val="22"/>
              </w:rPr>
            </w:pPr>
            <w:r>
              <w:rPr>
                <w:color w:val="auto"/>
                <w:sz w:val="22"/>
                <w:szCs w:val="22"/>
              </w:rPr>
              <w:sym w:font="Wingdings 2" w:char="0052"/>
            </w:r>
            <w:r>
              <w:rPr>
                <w:color w:val="auto"/>
                <w:sz w:val="22"/>
                <w:szCs w:val="22"/>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479" w:type="dxa"/>
            <w:tcMar>
              <w:top w:w="16" w:type="dxa"/>
              <w:left w:w="16" w:type="dxa"/>
              <w:right w:w="16" w:type="dxa"/>
            </w:tcMar>
            <w:vAlign w:val="center"/>
          </w:tcPr>
          <w:p>
            <w:pPr>
              <w:adjustRightInd w:val="0"/>
              <w:snapToGrid w:val="0"/>
              <w:jc w:val="center"/>
              <w:rPr>
                <w:color w:val="auto"/>
                <w:sz w:val="22"/>
                <w:szCs w:val="22"/>
              </w:rPr>
            </w:pPr>
            <w:r>
              <w:rPr>
                <w:color w:val="auto"/>
                <w:sz w:val="22"/>
                <w:szCs w:val="22"/>
              </w:rPr>
              <w:t>项目审批（核准/</w:t>
            </w:r>
          </w:p>
          <w:p>
            <w:pPr>
              <w:adjustRightInd w:val="0"/>
              <w:snapToGrid w:val="0"/>
              <w:jc w:val="center"/>
              <w:rPr>
                <w:color w:val="auto"/>
                <w:sz w:val="22"/>
                <w:szCs w:val="22"/>
              </w:rPr>
            </w:pPr>
            <w:r>
              <w:rPr>
                <w:color w:val="auto"/>
                <w:sz w:val="22"/>
                <w:szCs w:val="22"/>
              </w:rPr>
              <w:t>备案）部门（选填）</w:t>
            </w:r>
          </w:p>
        </w:tc>
        <w:tc>
          <w:tcPr>
            <w:tcW w:w="7479" w:type="dxa"/>
            <w:vAlign w:val="center"/>
          </w:tcPr>
          <w:p>
            <w:pPr>
              <w:adjustRightInd w:val="0"/>
              <w:snapToGrid w:val="0"/>
              <w:jc w:val="center"/>
              <w:rPr>
                <w:color w:val="auto"/>
                <w:sz w:val="22"/>
                <w:szCs w:val="22"/>
              </w:rPr>
            </w:pPr>
            <w:r>
              <w:rPr>
                <w:rFonts w:hint="eastAsia"/>
                <w:color w:val="auto"/>
                <w:sz w:val="22"/>
                <w:szCs w:val="22"/>
              </w:rPr>
              <w:t>/</w:t>
            </w:r>
          </w:p>
        </w:tc>
        <w:tc>
          <w:tcPr>
            <w:tcW w:w="7479" w:type="dxa"/>
            <w:vAlign w:val="center"/>
          </w:tcPr>
          <w:p>
            <w:pPr>
              <w:adjustRightInd w:val="0"/>
              <w:snapToGrid w:val="0"/>
              <w:jc w:val="center"/>
              <w:rPr>
                <w:color w:val="auto"/>
                <w:sz w:val="22"/>
                <w:szCs w:val="22"/>
              </w:rPr>
            </w:pPr>
            <w:r>
              <w:rPr>
                <w:color w:val="auto"/>
                <w:sz w:val="22"/>
                <w:szCs w:val="22"/>
              </w:rPr>
              <w:t>项目审批（核准/</w:t>
            </w:r>
          </w:p>
          <w:p>
            <w:pPr>
              <w:adjustRightInd w:val="0"/>
              <w:snapToGrid w:val="0"/>
              <w:jc w:val="center"/>
              <w:rPr>
                <w:color w:val="auto"/>
                <w:sz w:val="22"/>
                <w:szCs w:val="22"/>
              </w:rPr>
            </w:pPr>
            <w:r>
              <w:rPr>
                <w:color w:val="auto"/>
                <w:sz w:val="22"/>
                <w:szCs w:val="22"/>
              </w:rPr>
              <w:t>备案）文号（选填）</w:t>
            </w:r>
          </w:p>
        </w:tc>
        <w:tc>
          <w:tcPr>
            <w:tcW w:w="7479" w:type="dxa"/>
            <w:vAlign w:val="center"/>
          </w:tcPr>
          <w:p>
            <w:pPr>
              <w:adjustRightInd w:val="0"/>
              <w:snapToGrid w:val="0"/>
              <w:jc w:val="center"/>
              <w:rPr>
                <w:color w:val="auto"/>
                <w:sz w:val="22"/>
                <w:szCs w:val="22"/>
              </w:rPr>
            </w:pPr>
            <w:r>
              <w:rPr>
                <w:rFonts w:hint="eastAsia"/>
                <w:color w:val="auto"/>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479" w:type="dxa"/>
            <w:tcMar>
              <w:top w:w="16" w:type="dxa"/>
              <w:left w:w="16" w:type="dxa"/>
              <w:right w:w="16" w:type="dxa"/>
            </w:tcMar>
            <w:vAlign w:val="center"/>
          </w:tcPr>
          <w:p>
            <w:pPr>
              <w:adjustRightInd w:val="0"/>
              <w:snapToGrid w:val="0"/>
              <w:jc w:val="center"/>
              <w:rPr>
                <w:color w:val="auto"/>
                <w:sz w:val="22"/>
                <w:szCs w:val="22"/>
              </w:rPr>
            </w:pPr>
            <w:r>
              <w:rPr>
                <w:color w:val="auto"/>
                <w:sz w:val="22"/>
                <w:szCs w:val="22"/>
              </w:rPr>
              <w:t>总投资（万元）</w:t>
            </w:r>
          </w:p>
        </w:tc>
        <w:tc>
          <w:tcPr>
            <w:tcW w:w="7479" w:type="dxa"/>
            <w:vAlign w:val="center"/>
          </w:tcPr>
          <w:p>
            <w:pPr>
              <w:adjustRightInd w:val="0"/>
              <w:snapToGrid w:val="0"/>
              <w:jc w:val="center"/>
              <w:rPr>
                <w:rFonts w:hint="default" w:eastAsia="宋体"/>
                <w:color w:val="auto"/>
                <w:sz w:val="22"/>
                <w:szCs w:val="22"/>
                <w:lang w:val="en-US" w:eastAsia="zh-CN"/>
              </w:rPr>
            </w:pPr>
            <w:r>
              <w:rPr>
                <w:rFonts w:hint="eastAsia"/>
                <w:color w:val="auto"/>
                <w:sz w:val="22"/>
                <w:szCs w:val="22"/>
                <w:lang w:val="en-US" w:eastAsia="zh-CN"/>
              </w:rPr>
              <w:t>1187.79</w:t>
            </w:r>
          </w:p>
        </w:tc>
        <w:tc>
          <w:tcPr>
            <w:tcW w:w="7479" w:type="dxa"/>
            <w:tcMar>
              <w:top w:w="16" w:type="dxa"/>
              <w:left w:w="16" w:type="dxa"/>
              <w:right w:w="16" w:type="dxa"/>
            </w:tcMar>
            <w:vAlign w:val="center"/>
          </w:tcPr>
          <w:p>
            <w:pPr>
              <w:adjustRightInd w:val="0"/>
              <w:snapToGrid w:val="0"/>
              <w:jc w:val="center"/>
              <w:rPr>
                <w:color w:val="auto"/>
                <w:sz w:val="22"/>
                <w:szCs w:val="22"/>
              </w:rPr>
            </w:pPr>
            <w:r>
              <w:rPr>
                <w:color w:val="auto"/>
                <w:sz w:val="22"/>
                <w:szCs w:val="22"/>
              </w:rPr>
              <w:t>环保投资（万元）</w:t>
            </w:r>
          </w:p>
        </w:tc>
        <w:tc>
          <w:tcPr>
            <w:tcW w:w="7479" w:type="dxa"/>
            <w:vAlign w:val="center"/>
          </w:tcPr>
          <w:p>
            <w:pPr>
              <w:adjustRightInd w:val="0"/>
              <w:snapToGrid w:val="0"/>
              <w:jc w:val="center"/>
              <w:rPr>
                <w:rFonts w:hint="default" w:eastAsia="宋体"/>
                <w:color w:val="auto"/>
                <w:sz w:val="22"/>
                <w:szCs w:val="22"/>
                <w:lang w:val="en-US" w:eastAsia="zh-CN"/>
              </w:rPr>
            </w:pPr>
            <w:r>
              <w:rPr>
                <w:rFonts w:hint="eastAsia"/>
                <w:color w:val="auto"/>
                <w:sz w:val="22"/>
                <w:szCs w:val="22"/>
                <w:lang w:val="en-US" w:eastAsia="zh-CN"/>
              </w:rPr>
              <w:t>41.3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479" w:type="dxa"/>
            <w:tcMar>
              <w:top w:w="16" w:type="dxa"/>
              <w:left w:w="16" w:type="dxa"/>
              <w:right w:w="16" w:type="dxa"/>
            </w:tcMar>
            <w:vAlign w:val="center"/>
          </w:tcPr>
          <w:p>
            <w:pPr>
              <w:adjustRightInd w:val="0"/>
              <w:snapToGrid w:val="0"/>
              <w:jc w:val="center"/>
              <w:rPr>
                <w:color w:val="auto"/>
                <w:sz w:val="22"/>
                <w:szCs w:val="22"/>
              </w:rPr>
            </w:pPr>
            <w:r>
              <w:rPr>
                <w:color w:val="auto"/>
                <w:sz w:val="22"/>
                <w:szCs w:val="22"/>
              </w:rPr>
              <w:t>环保投资占比（%）</w:t>
            </w:r>
          </w:p>
        </w:tc>
        <w:tc>
          <w:tcPr>
            <w:tcW w:w="7479" w:type="dxa"/>
            <w:vAlign w:val="center"/>
          </w:tcPr>
          <w:p>
            <w:pPr>
              <w:adjustRightInd w:val="0"/>
              <w:snapToGrid w:val="0"/>
              <w:jc w:val="center"/>
              <w:rPr>
                <w:rFonts w:hint="default" w:eastAsia="宋体"/>
                <w:color w:val="auto"/>
                <w:sz w:val="22"/>
                <w:szCs w:val="22"/>
                <w:lang w:val="en-US" w:eastAsia="zh-CN"/>
              </w:rPr>
            </w:pPr>
            <w:r>
              <w:rPr>
                <w:rFonts w:hint="eastAsia"/>
                <w:color w:val="auto"/>
                <w:sz w:val="22"/>
                <w:szCs w:val="22"/>
                <w:lang w:val="en-US" w:eastAsia="zh-CN"/>
              </w:rPr>
              <w:t>3.48</w:t>
            </w:r>
          </w:p>
        </w:tc>
        <w:tc>
          <w:tcPr>
            <w:tcW w:w="7479" w:type="dxa"/>
            <w:tcMar>
              <w:top w:w="16" w:type="dxa"/>
              <w:left w:w="16" w:type="dxa"/>
              <w:right w:w="16" w:type="dxa"/>
            </w:tcMar>
            <w:vAlign w:val="center"/>
          </w:tcPr>
          <w:p>
            <w:pPr>
              <w:adjustRightInd w:val="0"/>
              <w:snapToGrid w:val="0"/>
              <w:jc w:val="center"/>
              <w:rPr>
                <w:color w:val="auto"/>
                <w:sz w:val="22"/>
                <w:szCs w:val="22"/>
              </w:rPr>
            </w:pPr>
            <w:r>
              <w:rPr>
                <w:color w:val="auto"/>
                <w:sz w:val="22"/>
                <w:szCs w:val="22"/>
              </w:rPr>
              <w:t>施工工期</w:t>
            </w:r>
          </w:p>
        </w:tc>
        <w:tc>
          <w:tcPr>
            <w:tcW w:w="7479" w:type="dxa"/>
            <w:vAlign w:val="center"/>
          </w:tcPr>
          <w:p>
            <w:pPr>
              <w:adjustRightInd w:val="0"/>
              <w:snapToGrid w:val="0"/>
              <w:jc w:val="center"/>
              <w:rPr>
                <w:color w:val="auto"/>
                <w:sz w:val="22"/>
                <w:szCs w:val="22"/>
              </w:rPr>
            </w:pPr>
            <w:r>
              <w:rPr>
                <w:rFonts w:hint="eastAsia"/>
                <w:color w:val="auto"/>
                <w:sz w:val="22"/>
                <w:szCs w:val="22"/>
              </w:rPr>
              <w:t>2022年11月1日~</w:t>
            </w:r>
          </w:p>
          <w:p>
            <w:pPr>
              <w:adjustRightInd w:val="0"/>
              <w:snapToGrid w:val="0"/>
              <w:jc w:val="center"/>
              <w:rPr>
                <w:color w:val="auto"/>
                <w:sz w:val="22"/>
                <w:szCs w:val="22"/>
              </w:rPr>
            </w:pPr>
            <w:r>
              <w:rPr>
                <w:rFonts w:hint="eastAsia"/>
                <w:color w:val="auto"/>
                <w:sz w:val="22"/>
                <w:szCs w:val="22"/>
              </w:rPr>
              <w:t>2022年12月31日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479" w:type="dxa"/>
            <w:tcMar>
              <w:top w:w="16" w:type="dxa"/>
              <w:left w:w="16" w:type="dxa"/>
              <w:right w:w="16" w:type="dxa"/>
            </w:tcMar>
            <w:vAlign w:val="center"/>
          </w:tcPr>
          <w:p>
            <w:pPr>
              <w:adjustRightInd w:val="0"/>
              <w:snapToGrid w:val="0"/>
              <w:jc w:val="center"/>
              <w:rPr>
                <w:color w:val="auto"/>
                <w:sz w:val="22"/>
                <w:szCs w:val="22"/>
              </w:rPr>
            </w:pPr>
            <w:r>
              <w:rPr>
                <w:color w:val="auto"/>
                <w:sz w:val="22"/>
                <w:szCs w:val="22"/>
              </w:rPr>
              <w:t>是否开工建设</w:t>
            </w:r>
          </w:p>
        </w:tc>
        <w:tc>
          <w:tcPr>
            <w:tcW w:w="7479" w:type="dxa"/>
            <w:vAlign w:val="center"/>
          </w:tcPr>
          <w:p>
            <w:pPr>
              <w:adjustRightInd w:val="0"/>
              <w:snapToGrid w:val="0"/>
              <w:rPr>
                <w:color w:val="auto"/>
                <w:sz w:val="22"/>
                <w:szCs w:val="22"/>
              </w:rPr>
            </w:pPr>
            <w:r>
              <w:rPr>
                <w:color w:val="auto"/>
                <w:sz w:val="22"/>
                <w:szCs w:val="22"/>
              </w:rPr>
              <w:sym w:font="Wingdings 2" w:char="00A3"/>
            </w:r>
            <w:r>
              <w:rPr>
                <w:color w:val="auto"/>
                <w:sz w:val="22"/>
                <w:szCs w:val="22"/>
              </w:rPr>
              <w:t>否</w:t>
            </w:r>
          </w:p>
          <w:p>
            <w:pPr>
              <w:adjustRightInd w:val="0"/>
              <w:snapToGrid w:val="0"/>
              <w:rPr>
                <w:rFonts w:hint="default" w:eastAsia="宋体"/>
                <w:color w:val="auto"/>
                <w:sz w:val="22"/>
                <w:szCs w:val="22"/>
                <w:lang w:val="en-US" w:eastAsia="zh-CN"/>
              </w:rPr>
            </w:pPr>
            <w:r>
              <w:rPr>
                <w:color w:val="auto"/>
                <w:sz w:val="22"/>
                <w:szCs w:val="22"/>
              </w:rPr>
              <w:sym w:font="Wingdings 2" w:char="0052"/>
            </w:r>
            <w:r>
              <w:rPr>
                <w:color w:val="auto"/>
                <w:sz w:val="22"/>
                <w:szCs w:val="22"/>
              </w:rPr>
              <w:t>是：</w:t>
            </w:r>
            <w:r>
              <w:rPr>
                <w:rFonts w:hint="eastAsia"/>
                <w:color w:val="auto"/>
                <w:sz w:val="22"/>
                <w:szCs w:val="22"/>
              </w:rPr>
              <w:t>项目</w:t>
            </w:r>
            <w:r>
              <w:rPr>
                <w:rFonts w:hint="eastAsia"/>
                <w:color w:val="auto"/>
                <w:sz w:val="22"/>
                <w:szCs w:val="22"/>
                <w:lang w:val="en-US" w:eastAsia="zh-CN"/>
              </w:rPr>
              <w:t>改扩建内容只剩余1条隧道窑未建成，其余内容已</w:t>
            </w:r>
            <w:r>
              <w:rPr>
                <w:rFonts w:hint="eastAsia"/>
                <w:color w:val="auto"/>
                <w:sz w:val="22"/>
                <w:szCs w:val="22"/>
              </w:rPr>
              <w:t>投产运行</w:t>
            </w:r>
            <w:r>
              <w:rPr>
                <w:rFonts w:hint="eastAsia"/>
                <w:color w:val="auto"/>
                <w:sz w:val="22"/>
                <w:szCs w:val="22"/>
                <w:lang w:eastAsia="zh-CN"/>
              </w:rPr>
              <w:t>，</w:t>
            </w:r>
            <w:r>
              <w:rPr>
                <w:rFonts w:hint="eastAsia"/>
                <w:color w:val="auto"/>
                <w:sz w:val="22"/>
                <w:szCs w:val="22"/>
                <w:lang w:val="en-US" w:eastAsia="zh-CN"/>
              </w:rPr>
              <w:t>正在进行竣工环境保护自主验收</w:t>
            </w:r>
          </w:p>
        </w:tc>
        <w:tc>
          <w:tcPr>
            <w:tcW w:w="7479" w:type="dxa"/>
            <w:tcMar>
              <w:top w:w="16" w:type="dxa"/>
              <w:left w:w="16" w:type="dxa"/>
              <w:right w:w="16" w:type="dxa"/>
            </w:tcMar>
            <w:vAlign w:val="center"/>
          </w:tcPr>
          <w:p>
            <w:pPr>
              <w:adjustRightInd w:val="0"/>
              <w:snapToGrid w:val="0"/>
              <w:jc w:val="center"/>
              <w:rPr>
                <w:color w:val="auto"/>
                <w:spacing w:val="-6"/>
                <w:sz w:val="22"/>
                <w:szCs w:val="22"/>
              </w:rPr>
            </w:pPr>
            <w:r>
              <w:rPr>
                <w:color w:val="auto"/>
                <w:spacing w:val="-6"/>
                <w:sz w:val="22"/>
                <w:szCs w:val="22"/>
              </w:rPr>
              <w:t>用地（用海）</w:t>
            </w:r>
          </w:p>
          <w:p>
            <w:pPr>
              <w:adjustRightInd w:val="0"/>
              <w:snapToGrid w:val="0"/>
              <w:jc w:val="center"/>
              <w:rPr>
                <w:color w:val="auto"/>
                <w:sz w:val="22"/>
                <w:szCs w:val="22"/>
              </w:rPr>
            </w:pPr>
            <w:r>
              <w:rPr>
                <w:color w:val="auto"/>
                <w:spacing w:val="-6"/>
                <w:sz w:val="22"/>
                <w:szCs w:val="22"/>
              </w:rPr>
              <w:t>面积（m</w:t>
            </w:r>
            <w:r>
              <w:rPr>
                <w:color w:val="auto"/>
                <w:spacing w:val="-6"/>
                <w:sz w:val="22"/>
                <w:szCs w:val="22"/>
                <w:vertAlign w:val="superscript"/>
              </w:rPr>
              <w:t>2</w:t>
            </w:r>
            <w:r>
              <w:rPr>
                <w:color w:val="auto"/>
                <w:spacing w:val="-6"/>
                <w:sz w:val="22"/>
                <w:szCs w:val="22"/>
              </w:rPr>
              <w:t>）</w:t>
            </w:r>
          </w:p>
        </w:tc>
        <w:tc>
          <w:tcPr>
            <w:tcW w:w="7479" w:type="dxa"/>
            <w:vAlign w:val="center"/>
          </w:tcPr>
          <w:p>
            <w:pPr>
              <w:adjustRightInd w:val="0"/>
              <w:snapToGrid w:val="0"/>
              <w:rPr>
                <w:color w:val="auto"/>
                <w:szCs w:val="21"/>
              </w:rPr>
            </w:pPr>
            <w:r>
              <w:rPr>
                <w:rFonts w:hint="eastAsia"/>
                <w:color w:val="auto"/>
                <w:sz w:val="22"/>
                <w:szCs w:val="22"/>
              </w:rPr>
              <w:t>本次改扩建原有场地内进行，不新增占地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79" w:type="dxa"/>
            <w:vAlign w:val="center"/>
          </w:tcPr>
          <w:p>
            <w:pPr>
              <w:autoSpaceDE w:val="0"/>
              <w:autoSpaceDN w:val="0"/>
              <w:adjustRightInd w:val="0"/>
              <w:snapToGrid w:val="0"/>
              <w:jc w:val="center"/>
              <w:rPr>
                <w:color w:val="auto"/>
                <w:kern w:val="0"/>
                <w:sz w:val="24"/>
              </w:rPr>
            </w:pPr>
            <w:r>
              <w:rPr>
                <w:color w:val="auto"/>
                <w:kern w:val="0"/>
                <w:sz w:val="24"/>
              </w:rPr>
              <w:t>专项评价</w:t>
            </w:r>
          </w:p>
          <w:p>
            <w:pPr>
              <w:autoSpaceDE w:val="0"/>
              <w:autoSpaceDN w:val="0"/>
              <w:adjustRightInd w:val="0"/>
              <w:snapToGrid w:val="0"/>
              <w:jc w:val="center"/>
              <w:rPr>
                <w:color w:val="auto"/>
                <w:kern w:val="0"/>
                <w:sz w:val="24"/>
              </w:rPr>
            </w:pPr>
            <w:r>
              <w:rPr>
                <w:color w:val="auto"/>
                <w:kern w:val="0"/>
                <w:sz w:val="24"/>
              </w:rPr>
              <w:t>设置情况</w:t>
            </w:r>
          </w:p>
        </w:tc>
        <w:tc>
          <w:tcPr>
            <w:tcW w:w="7479" w:type="dxa"/>
            <w:gridSpan w:val="3"/>
            <w:vAlign w:val="center"/>
          </w:tcPr>
          <w:p>
            <w:pPr>
              <w:autoSpaceDE w:val="0"/>
              <w:autoSpaceDN w:val="0"/>
              <w:adjustRightInd w:val="0"/>
              <w:snapToGrid w:val="0"/>
              <w:spacing w:line="360" w:lineRule="auto"/>
              <w:ind w:firstLine="480" w:firstLineChars="200"/>
              <w:rPr>
                <w:color w:val="auto"/>
                <w:sz w:val="24"/>
              </w:rPr>
            </w:pPr>
            <w:r>
              <w:rPr>
                <w:color w:val="auto"/>
                <w:sz w:val="24"/>
              </w:rPr>
              <w:t>对照《建设项目环境影响评价编制技术指南》（污染影响类  试行）确定本项目专项评价设置情况，详见表1-1。</w:t>
            </w:r>
          </w:p>
          <w:p>
            <w:pPr>
              <w:autoSpaceDE w:val="0"/>
              <w:autoSpaceDN w:val="0"/>
              <w:adjustRightInd w:val="0"/>
              <w:snapToGrid w:val="0"/>
              <w:jc w:val="center"/>
              <w:rPr>
                <w:b/>
                <w:bCs/>
                <w:color w:val="auto"/>
                <w:kern w:val="0"/>
                <w:szCs w:val="21"/>
              </w:rPr>
            </w:pPr>
            <w:r>
              <w:rPr>
                <w:b/>
                <w:bCs/>
                <w:color w:val="auto"/>
                <w:kern w:val="0"/>
                <w:szCs w:val="21"/>
              </w:rPr>
              <w:t>表1-1  项目专项评价设置情况表</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745"/>
              <w:gridCol w:w="2461"/>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0" w:type="pct"/>
                  <w:vAlign w:val="center"/>
                </w:tcPr>
                <w:p>
                  <w:pPr>
                    <w:autoSpaceDE w:val="0"/>
                    <w:autoSpaceDN w:val="0"/>
                    <w:adjustRightInd w:val="0"/>
                    <w:snapToGrid w:val="0"/>
                    <w:jc w:val="center"/>
                    <w:rPr>
                      <w:color w:val="auto"/>
                      <w:kern w:val="0"/>
                      <w:szCs w:val="21"/>
                    </w:rPr>
                  </w:pPr>
                  <w:r>
                    <w:rPr>
                      <w:color w:val="auto"/>
                      <w:kern w:val="0"/>
                      <w:szCs w:val="21"/>
                    </w:rPr>
                    <w:t>类别</w:t>
                  </w:r>
                </w:p>
              </w:tc>
              <w:tc>
                <w:tcPr>
                  <w:tcW w:w="1950" w:type="pct"/>
                  <w:vAlign w:val="center"/>
                </w:tcPr>
                <w:p>
                  <w:pPr>
                    <w:autoSpaceDE w:val="0"/>
                    <w:autoSpaceDN w:val="0"/>
                    <w:adjustRightInd w:val="0"/>
                    <w:snapToGrid w:val="0"/>
                    <w:jc w:val="center"/>
                    <w:rPr>
                      <w:color w:val="auto"/>
                      <w:kern w:val="0"/>
                      <w:szCs w:val="21"/>
                    </w:rPr>
                  </w:pPr>
                  <w:r>
                    <w:rPr>
                      <w:color w:val="auto"/>
                      <w:kern w:val="0"/>
                      <w:szCs w:val="21"/>
                    </w:rPr>
                    <w:t>设置原则</w:t>
                  </w:r>
                </w:p>
              </w:tc>
              <w:tc>
                <w:tcPr>
                  <w:tcW w:w="1748" w:type="pct"/>
                  <w:vAlign w:val="center"/>
                </w:tcPr>
                <w:p>
                  <w:pPr>
                    <w:autoSpaceDE w:val="0"/>
                    <w:autoSpaceDN w:val="0"/>
                    <w:adjustRightInd w:val="0"/>
                    <w:snapToGrid w:val="0"/>
                    <w:jc w:val="center"/>
                    <w:rPr>
                      <w:color w:val="auto"/>
                      <w:kern w:val="0"/>
                      <w:szCs w:val="21"/>
                    </w:rPr>
                  </w:pPr>
                  <w:r>
                    <w:rPr>
                      <w:color w:val="auto"/>
                      <w:kern w:val="0"/>
                      <w:szCs w:val="21"/>
                    </w:rPr>
                    <w:t>项目情况</w:t>
                  </w:r>
                </w:p>
              </w:tc>
              <w:tc>
                <w:tcPr>
                  <w:tcW w:w="811" w:type="pct"/>
                  <w:vAlign w:val="center"/>
                </w:tcPr>
                <w:p>
                  <w:pPr>
                    <w:autoSpaceDE w:val="0"/>
                    <w:autoSpaceDN w:val="0"/>
                    <w:adjustRightInd w:val="0"/>
                    <w:snapToGrid w:val="0"/>
                    <w:jc w:val="center"/>
                    <w:rPr>
                      <w:color w:val="auto"/>
                      <w:kern w:val="0"/>
                      <w:szCs w:val="21"/>
                    </w:rPr>
                  </w:pPr>
                  <w:r>
                    <w:rPr>
                      <w:color w:val="auto"/>
                      <w:kern w:val="0"/>
                      <w:szCs w:val="21"/>
                    </w:rPr>
                    <w:t>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0" w:type="pct"/>
                  <w:vAlign w:val="center"/>
                </w:tcPr>
                <w:p>
                  <w:pPr>
                    <w:autoSpaceDE w:val="0"/>
                    <w:autoSpaceDN w:val="0"/>
                    <w:adjustRightInd w:val="0"/>
                    <w:snapToGrid w:val="0"/>
                    <w:jc w:val="center"/>
                    <w:rPr>
                      <w:color w:val="auto"/>
                      <w:kern w:val="0"/>
                      <w:szCs w:val="21"/>
                    </w:rPr>
                  </w:pPr>
                  <w:r>
                    <w:rPr>
                      <w:color w:val="auto"/>
                      <w:kern w:val="0"/>
                      <w:szCs w:val="21"/>
                    </w:rPr>
                    <w:t>大气</w:t>
                  </w:r>
                </w:p>
              </w:tc>
              <w:tc>
                <w:tcPr>
                  <w:tcW w:w="1950" w:type="pct"/>
                  <w:vAlign w:val="center"/>
                </w:tcPr>
                <w:p>
                  <w:pPr>
                    <w:autoSpaceDE w:val="0"/>
                    <w:autoSpaceDN w:val="0"/>
                    <w:adjustRightInd w:val="0"/>
                    <w:snapToGrid w:val="0"/>
                    <w:rPr>
                      <w:color w:val="auto"/>
                      <w:kern w:val="0"/>
                      <w:szCs w:val="21"/>
                    </w:rPr>
                  </w:pPr>
                  <w:r>
                    <w:rPr>
                      <w:color w:val="auto"/>
                      <w:kern w:val="0"/>
                      <w:szCs w:val="21"/>
                    </w:rPr>
                    <w:t>排放废气含有毒有害污染物、二噁英、苯并[α]芘、氰化物、氯气且厂界外500m范围内有环境空气保护目标的建设项目</w:t>
                  </w:r>
                </w:p>
              </w:tc>
              <w:tc>
                <w:tcPr>
                  <w:tcW w:w="1748" w:type="pct"/>
                  <w:vAlign w:val="center"/>
                </w:tcPr>
                <w:p>
                  <w:pPr>
                    <w:autoSpaceDE w:val="0"/>
                    <w:autoSpaceDN w:val="0"/>
                    <w:adjustRightInd w:val="0"/>
                    <w:snapToGrid w:val="0"/>
                    <w:rPr>
                      <w:color w:val="auto"/>
                      <w:kern w:val="0"/>
                      <w:szCs w:val="21"/>
                    </w:rPr>
                  </w:pPr>
                  <w:r>
                    <w:rPr>
                      <w:color w:val="auto"/>
                      <w:kern w:val="0"/>
                      <w:szCs w:val="21"/>
                    </w:rPr>
                    <w:t>项目厂界范围外500m范围内</w:t>
                  </w:r>
                  <w:r>
                    <w:rPr>
                      <w:rFonts w:hint="eastAsia"/>
                      <w:color w:val="auto"/>
                      <w:kern w:val="0"/>
                      <w:szCs w:val="21"/>
                    </w:rPr>
                    <w:t>无</w:t>
                  </w:r>
                  <w:r>
                    <w:rPr>
                      <w:color w:val="auto"/>
                      <w:kern w:val="0"/>
                      <w:szCs w:val="21"/>
                    </w:rPr>
                    <w:t>环境保护目标，且项目不排放有毒有害气体、二噁英、苯并[α]芘、氰化物、氯气</w:t>
                  </w:r>
                </w:p>
              </w:tc>
              <w:tc>
                <w:tcPr>
                  <w:tcW w:w="811" w:type="pct"/>
                  <w:vAlign w:val="center"/>
                </w:tcPr>
                <w:p>
                  <w:pPr>
                    <w:autoSpaceDE w:val="0"/>
                    <w:autoSpaceDN w:val="0"/>
                    <w:adjustRightInd w:val="0"/>
                    <w:snapToGrid w:val="0"/>
                    <w:jc w:val="center"/>
                    <w:rPr>
                      <w:color w:val="auto"/>
                      <w:kern w:val="0"/>
                      <w:szCs w:val="21"/>
                    </w:rPr>
                  </w:pPr>
                  <w:r>
                    <w:rPr>
                      <w:color w:val="auto"/>
                      <w:kern w:val="0"/>
                      <w:szCs w:val="21"/>
                    </w:rPr>
                    <w:t>不设大气</w:t>
                  </w:r>
                </w:p>
                <w:p>
                  <w:pPr>
                    <w:autoSpaceDE w:val="0"/>
                    <w:autoSpaceDN w:val="0"/>
                    <w:adjustRightInd w:val="0"/>
                    <w:snapToGrid w:val="0"/>
                    <w:jc w:val="center"/>
                    <w:rPr>
                      <w:color w:val="auto"/>
                      <w:kern w:val="0"/>
                      <w:szCs w:val="21"/>
                    </w:rPr>
                  </w:pPr>
                  <w:r>
                    <w:rPr>
                      <w:color w:val="auto"/>
                      <w:kern w:val="0"/>
                      <w:szCs w:val="21"/>
                    </w:rPr>
                    <w:t>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0" w:type="pct"/>
                  <w:vAlign w:val="center"/>
                </w:tcPr>
                <w:p>
                  <w:pPr>
                    <w:autoSpaceDE w:val="0"/>
                    <w:autoSpaceDN w:val="0"/>
                    <w:adjustRightInd w:val="0"/>
                    <w:snapToGrid w:val="0"/>
                    <w:jc w:val="center"/>
                    <w:rPr>
                      <w:color w:val="auto"/>
                      <w:kern w:val="0"/>
                      <w:szCs w:val="21"/>
                    </w:rPr>
                  </w:pPr>
                  <w:r>
                    <w:rPr>
                      <w:color w:val="auto"/>
                      <w:kern w:val="0"/>
                      <w:szCs w:val="21"/>
                    </w:rPr>
                    <w:t>地表水</w:t>
                  </w:r>
                </w:p>
              </w:tc>
              <w:tc>
                <w:tcPr>
                  <w:tcW w:w="1950" w:type="pct"/>
                  <w:vAlign w:val="center"/>
                </w:tcPr>
                <w:p>
                  <w:pPr>
                    <w:autoSpaceDE w:val="0"/>
                    <w:autoSpaceDN w:val="0"/>
                    <w:adjustRightInd w:val="0"/>
                    <w:snapToGrid w:val="0"/>
                    <w:rPr>
                      <w:color w:val="auto"/>
                      <w:kern w:val="0"/>
                      <w:szCs w:val="21"/>
                    </w:rPr>
                  </w:pPr>
                  <w:r>
                    <w:rPr>
                      <w:color w:val="auto"/>
                      <w:kern w:val="0"/>
                      <w:szCs w:val="21"/>
                    </w:rPr>
                    <w:t>新增工业废水直排建设项目（槽罐车外送污水处理厂的除外）；新增废水直排的污水集中处理厂</w:t>
                  </w:r>
                </w:p>
              </w:tc>
              <w:tc>
                <w:tcPr>
                  <w:tcW w:w="1748" w:type="pct"/>
                  <w:vAlign w:val="center"/>
                </w:tcPr>
                <w:p>
                  <w:pPr>
                    <w:autoSpaceDE w:val="0"/>
                    <w:autoSpaceDN w:val="0"/>
                    <w:adjustRightInd w:val="0"/>
                    <w:snapToGrid w:val="0"/>
                    <w:rPr>
                      <w:color w:val="auto"/>
                      <w:kern w:val="0"/>
                      <w:szCs w:val="21"/>
                    </w:rPr>
                  </w:pPr>
                  <w:r>
                    <w:rPr>
                      <w:rFonts w:hint="eastAsia"/>
                      <w:color w:val="auto"/>
                      <w:kern w:val="0"/>
                      <w:szCs w:val="21"/>
                    </w:rPr>
                    <w:t>本项目</w:t>
                  </w:r>
                  <w:r>
                    <w:rPr>
                      <w:color w:val="auto"/>
                      <w:kern w:val="0"/>
                      <w:szCs w:val="21"/>
                    </w:rPr>
                    <w:t>不存在工业废水直排的情况</w:t>
                  </w:r>
                </w:p>
              </w:tc>
              <w:tc>
                <w:tcPr>
                  <w:tcW w:w="811" w:type="pct"/>
                  <w:vAlign w:val="center"/>
                </w:tcPr>
                <w:p>
                  <w:pPr>
                    <w:autoSpaceDE w:val="0"/>
                    <w:autoSpaceDN w:val="0"/>
                    <w:adjustRightInd w:val="0"/>
                    <w:snapToGrid w:val="0"/>
                    <w:jc w:val="center"/>
                    <w:rPr>
                      <w:color w:val="auto"/>
                      <w:kern w:val="0"/>
                      <w:szCs w:val="21"/>
                    </w:rPr>
                  </w:pPr>
                  <w:r>
                    <w:rPr>
                      <w:color w:val="auto"/>
                      <w:kern w:val="0"/>
                      <w:szCs w:val="21"/>
                    </w:rPr>
                    <w:t>不设地表水专项评价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0" w:type="pct"/>
                  <w:vAlign w:val="center"/>
                </w:tcPr>
                <w:p>
                  <w:pPr>
                    <w:autoSpaceDE w:val="0"/>
                    <w:autoSpaceDN w:val="0"/>
                    <w:adjustRightInd w:val="0"/>
                    <w:snapToGrid w:val="0"/>
                    <w:jc w:val="center"/>
                    <w:rPr>
                      <w:color w:val="auto"/>
                      <w:kern w:val="0"/>
                      <w:szCs w:val="21"/>
                    </w:rPr>
                  </w:pPr>
                  <w:r>
                    <w:rPr>
                      <w:color w:val="auto"/>
                      <w:kern w:val="0"/>
                      <w:szCs w:val="21"/>
                    </w:rPr>
                    <w:t>环境风险</w:t>
                  </w:r>
                </w:p>
              </w:tc>
              <w:tc>
                <w:tcPr>
                  <w:tcW w:w="1950" w:type="pct"/>
                  <w:vAlign w:val="center"/>
                </w:tcPr>
                <w:p>
                  <w:pPr>
                    <w:autoSpaceDE w:val="0"/>
                    <w:autoSpaceDN w:val="0"/>
                    <w:adjustRightInd w:val="0"/>
                    <w:snapToGrid w:val="0"/>
                    <w:rPr>
                      <w:color w:val="auto"/>
                      <w:kern w:val="0"/>
                      <w:szCs w:val="21"/>
                    </w:rPr>
                  </w:pPr>
                  <w:r>
                    <w:rPr>
                      <w:color w:val="auto"/>
                      <w:kern w:val="0"/>
                      <w:szCs w:val="21"/>
                    </w:rPr>
                    <w:t>有毒有害和易燃易爆危险物质存储量超过临界量的建设项目</w:t>
                  </w:r>
                </w:p>
              </w:tc>
              <w:tc>
                <w:tcPr>
                  <w:tcW w:w="1748" w:type="pct"/>
                  <w:vAlign w:val="center"/>
                </w:tcPr>
                <w:p>
                  <w:pPr>
                    <w:autoSpaceDE w:val="0"/>
                    <w:autoSpaceDN w:val="0"/>
                    <w:adjustRightInd w:val="0"/>
                    <w:snapToGrid w:val="0"/>
                    <w:rPr>
                      <w:color w:val="auto"/>
                      <w:kern w:val="0"/>
                      <w:szCs w:val="21"/>
                    </w:rPr>
                  </w:pPr>
                  <w:r>
                    <w:rPr>
                      <w:color w:val="auto"/>
                      <w:kern w:val="0"/>
                      <w:szCs w:val="21"/>
                    </w:rPr>
                    <w:t>项目有毒有害和易燃易爆危险物质存储量远低于临界量</w:t>
                  </w:r>
                </w:p>
              </w:tc>
              <w:tc>
                <w:tcPr>
                  <w:tcW w:w="811" w:type="pct"/>
                  <w:vAlign w:val="center"/>
                </w:tcPr>
                <w:p>
                  <w:pPr>
                    <w:autoSpaceDE w:val="0"/>
                    <w:autoSpaceDN w:val="0"/>
                    <w:adjustRightInd w:val="0"/>
                    <w:snapToGrid w:val="0"/>
                    <w:jc w:val="center"/>
                    <w:rPr>
                      <w:color w:val="auto"/>
                      <w:kern w:val="0"/>
                      <w:szCs w:val="21"/>
                    </w:rPr>
                  </w:pPr>
                  <w:r>
                    <w:rPr>
                      <w:color w:val="auto"/>
                      <w:kern w:val="0"/>
                      <w:szCs w:val="21"/>
                    </w:rPr>
                    <w:t>不设环境风险专项评价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0" w:type="pct"/>
                  <w:vAlign w:val="center"/>
                </w:tcPr>
                <w:p>
                  <w:pPr>
                    <w:autoSpaceDE w:val="0"/>
                    <w:autoSpaceDN w:val="0"/>
                    <w:adjustRightInd w:val="0"/>
                    <w:snapToGrid w:val="0"/>
                    <w:jc w:val="center"/>
                    <w:rPr>
                      <w:color w:val="auto"/>
                      <w:kern w:val="0"/>
                      <w:szCs w:val="21"/>
                    </w:rPr>
                  </w:pPr>
                  <w:r>
                    <w:rPr>
                      <w:color w:val="auto"/>
                      <w:kern w:val="0"/>
                      <w:szCs w:val="21"/>
                    </w:rPr>
                    <w:t>生态</w:t>
                  </w:r>
                </w:p>
              </w:tc>
              <w:tc>
                <w:tcPr>
                  <w:tcW w:w="1950" w:type="pct"/>
                  <w:vAlign w:val="center"/>
                </w:tcPr>
                <w:p>
                  <w:pPr>
                    <w:autoSpaceDE w:val="0"/>
                    <w:autoSpaceDN w:val="0"/>
                    <w:adjustRightInd w:val="0"/>
                    <w:snapToGrid w:val="0"/>
                    <w:rPr>
                      <w:color w:val="auto"/>
                      <w:kern w:val="0"/>
                      <w:szCs w:val="21"/>
                    </w:rPr>
                  </w:pPr>
                  <w:r>
                    <w:rPr>
                      <w:color w:val="auto"/>
                      <w:kern w:val="0"/>
                      <w:szCs w:val="21"/>
                    </w:rPr>
                    <w:t>取水口下游500米范围内有重要水生生物的自然产卵场、索饵场、越冬场和洄游通道的新增河道取水的污染类建设项目</w:t>
                  </w:r>
                </w:p>
              </w:tc>
              <w:tc>
                <w:tcPr>
                  <w:tcW w:w="1748" w:type="pct"/>
                  <w:vAlign w:val="center"/>
                </w:tcPr>
                <w:p>
                  <w:pPr>
                    <w:autoSpaceDE w:val="0"/>
                    <w:autoSpaceDN w:val="0"/>
                    <w:adjustRightInd w:val="0"/>
                    <w:snapToGrid w:val="0"/>
                    <w:jc w:val="center"/>
                    <w:rPr>
                      <w:color w:val="auto"/>
                      <w:kern w:val="0"/>
                      <w:szCs w:val="21"/>
                    </w:rPr>
                  </w:pPr>
                  <w:r>
                    <w:rPr>
                      <w:color w:val="auto"/>
                      <w:kern w:val="0"/>
                      <w:szCs w:val="21"/>
                    </w:rPr>
                    <w:t>项目用水为市政管网供水，不设取水口</w:t>
                  </w:r>
                </w:p>
              </w:tc>
              <w:tc>
                <w:tcPr>
                  <w:tcW w:w="811" w:type="pct"/>
                  <w:vAlign w:val="center"/>
                </w:tcPr>
                <w:p>
                  <w:pPr>
                    <w:autoSpaceDE w:val="0"/>
                    <w:autoSpaceDN w:val="0"/>
                    <w:adjustRightInd w:val="0"/>
                    <w:snapToGrid w:val="0"/>
                    <w:jc w:val="center"/>
                    <w:rPr>
                      <w:color w:val="auto"/>
                      <w:kern w:val="0"/>
                      <w:szCs w:val="21"/>
                    </w:rPr>
                  </w:pPr>
                  <w:r>
                    <w:rPr>
                      <w:color w:val="auto"/>
                      <w:kern w:val="0"/>
                      <w:szCs w:val="21"/>
                    </w:rPr>
                    <w:t>不设生态</w:t>
                  </w:r>
                </w:p>
                <w:p>
                  <w:pPr>
                    <w:autoSpaceDE w:val="0"/>
                    <w:autoSpaceDN w:val="0"/>
                    <w:adjustRightInd w:val="0"/>
                    <w:snapToGrid w:val="0"/>
                    <w:jc w:val="center"/>
                    <w:rPr>
                      <w:color w:val="auto"/>
                      <w:kern w:val="0"/>
                      <w:szCs w:val="21"/>
                    </w:rPr>
                  </w:pPr>
                  <w:r>
                    <w:rPr>
                      <w:color w:val="auto"/>
                      <w:kern w:val="0"/>
                      <w:szCs w:val="21"/>
                    </w:rPr>
                    <w:t>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0" w:type="pct"/>
                  <w:vAlign w:val="center"/>
                </w:tcPr>
                <w:p>
                  <w:pPr>
                    <w:autoSpaceDE w:val="0"/>
                    <w:autoSpaceDN w:val="0"/>
                    <w:adjustRightInd w:val="0"/>
                    <w:snapToGrid w:val="0"/>
                    <w:jc w:val="center"/>
                    <w:rPr>
                      <w:color w:val="auto"/>
                      <w:kern w:val="0"/>
                      <w:szCs w:val="21"/>
                    </w:rPr>
                  </w:pPr>
                  <w:r>
                    <w:rPr>
                      <w:color w:val="auto"/>
                      <w:kern w:val="0"/>
                      <w:szCs w:val="21"/>
                    </w:rPr>
                    <w:t>海洋</w:t>
                  </w:r>
                </w:p>
              </w:tc>
              <w:tc>
                <w:tcPr>
                  <w:tcW w:w="1950" w:type="pct"/>
                  <w:vAlign w:val="center"/>
                </w:tcPr>
                <w:p>
                  <w:pPr>
                    <w:autoSpaceDE w:val="0"/>
                    <w:autoSpaceDN w:val="0"/>
                    <w:adjustRightInd w:val="0"/>
                    <w:snapToGrid w:val="0"/>
                    <w:rPr>
                      <w:color w:val="auto"/>
                      <w:kern w:val="0"/>
                      <w:szCs w:val="21"/>
                    </w:rPr>
                  </w:pPr>
                  <w:r>
                    <w:rPr>
                      <w:color w:val="auto"/>
                      <w:kern w:val="0"/>
                      <w:szCs w:val="21"/>
                    </w:rPr>
                    <w:t>直接向海洋排放污染物的海洋工程建设项目</w:t>
                  </w:r>
                </w:p>
              </w:tc>
              <w:tc>
                <w:tcPr>
                  <w:tcW w:w="1748" w:type="pct"/>
                  <w:vAlign w:val="center"/>
                </w:tcPr>
                <w:p>
                  <w:pPr>
                    <w:autoSpaceDE w:val="0"/>
                    <w:autoSpaceDN w:val="0"/>
                    <w:adjustRightInd w:val="0"/>
                    <w:snapToGrid w:val="0"/>
                    <w:jc w:val="center"/>
                    <w:rPr>
                      <w:color w:val="auto"/>
                      <w:kern w:val="0"/>
                      <w:szCs w:val="21"/>
                    </w:rPr>
                  </w:pPr>
                  <w:r>
                    <w:rPr>
                      <w:color w:val="auto"/>
                      <w:kern w:val="0"/>
                      <w:szCs w:val="21"/>
                    </w:rPr>
                    <w:t>不涉及</w:t>
                  </w:r>
                </w:p>
              </w:tc>
              <w:tc>
                <w:tcPr>
                  <w:tcW w:w="811" w:type="pct"/>
                  <w:vAlign w:val="center"/>
                </w:tcPr>
                <w:p>
                  <w:pPr>
                    <w:autoSpaceDE w:val="0"/>
                    <w:autoSpaceDN w:val="0"/>
                    <w:adjustRightInd w:val="0"/>
                    <w:snapToGrid w:val="0"/>
                    <w:jc w:val="center"/>
                    <w:rPr>
                      <w:color w:val="auto"/>
                      <w:kern w:val="0"/>
                      <w:szCs w:val="21"/>
                    </w:rPr>
                  </w:pPr>
                  <w:r>
                    <w:rPr>
                      <w:color w:val="auto"/>
                      <w:kern w:val="0"/>
                      <w:szCs w:val="21"/>
                    </w:rPr>
                    <w:t>不设海洋</w:t>
                  </w:r>
                </w:p>
                <w:p>
                  <w:pPr>
                    <w:autoSpaceDE w:val="0"/>
                    <w:autoSpaceDN w:val="0"/>
                    <w:adjustRightInd w:val="0"/>
                    <w:snapToGrid w:val="0"/>
                    <w:jc w:val="center"/>
                    <w:rPr>
                      <w:color w:val="auto"/>
                      <w:kern w:val="0"/>
                      <w:szCs w:val="21"/>
                    </w:rPr>
                  </w:pPr>
                  <w:r>
                    <w:rPr>
                      <w:color w:val="auto"/>
                      <w:kern w:val="0"/>
                      <w:szCs w:val="21"/>
                    </w:rPr>
                    <w:t>专项评价</w:t>
                  </w:r>
                </w:p>
              </w:tc>
            </w:tr>
          </w:tbl>
          <w:p>
            <w:pPr>
              <w:autoSpaceDE w:val="0"/>
              <w:autoSpaceDN w:val="0"/>
              <w:adjustRightInd w:val="0"/>
              <w:snapToGrid w:val="0"/>
              <w:spacing w:line="360" w:lineRule="auto"/>
              <w:rPr>
                <w:color w:val="auto"/>
                <w:kern w:val="0"/>
                <w:sz w:val="16"/>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79" w:type="dxa"/>
            <w:vAlign w:val="center"/>
          </w:tcPr>
          <w:p>
            <w:pPr>
              <w:autoSpaceDE w:val="0"/>
              <w:autoSpaceDN w:val="0"/>
              <w:adjustRightInd w:val="0"/>
              <w:snapToGrid w:val="0"/>
              <w:jc w:val="center"/>
              <w:rPr>
                <w:color w:val="auto"/>
                <w:kern w:val="0"/>
                <w:sz w:val="24"/>
              </w:rPr>
            </w:pPr>
            <w:r>
              <w:rPr>
                <w:color w:val="auto"/>
                <w:sz w:val="24"/>
              </w:rPr>
              <w:t>规划情况</w:t>
            </w:r>
          </w:p>
        </w:tc>
        <w:tc>
          <w:tcPr>
            <w:tcW w:w="7479" w:type="dxa"/>
            <w:gridSpan w:val="3"/>
            <w:vAlign w:val="center"/>
          </w:tcPr>
          <w:p>
            <w:pPr>
              <w:autoSpaceDE w:val="0"/>
              <w:autoSpaceDN w:val="0"/>
              <w:adjustRightInd w:val="0"/>
              <w:snapToGrid w:val="0"/>
              <w:ind w:firstLine="481" w:firstLineChars="200"/>
              <w:rPr>
                <w:color w:val="auto"/>
                <w:kern w:val="0"/>
                <w:sz w:val="24"/>
              </w:rPr>
            </w:pPr>
            <w:r>
              <w:rPr>
                <w:rFonts w:hint="eastAsia"/>
                <w:b/>
                <w:bCs/>
                <w:color w:val="auto"/>
                <w:kern w:val="0"/>
                <w:sz w:val="24"/>
              </w:rPr>
              <w:t>规划名称：</w:t>
            </w:r>
            <w:r>
              <w:rPr>
                <w:rFonts w:hint="eastAsia"/>
                <w:color w:val="auto"/>
                <w:kern w:val="0"/>
                <w:sz w:val="24"/>
              </w:rPr>
              <w:t>《宜良工业园区总体规划（2016-2030）》；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79" w:type="dxa"/>
            <w:vAlign w:val="center"/>
          </w:tcPr>
          <w:p>
            <w:pPr>
              <w:adjustRightInd w:val="0"/>
              <w:snapToGrid w:val="0"/>
              <w:jc w:val="center"/>
              <w:rPr>
                <w:color w:val="auto"/>
                <w:sz w:val="24"/>
              </w:rPr>
            </w:pPr>
            <w:r>
              <w:rPr>
                <w:color w:val="auto"/>
                <w:sz w:val="24"/>
              </w:rPr>
              <w:t>规划环境影响</w:t>
            </w:r>
          </w:p>
          <w:p>
            <w:pPr>
              <w:adjustRightInd w:val="0"/>
              <w:snapToGrid w:val="0"/>
              <w:jc w:val="center"/>
              <w:rPr>
                <w:color w:val="auto"/>
                <w:kern w:val="0"/>
                <w:sz w:val="24"/>
              </w:rPr>
            </w:pPr>
            <w:r>
              <w:rPr>
                <w:color w:val="auto"/>
                <w:sz w:val="24"/>
              </w:rPr>
              <w:t>评价情况</w:t>
            </w:r>
          </w:p>
        </w:tc>
        <w:tc>
          <w:tcPr>
            <w:tcW w:w="7479" w:type="dxa"/>
            <w:gridSpan w:val="3"/>
            <w:vAlign w:val="center"/>
          </w:tcPr>
          <w:p>
            <w:pPr>
              <w:autoSpaceDE w:val="0"/>
              <w:autoSpaceDN w:val="0"/>
              <w:adjustRightInd w:val="0"/>
              <w:snapToGrid w:val="0"/>
              <w:spacing w:line="360" w:lineRule="auto"/>
              <w:ind w:firstLine="481" w:firstLineChars="200"/>
              <w:rPr>
                <w:b/>
                <w:bCs/>
                <w:color w:val="auto"/>
                <w:kern w:val="0"/>
                <w:sz w:val="24"/>
              </w:rPr>
            </w:pPr>
            <w:r>
              <w:rPr>
                <w:rFonts w:hint="eastAsia"/>
                <w:b/>
                <w:bCs/>
                <w:color w:val="auto"/>
                <w:kern w:val="0"/>
                <w:sz w:val="24"/>
              </w:rPr>
              <w:t>文件名称：</w:t>
            </w:r>
            <w:r>
              <w:rPr>
                <w:rFonts w:hint="eastAsia"/>
                <w:color w:val="auto"/>
                <w:kern w:val="0"/>
                <w:sz w:val="24"/>
              </w:rPr>
              <w:t>《宜良工业园区总体规划（2016-2030）环境影响报告书》；</w:t>
            </w:r>
          </w:p>
          <w:p>
            <w:pPr>
              <w:autoSpaceDE w:val="0"/>
              <w:autoSpaceDN w:val="0"/>
              <w:adjustRightInd w:val="0"/>
              <w:snapToGrid w:val="0"/>
              <w:spacing w:line="360" w:lineRule="auto"/>
              <w:ind w:firstLine="481" w:firstLineChars="200"/>
              <w:rPr>
                <w:b/>
                <w:bCs/>
                <w:color w:val="auto"/>
                <w:kern w:val="0"/>
                <w:sz w:val="24"/>
              </w:rPr>
            </w:pPr>
            <w:r>
              <w:rPr>
                <w:rFonts w:hint="eastAsia"/>
                <w:b/>
                <w:bCs/>
                <w:color w:val="auto"/>
                <w:kern w:val="0"/>
                <w:sz w:val="24"/>
              </w:rPr>
              <w:t>召集审查机关：</w:t>
            </w:r>
            <w:r>
              <w:rPr>
                <w:rFonts w:hint="eastAsia"/>
                <w:color w:val="auto"/>
                <w:kern w:val="0"/>
                <w:sz w:val="24"/>
              </w:rPr>
              <w:t>云南省生态环境厅；</w:t>
            </w:r>
          </w:p>
          <w:p>
            <w:pPr>
              <w:autoSpaceDE w:val="0"/>
              <w:autoSpaceDN w:val="0"/>
              <w:adjustRightInd w:val="0"/>
              <w:snapToGrid w:val="0"/>
              <w:spacing w:line="360" w:lineRule="auto"/>
              <w:ind w:firstLine="481" w:firstLineChars="200"/>
              <w:rPr>
                <w:color w:val="auto"/>
                <w:kern w:val="0"/>
                <w:sz w:val="24"/>
              </w:rPr>
            </w:pPr>
            <w:r>
              <w:rPr>
                <w:rFonts w:hint="eastAsia"/>
                <w:b/>
                <w:bCs/>
                <w:color w:val="auto"/>
                <w:kern w:val="0"/>
                <w:sz w:val="24"/>
              </w:rPr>
              <w:t>审查文件名称及文号：</w:t>
            </w:r>
            <w:r>
              <w:rPr>
                <w:rFonts w:hint="eastAsia" w:ascii="宋体" w:hAnsi="宋体" w:cs="宋体"/>
                <w:color w:val="auto"/>
                <w:kern w:val="0"/>
                <w:sz w:val="24"/>
                <w:lang w:bidi="ar"/>
              </w:rPr>
              <w:t>云南省生态环境厅关于《宜良工业园区总体规划（</w:t>
            </w:r>
            <w:r>
              <w:rPr>
                <w:color w:val="auto"/>
                <w:kern w:val="0"/>
                <w:sz w:val="24"/>
                <w:lang w:bidi="ar"/>
              </w:rPr>
              <w:t>2016-2030</w:t>
            </w:r>
            <w:r>
              <w:rPr>
                <w:rFonts w:hint="eastAsia" w:ascii="宋体" w:hAnsi="宋体" w:cs="宋体"/>
                <w:color w:val="auto"/>
                <w:kern w:val="0"/>
                <w:sz w:val="24"/>
                <w:lang w:bidi="ar"/>
              </w:rPr>
              <w:t>）环境影响报告书》审查意见的函（云环函〔</w:t>
            </w:r>
            <w:r>
              <w:rPr>
                <w:color w:val="auto"/>
                <w:kern w:val="0"/>
                <w:sz w:val="24"/>
                <w:lang w:bidi="ar"/>
              </w:rPr>
              <w:t>2018</w:t>
            </w:r>
            <w:r>
              <w:rPr>
                <w:rFonts w:hint="eastAsia" w:ascii="宋体" w:hAnsi="宋体" w:cs="宋体"/>
                <w:color w:val="auto"/>
                <w:kern w:val="0"/>
                <w:sz w:val="24"/>
                <w:lang w:bidi="ar"/>
              </w:rPr>
              <w:t>〕</w:t>
            </w:r>
            <w:r>
              <w:rPr>
                <w:color w:val="auto"/>
                <w:kern w:val="0"/>
                <w:sz w:val="24"/>
                <w:lang w:bidi="ar"/>
              </w:rPr>
              <w:t xml:space="preserve">791 </w:t>
            </w:r>
            <w:r>
              <w:rPr>
                <w:rFonts w:hint="eastAsia" w:ascii="宋体" w:hAnsi="宋体" w:cs="宋体"/>
                <w:color w:val="auto"/>
                <w:kern w:val="0"/>
                <w:sz w:val="24"/>
                <w:lang w:bidi="ar"/>
              </w:rPr>
              <w:t xml:space="preserve">号）。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79" w:type="dxa"/>
            <w:vAlign w:val="center"/>
          </w:tcPr>
          <w:p>
            <w:pPr>
              <w:autoSpaceDE w:val="0"/>
              <w:autoSpaceDN w:val="0"/>
              <w:adjustRightInd w:val="0"/>
              <w:snapToGrid w:val="0"/>
              <w:jc w:val="center"/>
              <w:rPr>
                <w:color w:val="auto"/>
                <w:kern w:val="0"/>
                <w:sz w:val="24"/>
              </w:rPr>
            </w:pPr>
            <w:r>
              <w:rPr>
                <w:color w:val="auto"/>
                <w:kern w:val="0"/>
                <w:sz w:val="24"/>
              </w:rPr>
              <w:t>规划及规划环境影响评价</w:t>
            </w:r>
          </w:p>
          <w:p>
            <w:pPr>
              <w:autoSpaceDE w:val="0"/>
              <w:autoSpaceDN w:val="0"/>
              <w:adjustRightInd w:val="0"/>
              <w:snapToGrid w:val="0"/>
              <w:jc w:val="center"/>
              <w:rPr>
                <w:color w:val="auto"/>
                <w:kern w:val="0"/>
                <w:sz w:val="24"/>
              </w:rPr>
            </w:pPr>
            <w:r>
              <w:rPr>
                <w:color w:val="auto"/>
                <w:kern w:val="0"/>
                <w:sz w:val="24"/>
              </w:rPr>
              <w:t>符合性分析</w:t>
            </w:r>
          </w:p>
        </w:tc>
        <w:tc>
          <w:tcPr>
            <w:tcW w:w="7479" w:type="dxa"/>
            <w:gridSpan w:val="3"/>
          </w:tcPr>
          <w:p>
            <w:pPr>
              <w:autoSpaceDE w:val="0"/>
              <w:autoSpaceDN w:val="0"/>
              <w:adjustRightInd w:val="0"/>
              <w:snapToGrid w:val="0"/>
              <w:spacing w:line="360" w:lineRule="auto"/>
              <w:rPr>
                <w:b/>
                <w:color w:val="auto"/>
                <w:kern w:val="0"/>
                <w:sz w:val="24"/>
              </w:rPr>
            </w:pPr>
            <w:r>
              <w:rPr>
                <w:rFonts w:hint="eastAsia"/>
                <w:b/>
                <w:color w:val="auto"/>
                <w:sz w:val="24"/>
              </w:rPr>
              <w:t>1.1与</w:t>
            </w:r>
            <w:r>
              <w:rPr>
                <w:rFonts w:hint="eastAsia"/>
                <w:b/>
                <w:color w:val="auto"/>
                <w:kern w:val="0"/>
                <w:sz w:val="24"/>
              </w:rPr>
              <w:t>宜良工业园区总体规划相符性</w:t>
            </w:r>
          </w:p>
          <w:p>
            <w:pPr>
              <w:widowControl/>
              <w:jc w:val="center"/>
              <w:rPr>
                <w:rFonts w:ascii="宋体" w:hAnsi="宋体" w:cs="宋体"/>
                <w:b/>
                <w:bCs/>
                <w:color w:val="auto"/>
                <w:kern w:val="0"/>
                <w:szCs w:val="21"/>
                <w:lang w:bidi="ar"/>
              </w:rPr>
            </w:pPr>
            <w:r>
              <w:rPr>
                <w:rFonts w:hint="eastAsia" w:ascii="宋体" w:hAnsi="宋体" w:cs="宋体"/>
                <w:b/>
                <w:bCs/>
                <w:color w:val="auto"/>
                <w:kern w:val="0"/>
                <w:szCs w:val="21"/>
                <w:lang w:bidi="ar"/>
              </w:rPr>
              <w:t>表1-</w:t>
            </w:r>
            <w:r>
              <w:rPr>
                <w:rFonts w:hint="eastAsia" w:ascii="宋体" w:hAnsi="宋体" w:cs="宋体"/>
                <w:b/>
                <w:bCs/>
                <w:color w:val="auto"/>
                <w:kern w:val="0"/>
                <w:szCs w:val="21"/>
                <w:lang w:val="en-US" w:eastAsia="zh-CN" w:bidi="ar"/>
              </w:rPr>
              <w:t>2</w:t>
            </w:r>
            <w:r>
              <w:rPr>
                <w:rFonts w:hint="eastAsia" w:ascii="宋体" w:hAnsi="宋体" w:cs="宋体"/>
                <w:b/>
                <w:bCs/>
                <w:color w:val="auto"/>
                <w:kern w:val="0"/>
                <w:szCs w:val="21"/>
                <w:lang w:bidi="ar"/>
              </w:rPr>
              <w:t xml:space="preserve">  与《宜良工业园区总体规划（</w:t>
            </w:r>
            <w:r>
              <w:rPr>
                <w:b/>
                <w:bCs/>
                <w:color w:val="auto"/>
                <w:kern w:val="0"/>
                <w:szCs w:val="21"/>
                <w:lang w:bidi="ar"/>
              </w:rPr>
              <w:t>2016-2030</w:t>
            </w:r>
            <w:r>
              <w:rPr>
                <w:rFonts w:hint="eastAsia" w:ascii="宋体" w:hAnsi="宋体" w:cs="宋体"/>
                <w:b/>
                <w:bCs/>
                <w:color w:val="auto"/>
                <w:kern w:val="0"/>
                <w:szCs w:val="21"/>
                <w:lang w:bidi="ar"/>
              </w:rPr>
              <w:t>）》相符性</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3119"/>
              <w:gridCol w:w="3069"/>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517" w:type="pct"/>
                  <w:gridSpan w:val="2"/>
                  <w:vAlign w:val="center"/>
                </w:tcPr>
                <w:p>
                  <w:pPr>
                    <w:widowControl/>
                    <w:jc w:val="center"/>
                    <w:rPr>
                      <w:color w:val="auto"/>
                      <w:kern w:val="0"/>
                      <w:szCs w:val="21"/>
                      <w:lang w:bidi="ar"/>
                    </w:rPr>
                  </w:pPr>
                  <w:r>
                    <w:rPr>
                      <w:color w:val="auto"/>
                      <w:kern w:val="0"/>
                      <w:szCs w:val="21"/>
                      <w:lang w:bidi="ar"/>
                    </w:rPr>
                    <w:t>宜良工业园区总体规划</w:t>
                  </w:r>
                </w:p>
              </w:tc>
              <w:tc>
                <w:tcPr>
                  <w:tcW w:w="2180" w:type="pct"/>
                  <w:vAlign w:val="center"/>
                </w:tcPr>
                <w:p>
                  <w:pPr>
                    <w:widowControl/>
                    <w:jc w:val="center"/>
                    <w:rPr>
                      <w:color w:val="auto"/>
                      <w:kern w:val="0"/>
                      <w:szCs w:val="21"/>
                      <w:lang w:bidi="ar"/>
                    </w:rPr>
                  </w:pPr>
                  <w:r>
                    <w:rPr>
                      <w:color w:val="auto"/>
                      <w:kern w:val="0"/>
                      <w:szCs w:val="21"/>
                      <w:lang w:bidi="ar"/>
                    </w:rPr>
                    <w:t>项目情况</w:t>
                  </w:r>
                </w:p>
              </w:tc>
              <w:tc>
                <w:tcPr>
                  <w:tcW w:w="303" w:type="pct"/>
                  <w:vAlign w:val="center"/>
                </w:tcPr>
                <w:p>
                  <w:pPr>
                    <w:widowControl/>
                    <w:jc w:val="center"/>
                    <w:rPr>
                      <w:color w:val="auto"/>
                      <w:kern w:val="0"/>
                      <w:szCs w:val="21"/>
                      <w:lang w:bidi="ar"/>
                    </w:rPr>
                  </w:pPr>
                  <w:r>
                    <w:rPr>
                      <w:color w:val="auto"/>
                      <w:kern w:val="0"/>
                      <w:szCs w:val="21"/>
                      <w:lang w:bidi="ar"/>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03" w:type="pct"/>
                  <w:vMerge w:val="restart"/>
                  <w:vAlign w:val="center"/>
                </w:tcPr>
                <w:p>
                  <w:pPr>
                    <w:widowControl/>
                    <w:jc w:val="center"/>
                    <w:rPr>
                      <w:color w:val="auto"/>
                      <w:kern w:val="0"/>
                      <w:szCs w:val="21"/>
                      <w:lang w:bidi="ar"/>
                    </w:rPr>
                  </w:pPr>
                  <w:r>
                    <w:rPr>
                      <w:rFonts w:hint="eastAsia"/>
                      <w:color w:val="auto"/>
                      <w:kern w:val="0"/>
                      <w:szCs w:val="21"/>
                      <w:lang w:bidi="ar"/>
                    </w:rPr>
                    <w:t>产业结构</w:t>
                  </w:r>
                </w:p>
              </w:tc>
              <w:tc>
                <w:tcPr>
                  <w:tcW w:w="2215" w:type="pct"/>
                  <w:vAlign w:val="center"/>
                </w:tcPr>
                <w:p>
                  <w:pPr>
                    <w:widowControl/>
                    <w:rPr>
                      <w:color w:val="auto"/>
                      <w:kern w:val="0"/>
                      <w:szCs w:val="21"/>
                      <w:lang w:bidi="ar"/>
                    </w:rPr>
                  </w:pPr>
                  <w:r>
                    <w:rPr>
                      <w:rFonts w:hint="eastAsia"/>
                      <w:color w:val="auto"/>
                      <w:kern w:val="0"/>
                      <w:szCs w:val="21"/>
                      <w:lang w:bidi="ar"/>
                    </w:rPr>
                    <w:t>三带：①在园区西部形成公共服务发展带；②在园区中、东部形成工业产业发展带；③沿南盘江结合基本农田保护和南盘江休闲文化带建设，形成现代农业和休闲旅游发展带</w:t>
                  </w:r>
                </w:p>
              </w:tc>
              <w:tc>
                <w:tcPr>
                  <w:tcW w:w="2180" w:type="pct"/>
                  <w:vMerge w:val="restart"/>
                  <w:vAlign w:val="center"/>
                </w:tcPr>
                <w:p>
                  <w:pPr>
                    <w:widowControl/>
                    <w:rPr>
                      <w:color w:val="auto"/>
                      <w:kern w:val="0"/>
                      <w:szCs w:val="21"/>
                      <w:lang w:bidi="ar"/>
                    </w:rPr>
                  </w:pPr>
                  <w:r>
                    <w:rPr>
                      <w:rFonts w:hint="eastAsia"/>
                      <w:color w:val="auto"/>
                      <w:kern w:val="0"/>
                      <w:szCs w:val="21"/>
                      <w:lang w:bidi="ar"/>
                    </w:rPr>
                    <w:t>本项目</w:t>
                  </w:r>
                  <w:r>
                    <w:rPr>
                      <w:rFonts w:hint="eastAsia"/>
                      <w:color w:val="auto"/>
                      <w:szCs w:val="21"/>
                    </w:rPr>
                    <w:t>宜良工业园区北古城片区</w:t>
                  </w:r>
                  <w:r>
                    <w:rPr>
                      <w:rFonts w:hint="eastAsia"/>
                      <w:color w:val="auto"/>
                      <w:kern w:val="0"/>
                      <w:szCs w:val="21"/>
                      <w:lang w:bidi="ar"/>
                    </w:rPr>
                    <w:t>中、东部地区。</w:t>
                  </w:r>
                  <w:r>
                    <w:rPr>
                      <w:rFonts w:hint="eastAsia"/>
                      <w:color w:val="auto"/>
                      <w:szCs w:val="21"/>
                    </w:rPr>
                    <w:t>项目生产耐火材料，属于建材行业，符合北古城片区中、东部地区产业结构</w:t>
                  </w:r>
                </w:p>
              </w:tc>
              <w:tc>
                <w:tcPr>
                  <w:tcW w:w="303" w:type="pct"/>
                  <w:vMerge w:val="restart"/>
                  <w:vAlign w:val="center"/>
                </w:tcPr>
                <w:p>
                  <w:pPr>
                    <w:widowControl/>
                    <w:jc w:val="center"/>
                    <w:rPr>
                      <w:color w:val="auto"/>
                      <w:kern w:val="0"/>
                      <w:szCs w:val="21"/>
                      <w:lang w:bidi="ar"/>
                    </w:rPr>
                  </w:pPr>
                  <w:r>
                    <w:rPr>
                      <w:rFonts w:hint="eastAsia"/>
                      <w:color w:val="auto"/>
                      <w:kern w:val="0"/>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03" w:type="pct"/>
                  <w:vMerge w:val="continue"/>
                  <w:vAlign w:val="center"/>
                </w:tcPr>
                <w:p>
                  <w:pPr>
                    <w:widowControl/>
                    <w:jc w:val="center"/>
                    <w:rPr>
                      <w:color w:val="auto"/>
                      <w:kern w:val="0"/>
                      <w:szCs w:val="21"/>
                      <w:lang w:bidi="ar"/>
                    </w:rPr>
                  </w:pPr>
                </w:p>
              </w:tc>
              <w:tc>
                <w:tcPr>
                  <w:tcW w:w="2215" w:type="pct"/>
                  <w:vAlign w:val="center"/>
                </w:tcPr>
                <w:p>
                  <w:pPr>
                    <w:widowControl/>
                    <w:rPr>
                      <w:color w:val="auto"/>
                      <w:kern w:val="0"/>
                      <w:szCs w:val="21"/>
                      <w:lang w:bidi="ar"/>
                    </w:rPr>
                  </w:pPr>
                  <w:r>
                    <w:rPr>
                      <w:rFonts w:hint="eastAsia"/>
                      <w:color w:val="auto"/>
                      <w:kern w:val="0"/>
                      <w:szCs w:val="21"/>
                      <w:lang w:bidi="ar"/>
                    </w:rPr>
                    <w:t>七片：①北古城片区西、北部地区以发展特色轻工业产业集群为主；②北古城片区中、东部地区以新型建材产业集群为主；③木龙片区中、东部地区以金属新材料产业集群为主；④山后片区中、东部地区以先进装备制造业产业集群为主；⑤北古城片区西部地区以生产性服务业发展为主；⑥木龙片区西部地区以生活性服务业发展为主；⑦山后片区西部地区以生产性服务业发展为主</w:t>
                  </w:r>
                </w:p>
              </w:tc>
              <w:tc>
                <w:tcPr>
                  <w:tcW w:w="2180" w:type="pct"/>
                  <w:vMerge w:val="continue"/>
                  <w:vAlign w:val="center"/>
                </w:tcPr>
                <w:p>
                  <w:pPr>
                    <w:widowControl/>
                    <w:jc w:val="center"/>
                    <w:rPr>
                      <w:color w:val="auto"/>
                      <w:kern w:val="0"/>
                      <w:szCs w:val="21"/>
                      <w:lang w:bidi="ar"/>
                    </w:rPr>
                  </w:pPr>
                </w:p>
              </w:tc>
              <w:tc>
                <w:tcPr>
                  <w:tcW w:w="303" w:type="pct"/>
                  <w:vMerge w:val="continue"/>
                  <w:vAlign w:val="center"/>
                </w:tcPr>
                <w:p>
                  <w:pPr>
                    <w:widowControl/>
                    <w:jc w:val="center"/>
                    <w:rPr>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517" w:type="pct"/>
                  <w:gridSpan w:val="2"/>
                  <w:vAlign w:val="center"/>
                </w:tcPr>
                <w:p>
                  <w:pPr>
                    <w:widowControl/>
                    <w:rPr>
                      <w:color w:val="auto"/>
                      <w:kern w:val="0"/>
                      <w:szCs w:val="21"/>
                      <w:lang w:bidi="ar"/>
                    </w:rPr>
                  </w:pPr>
                  <w:r>
                    <w:rPr>
                      <w:rFonts w:hint="eastAsia"/>
                      <w:color w:val="auto"/>
                      <w:kern w:val="0"/>
                      <w:szCs w:val="21"/>
                      <w:lang w:bidi="ar"/>
                    </w:rPr>
                    <w:t>负面清单：</w:t>
                  </w:r>
                  <w:r>
                    <w:rPr>
                      <w:rFonts w:hint="eastAsia"/>
                      <w:bCs/>
                      <w:color w:val="auto"/>
                      <w:szCs w:val="21"/>
                    </w:rPr>
                    <w:t>园区规划产业为污染强度较高的产业，根据污染物排放总量控制等环境保护的要求，园区应设置严格的环境准入条件，禁止、限制与园区功能定位不相符的其他污染型产业进入，避免产生污染叠加效应，加重园区环境压力。涉及行业有农产品借工、饲料加工、纸板箱包装、板材加工、五金加工、水泥、钢铁冶金、铜冶金和装备制造业等</w:t>
                  </w:r>
                </w:p>
              </w:tc>
              <w:tc>
                <w:tcPr>
                  <w:tcW w:w="2180" w:type="pct"/>
                  <w:vAlign w:val="center"/>
                </w:tcPr>
                <w:p>
                  <w:pPr>
                    <w:widowControl/>
                    <w:rPr>
                      <w:color w:val="auto"/>
                      <w:kern w:val="0"/>
                      <w:szCs w:val="21"/>
                      <w:lang w:bidi="ar"/>
                    </w:rPr>
                  </w:pPr>
                  <w:r>
                    <w:rPr>
                      <w:rFonts w:hint="eastAsia"/>
                      <w:color w:val="auto"/>
                      <w:kern w:val="0"/>
                      <w:szCs w:val="21"/>
                      <w:lang w:bidi="ar"/>
                    </w:rPr>
                    <w:t>本项目为耐火材料生产项目、属于新型建材行业，不在工业园区环保负面清单规定的行业范围内</w:t>
                  </w:r>
                </w:p>
              </w:tc>
              <w:tc>
                <w:tcPr>
                  <w:tcW w:w="303" w:type="pct"/>
                  <w:vAlign w:val="center"/>
                </w:tcPr>
                <w:p>
                  <w:pPr>
                    <w:widowControl/>
                    <w:jc w:val="center"/>
                    <w:rPr>
                      <w:color w:val="auto"/>
                      <w:kern w:val="0"/>
                      <w:szCs w:val="21"/>
                      <w:lang w:bidi="ar"/>
                    </w:rPr>
                  </w:pPr>
                  <w:r>
                    <w:rPr>
                      <w:rFonts w:hint="eastAsia"/>
                      <w:color w:val="auto"/>
                      <w:kern w:val="0"/>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517" w:type="pct"/>
                  <w:gridSpan w:val="2"/>
                  <w:vAlign w:val="center"/>
                </w:tcPr>
                <w:p>
                  <w:pPr>
                    <w:widowControl/>
                    <w:rPr>
                      <w:color w:val="auto"/>
                      <w:kern w:val="0"/>
                      <w:szCs w:val="21"/>
                      <w:lang w:bidi="ar"/>
                    </w:rPr>
                  </w:pPr>
                  <w:r>
                    <w:rPr>
                      <w:rFonts w:hint="eastAsia" w:ascii="宋体" w:hAnsi="宋体" w:cs="宋体"/>
                      <w:color w:val="auto"/>
                      <w:kern w:val="0"/>
                      <w:szCs w:val="21"/>
                      <w:lang w:bidi="ar"/>
                    </w:rPr>
                    <w:t>根据宜良县环境保护总体规划确定的县域气污染型企业宜布置在北古城片区，水污染型企业宜布置在狗街集镇南部区域</w:t>
                  </w:r>
                </w:p>
              </w:tc>
              <w:tc>
                <w:tcPr>
                  <w:tcW w:w="2180" w:type="pct"/>
                  <w:vAlign w:val="center"/>
                </w:tcPr>
                <w:p>
                  <w:pPr>
                    <w:widowControl/>
                    <w:rPr>
                      <w:color w:val="auto"/>
                      <w:kern w:val="0"/>
                      <w:szCs w:val="21"/>
                      <w:lang w:bidi="ar"/>
                    </w:rPr>
                  </w:pPr>
                  <w:r>
                    <w:rPr>
                      <w:rFonts w:hint="eastAsia"/>
                      <w:color w:val="auto"/>
                      <w:kern w:val="0"/>
                      <w:szCs w:val="21"/>
                      <w:lang w:bidi="ar"/>
                    </w:rPr>
                    <w:t>本项目属于气污染型项目，位于宜良工业园区北古城片区</w:t>
                  </w:r>
                </w:p>
              </w:tc>
              <w:tc>
                <w:tcPr>
                  <w:tcW w:w="303" w:type="pct"/>
                  <w:vAlign w:val="center"/>
                </w:tcPr>
                <w:p>
                  <w:pPr>
                    <w:widowControl/>
                    <w:jc w:val="center"/>
                    <w:rPr>
                      <w:color w:val="auto"/>
                      <w:kern w:val="0"/>
                      <w:szCs w:val="21"/>
                      <w:lang w:bidi="ar"/>
                    </w:rPr>
                  </w:pPr>
                  <w:r>
                    <w:rPr>
                      <w:rFonts w:hint="eastAsia"/>
                      <w:color w:val="auto"/>
                      <w:kern w:val="0"/>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03" w:type="pct"/>
                  <w:vMerge w:val="restart"/>
                  <w:vAlign w:val="center"/>
                </w:tcPr>
                <w:p>
                  <w:pPr>
                    <w:widowControl/>
                    <w:rPr>
                      <w:color w:val="auto"/>
                      <w:kern w:val="0"/>
                      <w:szCs w:val="21"/>
                      <w:lang w:bidi="ar"/>
                    </w:rPr>
                  </w:pPr>
                  <w:r>
                    <w:rPr>
                      <w:rFonts w:hint="eastAsia"/>
                      <w:color w:val="auto"/>
                      <w:kern w:val="0"/>
                      <w:szCs w:val="21"/>
                      <w:lang w:bidi="ar"/>
                    </w:rPr>
                    <w:t>产业建成区环境质量标准</w:t>
                  </w:r>
                </w:p>
              </w:tc>
              <w:tc>
                <w:tcPr>
                  <w:tcW w:w="2215" w:type="pct"/>
                  <w:vAlign w:val="center"/>
                </w:tcPr>
                <w:p>
                  <w:pPr>
                    <w:widowControl/>
                    <w:rPr>
                      <w:color w:val="auto"/>
                      <w:kern w:val="0"/>
                      <w:szCs w:val="21"/>
                      <w:lang w:bidi="ar"/>
                    </w:rPr>
                  </w:pPr>
                  <w:r>
                    <w:rPr>
                      <w:rFonts w:hint="eastAsia" w:ascii="宋体" w:hAnsi="宋体" w:cs="宋体"/>
                      <w:color w:val="auto"/>
                      <w:kern w:val="0"/>
                      <w:szCs w:val="21"/>
                      <w:lang w:bidi="ar"/>
                    </w:rPr>
                    <w:t xml:space="preserve">一类建设区：包括成片居住区、行政办公区，公共服务区。该区域水质执行四类标准，环境空气质量执行二级标准，噪声执行二类标准 </w:t>
                  </w:r>
                </w:p>
              </w:tc>
              <w:tc>
                <w:tcPr>
                  <w:tcW w:w="2180" w:type="pct"/>
                  <w:vMerge w:val="restart"/>
                  <w:vAlign w:val="center"/>
                </w:tcPr>
                <w:p>
                  <w:pPr>
                    <w:widowControl/>
                    <w:rPr>
                      <w:color w:val="auto"/>
                      <w:kern w:val="0"/>
                      <w:szCs w:val="21"/>
                      <w:lang w:bidi="ar"/>
                    </w:rPr>
                  </w:pPr>
                  <w:r>
                    <w:rPr>
                      <w:rFonts w:hint="eastAsia"/>
                      <w:color w:val="auto"/>
                      <w:kern w:val="0"/>
                      <w:szCs w:val="21"/>
                      <w:lang w:bidi="ar"/>
                    </w:rPr>
                    <w:t>本项目位于</w:t>
                  </w:r>
                  <w:r>
                    <w:rPr>
                      <w:rFonts w:hint="eastAsia"/>
                      <w:color w:val="auto"/>
                      <w:szCs w:val="21"/>
                    </w:rPr>
                    <w:t>宜良工业园区北古城片区</w:t>
                  </w:r>
                  <w:r>
                    <w:rPr>
                      <w:rFonts w:hint="eastAsia"/>
                      <w:color w:val="auto"/>
                      <w:kern w:val="0"/>
                      <w:szCs w:val="21"/>
                      <w:lang w:bidi="ar"/>
                    </w:rPr>
                    <w:t>，属于三类建设区，区域环境空气执行《环境空气质量标准》（GB3095-2012）二级标准，声环境执行《声环境质量标准》（GB3096-2008）3类区标准，地表水按照《</w:t>
                  </w:r>
                  <w:r>
                    <w:rPr>
                      <w:color w:val="auto"/>
                      <w:szCs w:val="21"/>
                    </w:rPr>
                    <w:t>云南省水功能区划</w:t>
                  </w:r>
                  <w:r>
                    <w:rPr>
                      <w:rFonts w:hint="eastAsia"/>
                      <w:color w:val="auto"/>
                      <w:szCs w:val="21"/>
                    </w:rPr>
                    <w:t>（2014年修订）</w:t>
                  </w:r>
                  <w:r>
                    <w:rPr>
                      <w:rFonts w:hint="eastAsia"/>
                      <w:color w:val="auto"/>
                      <w:kern w:val="0"/>
                      <w:szCs w:val="21"/>
                      <w:lang w:bidi="ar"/>
                    </w:rPr>
                    <w:t>》执行《地表水环境质量标准》（GB3838-2002）</w:t>
                  </w:r>
                  <w:r>
                    <w:rPr>
                      <w:rFonts w:hint="eastAsia"/>
                      <w:color w:val="auto"/>
                      <w:kern w:val="0"/>
                      <w:szCs w:val="21"/>
                      <w:lang w:bidi="ar"/>
                    </w:rPr>
                    <w:fldChar w:fldCharType="begin"/>
                  </w:r>
                  <w:r>
                    <w:rPr>
                      <w:rFonts w:hint="eastAsia"/>
                      <w:color w:val="auto"/>
                      <w:kern w:val="0"/>
                      <w:szCs w:val="21"/>
                      <w:lang w:bidi="ar"/>
                    </w:rPr>
                    <w:instrText xml:space="preserve"> = 3 \* ROMAN \* MERGEFORMAT </w:instrText>
                  </w:r>
                  <w:r>
                    <w:rPr>
                      <w:rFonts w:hint="eastAsia"/>
                      <w:color w:val="auto"/>
                      <w:kern w:val="0"/>
                      <w:szCs w:val="21"/>
                      <w:lang w:bidi="ar"/>
                    </w:rPr>
                    <w:fldChar w:fldCharType="separate"/>
                  </w:r>
                  <w:r>
                    <w:rPr>
                      <w:color w:val="auto"/>
                    </w:rPr>
                    <w:t>III</w:t>
                  </w:r>
                  <w:r>
                    <w:rPr>
                      <w:rFonts w:hint="eastAsia"/>
                      <w:color w:val="auto"/>
                      <w:kern w:val="0"/>
                      <w:szCs w:val="21"/>
                      <w:lang w:bidi="ar"/>
                    </w:rPr>
                    <w:fldChar w:fldCharType="end"/>
                  </w:r>
                  <w:r>
                    <w:rPr>
                      <w:rFonts w:hint="eastAsia"/>
                      <w:color w:val="auto"/>
                      <w:kern w:val="0"/>
                      <w:szCs w:val="21"/>
                      <w:lang w:bidi="ar"/>
                    </w:rPr>
                    <w:t>类水质标准</w:t>
                  </w:r>
                </w:p>
              </w:tc>
              <w:tc>
                <w:tcPr>
                  <w:tcW w:w="303" w:type="pct"/>
                  <w:vMerge w:val="restart"/>
                  <w:vAlign w:val="center"/>
                </w:tcPr>
                <w:p>
                  <w:pPr>
                    <w:widowControl/>
                    <w:jc w:val="center"/>
                    <w:rPr>
                      <w:color w:val="auto"/>
                      <w:kern w:val="0"/>
                      <w:szCs w:val="21"/>
                      <w:lang w:bidi="ar"/>
                    </w:rPr>
                  </w:pPr>
                  <w:r>
                    <w:rPr>
                      <w:rFonts w:hint="eastAsia"/>
                      <w:color w:val="auto"/>
                      <w:kern w:val="0"/>
                      <w:szCs w:val="21"/>
                      <w:lang w:bidi="ar"/>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03" w:type="pct"/>
                  <w:vMerge w:val="continue"/>
                  <w:vAlign w:val="center"/>
                </w:tcPr>
                <w:p>
                  <w:pPr>
                    <w:widowControl/>
                    <w:ind w:firstLine="420" w:firstLineChars="200"/>
                    <w:jc w:val="left"/>
                    <w:rPr>
                      <w:color w:val="auto"/>
                      <w:kern w:val="0"/>
                      <w:szCs w:val="21"/>
                      <w:lang w:bidi="ar"/>
                    </w:rPr>
                  </w:pPr>
                </w:p>
              </w:tc>
              <w:tc>
                <w:tcPr>
                  <w:tcW w:w="2215" w:type="pct"/>
                  <w:vAlign w:val="center"/>
                </w:tcPr>
                <w:p>
                  <w:pPr>
                    <w:widowControl/>
                    <w:rPr>
                      <w:color w:val="auto"/>
                      <w:kern w:val="0"/>
                      <w:szCs w:val="21"/>
                      <w:lang w:bidi="ar"/>
                    </w:rPr>
                  </w:pPr>
                  <w:r>
                    <w:rPr>
                      <w:rFonts w:hint="eastAsia" w:ascii="宋体" w:hAnsi="宋体" w:cs="宋体"/>
                      <w:color w:val="auto"/>
                      <w:kern w:val="0"/>
                      <w:szCs w:val="21"/>
                      <w:lang w:bidi="ar"/>
                    </w:rPr>
                    <w:t xml:space="preserve">二类建设区：包括农产品加工业片区。该区域水质执行四类标准，环境空气质量执行二级标准，噪声执行三类标准 </w:t>
                  </w:r>
                </w:p>
              </w:tc>
              <w:tc>
                <w:tcPr>
                  <w:tcW w:w="2180" w:type="pct"/>
                  <w:vMerge w:val="continue"/>
                  <w:vAlign w:val="center"/>
                </w:tcPr>
                <w:p>
                  <w:pPr>
                    <w:widowControl/>
                    <w:jc w:val="center"/>
                    <w:rPr>
                      <w:color w:val="auto"/>
                      <w:kern w:val="0"/>
                      <w:szCs w:val="21"/>
                      <w:lang w:bidi="ar"/>
                    </w:rPr>
                  </w:pPr>
                </w:p>
              </w:tc>
              <w:tc>
                <w:tcPr>
                  <w:tcW w:w="303" w:type="pct"/>
                  <w:vMerge w:val="continue"/>
                  <w:vAlign w:val="center"/>
                </w:tcPr>
                <w:p>
                  <w:pPr>
                    <w:widowControl/>
                    <w:jc w:val="center"/>
                    <w:rPr>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03" w:type="pct"/>
                  <w:vMerge w:val="continue"/>
                  <w:vAlign w:val="center"/>
                </w:tcPr>
                <w:p>
                  <w:pPr>
                    <w:widowControl/>
                    <w:jc w:val="center"/>
                    <w:rPr>
                      <w:color w:val="auto"/>
                      <w:kern w:val="0"/>
                      <w:szCs w:val="21"/>
                      <w:lang w:bidi="ar"/>
                    </w:rPr>
                  </w:pPr>
                </w:p>
              </w:tc>
              <w:tc>
                <w:tcPr>
                  <w:tcW w:w="2215" w:type="pct"/>
                  <w:vAlign w:val="center"/>
                </w:tcPr>
                <w:p>
                  <w:pPr>
                    <w:widowControl/>
                    <w:rPr>
                      <w:color w:val="auto"/>
                      <w:kern w:val="0"/>
                      <w:szCs w:val="21"/>
                      <w:lang w:bidi="ar"/>
                    </w:rPr>
                  </w:pPr>
                  <w:r>
                    <w:rPr>
                      <w:rFonts w:hint="eastAsia" w:ascii="宋体" w:hAnsi="宋体" w:cs="宋体"/>
                      <w:color w:val="auto"/>
                      <w:kern w:val="0"/>
                      <w:szCs w:val="21"/>
                      <w:lang w:bidi="ar"/>
                    </w:rPr>
                    <w:t>三类建设区：包括北古城工业片区。该区域水质执行四类标准，环境空气质量执行二级标准，区域噪声执行三类标准</w:t>
                  </w:r>
                </w:p>
              </w:tc>
              <w:tc>
                <w:tcPr>
                  <w:tcW w:w="2180" w:type="pct"/>
                  <w:vMerge w:val="continue"/>
                  <w:vAlign w:val="center"/>
                </w:tcPr>
                <w:p>
                  <w:pPr>
                    <w:widowControl/>
                    <w:jc w:val="center"/>
                    <w:rPr>
                      <w:color w:val="auto"/>
                      <w:kern w:val="0"/>
                      <w:szCs w:val="21"/>
                      <w:lang w:bidi="ar"/>
                    </w:rPr>
                  </w:pPr>
                </w:p>
              </w:tc>
              <w:tc>
                <w:tcPr>
                  <w:tcW w:w="303" w:type="pct"/>
                  <w:vMerge w:val="continue"/>
                  <w:vAlign w:val="center"/>
                </w:tcPr>
                <w:p>
                  <w:pPr>
                    <w:widowControl/>
                    <w:jc w:val="center"/>
                    <w:rPr>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517" w:type="pct"/>
                  <w:gridSpan w:val="2"/>
                  <w:vAlign w:val="center"/>
                </w:tcPr>
                <w:p>
                  <w:pPr>
                    <w:widowControl/>
                    <w:rPr>
                      <w:color w:val="auto"/>
                      <w:kern w:val="0"/>
                      <w:szCs w:val="21"/>
                      <w:lang w:bidi="ar"/>
                    </w:rPr>
                  </w:pPr>
                  <w:r>
                    <w:rPr>
                      <w:rFonts w:hint="eastAsia" w:ascii="宋体" w:hAnsi="宋体" w:cs="宋体"/>
                      <w:color w:val="auto"/>
                      <w:kern w:val="0"/>
                      <w:szCs w:val="21"/>
                      <w:lang w:bidi="ar"/>
                    </w:rPr>
                    <w:t>新建项目在立项时，应采取先进的设计工艺、使用清洁的能源和原料、采用先进的工艺技术与设备、改善管理、综合利用等措施，从源头削减污染，提高资源利用效率，减少或者避免生产、服务和产品使用过程中污染物的产生和排放</w:t>
                  </w:r>
                </w:p>
              </w:tc>
              <w:tc>
                <w:tcPr>
                  <w:tcW w:w="2180" w:type="pct"/>
                  <w:vAlign w:val="center"/>
                </w:tcPr>
                <w:p>
                  <w:pPr>
                    <w:pStyle w:val="7"/>
                    <w:jc w:val="both"/>
                    <w:rPr>
                      <w:color w:val="auto"/>
                      <w:sz w:val="21"/>
                      <w:szCs w:val="21"/>
                      <w:lang w:bidi="ar"/>
                    </w:rPr>
                  </w:pPr>
                  <w:r>
                    <w:rPr>
                      <w:rFonts w:hint="eastAsia"/>
                      <w:color w:val="auto"/>
                      <w:sz w:val="21"/>
                      <w:szCs w:val="21"/>
                      <w:lang w:bidi="ar"/>
                    </w:rPr>
                    <w:t>项目采用先进生产工艺，本次改扩建将拆除原有煤气发生炉，燃料全部改用天然气，能从源头减少污染物产生</w:t>
                  </w:r>
                </w:p>
              </w:tc>
              <w:tc>
                <w:tcPr>
                  <w:tcW w:w="303" w:type="pct"/>
                  <w:vAlign w:val="center"/>
                </w:tcPr>
                <w:p>
                  <w:pPr>
                    <w:widowControl/>
                    <w:jc w:val="center"/>
                    <w:rPr>
                      <w:color w:val="auto"/>
                      <w:kern w:val="0"/>
                      <w:szCs w:val="21"/>
                      <w:lang w:bidi="ar"/>
                    </w:rPr>
                  </w:pPr>
                  <w:r>
                    <w:rPr>
                      <w:rFonts w:hint="eastAsia"/>
                      <w:color w:val="auto"/>
                      <w:kern w:val="0"/>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517" w:type="pct"/>
                  <w:gridSpan w:val="2"/>
                  <w:vAlign w:val="center"/>
                </w:tcPr>
                <w:p>
                  <w:pPr>
                    <w:widowControl/>
                    <w:rPr>
                      <w:color w:val="auto"/>
                      <w:kern w:val="0"/>
                      <w:szCs w:val="21"/>
                      <w:lang w:bidi="ar"/>
                    </w:rPr>
                  </w:pPr>
                  <w:r>
                    <w:rPr>
                      <w:rFonts w:hint="eastAsia" w:ascii="宋体" w:hAnsi="宋体" w:cs="宋体"/>
                      <w:color w:val="auto"/>
                      <w:kern w:val="0"/>
                      <w:szCs w:val="21"/>
                      <w:lang w:bidi="ar"/>
                    </w:rPr>
                    <w:t>新建项目必须编制环境影响报告书，报环保部门审批，严格控制污染源的产生，坚持三同时制度</w:t>
                  </w:r>
                </w:p>
              </w:tc>
              <w:tc>
                <w:tcPr>
                  <w:tcW w:w="2180" w:type="pct"/>
                  <w:vAlign w:val="center"/>
                </w:tcPr>
                <w:p>
                  <w:pPr>
                    <w:widowControl/>
                    <w:rPr>
                      <w:color w:val="auto"/>
                      <w:kern w:val="0"/>
                      <w:szCs w:val="21"/>
                      <w:lang w:bidi="ar"/>
                    </w:rPr>
                  </w:pPr>
                  <w:r>
                    <w:rPr>
                      <w:rFonts w:hint="eastAsia"/>
                      <w:color w:val="auto"/>
                      <w:kern w:val="0"/>
                      <w:szCs w:val="21"/>
                      <w:lang w:bidi="ar"/>
                    </w:rPr>
                    <w:t>项目正在开展环境影响评价工作</w:t>
                  </w:r>
                </w:p>
              </w:tc>
              <w:tc>
                <w:tcPr>
                  <w:tcW w:w="303" w:type="pct"/>
                  <w:vAlign w:val="center"/>
                </w:tcPr>
                <w:p>
                  <w:pPr>
                    <w:widowControl/>
                    <w:jc w:val="center"/>
                    <w:rPr>
                      <w:color w:val="auto"/>
                      <w:kern w:val="0"/>
                      <w:szCs w:val="21"/>
                      <w:lang w:bidi="ar"/>
                    </w:rPr>
                  </w:pPr>
                  <w:r>
                    <w:rPr>
                      <w:rFonts w:hint="eastAsia"/>
                      <w:color w:val="auto"/>
                      <w:kern w:val="0"/>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517" w:type="pct"/>
                  <w:gridSpan w:val="2"/>
                  <w:vAlign w:val="center"/>
                </w:tcPr>
                <w:p>
                  <w:pPr>
                    <w:widowControl/>
                    <w:rPr>
                      <w:color w:val="auto"/>
                      <w:kern w:val="0"/>
                      <w:szCs w:val="21"/>
                      <w:lang w:bidi="ar"/>
                    </w:rPr>
                  </w:pPr>
                  <w:r>
                    <w:rPr>
                      <w:rFonts w:hint="eastAsia" w:ascii="宋体" w:hAnsi="宋体" w:cs="宋体"/>
                      <w:color w:val="auto"/>
                      <w:kern w:val="0"/>
                      <w:szCs w:val="21"/>
                      <w:lang w:bidi="ar"/>
                    </w:rPr>
                    <w:t>合理布局工业，按照循环经济理念，提出入园企业清洁生产和废物排放综合控制要求，控制和消除污染源，有污染的企业必须达到国家的有关排放标准方可排放</w:t>
                  </w:r>
                </w:p>
              </w:tc>
              <w:tc>
                <w:tcPr>
                  <w:tcW w:w="2180" w:type="pct"/>
                  <w:vAlign w:val="center"/>
                </w:tcPr>
                <w:p>
                  <w:pPr>
                    <w:widowControl/>
                    <w:rPr>
                      <w:color w:val="auto"/>
                      <w:kern w:val="0"/>
                      <w:szCs w:val="21"/>
                      <w:lang w:bidi="ar"/>
                    </w:rPr>
                  </w:pPr>
                  <w:r>
                    <w:rPr>
                      <w:rFonts w:hint="eastAsia"/>
                      <w:color w:val="auto"/>
                      <w:kern w:val="0"/>
                      <w:szCs w:val="21"/>
                      <w:lang w:bidi="ar"/>
                    </w:rPr>
                    <w:t>项目产生的污染物经相应治理措施处理后可达标排放</w:t>
                  </w:r>
                </w:p>
              </w:tc>
              <w:tc>
                <w:tcPr>
                  <w:tcW w:w="303" w:type="pct"/>
                  <w:vAlign w:val="center"/>
                </w:tcPr>
                <w:p>
                  <w:pPr>
                    <w:widowControl/>
                    <w:jc w:val="center"/>
                    <w:rPr>
                      <w:color w:val="auto"/>
                      <w:kern w:val="0"/>
                      <w:szCs w:val="21"/>
                      <w:lang w:bidi="ar"/>
                    </w:rPr>
                  </w:pPr>
                  <w:r>
                    <w:rPr>
                      <w:rFonts w:hint="eastAsia"/>
                      <w:color w:val="auto"/>
                      <w:kern w:val="0"/>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517" w:type="pct"/>
                  <w:gridSpan w:val="2"/>
                  <w:vAlign w:val="center"/>
                </w:tcPr>
                <w:p>
                  <w:pPr>
                    <w:widowControl/>
                    <w:rPr>
                      <w:rFonts w:ascii="宋体" w:hAnsi="宋体" w:cs="宋体"/>
                      <w:color w:val="auto"/>
                      <w:kern w:val="0"/>
                      <w:szCs w:val="21"/>
                      <w:lang w:bidi="ar"/>
                    </w:rPr>
                  </w:pPr>
                  <w:r>
                    <w:rPr>
                      <w:rFonts w:hint="eastAsia" w:ascii="宋体" w:hAnsi="宋体" w:cs="宋体"/>
                      <w:color w:val="auto"/>
                      <w:kern w:val="0"/>
                      <w:szCs w:val="21"/>
                      <w:lang w:bidi="ar"/>
                    </w:rPr>
                    <w:t>排污许可证的发放程序应包括清洁生产审计，在排污申报登记基础上，重点排污企业和进行总量控制的企业要有清洁生产评价报告和实施清洁生产进展报告，没有进行清洁生产审计的企业可暂不发给排污许可证</w:t>
                  </w:r>
                </w:p>
              </w:tc>
              <w:tc>
                <w:tcPr>
                  <w:tcW w:w="2180" w:type="pct"/>
                  <w:vAlign w:val="center"/>
                </w:tcPr>
                <w:p>
                  <w:pPr>
                    <w:widowControl/>
                    <w:rPr>
                      <w:color w:val="auto"/>
                      <w:kern w:val="0"/>
                      <w:szCs w:val="21"/>
                      <w:lang w:bidi="ar"/>
                    </w:rPr>
                  </w:pPr>
                  <w:r>
                    <w:rPr>
                      <w:rFonts w:hint="eastAsia"/>
                      <w:color w:val="auto"/>
                      <w:szCs w:val="21"/>
                    </w:rPr>
                    <w:t>昆明红枫湖耐火材料有限公司于</w:t>
                  </w:r>
                  <w:r>
                    <w:rPr>
                      <w:rFonts w:hint="eastAsia"/>
                      <w:color w:val="auto"/>
                      <w:szCs w:val="21"/>
                      <w:highlight w:val="none"/>
                    </w:rPr>
                    <w:t>202</w:t>
                  </w:r>
                  <w:r>
                    <w:rPr>
                      <w:rFonts w:hint="eastAsia"/>
                      <w:color w:val="auto"/>
                      <w:szCs w:val="21"/>
                      <w:highlight w:val="none"/>
                      <w:lang w:val="en-US" w:eastAsia="zh-CN"/>
                    </w:rPr>
                    <w:t>3</w:t>
                  </w:r>
                  <w:r>
                    <w:rPr>
                      <w:rFonts w:hint="eastAsia"/>
                      <w:color w:val="auto"/>
                      <w:szCs w:val="21"/>
                      <w:highlight w:val="none"/>
                    </w:rPr>
                    <w:t>年</w:t>
                  </w:r>
                  <w:r>
                    <w:rPr>
                      <w:rFonts w:hint="eastAsia"/>
                      <w:color w:val="auto"/>
                      <w:szCs w:val="21"/>
                      <w:highlight w:val="none"/>
                      <w:lang w:val="en-US" w:eastAsia="zh-CN"/>
                    </w:rPr>
                    <w:t>3</w:t>
                  </w:r>
                  <w:r>
                    <w:rPr>
                      <w:rFonts w:hint="eastAsia"/>
                      <w:color w:val="auto"/>
                      <w:szCs w:val="21"/>
                      <w:highlight w:val="none"/>
                    </w:rPr>
                    <w:t>月01日</w:t>
                  </w:r>
                  <w:r>
                    <w:rPr>
                      <w:rFonts w:hint="eastAsia"/>
                      <w:color w:val="auto"/>
                      <w:szCs w:val="21"/>
                    </w:rPr>
                    <w:t>取得排污许可证，证书编号：915301256836581500001R</w:t>
                  </w:r>
                </w:p>
              </w:tc>
              <w:tc>
                <w:tcPr>
                  <w:tcW w:w="303" w:type="pct"/>
                  <w:vAlign w:val="center"/>
                </w:tcPr>
                <w:p>
                  <w:pPr>
                    <w:widowControl/>
                    <w:jc w:val="center"/>
                    <w:rPr>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517" w:type="pct"/>
                  <w:gridSpan w:val="2"/>
                  <w:vAlign w:val="center"/>
                </w:tcPr>
                <w:p>
                  <w:pPr>
                    <w:widowControl/>
                    <w:rPr>
                      <w:rFonts w:ascii="宋体" w:hAnsi="宋体" w:cs="宋体"/>
                      <w:color w:val="auto"/>
                      <w:kern w:val="0"/>
                      <w:szCs w:val="21"/>
                      <w:lang w:bidi="ar"/>
                    </w:rPr>
                  </w:pPr>
                  <w:r>
                    <w:rPr>
                      <w:rFonts w:hint="eastAsia" w:ascii="宋体" w:hAnsi="宋体" w:cs="宋体"/>
                      <w:color w:val="auto"/>
                      <w:kern w:val="0"/>
                      <w:szCs w:val="21"/>
                      <w:lang w:bidi="ar"/>
                    </w:rPr>
                    <w:t>对浪费资源和严重污染环境的落后生产技术、工艺、设备和产品实行限期淘汰制度，建立健全切实有效的环境监测管理系统</w:t>
                  </w:r>
                </w:p>
              </w:tc>
              <w:tc>
                <w:tcPr>
                  <w:tcW w:w="2180" w:type="pct"/>
                  <w:vAlign w:val="center"/>
                </w:tcPr>
                <w:p>
                  <w:pPr>
                    <w:widowControl/>
                    <w:rPr>
                      <w:color w:val="auto"/>
                      <w:kern w:val="0"/>
                      <w:szCs w:val="21"/>
                      <w:lang w:bidi="ar"/>
                    </w:rPr>
                  </w:pPr>
                  <w:r>
                    <w:rPr>
                      <w:rFonts w:hint="eastAsia"/>
                      <w:color w:val="auto"/>
                      <w:kern w:val="0"/>
                      <w:szCs w:val="21"/>
                      <w:lang w:bidi="ar"/>
                    </w:rPr>
                    <w:t>本项目采用先进的生产工艺和生产设备，并按照相关要求制定了完善的运营期监测计划</w:t>
                  </w:r>
                </w:p>
              </w:tc>
              <w:tc>
                <w:tcPr>
                  <w:tcW w:w="303" w:type="pct"/>
                  <w:vAlign w:val="center"/>
                </w:tcPr>
                <w:p>
                  <w:pPr>
                    <w:widowControl/>
                    <w:jc w:val="center"/>
                    <w:rPr>
                      <w:color w:val="auto"/>
                      <w:kern w:val="0"/>
                      <w:szCs w:val="21"/>
                      <w:lang w:bidi="ar"/>
                    </w:rPr>
                  </w:pPr>
                  <w:r>
                    <w:rPr>
                      <w:rFonts w:hint="eastAsia"/>
                      <w:color w:val="auto"/>
                      <w:kern w:val="0"/>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517" w:type="pct"/>
                  <w:gridSpan w:val="2"/>
                  <w:vAlign w:val="center"/>
                </w:tcPr>
                <w:p>
                  <w:pPr>
                    <w:widowControl/>
                    <w:rPr>
                      <w:rFonts w:ascii="宋体" w:hAnsi="宋体" w:cs="宋体"/>
                      <w:color w:val="auto"/>
                      <w:kern w:val="0"/>
                      <w:szCs w:val="21"/>
                      <w:lang w:bidi="ar"/>
                    </w:rPr>
                  </w:pPr>
                  <w:r>
                    <w:rPr>
                      <w:rFonts w:hint="eastAsia" w:ascii="宋体" w:hAnsi="宋体" w:cs="宋体"/>
                      <w:color w:val="auto"/>
                      <w:kern w:val="0"/>
                      <w:szCs w:val="21"/>
                      <w:lang w:bidi="ar"/>
                    </w:rPr>
                    <w:t>提倡节能、节水、废物再生利用等环境与资源保护措施，严格保护水源，保护地下水，完善园区生态绿化系统，增强园区的自净能力，在河道两侧设生态绿带，保护城市水体，建设沿南盘江的污水截流设施，杜绝工业和生活污水直排入南盘江</w:t>
                  </w:r>
                </w:p>
              </w:tc>
              <w:tc>
                <w:tcPr>
                  <w:tcW w:w="2180" w:type="pct"/>
                  <w:vAlign w:val="center"/>
                </w:tcPr>
                <w:p>
                  <w:pPr>
                    <w:widowControl/>
                    <w:rPr>
                      <w:color w:val="auto"/>
                      <w:szCs w:val="21"/>
                    </w:rPr>
                  </w:pPr>
                  <w:r>
                    <w:rPr>
                      <w:rFonts w:hint="eastAsia"/>
                      <w:color w:val="auto"/>
                      <w:szCs w:val="21"/>
                    </w:rPr>
                    <w:t>初期雨水收集沉淀后回用于生产，不外排；实验室废水经中和处理后排入化粪池与生活污水一并处理后再排入园区污水管网，最终进入园区污水处理厂处理；生产过程中原料搅拌用水随砖胚进入窑体全部焙烧蒸发，脱硫废水经再生池添加石灰发生置换反应并过滤沉淀后返回</w:t>
                  </w:r>
                  <w:r>
                    <w:rPr>
                      <w:rFonts w:hint="eastAsia"/>
                      <w:color w:val="auto"/>
                      <w:szCs w:val="21"/>
                      <w:lang w:eastAsia="zh-CN"/>
                    </w:rPr>
                    <w:t>石灰石膏法脱硫塔</w:t>
                  </w:r>
                  <w:r>
                    <w:rPr>
                      <w:rFonts w:hint="eastAsia"/>
                      <w:color w:val="auto"/>
                      <w:szCs w:val="21"/>
                    </w:rPr>
                    <w:t>配套水池循环使用，项目无废水直排</w:t>
                  </w:r>
                </w:p>
              </w:tc>
              <w:tc>
                <w:tcPr>
                  <w:tcW w:w="303" w:type="pct"/>
                  <w:vAlign w:val="center"/>
                </w:tcPr>
                <w:p>
                  <w:pPr>
                    <w:widowControl/>
                    <w:jc w:val="center"/>
                    <w:rPr>
                      <w:color w:val="auto"/>
                      <w:kern w:val="0"/>
                      <w:szCs w:val="21"/>
                      <w:lang w:bidi="ar"/>
                    </w:rPr>
                  </w:pPr>
                  <w:r>
                    <w:rPr>
                      <w:rFonts w:hint="eastAsia"/>
                      <w:color w:val="auto"/>
                      <w:kern w:val="0"/>
                      <w:szCs w:val="21"/>
                      <w:lang w:bidi="ar"/>
                    </w:rPr>
                    <w:t>符合</w:t>
                  </w:r>
                </w:p>
              </w:tc>
            </w:tr>
          </w:tbl>
          <w:p>
            <w:pPr>
              <w:widowControl/>
              <w:ind w:firstLine="420" w:firstLineChars="200"/>
              <w:jc w:val="left"/>
              <w:rPr>
                <w:color w:val="auto"/>
                <w:kern w:val="0"/>
                <w:szCs w:val="21"/>
                <w:lang w:bidi="ar"/>
              </w:rPr>
            </w:pPr>
          </w:p>
          <w:p>
            <w:pPr>
              <w:widowControl/>
              <w:spacing w:line="360" w:lineRule="auto"/>
              <w:ind w:firstLine="480" w:firstLineChars="200"/>
              <w:jc w:val="left"/>
              <w:rPr>
                <w:b/>
                <w:color w:val="auto"/>
                <w:sz w:val="24"/>
              </w:rPr>
            </w:pPr>
            <w:r>
              <w:rPr>
                <w:rFonts w:hint="eastAsia"/>
                <w:color w:val="auto"/>
                <w:kern w:val="0"/>
                <w:sz w:val="24"/>
                <w:lang w:bidi="ar"/>
              </w:rPr>
              <w:t>综上所述，项目符合《宜良工业园区总体规划（</w:t>
            </w:r>
            <w:r>
              <w:rPr>
                <w:color w:val="auto"/>
                <w:kern w:val="0"/>
                <w:sz w:val="24"/>
                <w:lang w:bidi="ar"/>
              </w:rPr>
              <w:t>2016-2030</w:t>
            </w:r>
            <w:r>
              <w:rPr>
                <w:rFonts w:hint="eastAsia"/>
                <w:color w:val="auto"/>
                <w:kern w:val="0"/>
                <w:sz w:val="24"/>
                <w:lang w:bidi="ar"/>
              </w:rPr>
              <w:t>）》相关管理要求。</w:t>
            </w:r>
          </w:p>
          <w:p>
            <w:pPr>
              <w:autoSpaceDE w:val="0"/>
              <w:autoSpaceDN w:val="0"/>
              <w:adjustRightInd w:val="0"/>
              <w:snapToGrid w:val="0"/>
              <w:spacing w:line="360" w:lineRule="auto"/>
              <w:rPr>
                <w:b/>
                <w:color w:val="auto"/>
                <w:sz w:val="24"/>
              </w:rPr>
            </w:pPr>
            <w:r>
              <w:rPr>
                <w:rFonts w:hint="eastAsia"/>
                <w:b/>
                <w:color w:val="auto"/>
                <w:sz w:val="24"/>
              </w:rPr>
              <w:t>1.2与宜良工业园区规划环评相符性</w:t>
            </w:r>
          </w:p>
          <w:p>
            <w:pPr>
              <w:widowControl/>
              <w:spacing w:line="360" w:lineRule="auto"/>
              <w:ind w:firstLine="480" w:firstLineChars="200"/>
              <w:rPr>
                <w:color w:val="auto"/>
                <w:kern w:val="0"/>
                <w:sz w:val="24"/>
                <w:lang w:bidi="ar"/>
              </w:rPr>
            </w:pPr>
            <w:r>
              <w:rPr>
                <w:rFonts w:hint="eastAsia"/>
                <w:color w:val="auto"/>
                <w:kern w:val="0"/>
                <w:sz w:val="24"/>
                <w:lang w:bidi="ar"/>
              </w:rPr>
              <w:t>项目与</w:t>
            </w:r>
            <w:r>
              <w:rPr>
                <w:color w:val="auto"/>
                <w:kern w:val="0"/>
                <w:sz w:val="24"/>
                <w:lang w:bidi="ar"/>
              </w:rPr>
              <w:t>《宜良工业园区总体规划（2016-2030）环境影响报告书》（于2018年12月17日通过云南省生态环境厅审查，云环[2018]791号）</w:t>
            </w:r>
            <w:r>
              <w:rPr>
                <w:rFonts w:hint="eastAsia"/>
                <w:color w:val="auto"/>
                <w:kern w:val="0"/>
                <w:sz w:val="24"/>
                <w:lang w:bidi="ar"/>
              </w:rPr>
              <w:t>相符性分析见表1-</w:t>
            </w:r>
            <w:r>
              <w:rPr>
                <w:rFonts w:hint="eastAsia"/>
                <w:color w:val="auto"/>
                <w:kern w:val="0"/>
                <w:sz w:val="24"/>
                <w:lang w:val="en-US" w:eastAsia="zh-CN" w:bidi="ar"/>
              </w:rPr>
              <w:t>3</w:t>
            </w:r>
            <w:r>
              <w:rPr>
                <w:rFonts w:hint="eastAsia"/>
                <w:color w:val="auto"/>
                <w:kern w:val="0"/>
                <w:sz w:val="24"/>
                <w:lang w:bidi="ar"/>
              </w:rPr>
              <w:t>。</w:t>
            </w:r>
          </w:p>
          <w:p>
            <w:pPr>
              <w:widowControl/>
              <w:jc w:val="center"/>
              <w:rPr>
                <w:rFonts w:ascii="宋体" w:hAnsi="宋体" w:cs="宋体"/>
                <w:b/>
                <w:bCs/>
                <w:color w:val="auto"/>
                <w:kern w:val="0"/>
                <w:szCs w:val="21"/>
                <w:lang w:bidi="ar"/>
              </w:rPr>
            </w:pPr>
            <w:r>
              <w:rPr>
                <w:rFonts w:hint="eastAsia" w:ascii="宋体" w:hAnsi="宋体" w:cs="宋体"/>
                <w:b/>
                <w:bCs/>
                <w:color w:val="auto"/>
                <w:kern w:val="0"/>
                <w:szCs w:val="21"/>
                <w:lang w:bidi="ar"/>
              </w:rPr>
              <w:t>表1-</w:t>
            </w:r>
            <w:r>
              <w:rPr>
                <w:rFonts w:hint="eastAsia" w:ascii="宋体" w:hAnsi="宋体" w:cs="宋体"/>
                <w:b/>
                <w:bCs/>
                <w:color w:val="auto"/>
                <w:kern w:val="0"/>
                <w:szCs w:val="21"/>
                <w:lang w:val="en-US" w:eastAsia="zh-CN" w:bidi="ar"/>
              </w:rPr>
              <w:t>3</w:t>
            </w:r>
            <w:r>
              <w:rPr>
                <w:rFonts w:hint="eastAsia" w:ascii="宋体" w:hAnsi="宋体" w:cs="宋体"/>
                <w:b/>
                <w:bCs/>
                <w:color w:val="auto"/>
                <w:kern w:val="0"/>
                <w:szCs w:val="21"/>
                <w:lang w:bidi="ar"/>
              </w:rPr>
              <w:t xml:space="preserve">  项目与工业园区规划环评相符性</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3"/>
              <w:gridCol w:w="2940"/>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7" w:type="pct"/>
                  <w:vAlign w:val="center"/>
                </w:tcPr>
                <w:p>
                  <w:pPr>
                    <w:widowControl/>
                    <w:jc w:val="center"/>
                    <w:rPr>
                      <w:color w:val="auto"/>
                      <w:kern w:val="0"/>
                      <w:szCs w:val="21"/>
                      <w:lang w:bidi="ar"/>
                    </w:rPr>
                  </w:pPr>
                  <w:r>
                    <w:rPr>
                      <w:color w:val="auto"/>
                      <w:kern w:val="0"/>
                      <w:szCs w:val="21"/>
                      <w:lang w:bidi="ar"/>
                    </w:rPr>
                    <w:t>宜良工业园区</w:t>
                  </w:r>
                  <w:r>
                    <w:rPr>
                      <w:rFonts w:hint="eastAsia"/>
                      <w:color w:val="auto"/>
                      <w:kern w:val="0"/>
                      <w:szCs w:val="21"/>
                      <w:lang w:bidi="ar"/>
                    </w:rPr>
                    <w:t>规划环评</w:t>
                  </w:r>
                </w:p>
              </w:tc>
              <w:tc>
                <w:tcPr>
                  <w:tcW w:w="2088" w:type="pct"/>
                  <w:vAlign w:val="center"/>
                </w:tcPr>
                <w:p>
                  <w:pPr>
                    <w:widowControl/>
                    <w:jc w:val="center"/>
                    <w:rPr>
                      <w:color w:val="auto"/>
                      <w:kern w:val="0"/>
                      <w:szCs w:val="21"/>
                      <w:lang w:bidi="ar"/>
                    </w:rPr>
                  </w:pPr>
                  <w:r>
                    <w:rPr>
                      <w:color w:val="auto"/>
                      <w:kern w:val="0"/>
                      <w:szCs w:val="21"/>
                      <w:lang w:bidi="ar"/>
                    </w:rPr>
                    <w:t>项目情况</w:t>
                  </w:r>
                </w:p>
              </w:tc>
              <w:tc>
                <w:tcPr>
                  <w:tcW w:w="496" w:type="pct"/>
                  <w:vAlign w:val="center"/>
                </w:tcPr>
                <w:p>
                  <w:pPr>
                    <w:widowControl/>
                    <w:jc w:val="center"/>
                    <w:rPr>
                      <w:color w:val="auto"/>
                      <w:kern w:val="0"/>
                      <w:szCs w:val="21"/>
                      <w:lang w:bidi="ar"/>
                    </w:rPr>
                  </w:pPr>
                  <w:r>
                    <w:rPr>
                      <w:color w:val="auto"/>
                      <w:kern w:val="0"/>
                      <w:szCs w:val="21"/>
                      <w:lang w:bidi="ar"/>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7" w:type="pct"/>
                  <w:vAlign w:val="center"/>
                </w:tcPr>
                <w:p>
                  <w:pPr>
                    <w:widowControl/>
                    <w:rPr>
                      <w:color w:val="auto"/>
                      <w:kern w:val="0"/>
                      <w:szCs w:val="21"/>
                      <w:lang w:bidi="ar"/>
                    </w:rPr>
                  </w:pPr>
                  <w:r>
                    <w:rPr>
                      <w:color w:val="auto"/>
                      <w:kern w:val="0"/>
                      <w:szCs w:val="21"/>
                      <w:lang w:bidi="ar"/>
                    </w:rPr>
                    <w:t>对符合宜良工业园区发展方向，但目前尚未预计到的项目，要求严格按照国家环境保护总局颁布的《建设项目环境保护管理名录》进行环境影响评价</w:t>
                  </w:r>
                </w:p>
              </w:tc>
              <w:tc>
                <w:tcPr>
                  <w:tcW w:w="2088" w:type="pct"/>
                  <w:vAlign w:val="center"/>
                </w:tcPr>
                <w:p>
                  <w:pPr>
                    <w:widowControl/>
                    <w:jc w:val="center"/>
                    <w:rPr>
                      <w:color w:val="auto"/>
                      <w:kern w:val="0"/>
                      <w:szCs w:val="21"/>
                      <w:lang w:bidi="ar"/>
                    </w:rPr>
                  </w:pPr>
                  <w:r>
                    <w:rPr>
                      <w:rFonts w:hint="eastAsia"/>
                      <w:color w:val="auto"/>
                      <w:kern w:val="0"/>
                      <w:szCs w:val="21"/>
                      <w:lang w:bidi="ar"/>
                    </w:rPr>
                    <w:t>本项目正在开展环境影响评价工作</w:t>
                  </w:r>
                </w:p>
              </w:tc>
              <w:tc>
                <w:tcPr>
                  <w:tcW w:w="496" w:type="pct"/>
                  <w:vAlign w:val="center"/>
                </w:tcPr>
                <w:p>
                  <w:pPr>
                    <w:widowControl/>
                    <w:jc w:val="center"/>
                    <w:rPr>
                      <w:color w:val="auto"/>
                      <w:kern w:val="0"/>
                      <w:szCs w:val="21"/>
                      <w:lang w:bidi="ar"/>
                    </w:rPr>
                  </w:pPr>
                  <w:r>
                    <w:rPr>
                      <w:rFonts w:hint="eastAsia"/>
                      <w:color w:val="auto"/>
                      <w:kern w:val="0"/>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7" w:type="pct"/>
                  <w:vAlign w:val="center"/>
                </w:tcPr>
                <w:p>
                  <w:pPr>
                    <w:widowControl/>
                    <w:rPr>
                      <w:color w:val="auto"/>
                      <w:kern w:val="0"/>
                      <w:szCs w:val="21"/>
                      <w:lang w:bidi="ar"/>
                    </w:rPr>
                  </w:pPr>
                  <w:r>
                    <w:rPr>
                      <w:color w:val="auto"/>
                      <w:kern w:val="0"/>
                      <w:szCs w:val="21"/>
                      <w:lang w:bidi="ar"/>
                    </w:rPr>
                    <w:t>所有项目均需测算废水量和水污染物排放量；对于通过工艺流程分析，确</w:t>
                  </w:r>
                  <w:r>
                    <w:rPr>
                      <w:rFonts w:hint="eastAsia"/>
                      <w:color w:val="auto"/>
                      <w:kern w:val="0"/>
                      <w:szCs w:val="21"/>
                      <w:lang w:bidi="ar"/>
                    </w:rPr>
                    <w:t>认生产废水中没有重金属、有毒有害物的项目，重点在节水和水的重复利用分析。对于工艺废水中可能含有重金属或有毒有害物的项目，重点在于分析节水、水的重复利用和废水中有害物质无害化的措施，对不能达到“零”排放和不能实现完全无害化的项目，应予于否定</w:t>
                  </w:r>
                </w:p>
              </w:tc>
              <w:tc>
                <w:tcPr>
                  <w:tcW w:w="2088" w:type="pct"/>
                  <w:vAlign w:val="center"/>
                </w:tcPr>
                <w:p>
                  <w:pPr>
                    <w:pStyle w:val="47"/>
                    <w:adjustRightInd w:val="0"/>
                    <w:snapToGrid w:val="0"/>
                    <w:spacing w:line="240" w:lineRule="auto"/>
                    <w:ind w:firstLine="0"/>
                    <w:outlineLvl w:val="2"/>
                    <w:rPr>
                      <w:color w:val="auto"/>
                      <w:kern w:val="0"/>
                      <w:sz w:val="21"/>
                      <w:szCs w:val="21"/>
                      <w:lang w:bidi="ar"/>
                    </w:rPr>
                  </w:pPr>
                  <w:r>
                    <w:rPr>
                      <w:rFonts w:hint="eastAsia"/>
                      <w:color w:val="auto"/>
                      <w:sz w:val="21"/>
                      <w:szCs w:val="21"/>
                    </w:rPr>
                    <w:t>初期雨水收集沉淀后回用于生产，不外排；实验室废水经中和处理后排入化粪池与生活污水一并处理后再排入园区污水管网，最终进入园区污水处理厂处理；生产过程中原料搅拌用水随砖胚进入窑体全部焙烧蒸发，脱硫废水经再生池添加石灰发生置换反应并过滤沉淀后返回</w:t>
                  </w:r>
                  <w:r>
                    <w:rPr>
                      <w:rFonts w:hint="eastAsia"/>
                      <w:color w:val="auto"/>
                      <w:sz w:val="21"/>
                      <w:szCs w:val="21"/>
                      <w:lang w:eastAsia="zh-CN"/>
                    </w:rPr>
                    <w:t>石灰石膏法脱硫塔</w:t>
                  </w:r>
                  <w:r>
                    <w:rPr>
                      <w:rFonts w:hint="eastAsia"/>
                      <w:color w:val="auto"/>
                      <w:sz w:val="21"/>
                      <w:szCs w:val="21"/>
                    </w:rPr>
                    <w:t>配套水池循环使用</w:t>
                  </w:r>
                </w:p>
              </w:tc>
              <w:tc>
                <w:tcPr>
                  <w:tcW w:w="496" w:type="pct"/>
                  <w:vAlign w:val="center"/>
                </w:tcPr>
                <w:p>
                  <w:pPr>
                    <w:widowControl/>
                    <w:jc w:val="center"/>
                    <w:rPr>
                      <w:color w:val="auto"/>
                      <w:kern w:val="0"/>
                      <w:szCs w:val="21"/>
                      <w:lang w:bidi="ar"/>
                    </w:rPr>
                  </w:pPr>
                  <w:r>
                    <w:rPr>
                      <w:rFonts w:hint="eastAsia"/>
                      <w:color w:val="auto"/>
                      <w:kern w:val="0"/>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7" w:type="pct"/>
                  <w:vAlign w:val="center"/>
                </w:tcPr>
                <w:p>
                  <w:pPr>
                    <w:widowControl/>
                    <w:rPr>
                      <w:color w:val="auto"/>
                      <w:kern w:val="0"/>
                      <w:szCs w:val="21"/>
                      <w:lang w:bidi="ar"/>
                    </w:rPr>
                  </w:pPr>
                  <w:r>
                    <w:rPr>
                      <w:rFonts w:hint="eastAsia"/>
                      <w:color w:val="auto"/>
                      <w:kern w:val="0"/>
                      <w:szCs w:val="21"/>
                      <w:lang w:bidi="ar"/>
                    </w:rPr>
                    <w:t>所有项目都需要按一般工业废物和危险废物测算总量，重点在减量化和资源化的分析，其次才是固废无害化处置及企业内部固体废物管理和资源化的要求，不能实现工业固废无害化处置的项目应予于否定</w:t>
                  </w:r>
                </w:p>
              </w:tc>
              <w:tc>
                <w:tcPr>
                  <w:tcW w:w="2088" w:type="pct"/>
                  <w:vAlign w:val="center"/>
                </w:tcPr>
                <w:p>
                  <w:pPr>
                    <w:widowControl/>
                    <w:rPr>
                      <w:color w:val="auto"/>
                      <w:kern w:val="0"/>
                      <w:szCs w:val="21"/>
                      <w:lang w:bidi="ar"/>
                    </w:rPr>
                  </w:pPr>
                  <w:r>
                    <w:rPr>
                      <w:rFonts w:hint="eastAsia"/>
                      <w:color w:val="auto"/>
                      <w:kern w:val="0"/>
                      <w:szCs w:val="21"/>
                      <w:lang w:bidi="ar"/>
                    </w:rPr>
                    <w:t>本项目一般固废可综合利用的收集外售，不可利用的委托环卫部门清运；危险固废暂存于危废间内，定期委托有危废处置资质的单位清运处置</w:t>
                  </w:r>
                </w:p>
              </w:tc>
              <w:tc>
                <w:tcPr>
                  <w:tcW w:w="496" w:type="pct"/>
                  <w:vAlign w:val="center"/>
                </w:tcPr>
                <w:p>
                  <w:pPr>
                    <w:widowControl/>
                    <w:jc w:val="center"/>
                    <w:rPr>
                      <w:color w:val="auto"/>
                      <w:kern w:val="0"/>
                      <w:szCs w:val="21"/>
                      <w:lang w:bidi="ar"/>
                    </w:rPr>
                  </w:pPr>
                  <w:r>
                    <w:rPr>
                      <w:rFonts w:hint="eastAsia"/>
                      <w:color w:val="auto"/>
                      <w:kern w:val="0"/>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7" w:type="pct"/>
                  <w:vAlign w:val="center"/>
                </w:tcPr>
                <w:p>
                  <w:pPr>
                    <w:widowControl/>
                    <w:rPr>
                      <w:color w:val="auto"/>
                      <w:kern w:val="0"/>
                      <w:szCs w:val="21"/>
                      <w:lang w:bidi="ar"/>
                    </w:rPr>
                  </w:pPr>
                  <w:r>
                    <w:rPr>
                      <w:rFonts w:hint="eastAsia"/>
                      <w:color w:val="auto"/>
                      <w:kern w:val="0"/>
                      <w:szCs w:val="21"/>
                      <w:lang w:bidi="ar"/>
                    </w:rPr>
                    <w:t>对于生产工艺上可能为高耗能的项目（包括电、气、油），应对能源的来源保障和此类能源使用中可能产生的环境问题进行环境影响评价</w:t>
                  </w:r>
                </w:p>
              </w:tc>
              <w:tc>
                <w:tcPr>
                  <w:tcW w:w="2088" w:type="pct"/>
                  <w:vAlign w:val="center"/>
                </w:tcPr>
                <w:p>
                  <w:pPr>
                    <w:widowControl/>
                    <w:rPr>
                      <w:color w:val="auto"/>
                      <w:kern w:val="0"/>
                      <w:szCs w:val="21"/>
                      <w:lang w:bidi="ar"/>
                    </w:rPr>
                  </w:pPr>
                  <w:r>
                    <w:rPr>
                      <w:rFonts w:hint="eastAsia"/>
                      <w:color w:val="auto"/>
                      <w:kern w:val="0"/>
                      <w:szCs w:val="21"/>
                      <w:lang w:bidi="ar"/>
                    </w:rPr>
                    <w:t>本项目使用天然气由宜良华润燃气有限公司供给，已签订供给协议</w:t>
                  </w:r>
                </w:p>
              </w:tc>
              <w:tc>
                <w:tcPr>
                  <w:tcW w:w="496" w:type="pct"/>
                  <w:vAlign w:val="center"/>
                </w:tcPr>
                <w:p>
                  <w:pPr>
                    <w:widowControl/>
                    <w:jc w:val="center"/>
                    <w:rPr>
                      <w:color w:val="auto"/>
                      <w:kern w:val="0"/>
                      <w:szCs w:val="21"/>
                      <w:lang w:bidi="ar"/>
                    </w:rPr>
                  </w:pPr>
                  <w:r>
                    <w:rPr>
                      <w:rFonts w:hint="eastAsia"/>
                      <w:color w:val="auto"/>
                      <w:kern w:val="0"/>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7" w:type="pct"/>
                  <w:vAlign w:val="center"/>
                </w:tcPr>
                <w:p>
                  <w:pPr>
                    <w:widowControl/>
                    <w:rPr>
                      <w:rFonts w:ascii="宋体" w:hAnsi="宋体" w:cs="宋体"/>
                      <w:color w:val="auto"/>
                      <w:kern w:val="0"/>
                      <w:szCs w:val="21"/>
                      <w:lang w:bidi="ar"/>
                    </w:rPr>
                  </w:pPr>
                  <w:r>
                    <w:rPr>
                      <w:rFonts w:hint="eastAsia"/>
                      <w:color w:val="auto"/>
                      <w:kern w:val="0"/>
                      <w:szCs w:val="21"/>
                      <w:lang w:bidi="ar"/>
                    </w:rPr>
                    <w:t>对于可能有特殊污染物排放、但又属于在工业园区产业链中有重要作用的项目，需要对特殊污染物的属性、在环境中的迁移转化、环境影响进行评价，并提出环境技术经济合理、可行的措施</w:t>
                  </w:r>
                </w:p>
              </w:tc>
              <w:tc>
                <w:tcPr>
                  <w:tcW w:w="2088" w:type="pct"/>
                  <w:vAlign w:val="center"/>
                </w:tcPr>
                <w:p>
                  <w:pPr>
                    <w:widowControl/>
                    <w:jc w:val="center"/>
                    <w:rPr>
                      <w:color w:val="auto"/>
                      <w:kern w:val="0"/>
                      <w:szCs w:val="21"/>
                      <w:lang w:bidi="ar"/>
                    </w:rPr>
                  </w:pPr>
                  <w:r>
                    <w:rPr>
                      <w:rFonts w:hint="eastAsia"/>
                      <w:color w:val="auto"/>
                      <w:kern w:val="0"/>
                      <w:szCs w:val="21"/>
                      <w:lang w:bidi="ar"/>
                    </w:rPr>
                    <w:t>本项目不涉及特殊污染物排放</w:t>
                  </w:r>
                </w:p>
              </w:tc>
              <w:tc>
                <w:tcPr>
                  <w:tcW w:w="496" w:type="pct"/>
                  <w:vAlign w:val="center"/>
                </w:tcPr>
                <w:p>
                  <w:pPr>
                    <w:widowControl/>
                    <w:jc w:val="center"/>
                    <w:rPr>
                      <w:color w:val="auto"/>
                      <w:kern w:val="0"/>
                      <w:szCs w:val="21"/>
                      <w:lang w:bidi="ar"/>
                    </w:rPr>
                  </w:pPr>
                  <w:r>
                    <w:rPr>
                      <w:rFonts w:hint="eastAsia"/>
                      <w:color w:val="auto"/>
                      <w:kern w:val="0"/>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17" w:type="pct"/>
                  <w:vAlign w:val="center"/>
                </w:tcPr>
                <w:p>
                  <w:pPr>
                    <w:widowControl/>
                    <w:rPr>
                      <w:rFonts w:ascii="宋体" w:hAnsi="宋体" w:cs="宋体"/>
                      <w:color w:val="auto"/>
                      <w:kern w:val="0"/>
                      <w:szCs w:val="21"/>
                      <w:lang w:bidi="ar"/>
                    </w:rPr>
                  </w:pPr>
                  <w:r>
                    <w:rPr>
                      <w:rFonts w:hint="eastAsia"/>
                      <w:color w:val="auto"/>
                      <w:kern w:val="0"/>
                      <w:szCs w:val="21"/>
                      <w:lang w:bidi="ar"/>
                    </w:rPr>
                    <w:t>对于可能有大宗有毒有害气体、危险化学品储存的项目，需要进行环境风险评价</w:t>
                  </w:r>
                </w:p>
              </w:tc>
              <w:tc>
                <w:tcPr>
                  <w:tcW w:w="2088" w:type="pct"/>
                  <w:vAlign w:val="center"/>
                </w:tcPr>
                <w:p>
                  <w:pPr>
                    <w:widowControl/>
                    <w:rPr>
                      <w:color w:val="auto"/>
                      <w:kern w:val="0"/>
                      <w:szCs w:val="21"/>
                      <w:lang w:bidi="ar"/>
                    </w:rPr>
                  </w:pPr>
                  <w:r>
                    <w:rPr>
                      <w:rFonts w:hint="eastAsia"/>
                      <w:color w:val="auto"/>
                      <w:kern w:val="0"/>
                      <w:szCs w:val="21"/>
                      <w:lang w:bidi="ar"/>
                    </w:rPr>
                    <w:t>本项目不涉及大宗有毒有害气体、危险化学品储存</w:t>
                  </w:r>
                </w:p>
              </w:tc>
              <w:tc>
                <w:tcPr>
                  <w:tcW w:w="496" w:type="pct"/>
                  <w:vAlign w:val="center"/>
                </w:tcPr>
                <w:p>
                  <w:pPr>
                    <w:widowControl/>
                    <w:jc w:val="center"/>
                    <w:rPr>
                      <w:color w:val="auto"/>
                      <w:kern w:val="0"/>
                      <w:szCs w:val="21"/>
                      <w:lang w:bidi="ar"/>
                    </w:rPr>
                  </w:pPr>
                  <w:r>
                    <w:rPr>
                      <w:rFonts w:hint="eastAsia"/>
                      <w:color w:val="auto"/>
                      <w:kern w:val="0"/>
                      <w:szCs w:val="21"/>
                      <w:lang w:bidi="ar"/>
                    </w:rPr>
                    <w:t>符合</w:t>
                  </w:r>
                </w:p>
              </w:tc>
            </w:tr>
          </w:tbl>
          <w:p>
            <w:pPr>
              <w:widowControl/>
              <w:ind w:firstLine="420" w:firstLineChars="200"/>
              <w:jc w:val="left"/>
              <w:rPr>
                <w:color w:val="auto"/>
                <w:kern w:val="0"/>
                <w:lang w:bidi="ar"/>
              </w:rPr>
            </w:pPr>
          </w:p>
          <w:p>
            <w:pPr>
              <w:widowControl/>
              <w:spacing w:line="360" w:lineRule="auto"/>
              <w:ind w:firstLine="480" w:firstLineChars="200"/>
              <w:jc w:val="left"/>
              <w:rPr>
                <w:color w:val="auto"/>
                <w:kern w:val="0"/>
                <w:sz w:val="24"/>
                <w:lang w:bidi="ar"/>
              </w:rPr>
            </w:pPr>
            <w:r>
              <w:rPr>
                <w:rFonts w:hint="eastAsia"/>
                <w:color w:val="auto"/>
                <w:kern w:val="0"/>
                <w:sz w:val="24"/>
                <w:lang w:bidi="ar"/>
              </w:rPr>
              <w:t xml:space="preserve"> 综上所述，本项目符合</w:t>
            </w:r>
            <w:r>
              <w:rPr>
                <w:color w:val="auto"/>
                <w:kern w:val="0"/>
                <w:sz w:val="24"/>
                <w:lang w:bidi="ar"/>
              </w:rPr>
              <w:t>《宜良工业园区总体规划（2016-2030）环境影响报告书》</w:t>
            </w:r>
            <w:r>
              <w:rPr>
                <w:rFonts w:hint="eastAsia"/>
                <w:color w:val="auto"/>
                <w:kern w:val="0"/>
                <w:sz w:val="24"/>
                <w:lang w:bidi="ar"/>
              </w:rPr>
              <w:t>相关要求。</w:t>
            </w:r>
          </w:p>
          <w:p>
            <w:pPr>
              <w:autoSpaceDE w:val="0"/>
              <w:autoSpaceDN w:val="0"/>
              <w:adjustRightInd w:val="0"/>
              <w:snapToGrid w:val="0"/>
              <w:spacing w:line="360" w:lineRule="auto"/>
              <w:rPr>
                <w:b/>
                <w:color w:val="auto"/>
                <w:kern w:val="0"/>
                <w:sz w:val="24"/>
              </w:rPr>
            </w:pPr>
            <w:r>
              <w:rPr>
                <w:rFonts w:hint="eastAsia"/>
                <w:b/>
                <w:color w:val="auto"/>
                <w:kern w:val="0"/>
                <w:sz w:val="24"/>
              </w:rPr>
              <w:t>1.3与宜良工业园区规划环评审查意见符合性</w:t>
            </w:r>
          </w:p>
          <w:p>
            <w:pPr>
              <w:widowControl/>
              <w:spacing w:line="360" w:lineRule="auto"/>
              <w:ind w:firstLine="480" w:firstLineChars="200"/>
              <w:jc w:val="left"/>
              <w:rPr>
                <w:color w:val="auto"/>
                <w:sz w:val="24"/>
              </w:rPr>
            </w:pPr>
            <w:r>
              <w:rPr>
                <w:rFonts w:hint="eastAsia"/>
                <w:color w:val="auto"/>
                <w:sz w:val="24"/>
              </w:rPr>
              <w:t>本项目与《宜良工业园区总体规划（2016-2030）环境影响报告书》审查意见符合性分析见表1-</w:t>
            </w:r>
            <w:r>
              <w:rPr>
                <w:rFonts w:hint="eastAsia"/>
                <w:color w:val="auto"/>
                <w:sz w:val="24"/>
                <w:lang w:val="en-US" w:eastAsia="zh-CN"/>
              </w:rPr>
              <w:t>4</w:t>
            </w:r>
            <w:r>
              <w:rPr>
                <w:rFonts w:hint="eastAsia"/>
                <w:color w:val="auto"/>
                <w:sz w:val="24"/>
              </w:rPr>
              <w:t>。</w:t>
            </w:r>
          </w:p>
          <w:p>
            <w:pPr>
              <w:jc w:val="center"/>
              <w:rPr>
                <w:b/>
                <w:bCs/>
                <w:color w:val="auto"/>
                <w:szCs w:val="21"/>
              </w:rPr>
            </w:pPr>
            <w:r>
              <w:rPr>
                <w:rFonts w:hint="eastAsia"/>
                <w:b/>
                <w:bCs/>
                <w:color w:val="auto"/>
                <w:szCs w:val="21"/>
              </w:rPr>
              <w:t>表1-</w:t>
            </w:r>
            <w:r>
              <w:rPr>
                <w:rFonts w:hint="eastAsia"/>
                <w:b/>
                <w:bCs/>
                <w:color w:val="auto"/>
                <w:szCs w:val="21"/>
                <w:lang w:val="en-US" w:eastAsia="zh-CN"/>
              </w:rPr>
              <w:t>4</w:t>
            </w:r>
            <w:r>
              <w:rPr>
                <w:rFonts w:hint="eastAsia"/>
                <w:b/>
                <w:bCs/>
                <w:color w:val="auto"/>
                <w:szCs w:val="21"/>
              </w:rPr>
              <w:t xml:space="preserve">  本项目与规划环评审查意见符合性分析</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6"/>
              <w:gridCol w:w="2719"/>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617" w:type="pct"/>
                  <w:vAlign w:val="center"/>
                </w:tcPr>
                <w:p>
                  <w:pPr>
                    <w:pStyle w:val="11"/>
                    <w:ind w:left="-71" w:leftChars="-34" w:right="-71" w:rightChars="-34"/>
                    <w:jc w:val="center"/>
                    <w:rPr>
                      <w:rFonts w:ascii="Times New Roman" w:hAnsi="Times New Roman"/>
                      <w:bCs/>
                      <w:color w:val="auto"/>
                      <w:szCs w:val="21"/>
                    </w:rPr>
                  </w:pPr>
                  <w:r>
                    <w:rPr>
                      <w:rFonts w:hint="eastAsia" w:ascii="Times New Roman" w:hAnsi="Times New Roman"/>
                      <w:bCs/>
                      <w:color w:val="auto"/>
                      <w:szCs w:val="21"/>
                    </w:rPr>
                    <w:t>审查意见要求</w:t>
                  </w:r>
                </w:p>
              </w:tc>
              <w:tc>
                <w:tcPr>
                  <w:tcW w:w="1930" w:type="pct"/>
                  <w:vAlign w:val="center"/>
                </w:tcPr>
                <w:p>
                  <w:pPr>
                    <w:pStyle w:val="11"/>
                    <w:ind w:left="-71" w:leftChars="-34" w:right="-71" w:rightChars="-34"/>
                    <w:jc w:val="center"/>
                    <w:rPr>
                      <w:rFonts w:ascii="Times New Roman" w:hAnsi="Times New Roman"/>
                      <w:bCs/>
                      <w:color w:val="auto"/>
                      <w:szCs w:val="21"/>
                    </w:rPr>
                  </w:pPr>
                  <w:r>
                    <w:rPr>
                      <w:rFonts w:hint="eastAsia" w:ascii="Times New Roman" w:hAnsi="Times New Roman"/>
                      <w:bCs/>
                      <w:color w:val="auto"/>
                      <w:szCs w:val="21"/>
                    </w:rPr>
                    <w:t>本项目情况</w:t>
                  </w:r>
                </w:p>
              </w:tc>
              <w:tc>
                <w:tcPr>
                  <w:tcW w:w="453" w:type="pct"/>
                  <w:vAlign w:val="center"/>
                </w:tcPr>
                <w:p>
                  <w:pPr>
                    <w:pStyle w:val="11"/>
                    <w:ind w:left="-71" w:leftChars="-34" w:right="-71" w:rightChars="-34"/>
                    <w:jc w:val="center"/>
                    <w:rPr>
                      <w:rFonts w:ascii="Times New Roman" w:hAnsi="Times New Roman"/>
                      <w:bCs/>
                      <w:color w:val="auto"/>
                      <w:szCs w:val="21"/>
                    </w:rPr>
                  </w:pPr>
                  <w:r>
                    <w:rPr>
                      <w:rFonts w:hint="eastAsia" w:ascii="Times New Roman" w:hAnsi="Times New Roman"/>
                      <w:bCs/>
                      <w:color w:val="auto"/>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617" w:type="pct"/>
                  <w:vAlign w:val="center"/>
                </w:tcPr>
                <w:p>
                  <w:pPr>
                    <w:pStyle w:val="11"/>
                    <w:ind w:left="-71" w:leftChars="-34" w:right="-71" w:rightChars="-34"/>
                    <w:rPr>
                      <w:rFonts w:ascii="Times New Roman" w:hAnsi="Times New Roman"/>
                      <w:color w:val="auto"/>
                      <w:szCs w:val="21"/>
                    </w:rPr>
                  </w:pPr>
                  <w:r>
                    <w:rPr>
                      <w:rFonts w:hint="eastAsia" w:ascii="Times New Roman" w:hAnsi="Times New Roman"/>
                      <w:color w:val="auto"/>
                      <w:szCs w:val="21"/>
                    </w:rPr>
                    <w:t>树立红线意识和底线思维，严格遵守法律法规底线和生态保护红线，统筹保护好生态空间，严禁不符合管控要求的开发和建设活动</w:t>
                  </w:r>
                </w:p>
              </w:tc>
              <w:tc>
                <w:tcPr>
                  <w:tcW w:w="1930" w:type="pct"/>
                  <w:vAlign w:val="center"/>
                </w:tcPr>
                <w:p>
                  <w:pPr>
                    <w:pStyle w:val="7"/>
                    <w:adjustRightInd w:val="0"/>
                    <w:snapToGrid w:val="0"/>
                    <w:jc w:val="both"/>
                    <w:rPr>
                      <w:color w:val="auto"/>
                      <w:sz w:val="21"/>
                      <w:szCs w:val="21"/>
                    </w:rPr>
                  </w:pPr>
                  <w:r>
                    <w:rPr>
                      <w:rFonts w:hint="eastAsia"/>
                      <w:color w:val="auto"/>
                      <w:sz w:val="21"/>
                      <w:szCs w:val="21"/>
                    </w:rPr>
                    <w:t>项目位于宜良工业园区北古城片区，不占用生态保护红线</w:t>
                  </w:r>
                </w:p>
              </w:tc>
              <w:tc>
                <w:tcPr>
                  <w:tcW w:w="453" w:type="pct"/>
                  <w:vAlign w:val="center"/>
                </w:tcPr>
                <w:p>
                  <w:pPr>
                    <w:pStyle w:val="11"/>
                    <w:ind w:left="-71" w:leftChars="-34" w:right="-71" w:rightChars="-34"/>
                    <w:jc w:val="center"/>
                    <w:rPr>
                      <w:rFonts w:ascii="Times New Roman" w:hAnsi="Times New Roman"/>
                      <w:color w:val="auto"/>
                      <w:szCs w:val="21"/>
                    </w:rPr>
                  </w:pPr>
                  <w:r>
                    <w:rPr>
                      <w:rFonts w:hint="eastAsia" w:ascii="Times New Roman" w:hAnsi="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617" w:type="pct"/>
                  <w:vAlign w:val="center"/>
                </w:tcPr>
                <w:p>
                  <w:pPr>
                    <w:pStyle w:val="11"/>
                    <w:ind w:left="-71" w:leftChars="-34" w:right="-71" w:rightChars="-34"/>
                    <w:rPr>
                      <w:rFonts w:ascii="Times New Roman" w:hAnsi="Times New Roman"/>
                      <w:color w:val="auto"/>
                      <w:szCs w:val="21"/>
                    </w:rPr>
                  </w:pPr>
                  <w:r>
                    <w:rPr>
                      <w:rFonts w:hint="eastAsia" w:ascii="Times New Roman" w:hAnsi="Times New Roman"/>
                      <w:color w:val="auto"/>
                      <w:szCs w:val="21"/>
                    </w:rPr>
                    <w:t>加强规划衔接，优化产业布局和结构。根据省市县“十三五”工业产业布局规划，结合主体功能区划、宜良县城市总体规划、土地利用规划等进一步优化园区产业规划和布局</w:t>
                  </w:r>
                </w:p>
              </w:tc>
              <w:tc>
                <w:tcPr>
                  <w:tcW w:w="1930" w:type="pct"/>
                  <w:vAlign w:val="center"/>
                </w:tcPr>
                <w:p>
                  <w:pPr>
                    <w:pStyle w:val="7"/>
                    <w:adjustRightInd w:val="0"/>
                    <w:snapToGrid w:val="0"/>
                    <w:jc w:val="both"/>
                    <w:rPr>
                      <w:color w:val="auto"/>
                      <w:sz w:val="21"/>
                      <w:szCs w:val="21"/>
                    </w:rPr>
                  </w:pPr>
                  <w:r>
                    <w:rPr>
                      <w:rFonts w:hint="eastAsia"/>
                      <w:color w:val="auto"/>
                      <w:sz w:val="21"/>
                      <w:szCs w:val="21"/>
                    </w:rPr>
                    <w:t>项目位于宜良工业园区北古城片区，为新型监测生产项目，符合工业园区总体规划</w:t>
                  </w:r>
                </w:p>
              </w:tc>
              <w:tc>
                <w:tcPr>
                  <w:tcW w:w="453" w:type="pct"/>
                  <w:vAlign w:val="center"/>
                </w:tcPr>
                <w:p>
                  <w:pPr>
                    <w:pStyle w:val="11"/>
                    <w:ind w:left="-71" w:leftChars="-34" w:right="-71" w:rightChars="-34"/>
                    <w:jc w:val="center"/>
                    <w:rPr>
                      <w:rFonts w:ascii="Times New Roman" w:hAnsi="Times New Roman"/>
                      <w:color w:val="auto"/>
                      <w:szCs w:val="21"/>
                    </w:rPr>
                  </w:pPr>
                  <w:r>
                    <w:rPr>
                      <w:rFonts w:hint="eastAsia" w:ascii="Times New Roman" w:hAnsi="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617" w:type="pct"/>
                  <w:vAlign w:val="center"/>
                </w:tcPr>
                <w:p>
                  <w:pPr>
                    <w:pStyle w:val="11"/>
                    <w:ind w:left="-71" w:leftChars="-34" w:right="-71" w:rightChars="-34"/>
                    <w:rPr>
                      <w:rFonts w:ascii="Times New Roman" w:hAnsi="Times New Roman"/>
                      <w:color w:val="auto"/>
                      <w:szCs w:val="21"/>
                    </w:rPr>
                  </w:pPr>
                  <w:r>
                    <w:rPr>
                      <w:rFonts w:hint="eastAsia" w:ascii="Times New Roman" w:hAnsi="Times New Roman"/>
                      <w:color w:val="auto"/>
                      <w:szCs w:val="21"/>
                    </w:rPr>
                    <w:t>园区布局应考虑避让南盘江及其支流马蹄河并符合河道管理相关规定，园区与河道间应规划设置生态防护带，保护好河道生态空间。废水量大、对水体易造成污染、环境风险大的项目应远离南盘江，并采取严格的环境风险防范措施确保风险可控</w:t>
                  </w:r>
                </w:p>
              </w:tc>
              <w:tc>
                <w:tcPr>
                  <w:tcW w:w="1930" w:type="pct"/>
                  <w:vAlign w:val="center"/>
                </w:tcPr>
                <w:p>
                  <w:pPr>
                    <w:pStyle w:val="11"/>
                    <w:ind w:left="-71" w:leftChars="-34" w:right="-71" w:rightChars="-34"/>
                    <w:rPr>
                      <w:rFonts w:ascii="Times New Roman" w:hAnsi="Times New Roman"/>
                      <w:color w:val="auto"/>
                      <w:szCs w:val="21"/>
                    </w:rPr>
                  </w:pPr>
                  <w:r>
                    <w:rPr>
                      <w:rFonts w:hint="eastAsia" w:ascii="Times New Roman" w:hAnsi="Times New Roman"/>
                      <w:color w:val="auto"/>
                      <w:szCs w:val="21"/>
                    </w:rPr>
                    <w:t>距离项目最近的河流为项目南侧1330m处的南盘江，距离较远。此外，项目废水全部合理处置，无废水直排，对南盘江水质影响不大</w:t>
                  </w:r>
                </w:p>
              </w:tc>
              <w:tc>
                <w:tcPr>
                  <w:tcW w:w="453" w:type="pct"/>
                  <w:vAlign w:val="center"/>
                </w:tcPr>
                <w:p>
                  <w:pPr>
                    <w:pStyle w:val="11"/>
                    <w:ind w:left="-71" w:leftChars="-34" w:right="-71" w:rightChars="-34"/>
                    <w:jc w:val="center"/>
                    <w:rPr>
                      <w:rFonts w:ascii="Times New Roman" w:hAnsi="Times New Roman"/>
                      <w:color w:val="auto"/>
                      <w:szCs w:val="21"/>
                    </w:rPr>
                  </w:pPr>
                  <w:r>
                    <w:rPr>
                      <w:rFonts w:hint="eastAsia" w:ascii="Times New Roman" w:hAnsi="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617" w:type="pct"/>
                  <w:vAlign w:val="center"/>
                </w:tcPr>
                <w:p>
                  <w:pPr>
                    <w:pStyle w:val="11"/>
                    <w:ind w:left="-71" w:leftChars="-34" w:right="-71" w:rightChars="-34"/>
                    <w:rPr>
                      <w:rFonts w:ascii="Times New Roman" w:hAnsi="Times New Roman"/>
                      <w:color w:val="auto"/>
                      <w:szCs w:val="21"/>
                    </w:rPr>
                  </w:pPr>
                  <w:r>
                    <w:rPr>
                      <w:rFonts w:hint="eastAsia" w:ascii="Times New Roman" w:hAnsi="Times New Roman"/>
                      <w:color w:val="auto"/>
                      <w:szCs w:val="21"/>
                    </w:rPr>
                    <w:t>园区北古城和木龙组团规划布局对环境质量要求高的居住区、医院、学校及果蔬加工、野生菌加工、高原特色食品加工等特色轻工业产业，与规划和已建设的钢铁、冶金、水泥等重污染产业相邻，易受到污染影响，存在较大的环境风险隐患，应进一步优化布局。同时根据产业相关防护距离要求逐步搬迁可能受影响的村庄，避免产生环境污染纠纷</w:t>
                  </w:r>
                </w:p>
              </w:tc>
              <w:tc>
                <w:tcPr>
                  <w:tcW w:w="1930" w:type="pct"/>
                  <w:vAlign w:val="center"/>
                </w:tcPr>
                <w:p>
                  <w:pPr>
                    <w:adjustRightInd w:val="0"/>
                    <w:snapToGrid w:val="0"/>
                    <w:rPr>
                      <w:bCs/>
                      <w:color w:val="auto"/>
                      <w:szCs w:val="21"/>
                    </w:rPr>
                  </w:pPr>
                  <w:r>
                    <w:rPr>
                      <w:rFonts w:hint="eastAsia"/>
                      <w:color w:val="auto"/>
                      <w:szCs w:val="21"/>
                    </w:rPr>
                    <w:t>项目位于宜良工业园区北古城片区，周围500m范围内均为工业企业，无其他易受污染的环境敏感点及特色轻工业产业。且项目产生的污染物经相应治理措施处理后能达标排放，对区域环境影响较小</w:t>
                  </w:r>
                </w:p>
              </w:tc>
              <w:tc>
                <w:tcPr>
                  <w:tcW w:w="453" w:type="pct"/>
                  <w:vAlign w:val="center"/>
                </w:tcPr>
                <w:p>
                  <w:pPr>
                    <w:pStyle w:val="11"/>
                    <w:ind w:left="-71" w:leftChars="-34" w:right="-71" w:rightChars="-34"/>
                    <w:jc w:val="center"/>
                    <w:rPr>
                      <w:rFonts w:ascii="Times New Roman" w:hAnsi="Times New Roman"/>
                      <w:color w:val="auto"/>
                      <w:szCs w:val="21"/>
                    </w:rPr>
                  </w:pPr>
                  <w:r>
                    <w:rPr>
                      <w:rFonts w:hint="eastAsia" w:ascii="Times New Roman" w:hAnsi="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617" w:type="pct"/>
                  <w:vAlign w:val="center"/>
                </w:tcPr>
                <w:p>
                  <w:pPr>
                    <w:pStyle w:val="11"/>
                    <w:ind w:left="-71" w:leftChars="-34" w:right="-71" w:rightChars="-34"/>
                    <w:rPr>
                      <w:rFonts w:ascii="Times New Roman" w:hAnsi="Times New Roman"/>
                      <w:color w:val="auto"/>
                      <w:szCs w:val="21"/>
                    </w:rPr>
                  </w:pPr>
                  <w:r>
                    <w:rPr>
                      <w:rFonts w:hint="eastAsia" w:ascii="Times New Roman" w:hAnsi="Times New Roman"/>
                      <w:color w:val="auto"/>
                      <w:szCs w:val="21"/>
                    </w:rPr>
                    <w:t>产业布局应充分考虑区域的资源和环境承载力，严格环境准入。根据区域大气环境容量，合理确定北古城和木龙组团布局的钢铁、冶炼等重污染产业规模。区域内原有冶炼和传统建筑材料等重污染企业要开展技术升级改造和环保设施的提标改造，实现污染物减排和区域环境质量改善，为后续项目腾出环境容量</w:t>
                  </w:r>
                </w:p>
              </w:tc>
              <w:tc>
                <w:tcPr>
                  <w:tcW w:w="1930" w:type="pct"/>
                  <w:vAlign w:val="center"/>
                </w:tcPr>
                <w:p>
                  <w:pPr>
                    <w:pStyle w:val="11"/>
                    <w:ind w:left="-71" w:leftChars="-34" w:right="-71" w:rightChars="-34"/>
                    <w:rPr>
                      <w:rFonts w:hint="default" w:ascii="Times New Roman" w:hAnsi="Times New Roman" w:eastAsia="宋体"/>
                      <w:color w:val="auto"/>
                      <w:szCs w:val="21"/>
                      <w:lang w:val="en-US" w:eastAsia="zh-CN"/>
                    </w:rPr>
                  </w:pPr>
                  <w:r>
                    <w:rPr>
                      <w:rFonts w:hint="eastAsia" w:ascii="Times New Roman" w:hAnsi="Times New Roman"/>
                      <w:color w:val="auto"/>
                      <w:szCs w:val="21"/>
                    </w:rPr>
                    <w:t>项目所在区域为环境空气和声环境达标区，项目运营期产生的环境空气污染物和噪声经治理措施处理后能达标排放，项目运营期废水全部合理处置，无废水直排。项目占用环境容量相较于区域总体环境容量较小</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且项目投产后可以减少部分污染物的排放</w:t>
                  </w:r>
                </w:p>
              </w:tc>
              <w:tc>
                <w:tcPr>
                  <w:tcW w:w="453" w:type="pct"/>
                  <w:vAlign w:val="center"/>
                </w:tcPr>
                <w:p>
                  <w:pPr>
                    <w:pStyle w:val="11"/>
                    <w:ind w:left="-71" w:leftChars="-34" w:right="-71" w:rightChars="-34"/>
                    <w:jc w:val="center"/>
                    <w:rPr>
                      <w:rFonts w:ascii="Times New Roman" w:hAnsi="Times New Roman"/>
                      <w:color w:val="auto"/>
                      <w:szCs w:val="21"/>
                    </w:rPr>
                  </w:pPr>
                  <w:r>
                    <w:rPr>
                      <w:rFonts w:hint="eastAsia" w:ascii="Times New Roman" w:hAnsi="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617" w:type="pct"/>
                  <w:vAlign w:val="center"/>
                </w:tcPr>
                <w:p>
                  <w:pPr>
                    <w:pStyle w:val="11"/>
                    <w:ind w:left="-71" w:leftChars="-34" w:right="-71" w:rightChars="-34"/>
                    <w:rPr>
                      <w:rFonts w:ascii="Times New Roman" w:hAnsi="Times New Roman"/>
                      <w:color w:val="auto"/>
                      <w:szCs w:val="21"/>
                    </w:rPr>
                  </w:pPr>
                  <w:r>
                    <w:rPr>
                      <w:rFonts w:hint="eastAsia" w:ascii="Times New Roman" w:hAnsi="Times New Roman"/>
                      <w:color w:val="auto"/>
                      <w:szCs w:val="21"/>
                    </w:rPr>
                    <w:t>重视规划布局产业与周边居住区的关系，结合主导风向、环境防护距离等因素进行优化调整。加大组团内现有住户的搬迁安置，在没有搬迁计划的居民区附近不得布局排放异味等以大气污染物为主的企业</w:t>
                  </w:r>
                </w:p>
              </w:tc>
              <w:tc>
                <w:tcPr>
                  <w:tcW w:w="1930" w:type="pct"/>
                  <w:vAlign w:val="center"/>
                </w:tcPr>
                <w:p>
                  <w:pPr>
                    <w:pStyle w:val="11"/>
                    <w:ind w:left="-71" w:leftChars="-34" w:right="-71" w:rightChars="-34"/>
                    <w:rPr>
                      <w:rFonts w:ascii="Times New Roman" w:hAnsi="Times New Roman"/>
                      <w:color w:val="auto"/>
                      <w:szCs w:val="21"/>
                    </w:rPr>
                  </w:pPr>
                  <w:r>
                    <w:rPr>
                      <w:rFonts w:hint="eastAsia" w:ascii="Times New Roman" w:hAnsi="Times New Roman"/>
                      <w:color w:val="auto"/>
                      <w:szCs w:val="21"/>
                    </w:rPr>
                    <w:t>项目周边为工业企业，厂界外</w:t>
                  </w:r>
                  <w:r>
                    <w:rPr>
                      <w:rFonts w:hint="eastAsia" w:ascii="Times New Roman" w:hAnsi="Times New Roman"/>
                      <w:color w:val="auto"/>
                      <w:szCs w:val="21"/>
                      <w:lang w:val="en-US" w:eastAsia="zh-CN"/>
                    </w:rPr>
                    <w:t>500</w:t>
                  </w:r>
                  <w:r>
                    <w:rPr>
                      <w:rFonts w:hint="eastAsia" w:ascii="Times New Roman" w:hAnsi="Times New Roman"/>
                      <w:color w:val="auto"/>
                      <w:szCs w:val="21"/>
                    </w:rPr>
                    <w:t>m范围内无易受污染的环境敏感点</w:t>
                  </w:r>
                </w:p>
              </w:tc>
              <w:tc>
                <w:tcPr>
                  <w:tcW w:w="453" w:type="pct"/>
                  <w:vAlign w:val="center"/>
                </w:tcPr>
                <w:p>
                  <w:pPr>
                    <w:pStyle w:val="11"/>
                    <w:ind w:left="-71" w:leftChars="-34" w:right="-71" w:rightChars="-34"/>
                    <w:jc w:val="center"/>
                    <w:rPr>
                      <w:rFonts w:ascii="Times New Roman" w:hAnsi="Times New Roman"/>
                      <w:color w:val="auto"/>
                      <w:szCs w:val="21"/>
                    </w:rPr>
                  </w:pPr>
                  <w:r>
                    <w:rPr>
                      <w:rFonts w:hint="eastAsia" w:ascii="Times New Roman" w:hAnsi="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617" w:type="pct"/>
                  <w:vAlign w:val="center"/>
                </w:tcPr>
                <w:p>
                  <w:pPr>
                    <w:pStyle w:val="11"/>
                    <w:ind w:left="-71" w:leftChars="-34" w:right="-71" w:rightChars="-34"/>
                    <w:rPr>
                      <w:rFonts w:ascii="Times New Roman" w:hAnsi="Times New Roman"/>
                      <w:color w:val="auto"/>
                      <w:szCs w:val="21"/>
                    </w:rPr>
                  </w:pPr>
                  <w:r>
                    <w:rPr>
                      <w:rFonts w:hint="eastAsia" w:ascii="Times New Roman" w:hAnsi="Times New Roman"/>
                      <w:color w:val="auto"/>
                      <w:szCs w:val="21"/>
                    </w:rPr>
                    <w:t>园区产业布局和项目建设应充分考虑地下水的影响，做好地下水污染防治和监控，严格工程地质勘察，采取针对性防治措施，确保区域地下水安全</w:t>
                  </w:r>
                </w:p>
              </w:tc>
              <w:tc>
                <w:tcPr>
                  <w:tcW w:w="1930" w:type="pct"/>
                  <w:vMerge w:val="restart"/>
                  <w:vAlign w:val="center"/>
                </w:tcPr>
                <w:p>
                  <w:pPr>
                    <w:pStyle w:val="11"/>
                    <w:ind w:left="-71" w:leftChars="-34" w:right="-71" w:rightChars="-34"/>
                    <w:rPr>
                      <w:rFonts w:ascii="Times New Roman" w:hAnsi="Times New Roman"/>
                      <w:color w:val="auto"/>
                      <w:szCs w:val="21"/>
                    </w:rPr>
                  </w:pPr>
                  <w:r>
                    <w:rPr>
                      <w:rFonts w:hint="eastAsia"/>
                      <w:color w:val="auto"/>
                      <w:szCs w:val="21"/>
                    </w:rPr>
                    <w:t>初期雨水收集沉淀后回用于生产，不外排；实验室废水经中和处理后排入化粪池与生活污水一并处理后再排入园区污水管网，最终进入园区污水处理厂处理；生产过程中原料搅拌用水随砖胚进入窑体全部焙烧蒸发，脱硫废水经再生池添加石灰发生置换反应并过滤沉淀后返回</w:t>
                  </w:r>
                  <w:r>
                    <w:rPr>
                      <w:rFonts w:hint="eastAsia"/>
                      <w:color w:val="auto"/>
                      <w:szCs w:val="21"/>
                      <w:lang w:eastAsia="zh-CN"/>
                    </w:rPr>
                    <w:t>石灰石膏法脱硫塔</w:t>
                  </w:r>
                  <w:r>
                    <w:rPr>
                      <w:rFonts w:hint="eastAsia"/>
                      <w:color w:val="auto"/>
                      <w:szCs w:val="21"/>
                    </w:rPr>
                    <w:t>配套水池循环使用，项目无废水直排</w:t>
                  </w:r>
                </w:p>
              </w:tc>
              <w:tc>
                <w:tcPr>
                  <w:tcW w:w="453" w:type="pct"/>
                  <w:vAlign w:val="center"/>
                </w:tcPr>
                <w:p>
                  <w:pPr>
                    <w:pStyle w:val="11"/>
                    <w:ind w:left="-71" w:leftChars="-34" w:right="-71" w:rightChars="-34"/>
                    <w:jc w:val="center"/>
                    <w:rPr>
                      <w:rFonts w:ascii="Times New Roman" w:hAnsi="Times New Roman"/>
                      <w:color w:val="auto"/>
                      <w:szCs w:val="21"/>
                    </w:rPr>
                  </w:pPr>
                  <w:r>
                    <w:rPr>
                      <w:rFonts w:hint="eastAsia" w:ascii="Times New Roman" w:hAnsi="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617" w:type="pct"/>
                  <w:vAlign w:val="center"/>
                </w:tcPr>
                <w:p>
                  <w:pPr>
                    <w:pStyle w:val="11"/>
                    <w:ind w:left="-71" w:leftChars="-34" w:right="-71" w:rightChars="-34"/>
                    <w:rPr>
                      <w:rFonts w:ascii="Times New Roman" w:hAnsi="Times New Roman"/>
                      <w:color w:val="auto"/>
                      <w:szCs w:val="21"/>
                    </w:rPr>
                  </w:pPr>
                  <w:r>
                    <w:rPr>
                      <w:rFonts w:hint="eastAsia" w:ascii="Times New Roman" w:hAnsi="Times New Roman"/>
                      <w:color w:val="auto"/>
                      <w:szCs w:val="21"/>
                    </w:rPr>
                    <w:t>加快环保基础设施建设，各组团应根据用地规模、开发程度、产业集聚程度及排水条件，完善组团雨污分流管网，规划建设污水集中处理设施及中水回用设施。受园区所在位置地表水环境敏感的制约，各组团排污口设置须符合相关要求，同时对涉重金属、持久性有机污染物等废水排放的产业进行严格限制。入园企业要做好固废的处置，重点做好危险废物的处理处置及管理工作</w:t>
                  </w:r>
                </w:p>
              </w:tc>
              <w:tc>
                <w:tcPr>
                  <w:tcW w:w="1930" w:type="pct"/>
                  <w:vMerge w:val="continue"/>
                  <w:vAlign w:val="center"/>
                </w:tcPr>
                <w:p>
                  <w:pPr>
                    <w:pStyle w:val="11"/>
                    <w:ind w:left="-71" w:leftChars="-34" w:right="-71" w:rightChars="-34"/>
                    <w:rPr>
                      <w:rFonts w:ascii="Times New Roman" w:hAnsi="Times New Roman"/>
                      <w:color w:val="auto"/>
                      <w:szCs w:val="21"/>
                    </w:rPr>
                  </w:pPr>
                </w:p>
              </w:tc>
              <w:tc>
                <w:tcPr>
                  <w:tcW w:w="453" w:type="pct"/>
                  <w:vAlign w:val="center"/>
                </w:tcPr>
                <w:p>
                  <w:pPr>
                    <w:pStyle w:val="11"/>
                    <w:ind w:left="-71" w:leftChars="-34" w:right="-71" w:rightChars="-34"/>
                    <w:jc w:val="center"/>
                    <w:rPr>
                      <w:rFonts w:ascii="Times New Roman" w:hAnsi="Times New Roman"/>
                      <w:color w:val="auto"/>
                      <w:szCs w:val="21"/>
                    </w:rPr>
                  </w:pPr>
                  <w:r>
                    <w:rPr>
                      <w:rFonts w:hint="eastAsia" w:ascii="Times New Roman" w:hAnsi="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617" w:type="pct"/>
                  <w:vAlign w:val="center"/>
                </w:tcPr>
                <w:p>
                  <w:pPr>
                    <w:pStyle w:val="11"/>
                    <w:ind w:left="-71" w:leftChars="-34" w:right="-71" w:rightChars="-34"/>
                    <w:rPr>
                      <w:rFonts w:ascii="Times New Roman" w:hAnsi="Times New Roman"/>
                      <w:color w:val="auto"/>
                      <w:szCs w:val="21"/>
                    </w:rPr>
                  </w:pPr>
                  <w:r>
                    <w:rPr>
                      <w:rFonts w:hint="eastAsia" w:ascii="Times New Roman" w:hAnsi="Times New Roman"/>
                      <w:color w:val="auto"/>
                      <w:szCs w:val="21"/>
                    </w:rPr>
                    <w:t>加强环境风险防范和管理措施，对于进驻园区项目的选址布局时要充分考虑环境防护距离的要求，制定有效完善的事故应急预案并加强演练</w:t>
                  </w:r>
                </w:p>
              </w:tc>
              <w:tc>
                <w:tcPr>
                  <w:tcW w:w="1930" w:type="pct"/>
                  <w:vAlign w:val="center"/>
                </w:tcPr>
                <w:p>
                  <w:pPr>
                    <w:adjustRightInd w:val="0"/>
                    <w:snapToGrid w:val="0"/>
                    <w:rPr>
                      <w:bCs/>
                      <w:color w:val="auto"/>
                      <w:szCs w:val="21"/>
                      <w:lang w:bidi="ar"/>
                    </w:rPr>
                  </w:pPr>
                  <w:r>
                    <w:rPr>
                      <w:rFonts w:hint="eastAsia"/>
                      <w:color w:val="auto"/>
                      <w:szCs w:val="21"/>
                    </w:rPr>
                    <w:t>项目</w:t>
                  </w:r>
                  <w:r>
                    <w:rPr>
                      <w:rFonts w:hint="eastAsia"/>
                      <w:color w:val="auto"/>
                      <w:szCs w:val="21"/>
                      <w:lang w:val="en-US" w:eastAsia="zh-CN"/>
                    </w:rPr>
                    <w:t>正在进行</w:t>
                  </w:r>
                  <w:r>
                    <w:rPr>
                      <w:rFonts w:hint="eastAsia"/>
                      <w:color w:val="auto"/>
                      <w:szCs w:val="21"/>
                    </w:rPr>
                    <w:t>应急预案的编制工作，并</w:t>
                  </w:r>
                  <w:r>
                    <w:rPr>
                      <w:rFonts w:hint="eastAsia"/>
                      <w:color w:val="auto"/>
                      <w:szCs w:val="21"/>
                      <w:lang w:val="en-US" w:eastAsia="zh-CN"/>
                    </w:rPr>
                    <w:t>计划</w:t>
                  </w:r>
                  <w:r>
                    <w:rPr>
                      <w:rFonts w:hint="eastAsia"/>
                      <w:color w:val="auto"/>
                      <w:szCs w:val="21"/>
                    </w:rPr>
                    <w:t>定期组织应急演练工作</w:t>
                  </w:r>
                </w:p>
              </w:tc>
              <w:tc>
                <w:tcPr>
                  <w:tcW w:w="453" w:type="pct"/>
                  <w:vAlign w:val="center"/>
                </w:tcPr>
                <w:p>
                  <w:pPr>
                    <w:pStyle w:val="11"/>
                    <w:ind w:left="-71" w:leftChars="-34" w:right="-71" w:rightChars="-34"/>
                    <w:jc w:val="center"/>
                    <w:rPr>
                      <w:rFonts w:ascii="Times New Roman" w:hAnsi="Times New Roman"/>
                      <w:color w:val="auto"/>
                      <w:szCs w:val="21"/>
                    </w:rPr>
                  </w:pPr>
                  <w:r>
                    <w:rPr>
                      <w:rFonts w:hint="eastAsia" w:ascii="Times New Roman" w:hAnsi="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617" w:type="pct"/>
                  <w:vAlign w:val="center"/>
                </w:tcPr>
                <w:p>
                  <w:pPr>
                    <w:pStyle w:val="11"/>
                    <w:ind w:left="-71" w:leftChars="-34" w:right="-71" w:rightChars="-34"/>
                    <w:rPr>
                      <w:rFonts w:ascii="Times New Roman" w:hAnsi="Times New Roman"/>
                      <w:color w:val="auto"/>
                      <w:szCs w:val="21"/>
                    </w:rPr>
                  </w:pPr>
                  <w:r>
                    <w:rPr>
                      <w:rFonts w:hint="eastAsia" w:ascii="Times New Roman" w:hAnsi="Times New Roman"/>
                      <w:color w:val="auto"/>
                      <w:szCs w:val="21"/>
                    </w:rPr>
                    <w:t>重大项目的规划建设要按照《环境保护公众参与办法》的相关规定，做好公众参与工作，确保公众的知情权，充分吸纳公众对环境的诉求</w:t>
                  </w:r>
                </w:p>
              </w:tc>
              <w:tc>
                <w:tcPr>
                  <w:tcW w:w="1930" w:type="pct"/>
                  <w:vAlign w:val="center"/>
                </w:tcPr>
                <w:p>
                  <w:pPr>
                    <w:pStyle w:val="11"/>
                    <w:ind w:left="-71" w:leftChars="-34" w:right="-71" w:rightChars="-34"/>
                    <w:jc w:val="center"/>
                    <w:rPr>
                      <w:rFonts w:ascii="Times New Roman" w:hAnsi="Times New Roman"/>
                      <w:color w:val="auto"/>
                      <w:szCs w:val="21"/>
                    </w:rPr>
                  </w:pPr>
                  <w:r>
                    <w:rPr>
                      <w:rFonts w:hint="eastAsia" w:ascii="Times New Roman" w:hAnsi="Times New Roman"/>
                      <w:color w:val="auto"/>
                      <w:szCs w:val="21"/>
                    </w:rPr>
                    <w:t>不涉及</w:t>
                  </w:r>
                </w:p>
              </w:tc>
              <w:tc>
                <w:tcPr>
                  <w:tcW w:w="453" w:type="pct"/>
                  <w:vAlign w:val="center"/>
                </w:tcPr>
                <w:p>
                  <w:pPr>
                    <w:pStyle w:val="11"/>
                    <w:ind w:left="-71" w:leftChars="-34" w:right="-71" w:rightChars="-34"/>
                    <w:jc w:val="center"/>
                    <w:rPr>
                      <w:rFonts w:ascii="Times New Roman" w:hAnsi="Times New Roman"/>
                      <w:color w:val="auto"/>
                      <w:szCs w:val="21"/>
                    </w:rPr>
                  </w:pPr>
                  <w:r>
                    <w:rPr>
                      <w:rFonts w:hint="eastAsia" w:ascii="Times New Roman" w:hAnsi="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617" w:type="pct"/>
                  <w:vAlign w:val="center"/>
                </w:tcPr>
                <w:p>
                  <w:pPr>
                    <w:pStyle w:val="11"/>
                    <w:ind w:left="-71" w:leftChars="-34" w:right="-71" w:rightChars="-34"/>
                    <w:rPr>
                      <w:rFonts w:ascii="Times New Roman" w:hAnsi="Times New Roman"/>
                      <w:color w:val="auto"/>
                      <w:szCs w:val="21"/>
                    </w:rPr>
                  </w:pPr>
                  <w:r>
                    <w:rPr>
                      <w:rFonts w:hint="eastAsia" w:ascii="Times New Roman" w:hAnsi="Times New Roman"/>
                      <w:color w:val="auto"/>
                      <w:szCs w:val="21"/>
                    </w:rPr>
                    <w:t>加强规划实施的跟踪监测与管理，重视区内产业特征污染因子的定期与跟踪监测，必要时设置大气自动监测设施，适时开展环境影响跟踪评价</w:t>
                  </w:r>
                </w:p>
              </w:tc>
              <w:tc>
                <w:tcPr>
                  <w:tcW w:w="1930" w:type="pct"/>
                  <w:vAlign w:val="center"/>
                </w:tcPr>
                <w:p>
                  <w:pPr>
                    <w:widowControl/>
                    <w:ind w:left="-71" w:leftChars="-34" w:right="-71" w:rightChars="-34"/>
                    <w:rPr>
                      <w:color w:val="auto"/>
                      <w:szCs w:val="21"/>
                    </w:rPr>
                  </w:pPr>
                  <w:r>
                    <w:rPr>
                      <w:rFonts w:hint="eastAsia"/>
                      <w:color w:val="auto"/>
                      <w:szCs w:val="21"/>
                    </w:rPr>
                    <w:t>本次环评已按相关要求制定运营期监测计划</w:t>
                  </w:r>
                </w:p>
              </w:tc>
              <w:tc>
                <w:tcPr>
                  <w:tcW w:w="453" w:type="pct"/>
                  <w:vAlign w:val="center"/>
                </w:tcPr>
                <w:p>
                  <w:pPr>
                    <w:widowControl/>
                    <w:ind w:left="-71" w:leftChars="-34" w:right="-71" w:rightChars="-34"/>
                    <w:jc w:val="center"/>
                    <w:rPr>
                      <w:color w:val="auto"/>
                      <w:szCs w:val="21"/>
                    </w:rPr>
                  </w:pPr>
                  <w:r>
                    <w:rPr>
                      <w:rFonts w:hint="eastAsia"/>
                      <w:color w:val="auto"/>
                      <w:szCs w:val="21"/>
                    </w:rPr>
                    <w:t>符合</w:t>
                  </w:r>
                </w:p>
              </w:tc>
            </w:tr>
          </w:tbl>
          <w:p>
            <w:pPr>
              <w:pStyle w:val="60"/>
              <w:spacing w:before="60" w:beforeLines="25" w:line="240" w:lineRule="auto"/>
              <w:ind w:firstLine="300" w:firstLineChars="200"/>
              <w:rPr>
                <w:color w:val="auto"/>
                <w:sz w:val="15"/>
              </w:rPr>
            </w:pPr>
          </w:p>
          <w:p>
            <w:pPr>
              <w:pStyle w:val="60"/>
              <w:spacing w:line="360" w:lineRule="auto"/>
              <w:ind w:firstLine="480" w:firstLineChars="200"/>
              <w:rPr>
                <w:color w:val="auto"/>
                <w:kern w:val="0"/>
                <w:szCs w:val="21"/>
              </w:rPr>
            </w:pPr>
            <w:r>
              <w:rPr>
                <w:rFonts w:hint="eastAsia"/>
                <w:color w:val="auto"/>
                <w:sz w:val="24"/>
              </w:rPr>
              <w:t>综上所述，本项目符合《宜良工业园区总体规划（2016-2030）环境影响报告书》审查意见相关要求。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79" w:type="dxa"/>
            <w:vAlign w:val="center"/>
          </w:tcPr>
          <w:p>
            <w:pPr>
              <w:autoSpaceDE w:val="0"/>
              <w:autoSpaceDN w:val="0"/>
              <w:adjustRightInd w:val="0"/>
              <w:snapToGrid w:val="0"/>
              <w:jc w:val="center"/>
              <w:rPr>
                <w:color w:val="auto"/>
                <w:kern w:val="0"/>
                <w:sz w:val="24"/>
              </w:rPr>
            </w:pPr>
            <w:r>
              <w:rPr>
                <w:color w:val="auto"/>
                <w:kern w:val="0"/>
                <w:sz w:val="24"/>
              </w:rPr>
              <w:t>其他符合性</w:t>
            </w:r>
          </w:p>
          <w:p>
            <w:pPr>
              <w:autoSpaceDE w:val="0"/>
              <w:autoSpaceDN w:val="0"/>
              <w:adjustRightInd w:val="0"/>
              <w:snapToGrid w:val="0"/>
              <w:jc w:val="center"/>
              <w:rPr>
                <w:color w:val="auto"/>
                <w:kern w:val="0"/>
                <w:sz w:val="24"/>
              </w:rPr>
            </w:pPr>
            <w:r>
              <w:rPr>
                <w:color w:val="auto"/>
                <w:kern w:val="0"/>
                <w:sz w:val="24"/>
              </w:rPr>
              <w:t>分析</w:t>
            </w:r>
          </w:p>
        </w:tc>
        <w:tc>
          <w:tcPr>
            <w:tcW w:w="7479" w:type="dxa"/>
            <w:gridSpan w:val="3"/>
          </w:tcPr>
          <w:p>
            <w:pPr>
              <w:autoSpaceDE w:val="0"/>
              <w:autoSpaceDN w:val="0"/>
              <w:adjustRightInd w:val="0"/>
              <w:snapToGrid w:val="0"/>
              <w:spacing w:line="360" w:lineRule="auto"/>
              <w:rPr>
                <w:b/>
                <w:color w:val="auto"/>
                <w:sz w:val="24"/>
              </w:rPr>
            </w:pPr>
            <w:r>
              <w:rPr>
                <w:b/>
                <w:color w:val="auto"/>
                <w:sz w:val="24"/>
              </w:rPr>
              <w:t>1.</w:t>
            </w:r>
            <w:r>
              <w:rPr>
                <w:rFonts w:hint="eastAsia"/>
                <w:b/>
                <w:color w:val="auto"/>
                <w:sz w:val="24"/>
              </w:rPr>
              <w:t>4</w:t>
            </w:r>
            <w:r>
              <w:rPr>
                <w:b/>
                <w:color w:val="auto"/>
                <w:sz w:val="24"/>
              </w:rPr>
              <w:t>产业政策符合性分析</w:t>
            </w:r>
          </w:p>
          <w:p>
            <w:pPr>
              <w:adjustRightInd w:val="0"/>
              <w:snapToGrid w:val="0"/>
              <w:spacing w:line="360" w:lineRule="auto"/>
              <w:ind w:firstLine="470" w:firstLineChars="196"/>
              <w:rPr>
                <w:color w:val="auto"/>
                <w:sz w:val="24"/>
              </w:rPr>
            </w:pPr>
            <w:r>
              <w:rPr>
                <w:color w:val="auto"/>
                <w:sz w:val="24"/>
              </w:rPr>
              <w:t>本项目</w:t>
            </w:r>
            <w:r>
              <w:rPr>
                <w:rFonts w:hint="eastAsia"/>
                <w:color w:val="auto"/>
                <w:sz w:val="24"/>
              </w:rPr>
              <w:t>为耐火材料制品制造业。</w:t>
            </w:r>
            <w:r>
              <w:rPr>
                <w:color w:val="auto"/>
                <w:sz w:val="24"/>
              </w:rPr>
              <w:t>根据《产业结构调整指导目录</w:t>
            </w:r>
            <w:r>
              <w:rPr>
                <w:rFonts w:hint="eastAsia"/>
                <w:color w:val="auto"/>
                <w:sz w:val="24"/>
              </w:rPr>
              <w:t>（2019年本）</w:t>
            </w:r>
            <w:r>
              <w:rPr>
                <w:color w:val="auto"/>
                <w:sz w:val="24"/>
              </w:rPr>
              <w:t>》（20</w:t>
            </w:r>
            <w:r>
              <w:rPr>
                <w:rFonts w:hint="eastAsia"/>
                <w:color w:val="auto"/>
                <w:sz w:val="24"/>
              </w:rPr>
              <w:t>21年修订</w:t>
            </w:r>
            <w:r>
              <w:rPr>
                <w:color w:val="auto"/>
                <w:sz w:val="24"/>
              </w:rPr>
              <w:t>），</w:t>
            </w:r>
            <w:r>
              <w:rPr>
                <w:rFonts w:hint="eastAsia"/>
                <w:color w:val="auto"/>
                <w:sz w:val="24"/>
              </w:rPr>
              <w:t>本项目不在“鼓励类、限制类和淘汰类”规定范围内，属于允许类项目。因此，</w:t>
            </w:r>
            <w:r>
              <w:rPr>
                <w:color w:val="auto"/>
                <w:sz w:val="24"/>
              </w:rPr>
              <w:t>项目符合国家产业政策。</w:t>
            </w:r>
          </w:p>
          <w:p>
            <w:pPr>
              <w:pStyle w:val="61"/>
              <w:spacing w:line="360" w:lineRule="auto"/>
              <w:rPr>
                <w:rFonts w:ascii="Times New Roman" w:hAnsi="Times New Roman"/>
                <w:b/>
                <w:bCs/>
                <w:color w:val="auto"/>
                <w:szCs w:val="24"/>
              </w:rPr>
            </w:pPr>
            <w:r>
              <w:rPr>
                <w:rFonts w:hint="eastAsia" w:ascii="Times New Roman" w:hAnsi="Times New Roman"/>
                <w:b/>
                <w:color w:val="auto"/>
                <w:kern w:val="2"/>
                <w:szCs w:val="24"/>
              </w:rPr>
              <w:t>1.5</w:t>
            </w:r>
            <w:r>
              <w:rPr>
                <w:rFonts w:ascii="Times New Roman" w:hAnsi="Times New Roman"/>
                <w:b/>
                <w:bCs/>
                <w:color w:val="auto"/>
                <w:szCs w:val="24"/>
              </w:rPr>
              <w:t>与《昆明市人民政府关于昆明市</w:t>
            </w:r>
            <w:r>
              <w:rPr>
                <w:rFonts w:hint="eastAsia" w:ascii="Times New Roman" w:hAnsi="Times New Roman"/>
                <w:b/>
                <w:bCs/>
                <w:color w:val="auto"/>
                <w:szCs w:val="24"/>
              </w:rPr>
              <w:t>“</w:t>
            </w:r>
            <w:r>
              <w:rPr>
                <w:rFonts w:ascii="Times New Roman" w:hAnsi="Times New Roman"/>
                <w:b/>
                <w:bCs/>
                <w:color w:val="auto"/>
                <w:szCs w:val="24"/>
              </w:rPr>
              <w:t>三线一单</w:t>
            </w:r>
            <w:r>
              <w:rPr>
                <w:rFonts w:hint="eastAsia" w:ascii="Times New Roman" w:hAnsi="Times New Roman"/>
                <w:b/>
                <w:bCs/>
                <w:color w:val="auto"/>
                <w:szCs w:val="24"/>
              </w:rPr>
              <w:t>”</w:t>
            </w:r>
            <w:r>
              <w:rPr>
                <w:rFonts w:ascii="Times New Roman" w:hAnsi="Times New Roman"/>
                <w:b/>
                <w:bCs/>
                <w:color w:val="auto"/>
                <w:szCs w:val="24"/>
              </w:rPr>
              <w:t>生态环境分区管控的实施意见》符合性分析</w:t>
            </w:r>
          </w:p>
          <w:p>
            <w:pPr>
              <w:pStyle w:val="61"/>
              <w:spacing w:line="360" w:lineRule="auto"/>
              <w:ind w:firstLine="480" w:firstLineChars="200"/>
              <w:rPr>
                <w:rFonts w:ascii="Times New Roman" w:hAnsi="Times New Roman"/>
                <w:color w:val="auto"/>
                <w:szCs w:val="24"/>
              </w:rPr>
            </w:pPr>
            <w:r>
              <w:rPr>
                <w:rFonts w:hint="eastAsia" w:ascii="Times New Roman" w:hAnsi="Times New Roman"/>
                <w:color w:val="auto"/>
                <w:szCs w:val="24"/>
              </w:rPr>
              <w:t>项目位于宜良工业园区北古城片区，属于《昆明市人民政府关于昆明市“三线一单”生态环境分区管控的实施意见》规定的重点管控单元。</w:t>
            </w:r>
          </w:p>
          <w:p>
            <w:pPr>
              <w:pStyle w:val="61"/>
              <w:spacing w:line="240" w:lineRule="auto"/>
              <w:jc w:val="center"/>
              <w:rPr>
                <w:rFonts w:ascii="Times New Roman" w:hAnsi="Times New Roman"/>
                <w:b/>
                <w:bCs/>
                <w:color w:val="auto"/>
                <w:sz w:val="21"/>
                <w:szCs w:val="21"/>
              </w:rPr>
            </w:pPr>
            <w:r>
              <w:rPr>
                <w:rFonts w:ascii="Times New Roman" w:hAnsi="Times New Roman"/>
                <w:b/>
                <w:bCs/>
                <w:color w:val="auto"/>
                <w:sz w:val="21"/>
                <w:szCs w:val="21"/>
              </w:rPr>
              <w:t>表1-</w:t>
            </w:r>
            <w:r>
              <w:rPr>
                <w:rFonts w:hint="eastAsia" w:ascii="Times New Roman" w:hAnsi="Times New Roman"/>
                <w:b/>
                <w:bCs/>
                <w:color w:val="auto"/>
                <w:sz w:val="21"/>
                <w:szCs w:val="21"/>
                <w:lang w:val="en-US" w:eastAsia="zh-CN"/>
              </w:rPr>
              <w:t>5</w:t>
            </w:r>
            <w:r>
              <w:rPr>
                <w:rFonts w:hint="eastAsia" w:ascii="Times New Roman" w:hAnsi="Times New Roman"/>
                <w:b/>
                <w:bCs/>
                <w:color w:val="auto"/>
                <w:sz w:val="21"/>
                <w:szCs w:val="21"/>
              </w:rPr>
              <w:t xml:space="preserve">  </w:t>
            </w:r>
            <w:r>
              <w:rPr>
                <w:rFonts w:ascii="Times New Roman" w:hAnsi="Times New Roman"/>
                <w:b/>
                <w:bCs/>
                <w:color w:val="auto"/>
                <w:sz w:val="21"/>
                <w:szCs w:val="21"/>
              </w:rPr>
              <w:t>与昆明市“三线一单”生态环境分区管控的实施意见符合性分析</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465"/>
              <w:gridCol w:w="506"/>
              <w:gridCol w:w="2739"/>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96" w:type="dxa"/>
                  <w:gridSpan w:val="2"/>
                  <w:vAlign w:val="center"/>
                </w:tcPr>
                <w:p>
                  <w:pPr>
                    <w:pStyle w:val="61"/>
                    <w:spacing w:line="240" w:lineRule="auto"/>
                    <w:jc w:val="center"/>
                    <w:rPr>
                      <w:rFonts w:ascii="Times New Roman" w:hAnsi="Times New Roman"/>
                      <w:color w:val="auto"/>
                      <w:sz w:val="21"/>
                      <w:szCs w:val="21"/>
                    </w:rPr>
                  </w:pPr>
                  <w:r>
                    <w:rPr>
                      <w:rFonts w:ascii="Times New Roman" w:hAnsi="Times New Roman"/>
                      <w:color w:val="auto"/>
                      <w:sz w:val="21"/>
                      <w:szCs w:val="21"/>
                    </w:rPr>
                    <w:t>项目</w:t>
                  </w:r>
                </w:p>
              </w:tc>
              <w:tc>
                <w:tcPr>
                  <w:tcW w:w="3149" w:type="dxa"/>
                  <w:gridSpan w:val="2"/>
                  <w:vAlign w:val="center"/>
                </w:tcPr>
                <w:p>
                  <w:pPr>
                    <w:pStyle w:val="61"/>
                    <w:spacing w:line="240" w:lineRule="auto"/>
                    <w:jc w:val="center"/>
                    <w:rPr>
                      <w:rFonts w:ascii="Times New Roman" w:hAnsi="Times New Roman"/>
                      <w:color w:val="auto"/>
                      <w:sz w:val="21"/>
                      <w:szCs w:val="21"/>
                    </w:rPr>
                  </w:pPr>
                  <w:r>
                    <w:rPr>
                      <w:rFonts w:ascii="Times New Roman" w:hAnsi="Times New Roman"/>
                      <w:color w:val="auto"/>
                      <w:sz w:val="21"/>
                      <w:szCs w:val="21"/>
                    </w:rPr>
                    <w:t>管控要求</w:t>
                  </w:r>
                </w:p>
              </w:tc>
              <w:tc>
                <w:tcPr>
                  <w:tcW w:w="2790" w:type="dxa"/>
                  <w:vAlign w:val="center"/>
                </w:tcPr>
                <w:p>
                  <w:pPr>
                    <w:pStyle w:val="61"/>
                    <w:spacing w:line="240" w:lineRule="auto"/>
                    <w:jc w:val="center"/>
                    <w:rPr>
                      <w:rFonts w:ascii="Times New Roman" w:hAnsi="Times New Roman"/>
                      <w:color w:val="auto"/>
                      <w:sz w:val="21"/>
                      <w:szCs w:val="21"/>
                    </w:rPr>
                  </w:pPr>
                  <w:r>
                    <w:rPr>
                      <w:rFonts w:ascii="Times New Roman" w:hAnsi="Times New Roman"/>
                      <w:color w:val="auto"/>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96" w:type="dxa"/>
                  <w:gridSpan w:val="2"/>
                  <w:vAlign w:val="center"/>
                </w:tcPr>
                <w:p>
                  <w:pPr>
                    <w:pStyle w:val="61"/>
                    <w:spacing w:line="240" w:lineRule="auto"/>
                    <w:jc w:val="center"/>
                    <w:rPr>
                      <w:rFonts w:ascii="Times New Roman" w:hAnsi="Times New Roman"/>
                      <w:color w:val="auto"/>
                      <w:sz w:val="21"/>
                      <w:szCs w:val="21"/>
                    </w:rPr>
                  </w:pPr>
                  <w:r>
                    <w:rPr>
                      <w:rFonts w:ascii="Times New Roman" w:hAnsi="Times New Roman"/>
                      <w:color w:val="auto"/>
                      <w:sz w:val="21"/>
                      <w:szCs w:val="21"/>
                    </w:rPr>
                    <w:t>生态保护红线</w:t>
                  </w:r>
                </w:p>
              </w:tc>
              <w:tc>
                <w:tcPr>
                  <w:tcW w:w="3149" w:type="dxa"/>
                  <w:gridSpan w:val="2"/>
                  <w:vAlign w:val="center"/>
                </w:tcPr>
                <w:p>
                  <w:pPr>
                    <w:pStyle w:val="61"/>
                    <w:spacing w:line="240" w:lineRule="auto"/>
                    <w:rPr>
                      <w:rFonts w:ascii="Times New Roman" w:hAnsi="Times New Roman"/>
                      <w:color w:val="auto"/>
                      <w:sz w:val="21"/>
                      <w:szCs w:val="21"/>
                    </w:rPr>
                  </w:pPr>
                  <w:r>
                    <w:rPr>
                      <w:color w:val="auto"/>
                      <w:sz w:val="21"/>
                    </w:rPr>
                    <w:t>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w:t>
                  </w:r>
                </w:p>
              </w:tc>
              <w:tc>
                <w:tcPr>
                  <w:tcW w:w="2790" w:type="dxa"/>
                  <w:vAlign w:val="center"/>
                </w:tcPr>
                <w:p>
                  <w:pPr>
                    <w:pStyle w:val="61"/>
                    <w:spacing w:line="240" w:lineRule="auto"/>
                    <w:rPr>
                      <w:rFonts w:ascii="Times New Roman" w:hAnsi="Times New Roman"/>
                      <w:color w:val="auto"/>
                      <w:sz w:val="21"/>
                      <w:szCs w:val="21"/>
                    </w:rPr>
                  </w:pPr>
                  <w:r>
                    <w:rPr>
                      <w:color w:val="auto"/>
                      <w:sz w:val="21"/>
                    </w:rPr>
                    <w:t>项目位于宜良工业园区北古城片区，本项目用地不涉及生态保护红线，也不在未划入生态保护红线的自然保护地、饮用水水 源保护区、重要湿地、基本草原、生态公益林、天然林等生态环境敏感区域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5" w:type="dxa"/>
                  <w:vMerge w:val="restart"/>
                  <w:vAlign w:val="center"/>
                </w:tcPr>
                <w:p>
                  <w:pPr>
                    <w:pStyle w:val="61"/>
                    <w:spacing w:line="240" w:lineRule="auto"/>
                    <w:rPr>
                      <w:rFonts w:ascii="Times New Roman" w:hAnsi="Times New Roman"/>
                      <w:color w:val="auto"/>
                      <w:sz w:val="21"/>
                      <w:szCs w:val="21"/>
                    </w:rPr>
                  </w:pPr>
                  <w:r>
                    <w:rPr>
                      <w:rFonts w:ascii="Times New Roman" w:hAnsi="Times New Roman"/>
                      <w:color w:val="auto"/>
                      <w:sz w:val="21"/>
                      <w:szCs w:val="21"/>
                    </w:rPr>
                    <w:t>环境质量底线</w:t>
                  </w:r>
                </w:p>
              </w:tc>
              <w:tc>
                <w:tcPr>
                  <w:tcW w:w="451" w:type="dxa"/>
                  <w:vAlign w:val="center"/>
                </w:tcPr>
                <w:p>
                  <w:pPr>
                    <w:pStyle w:val="61"/>
                    <w:spacing w:line="240" w:lineRule="auto"/>
                    <w:jc w:val="center"/>
                    <w:rPr>
                      <w:rFonts w:ascii="Times New Roman" w:hAnsi="Times New Roman"/>
                      <w:color w:val="auto"/>
                      <w:sz w:val="21"/>
                      <w:szCs w:val="21"/>
                    </w:rPr>
                  </w:pPr>
                  <w:r>
                    <w:rPr>
                      <w:rFonts w:ascii="Times New Roman" w:hAnsi="Times New Roman"/>
                      <w:color w:val="auto"/>
                      <w:sz w:val="21"/>
                      <w:szCs w:val="21"/>
                    </w:rPr>
                    <w:t>环境空气</w:t>
                  </w:r>
                </w:p>
              </w:tc>
              <w:tc>
                <w:tcPr>
                  <w:tcW w:w="3149" w:type="dxa"/>
                  <w:gridSpan w:val="2"/>
                  <w:vAlign w:val="center"/>
                </w:tcPr>
                <w:p>
                  <w:pPr>
                    <w:pStyle w:val="61"/>
                    <w:spacing w:line="240" w:lineRule="auto"/>
                    <w:rPr>
                      <w:rFonts w:ascii="Times New Roman" w:hAnsi="Times New Roman"/>
                      <w:color w:val="auto"/>
                      <w:sz w:val="21"/>
                      <w:szCs w:val="21"/>
                    </w:rPr>
                  </w:pPr>
                  <w:r>
                    <w:rPr>
                      <w:color w:val="auto"/>
                      <w:sz w:val="21"/>
                    </w:rPr>
                    <w:t>全市环境空气质量总体保持优 良，主城建成区空气质量优良天数占比达99%以上，二氧化硫和氮氧化物排放总量控制在省下达的目标以内，主城区空气中颗粒物稳定达《环境空气质量标准》二级标准以上</w:t>
                  </w:r>
                </w:p>
              </w:tc>
              <w:tc>
                <w:tcPr>
                  <w:tcW w:w="2790" w:type="dxa"/>
                  <w:vAlign w:val="center"/>
                </w:tcPr>
                <w:p>
                  <w:pPr>
                    <w:pStyle w:val="61"/>
                    <w:spacing w:line="240" w:lineRule="auto"/>
                    <w:rPr>
                      <w:rFonts w:ascii="Times New Roman" w:hAnsi="Times New Roman"/>
                      <w:color w:val="auto"/>
                      <w:sz w:val="21"/>
                      <w:szCs w:val="21"/>
                    </w:rPr>
                  </w:pPr>
                  <w:r>
                    <w:rPr>
                      <w:color w:val="auto"/>
                      <w:sz w:val="21"/>
                    </w:rPr>
                    <w:t>根据《2021年度昆明市生态环境状况公报》，项目区域内环境空气质量满足《环 境空气质量标准》 （GB3095-2012）及修改单中二级标准</w:t>
                  </w:r>
                  <w:r>
                    <w:rPr>
                      <w:rFonts w:hint="eastAsia"/>
                      <w:color w:val="auto"/>
                      <w:sz w:val="21"/>
                    </w:rPr>
                    <w:t>。</w:t>
                  </w:r>
                  <w:r>
                    <w:rPr>
                      <w:color w:val="auto"/>
                      <w:sz w:val="21"/>
                    </w:rPr>
                    <w:t>项目二氧化硫和氮氧化物排放总量可控制在省下达目标以内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5" w:type="dxa"/>
                  <w:vMerge w:val="continue"/>
                  <w:vAlign w:val="center"/>
                </w:tcPr>
                <w:p>
                  <w:pPr>
                    <w:pStyle w:val="61"/>
                    <w:spacing w:line="240" w:lineRule="auto"/>
                    <w:rPr>
                      <w:rFonts w:ascii="Times New Roman" w:hAnsi="Times New Roman"/>
                      <w:color w:val="auto"/>
                      <w:sz w:val="21"/>
                      <w:szCs w:val="21"/>
                    </w:rPr>
                  </w:pPr>
                </w:p>
              </w:tc>
              <w:tc>
                <w:tcPr>
                  <w:tcW w:w="451" w:type="dxa"/>
                  <w:vAlign w:val="center"/>
                </w:tcPr>
                <w:p>
                  <w:pPr>
                    <w:pStyle w:val="61"/>
                    <w:spacing w:line="240" w:lineRule="auto"/>
                    <w:jc w:val="center"/>
                    <w:rPr>
                      <w:rFonts w:ascii="Times New Roman" w:hAnsi="Times New Roman"/>
                      <w:color w:val="auto"/>
                      <w:sz w:val="21"/>
                      <w:szCs w:val="21"/>
                    </w:rPr>
                  </w:pPr>
                  <w:r>
                    <w:rPr>
                      <w:rFonts w:ascii="Times New Roman" w:hAnsi="Times New Roman"/>
                      <w:color w:val="auto"/>
                      <w:sz w:val="21"/>
                      <w:szCs w:val="21"/>
                    </w:rPr>
                    <w:t>地表水环境</w:t>
                  </w:r>
                </w:p>
              </w:tc>
              <w:tc>
                <w:tcPr>
                  <w:tcW w:w="3149" w:type="dxa"/>
                  <w:gridSpan w:val="2"/>
                  <w:vAlign w:val="center"/>
                </w:tcPr>
                <w:p>
                  <w:pPr>
                    <w:pStyle w:val="61"/>
                    <w:spacing w:line="240" w:lineRule="auto"/>
                    <w:rPr>
                      <w:rFonts w:ascii="Times New Roman" w:hAnsi="Times New Roman"/>
                      <w:color w:val="auto"/>
                      <w:sz w:val="21"/>
                      <w:szCs w:val="21"/>
                    </w:rPr>
                  </w:pPr>
                  <w:r>
                    <w:rPr>
                      <w:color w:val="auto"/>
                      <w:sz w:val="21"/>
                    </w:rPr>
                    <w:t>纳入国家和省级考核的地表水 监测断面水质优良率稳步提升，滇池流域、阳宗海流域水环境质量明显改善，水生态系统功能逐步恢复，滇池草海水质达Ⅳ类，滇池外海水质达Ⅳ类（化学需氧量≤40毫克/升)，阳宗海水质达Ⅲ类，集中式饮用水源水质巩固改善</w:t>
                  </w:r>
                </w:p>
              </w:tc>
              <w:tc>
                <w:tcPr>
                  <w:tcW w:w="2790" w:type="dxa"/>
                  <w:vAlign w:val="center"/>
                </w:tcPr>
                <w:p>
                  <w:pPr>
                    <w:pStyle w:val="61"/>
                    <w:spacing w:line="240" w:lineRule="auto"/>
                    <w:rPr>
                      <w:rFonts w:hint="default" w:eastAsia="宋体"/>
                      <w:color w:val="auto"/>
                      <w:sz w:val="21"/>
                      <w:szCs w:val="21"/>
                      <w:lang w:val="en-US" w:eastAsia="zh-CN"/>
                    </w:rPr>
                  </w:pPr>
                  <w:r>
                    <w:rPr>
                      <w:color w:val="auto"/>
                      <w:sz w:val="21"/>
                      <w:szCs w:val="21"/>
                    </w:rPr>
                    <w:t>项目区周围地表水为南盘江</w:t>
                  </w:r>
                  <w:r>
                    <w:rPr>
                      <w:rFonts w:hint="eastAsia"/>
                      <w:color w:val="auto"/>
                      <w:sz w:val="21"/>
                      <w:szCs w:val="21"/>
                    </w:rPr>
                    <w:t>，</w:t>
                  </w:r>
                  <w:r>
                    <w:rPr>
                      <w:color w:val="auto"/>
                      <w:sz w:val="21"/>
                      <w:szCs w:val="21"/>
                    </w:rPr>
                    <w:t>根据《2021年度昆明市生态环境状况公报》南盘江狗街断面水质类别为劣V 类，不能满足</w:t>
                  </w:r>
                  <w:r>
                    <w:rPr>
                      <w:rFonts w:hint="eastAsia"/>
                      <w:color w:val="auto"/>
                      <w:sz w:val="21"/>
                      <w:szCs w:val="21"/>
                    </w:rPr>
                    <w:t>《地表水环境质量标准》</w:t>
                  </w:r>
                  <w:r>
                    <w:rPr>
                      <w:color w:val="auto"/>
                      <w:sz w:val="21"/>
                      <w:szCs w:val="21"/>
                    </w:rPr>
                    <w:t>（GB3838-2002）</w:t>
                  </w:r>
                  <w:r>
                    <w:rPr>
                      <w:rFonts w:hint="eastAsia"/>
                      <w:color w:val="auto"/>
                      <w:sz w:val="21"/>
                      <w:szCs w:val="21"/>
                    </w:rPr>
                    <w:fldChar w:fldCharType="begin"/>
                  </w:r>
                  <w:r>
                    <w:rPr>
                      <w:rFonts w:hint="eastAsia"/>
                      <w:color w:val="auto"/>
                      <w:sz w:val="21"/>
                      <w:szCs w:val="21"/>
                    </w:rPr>
                    <w:instrText xml:space="preserve"> = 3 \* ROMAN \* MERGEFORMAT </w:instrText>
                  </w:r>
                  <w:r>
                    <w:rPr>
                      <w:rFonts w:hint="eastAsia"/>
                      <w:color w:val="auto"/>
                      <w:sz w:val="21"/>
                      <w:szCs w:val="21"/>
                    </w:rPr>
                    <w:fldChar w:fldCharType="separate"/>
                  </w:r>
                  <w:r>
                    <w:rPr>
                      <w:color w:val="auto"/>
                      <w:sz w:val="21"/>
                      <w:szCs w:val="21"/>
                    </w:rPr>
                    <w:t>III</w:t>
                  </w:r>
                  <w:r>
                    <w:rPr>
                      <w:rFonts w:hint="eastAsia"/>
                      <w:color w:val="auto"/>
                      <w:sz w:val="21"/>
                      <w:szCs w:val="21"/>
                    </w:rPr>
                    <w:fldChar w:fldCharType="end"/>
                  </w:r>
                  <w:r>
                    <w:rPr>
                      <w:color w:val="auto"/>
                      <w:sz w:val="21"/>
                      <w:szCs w:val="21"/>
                    </w:rPr>
                    <w:t>类标准</w:t>
                  </w:r>
                  <w:r>
                    <w:rPr>
                      <w:rFonts w:hint="eastAsia"/>
                      <w:color w:val="auto"/>
                      <w:sz w:val="21"/>
                      <w:szCs w:val="21"/>
                      <w:lang w:eastAsia="zh-CN"/>
                    </w:rPr>
                    <w:t>，</w:t>
                  </w:r>
                  <w:r>
                    <w:rPr>
                      <w:rFonts w:hint="eastAsia"/>
                      <w:color w:val="auto"/>
                      <w:sz w:val="21"/>
                      <w:szCs w:val="21"/>
                      <w:lang w:val="en-US" w:eastAsia="zh-CN"/>
                    </w:rPr>
                    <w:t>本项目无废水直排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5" w:type="dxa"/>
                  <w:vMerge w:val="continue"/>
                  <w:vAlign w:val="center"/>
                </w:tcPr>
                <w:p>
                  <w:pPr>
                    <w:pStyle w:val="61"/>
                    <w:spacing w:line="240" w:lineRule="auto"/>
                    <w:rPr>
                      <w:rFonts w:ascii="Times New Roman" w:hAnsi="Times New Roman"/>
                      <w:color w:val="auto"/>
                      <w:sz w:val="21"/>
                      <w:szCs w:val="21"/>
                    </w:rPr>
                  </w:pPr>
                </w:p>
              </w:tc>
              <w:tc>
                <w:tcPr>
                  <w:tcW w:w="451" w:type="dxa"/>
                  <w:vAlign w:val="center"/>
                </w:tcPr>
                <w:p>
                  <w:pPr>
                    <w:pStyle w:val="61"/>
                    <w:spacing w:line="240" w:lineRule="auto"/>
                    <w:jc w:val="center"/>
                    <w:rPr>
                      <w:rFonts w:ascii="Times New Roman" w:hAnsi="Times New Roman"/>
                      <w:color w:val="auto"/>
                      <w:sz w:val="21"/>
                      <w:szCs w:val="21"/>
                    </w:rPr>
                  </w:pPr>
                  <w:r>
                    <w:rPr>
                      <w:rFonts w:ascii="Times New Roman" w:hAnsi="Times New Roman"/>
                      <w:color w:val="auto"/>
                      <w:sz w:val="21"/>
                      <w:szCs w:val="21"/>
                    </w:rPr>
                    <w:t>土壤环境</w:t>
                  </w:r>
                </w:p>
              </w:tc>
              <w:tc>
                <w:tcPr>
                  <w:tcW w:w="3149" w:type="dxa"/>
                  <w:gridSpan w:val="2"/>
                  <w:vAlign w:val="center"/>
                </w:tcPr>
                <w:p>
                  <w:pPr>
                    <w:pStyle w:val="61"/>
                    <w:spacing w:line="240" w:lineRule="auto"/>
                    <w:rPr>
                      <w:rFonts w:ascii="Times New Roman" w:hAnsi="Times New Roman"/>
                      <w:color w:val="auto"/>
                      <w:sz w:val="21"/>
                      <w:szCs w:val="21"/>
                    </w:rPr>
                  </w:pPr>
                  <w:r>
                    <w:rPr>
                      <w:color w:val="auto"/>
                      <w:sz w:val="21"/>
                    </w:rPr>
                    <w:t>土壤环境风险防范体系进一步完善，受污染耕地安全利用率和污染地块安全利用率进一步提高，逐步改善全市土壤环境质量，遏制土壤污染恶化趋势，土壤环境风险得到基本管控。污染地块安全利用率、耕地土壤环境质量达国家和云南省考核要求</w:t>
                  </w:r>
                </w:p>
              </w:tc>
              <w:tc>
                <w:tcPr>
                  <w:tcW w:w="2790" w:type="dxa"/>
                  <w:vAlign w:val="center"/>
                </w:tcPr>
                <w:p>
                  <w:pPr>
                    <w:pStyle w:val="61"/>
                    <w:spacing w:line="240" w:lineRule="auto"/>
                    <w:rPr>
                      <w:rFonts w:ascii="Times New Roman" w:hAnsi="Times New Roman"/>
                      <w:color w:val="auto"/>
                      <w:sz w:val="21"/>
                      <w:szCs w:val="21"/>
                    </w:rPr>
                  </w:pPr>
                  <w:r>
                    <w:rPr>
                      <w:rFonts w:ascii="Times New Roman" w:hAnsi="Times New Roman"/>
                      <w:color w:val="auto"/>
                      <w:sz w:val="21"/>
                      <w:szCs w:val="21"/>
                    </w:rPr>
                    <w:t>本项目不占用基本农田和耕地</w:t>
                  </w:r>
                  <w:r>
                    <w:rPr>
                      <w:rFonts w:hint="eastAsia" w:ascii="Times New Roman" w:hAnsi="Times New Roman"/>
                      <w:color w:val="auto"/>
                      <w:sz w:val="21"/>
                      <w:szCs w:val="21"/>
                    </w:rPr>
                    <w:t>，</w:t>
                  </w:r>
                  <w:r>
                    <w:rPr>
                      <w:rFonts w:ascii="Times New Roman" w:hAnsi="Times New Roman"/>
                      <w:color w:val="auto"/>
                      <w:sz w:val="21"/>
                      <w:szCs w:val="21"/>
                    </w:rPr>
                    <w:t>且项目土壤污染防治措施完善</w:t>
                  </w:r>
                  <w:r>
                    <w:rPr>
                      <w:rFonts w:hint="eastAsia" w:ascii="Times New Roman" w:hAnsi="Times New Roman"/>
                      <w:color w:val="auto"/>
                      <w:sz w:val="21"/>
                      <w:szCs w:val="21"/>
                    </w:rPr>
                    <w:t>，</w:t>
                  </w:r>
                  <w:r>
                    <w:rPr>
                      <w:rFonts w:ascii="Times New Roman" w:hAnsi="Times New Roman"/>
                      <w:color w:val="auto"/>
                      <w:sz w:val="21"/>
                      <w:szCs w:val="21"/>
                    </w:rPr>
                    <w:t>度周边土壤环境影响较小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96" w:type="dxa"/>
                  <w:gridSpan w:val="2"/>
                  <w:vAlign w:val="center"/>
                </w:tcPr>
                <w:p>
                  <w:pPr>
                    <w:pStyle w:val="61"/>
                    <w:spacing w:line="240" w:lineRule="auto"/>
                    <w:jc w:val="center"/>
                    <w:rPr>
                      <w:rFonts w:ascii="Times New Roman" w:hAnsi="Times New Roman"/>
                      <w:color w:val="auto"/>
                      <w:sz w:val="21"/>
                      <w:szCs w:val="21"/>
                    </w:rPr>
                  </w:pPr>
                  <w:r>
                    <w:rPr>
                      <w:rFonts w:ascii="Times New Roman" w:hAnsi="Times New Roman"/>
                      <w:color w:val="auto"/>
                      <w:sz w:val="21"/>
                      <w:szCs w:val="21"/>
                    </w:rPr>
                    <w:t>资源利用上线</w:t>
                  </w:r>
                </w:p>
              </w:tc>
              <w:tc>
                <w:tcPr>
                  <w:tcW w:w="3149" w:type="dxa"/>
                  <w:gridSpan w:val="2"/>
                  <w:vAlign w:val="center"/>
                </w:tcPr>
                <w:p>
                  <w:pPr>
                    <w:pStyle w:val="61"/>
                    <w:spacing w:line="240" w:lineRule="auto"/>
                    <w:rPr>
                      <w:color w:val="auto"/>
                      <w:sz w:val="21"/>
                    </w:rPr>
                  </w:pPr>
                  <w:r>
                    <w:rPr>
                      <w:color w:val="auto"/>
                      <w:sz w:val="21"/>
                    </w:rPr>
                    <w:t>按照国家、省、市有关要求和规 划，按时完成全市用水总量、用水 效率、限制纳污“三条红线”水资源上限控制指标；按时完成耕地保有量、基本农田保护面积、建设用地总规模等土地资源利用上限控制指标；按时完成单位GDP能耗下降率、能源消费总量等能源控制指标</w:t>
                  </w:r>
                </w:p>
              </w:tc>
              <w:tc>
                <w:tcPr>
                  <w:tcW w:w="2790" w:type="dxa"/>
                  <w:vAlign w:val="center"/>
                </w:tcPr>
                <w:p>
                  <w:pPr>
                    <w:pStyle w:val="61"/>
                    <w:spacing w:line="240" w:lineRule="auto"/>
                    <w:rPr>
                      <w:rFonts w:ascii="Times New Roman" w:hAnsi="Times New Roman"/>
                      <w:color w:val="auto"/>
                      <w:sz w:val="21"/>
                      <w:szCs w:val="21"/>
                    </w:rPr>
                  </w:pPr>
                  <w:r>
                    <w:rPr>
                      <w:rFonts w:ascii="Times New Roman" w:hAnsi="Times New Roman"/>
                      <w:color w:val="auto"/>
                      <w:sz w:val="21"/>
                      <w:szCs w:val="21"/>
                    </w:rPr>
                    <w:t>本项目运营期用水量远小于区域水资源储备量</w:t>
                  </w:r>
                  <w:r>
                    <w:rPr>
                      <w:rFonts w:hint="eastAsia" w:ascii="Times New Roman" w:hAnsi="Times New Roman"/>
                      <w:color w:val="auto"/>
                      <w:sz w:val="21"/>
                      <w:szCs w:val="21"/>
                    </w:rPr>
                    <w:t>，</w:t>
                  </w:r>
                  <w:r>
                    <w:rPr>
                      <w:rFonts w:ascii="Times New Roman" w:hAnsi="Times New Roman"/>
                      <w:color w:val="auto"/>
                      <w:sz w:val="21"/>
                      <w:szCs w:val="21"/>
                    </w:rPr>
                    <w:t>不会突破水资源上限控制指标</w:t>
                  </w:r>
                  <w:r>
                    <w:rPr>
                      <w:rFonts w:hint="eastAsia" w:ascii="Times New Roman" w:hAnsi="Times New Roman"/>
                      <w:color w:val="auto"/>
                      <w:sz w:val="21"/>
                      <w:szCs w:val="21"/>
                    </w:rPr>
                    <w:t>，</w:t>
                  </w:r>
                  <w:r>
                    <w:rPr>
                      <w:rFonts w:ascii="Times New Roman" w:hAnsi="Times New Roman"/>
                      <w:color w:val="auto"/>
                      <w:sz w:val="21"/>
                      <w:szCs w:val="21"/>
                    </w:rPr>
                    <w:t>项目建设用地不占用生态保护红线和基本农田</w:t>
                  </w:r>
                  <w:r>
                    <w:rPr>
                      <w:rFonts w:hint="eastAsia" w:ascii="Times New Roman" w:hAnsi="Times New Roman"/>
                      <w:color w:val="auto"/>
                      <w:sz w:val="21"/>
                      <w:szCs w:val="21"/>
                    </w:rPr>
                    <w:t>。项目建设不会突破区域资源利用上线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5" w:type="dxa"/>
                  <w:vMerge w:val="restart"/>
                  <w:vAlign w:val="center"/>
                </w:tcPr>
                <w:p>
                  <w:pPr>
                    <w:pStyle w:val="61"/>
                    <w:spacing w:line="240" w:lineRule="auto"/>
                    <w:jc w:val="center"/>
                    <w:rPr>
                      <w:rFonts w:ascii="Times New Roman" w:hAnsi="Times New Roman"/>
                      <w:color w:val="auto"/>
                      <w:sz w:val="21"/>
                      <w:szCs w:val="21"/>
                    </w:rPr>
                  </w:pPr>
                  <w:r>
                    <w:rPr>
                      <w:rFonts w:hint="eastAsia" w:ascii="Times New Roman" w:hAnsi="Times New Roman"/>
                      <w:color w:val="auto"/>
                      <w:sz w:val="21"/>
                      <w:szCs w:val="21"/>
                    </w:rPr>
                    <w:t>宜良工业园区</w:t>
                  </w:r>
                </w:p>
              </w:tc>
              <w:tc>
                <w:tcPr>
                  <w:tcW w:w="451" w:type="dxa"/>
                  <w:vMerge w:val="restart"/>
                  <w:vAlign w:val="center"/>
                </w:tcPr>
                <w:p>
                  <w:pPr>
                    <w:pStyle w:val="61"/>
                    <w:spacing w:line="240" w:lineRule="auto"/>
                    <w:jc w:val="center"/>
                    <w:rPr>
                      <w:rFonts w:ascii="Times New Roman" w:hAnsi="Times New Roman"/>
                      <w:color w:val="auto"/>
                      <w:sz w:val="21"/>
                      <w:szCs w:val="21"/>
                    </w:rPr>
                  </w:pPr>
                  <w:r>
                    <w:rPr>
                      <w:rFonts w:ascii="Times New Roman" w:hAnsi="Times New Roman"/>
                      <w:color w:val="auto"/>
                      <w:sz w:val="21"/>
                      <w:szCs w:val="21"/>
                    </w:rPr>
                    <w:t>重点管控单元</w:t>
                  </w:r>
                </w:p>
              </w:tc>
              <w:tc>
                <w:tcPr>
                  <w:tcW w:w="491" w:type="dxa"/>
                  <w:vMerge w:val="restart"/>
                  <w:vAlign w:val="center"/>
                </w:tcPr>
                <w:p>
                  <w:pPr>
                    <w:pStyle w:val="61"/>
                    <w:spacing w:line="240" w:lineRule="auto"/>
                    <w:jc w:val="center"/>
                    <w:rPr>
                      <w:rFonts w:ascii="Times New Roman" w:hAnsi="Times New Roman"/>
                      <w:color w:val="auto"/>
                      <w:sz w:val="21"/>
                      <w:szCs w:val="21"/>
                    </w:rPr>
                  </w:pPr>
                  <w:r>
                    <w:rPr>
                      <w:rFonts w:ascii="Times New Roman" w:hAnsi="Times New Roman"/>
                      <w:color w:val="auto"/>
                      <w:sz w:val="21"/>
                      <w:szCs w:val="21"/>
                    </w:rPr>
                    <w:t>空间布局</w:t>
                  </w:r>
                </w:p>
                <w:p>
                  <w:pPr>
                    <w:pStyle w:val="61"/>
                    <w:spacing w:line="240" w:lineRule="auto"/>
                    <w:jc w:val="center"/>
                    <w:rPr>
                      <w:rFonts w:ascii="Times New Roman" w:hAnsi="Times New Roman"/>
                      <w:color w:val="auto"/>
                      <w:sz w:val="21"/>
                      <w:szCs w:val="21"/>
                    </w:rPr>
                  </w:pPr>
                  <w:r>
                    <w:rPr>
                      <w:rFonts w:ascii="Times New Roman" w:hAnsi="Times New Roman"/>
                      <w:color w:val="auto"/>
                      <w:sz w:val="21"/>
                      <w:szCs w:val="21"/>
                    </w:rPr>
                    <w:t>约束</w:t>
                  </w:r>
                </w:p>
              </w:tc>
              <w:tc>
                <w:tcPr>
                  <w:tcW w:w="2658" w:type="dxa"/>
                  <w:vAlign w:val="center"/>
                </w:tcPr>
                <w:p>
                  <w:pPr>
                    <w:rPr>
                      <w:color w:val="auto"/>
                      <w:szCs w:val="21"/>
                    </w:rPr>
                  </w:pPr>
                  <w:r>
                    <w:rPr>
                      <w:rStyle w:val="62"/>
                      <w:color w:val="auto"/>
                      <w:kern w:val="0"/>
                      <w:szCs w:val="21"/>
                    </w:rPr>
                    <w:t>重点发展有色金属新材料、装备制造、新型建材、特色轻工业等产业</w:t>
                  </w:r>
                </w:p>
              </w:tc>
              <w:tc>
                <w:tcPr>
                  <w:tcW w:w="2790" w:type="dxa"/>
                  <w:vMerge w:val="restart"/>
                  <w:vAlign w:val="center"/>
                </w:tcPr>
                <w:p>
                  <w:pPr>
                    <w:pStyle w:val="61"/>
                    <w:spacing w:line="240" w:lineRule="auto"/>
                    <w:rPr>
                      <w:rFonts w:ascii="Times New Roman" w:hAnsi="Times New Roman"/>
                      <w:color w:val="auto"/>
                      <w:sz w:val="21"/>
                      <w:szCs w:val="21"/>
                    </w:rPr>
                  </w:pPr>
                  <w:r>
                    <w:rPr>
                      <w:rFonts w:hint="eastAsia" w:ascii="Times New Roman" w:hAnsi="Times New Roman"/>
                      <w:color w:val="auto"/>
                      <w:sz w:val="21"/>
                      <w:szCs w:val="21"/>
                    </w:rPr>
                    <w:t>本项目位于</w:t>
                  </w:r>
                  <w:r>
                    <w:rPr>
                      <w:color w:val="auto"/>
                      <w:sz w:val="21"/>
                      <w:szCs w:val="21"/>
                    </w:rPr>
                    <w:t>宜良工业园区北古城片区</w:t>
                  </w:r>
                  <w:r>
                    <w:rPr>
                      <w:rFonts w:hint="eastAsia" w:ascii="Times New Roman" w:hAnsi="Times New Roman"/>
                      <w:color w:val="auto"/>
                      <w:sz w:val="21"/>
                      <w:szCs w:val="21"/>
                    </w:rPr>
                    <w:t>，生产耐火材料，属于建材行业，周边未见</w:t>
                  </w:r>
                  <w:r>
                    <w:rPr>
                      <w:rStyle w:val="62"/>
                      <w:color w:val="auto"/>
                      <w:spacing w:val="-6"/>
                      <w:sz w:val="21"/>
                      <w:szCs w:val="21"/>
                    </w:rPr>
                    <w:t>食品、医药等易受冶金、化工、建材行业污染影响的行业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5" w:type="dxa"/>
                  <w:vMerge w:val="continue"/>
                  <w:vAlign w:val="center"/>
                </w:tcPr>
                <w:p>
                  <w:pPr>
                    <w:pStyle w:val="61"/>
                    <w:spacing w:line="240" w:lineRule="auto"/>
                    <w:jc w:val="center"/>
                    <w:rPr>
                      <w:rFonts w:ascii="Times New Roman" w:hAnsi="Times New Roman"/>
                      <w:color w:val="auto"/>
                      <w:sz w:val="21"/>
                      <w:szCs w:val="21"/>
                    </w:rPr>
                  </w:pPr>
                </w:p>
              </w:tc>
              <w:tc>
                <w:tcPr>
                  <w:tcW w:w="451" w:type="dxa"/>
                  <w:vMerge w:val="continue"/>
                  <w:vAlign w:val="center"/>
                </w:tcPr>
                <w:p>
                  <w:pPr>
                    <w:pStyle w:val="61"/>
                    <w:spacing w:line="240" w:lineRule="auto"/>
                    <w:jc w:val="center"/>
                    <w:rPr>
                      <w:rFonts w:ascii="Times New Roman" w:hAnsi="Times New Roman"/>
                      <w:color w:val="auto"/>
                      <w:sz w:val="21"/>
                      <w:szCs w:val="21"/>
                    </w:rPr>
                  </w:pPr>
                </w:p>
              </w:tc>
              <w:tc>
                <w:tcPr>
                  <w:tcW w:w="491" w:type="dxa"/>
                  <w:vMerge w:val="continue"/>
                  <w:vAlign w:val="center"/>
                </w:tcPr>
                <w:p>
                  <w:pPr>
                    <w:pStyle w:val="61"/>
                    <w:spacing w:line="240" w:lineRule="auto"/>
                    <w:jc w:val="center"/>
                    <w:rPr>
                      <w:rFonts w:ascii="Times New Roman" w:hAnsi="Times New Roman"/>
                      <w:color w:val="auto"/>
                      <w:sz w:val="21"/>
                      <w:szCs w:val="21"/>
                    </w:rPr>
                  </w:pPr>
                </w:p>
              </w:tc>
              <w:tc>
                <w:tcPr>
                  <w:tcW w:w="2658" w:type="dxa"/>
                  <w:vAlign w:val="center"/>
                </w:tcPr>
                <w:p>
                  <w:pPr>
                    <w:pStyle w:val="61"/>
                    <w:spacing w:line="240" w:lineRule="auto"/>
                    <w:rPr>
                      <w:rFonts w:ascii="Times New Roman" w:hAnsi="Times New Roman"/>
                      <w:color w:val="auto"/>
                      <w:sz w:val="21"/>
                      <w:szCs w:val="21"/>
                    </w:rPr>
                  </w:pPr>
                  <w:r>
                    <w:rPr>
                      <w:rStyle w:val="62"/>
                      <w:color w:val="auto"/>
                      <w:spacing w:val="-6"/>
                      <w:sz w:val="21"/>
                      <w:szCs w:val="21"/>
                    </w:rPr>
                    <w:t>北古城园区、东山园区禁止发展农林、房地产（规划居住区除外）、食品、医药等易受冶金、化工、建材行业污染影响的行业；农产品加工园区禁止发展易对食品加工生产造成污染影响的冶金、化工、建材等行业</w:t>
                  </w:r>
                </w:p>
              </w:tc>
              <w:tc>
                <w:tcPr>
                  <w:tcW w:w="2790" w:type="dxa"/>
                  <w:vMerge w:val="continue"/>
                  <w:vAlign w:val="center"/>
                </w:tcPr>
                <w:p>
                  <w:pPr>
                    <w:pStyle w:val="61"/>
                    <w:spacing w:line="240" w:lineRule="auto"/>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5" w:type="dxa"/>
                  <w:vMerge w:val="continue"/>
                  <w:vAlign w:val="center"/>
                </w:tcPr>
                <w:p>
                  <w:pPr>
                    <w:pStyle w:val="61"/>
                    <w:spacing w:line="240" w:lineRule="auto"/>
                    <w:jc w:val="center"/>
                    <w:rPr>
                      <w:rFonts w:ascii="Times New Roman" w:hAnsi="Times New Roman"/>
                      <w:color w:val="auto"/>
                      <w:sz w:val="21"/>
                      <w:szCs w:val="21"/>
                    </w:rPr>
                  </w:pPr>
                </w:p>
              </w:tc>
              <w:tc>
                <w:tcPr>
                  <w:tcW w:w="451" w:type="dxa"/>
                  <w:vMerge w:val="continue"/>
                  <w:vAlign w:val="center"/>
                </w:tcPr>
                <w:p>
                  <w:pPr>
                    <w:pStyle w:val="61"/>
                    <w:spacing w:line="240" w:lineRule="auto"/>
                    <w:jc w:val="center"/>
                    <w:rPr>
                      <w:rFonts w:ascii="Times New Roman" w:hAnsi="Times New Roman"/>
                      <w:color w:val="auto"/>
                      <w:sz w:val="21"/>
                      <w:szCs w:val="21"/>
                    </w:rPr>
                  </w:pPr>
                </w:p>
              </w:tc>
              <w:tc>
                <w:tcPr>
                  <w:tcW w:w="491" w:type="dxa"/>
                  <w:vMerge w:val="continue"/>
                  <w:vAlign w:val="center"/>
                </w:tcPr>
                <w:p>
                  <w:pPr>
                    <w:pStyle w:val="61"/>
                    <w:spacing w:line="240" w:lineRule="auto"/>
                    <w:jc w:val="center"/>
                    <w:rPr>
                      <w:rFonts w:ascii="Times New Roman" w:hAnsi="Times New Roman"/>
                      <w:color w:val="auto"/>
                      <w:sz w:val="21"/>
                      <w:szCs w:val="21"/>
                    </w:rPr>
                  </w:pPr>
                </w:p>
              </w:tc>
              <w:tc>
                <w:tcPr>
                  <w:tcW w:w="2658" w:type="dxa"/>
                  <w:vAlign w:val="center"/>
                </w:tcPr>
                <w:p>
                  <w:pPr>
                    <w:pStyle w:val="61"/>
                    <w:spacing w:line="240" w:lineRule="auto"/>
                    <w:rPr>
                      <w:rStyle w:val="62"/>
                      <w:color w:val="auto"/>
                      <w:spacing w:val="-6"/>
                      <w:sz w:val="21"/>
                      <w:szCs w:val="21"/>
                    </w:rPr>
                  </w:pPr>
                  <w:r>
                    <w:rPr>
                      <w:rStyle w:val="62"/>
                      <w:color w:val="auto"/>
                      <w:spacing w:val="-6"/>
                      <w:sz w:val="21"/>
                      <w:szCs w:val="21"/>
                    </w:rPr>
                    <w:t>限制机电产品制造等高耗水和水污染严重企业</w:t>
                  </w:r>
                </w:p>
              </w:tc>
              <w:tc>
                <w:tcPr>
                  <w:tcW w:w="2790" w:type="dxa"/>
                  <w:vMerge w:val="continue"/>
                  <w:vAlign w:val="center"/>
                </w:tcPr>
                <w:p>
                  <w:pPr>
                    <w:pStyle w:val="61"/>
                    <w:spacing w:line="240" w:lineRule="auto"/>
                    <w:jc w:val="center"/>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5" w:type="dxa"/>
                  <w:vMerge w:val="continue"/>
                  <w:vAlign w:val="center"/>
                </w:tcPr>
                <w:p>
                  <w:pPr>
                    <w:pStyle w:val="61"/>
                    <w:spacing w:line="240" w:lineRule="auto"/>
                    <w:jc w:val="center"/>
                    <w:rPr>
                      <w:rFonts w:ascii="Times New Roman" w:hAnsi="Times New Roman"/>
                      <w:color w:val="auto"/>
                      <w:sz w:val="21"/>
                      <w:szCs w:val="21"/>
                    </w:rPr>
                  </w:pPr>
                </w:p>
              </w:tc>
              <w:tc>
                <w:tcPr>
                  <w:tcW w:w="451" w:type="dxa"/>
                  <w:vMerge w:val="continue"/>
                  <w:vAlign w:val="center"/>
                </w:tcPr>
                <w:p>
                  <w:pPr>
                    <w:pStyle w:val="61"/>
                    <w:spacing w:line="240" w:lineRule="auto"/>
                    <w:jc w:val="center"/>
                    <w:rPr>
                      <w:rFonts w:ascii="Times New Roman" w:hAnsi="Times New Roman"/>
                      <w:color w:val="auto"/>
                      <w:sz w:val="21"/>
                      <w:szCs w:val="21"/>
                    </w:rPr>
                  </w:pPr>
                </w:p>
              </w:tc>
              <w:tc>
                <w:tcPr>
                  <w:tcW w:w="491" w:type="dxa"/>
                  <w:vMerge w:val="restart"/>
                  <w:vAlign w:val="center"/>
                </w:tcPr>
                <w:p>
                  <w:pPr>
                    <w:pStyle w:val="61"/>
                    <w:spacing w:line="240" w:lineRule="auto"/>
                    <w:jc w:val="center"/>
                    <w:rPr>
                      <w:rFonts w:ascii="Times New Roman" w:hAnsi="Times New Roman"/>
                      <w:color w:val="auto"/>
                      <w:sz w:val="21"/>
                      <w:szCs w:val="21"/>
                    </w:rPr>
                  </w:pPr>
                  <w:r>
                    <w:rPr>
                      <w:rFonts w:ascii="Times New Roman" w:hAnsi="Times New Roman"/>
                      <w:color w:val="auto"/>
                      <w:sz w:val="21"/>
                      <w:szCs w:val="21"/>
                    </w:rPr>
                    <w:t>污染物排放管控</w:t>
                  </w:r>
                </w:p>
              </w:tc>
              <w:tc>
                <w:tcPr>
                  <w:tcW w:w="2658" w:type="dxa"/>
                  <w:vAlign w:val="center"/>
                </w:tcPr>
                <w:p>
                  <w:pPr>
                    <w:pStyle w:val="61"/>
                    <w:spacing w:line="240" w:lineRule="auto"/>
                    <w:rPr>
                      <w:rFonts w:ascii="Times New Roman" w:hAnsi="Times New Roman"/>
                      <w:color w:val="auto"/>
                      <w:sz w:val="21"/>
                      <w:szCs w:val="21"/>
                    </w:rPr>
                  </w:pPr>
                  <w:r>
                    <w:rPr>
                      <w:rStyle w:val="62"/>
                      <w:color w:val="auto"/>
                      <w:sz w:val="21"/>
                      <w:szCs w:val="21"/>
                    </w:rPr>
                    <w:t>实现达标排放，同时满足规划区总量控制要求</w:t>
                  </w:r>
                </w:p>
              </w:tc>
              <w:tc>
                <w:tcPr>
                  <w:tcW w:w="2790" w:type="dxa"/>
                  <w:vAlign w:val="center"/>
                </w:tcPr>
                <w:p>
                  <w:pPr>
                    <w:pStyle w:val="61"/>
                    <w:spacing w:line="240" w:lineRule="auto"/>
                    <w:rPr>
                      <w:rFonts w:ascii="Times New Roman" w:hAnsi="Times New Roman"/>
                      <w:color w:val="auto"/>
                      <w:sz w:val="21"/>
                      <w:szCs w:val="21"/>
                    </w:rPr>
                  </w:pPr>
                  <w:r>
                    <w:rPr>
                      <w:rFonts w:hint="eastAsia" w:ascii="Times New Roman" w:hAnsi="Times New Roman"/>
                      <w:color w:val="auto"/>
                      <w:sz w:val="21"/>
                      <w:szCs w:val="21"/>
                    </w:rPr>
                    <w:t>项目污染物可达标排放，也满足</w:t>
                  </w:r>
                  <w:r>
                    <w:rPr>
                      <w:rStyle w:val="62"/>
                      <w:color w:val="auto"/>
                      <w:sz w:val="21"/>
                      <w:szCs w:val="21"/>
                    </w:rPr>
                    <w:t>规划区总量控制要求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5" w:type="dxa"/>
                  <w:vMerge w:val="continue"/>
                  <w:vAlign w:val="center"/>
                </w:tcPr>
                <w:p>
                  <w:pPr>
                    <w:pStyle w:val="61"/>
                    <w:spacing w:line="240" w:lineRule="auto"/>
                    <w:jc w:val="center"/>
                    <w:rPr>
                      <w:rFonts w:ascii="Times New Roman" w:hAnsi="Times New Roman"/>
                      <w:color w:val="auto"/>
                      <w:sz w:val="21"/>
                      <w:szCs w:val="21"/>
                    </w:rPr>
                  </w:pPr>
                </w:p>
              </w:tc>
              <w:tc>
                <w:tcPr>
                  <w:tcW w:w="451" w:type="dxa"/>
                  <w:vMerge w:val="continue"/>
                  <w:vAlign w:val="center"/>
                </w:tcPr>
                <w:p>
                  <w:pPr>
                    <w:pStyle w:val="61"/>
                    <w:spacing w:line="240" w:lineRule="auto"/>
                    <w:jc w:val="center"/>
                    <w:rPr>
                      <w:rFonts w:ascii="Times New Roman" w:hAnsi="Times New Roman"/>
                      <w:color w:val="auto"/>
                      <w:sz w:val="21"/>
                      <w:szCs w:val="21"/>
                    </w:rPr>
                  </w:pPr>
                </w:p>
              </w:tc>
              <w:tc>
                <w:tcPr>
                  <w:tcW w:w="491" w:type="dxa"/>
                  <w:vMerge w:val="continue"/>
                  <w:vAlign w:val="center"/>
                </w:tcPr>
                <w:p>
                  <w:pPr>
                    <w:pStyle w:val="61"/>
                    <w:spacing w:line="240" w:lineRule="auto"/>
                    <w:jc w:val="center"/>
                    <w:rPr>
                      <w:rFonts w:ascii="Times New Roman" w:hAnsi="Times New Roman"/>
                      <w:color w:val="auto"/>
                      <w:sz w:val="21"/>
                      <w:szCs w:val="21"/>
                    </w:rPr>
                  </w:pPr>
                </w:p>
              </w:tc>
              <w:tc>
                <w:tcPr>
                  <w:tcW w:w="2658" w:type="dxa"/>
                  <w:vAlign w:val="center"/>
                </w:tcPr>
                <w:p>
                  <w:pPr>
                    <w:pStyle w:val="61"/>
                    <w:spacing w:line="240" w:lineRule="auto"/>
                    <w:rPr>
                      <w:rFonts w:ascii="Times New Roman" w:hAnsi="Times New Roman"/>
                      <w:color w:val="auto"/>
                      <w:sz w:val="21"/>
                      <w:szCs w:val="21"/>
                    </w:rPr>
                  </w:pPr>
                  <w:r>
                    <w:rPr>
                      <w:rStyle w:val="62"/>
                      <w:color w:val="auto"/>
                      <w:sz w:val="21"/>
                      <w:szCs w:val="21"/>
                    </w:rPr>
                    <w:t>入驻企业产生的各种工业固体废弃物，应满足“减量化、资源化、无害化”要求，实现废物的综合利用</w:t>
                  </w:r>
                </w:p>
              </w:tc>
              <w:tc>
                <w:tcPr>
                  <w:tcW w:w="2790" w:type="dxa"/>
                  <w:vAlign w:val="center"/>
                </w:tcPr>
                <w:p>
                  <w:pPr>
                    <w:pStyle w:val="61"/>
                    <w:spacing w:line="240" w:lineRule="auto"/>
                    <w:rPr>
                      <w:rStyle w:val="62"/>
                      <w:color w:val="auto"/>
                      <w:sz w:val="21"/>
                      <w:szCs w:val="21"/>
                    </w:rPr>
                  </w:pPr>
                  <w:r>
                    <w:rPr>
                      <w:rStyle w:val="62"/>
                      <w:rFonts w:hint="eastAsia"/>
                      <w:color w:val="auto"/>
                      <w:sz w:val="21"/>
                      <w:szCs w:val="21"/>
                    </w:rPr>
                    <w:t>项目运营期产生一般固废能利用的收集外售，不能利用的由环卫部门清运，危险废物委托有危废处置资质的单位清运处置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5" w:type="dxa"/>
                  <w:vMerge w:val="continue"/>
                  <w:vAlign w:val="center"/>
                </w:tcPr>
                <w:p>
                  <w:pPr>
                    <w:pStyle w:val="61"/>
                    <w:spacing w:line="240" w:lineRule="auto"/>
                    <w:jc w:val="center"/>
                    <w:rPr>
                      <w:rFonts w:ascii="Times New Roman" w:hAnsi="Times New Roman"/>
                      <w:color w:val="auto"/>
                      <w:sz w:val="21"/>
                      <w:szCs w:val="21"/>
                    </w:rPr>
                  </w:pPr>
                </w:p>
              </w:tc>
              <w:tc>
                <w:tcPr>
                  <w:tcW w:w="451" w:type="dxa"/>
                  <w:vMerge w:val="continue"/>
                  <w:vAlign w:val="center"/>
                </w:tcPr>
                <w:p>
                  <w:pPr>
                    <w:pStyle w:val="61"/>
                    <w:spacing w:line="240" w:lineRule="auto"/>
                    <w:jc w:val="center"/>
                    <w:rPr>
                      <w:rFonts w:ascii="Times New Roman" w:hAnsi="Times New Roman"/>
                      <w:color w:val="auto"/>
                      <w:sz w:val="21"/>
                      <w:szCs w:val="21"/>
                    </w:rPr>
                  </w:pPr>
                </w:p>
              </w:tc>
              <w:tc>
                <w:tcPr>
                  <w:tcW w:w="491" w:type="dxa"/>
                  <w:vMerge w:val="restart"/>
                  <w:vAlign w:val="center"/>
                </w:tcPr>
                <w:p>
                  <w:pPr>
                    <w:pStyle w:val="61"/>
                    <w:spacing w:line="240" w:lineRule="auto"/>
                    <w:jc w:val="center"/>
                    <w:rPr>
                      <w:rFonts w:ascii="Times New Roman" w:hAnsi="Times New Roman"/>
                      <w:color w:val="auto"/>
                      <w:sz w:val="21"/>
                      <w:szCs w:val="21"/>
                    </w:rPr>
                  </w:pPr>
                  <w:r>
                    <w:rPr>
                      <w:rFonts w:ascii="Times New Roman" w:hAnsi="Times New Roman"/>
                      <w:color w:val="auto"/>
                      <w:sz w:val="21"/>
                      <w:szCs w:val="21"/>
                    </w:rPr>
                    <w:t>环境风险防控</w:t>
                  </w:r>
                </w:p>
              </w:tc>
              <w:tc>
                <w:tcPr>
                  <w:tcW w:w="2658" w:type="dxa"/>
                  <w:vAlign w:val="center"/>
                </w:tcPr>
                <w:p>
                  <w:pPr>
                    <w:pStyle w:val="61"/>
                    <w:spacing w:line="240" w:lineRule="auto"/>
                    <w:rPr>
                      <w:rStyle w:val="62"/>
                      <w:color w:val="auto"/>
                      <w:sz w:val="21"/>
                      <w:szCs w:val="21"/>
                    </w:rPr>
                  </w:pPr>
                  <w:r>
                    <w:rPr>
                      <w:rStyle w:val="62"/>
                      <w:color w:val="auto"/>
                      <w:sz w:val="21"/>
                      <w:szCs w:val="21"/>
                    </w:rPr>
                    <w:t>制定突发环境事件应急预案，完善风险管理机制，加强风险控制防范。建立区域环境监测制度，加强规划实施的跟踪监测与管理。对园区地表水、地下水、空气、土壤、噪声等进行系统监测，适时跟踪环境质量变化情况，根据监测情况及时采取相应环保措施</w:t>
                  </w:r>
                </w:p>
              </w:tc>
              <w:tc>
                <w:tcPr>
                  <w:tcW w:w="2790" w:type="dxa"/>
                  <w:vMerge w:val="restart"/>
                  <w:vAlign w:val="center"/>
                </w:tcPr>
                <w:p>
                  <w:pPr>
                    <w:pStyle w:val="61"/>
                    <w:spacing w:line="240" w:lineRule="auto"/>
                    <w:rPr>
                      <w:rFonts w:ascii="Times New Roman" w:hAnsi="Times New Roman"/>
                      <w:color w:val="auto"/>
                      <w:sz w:val="21"/>
                      <w:szCs w:val="21"/>
                    </w:rPr>
                  </w:pPr>
                  <w:r>
                    <w:rPr>
                      <w:rFonts w:hint="eastAsia" w:ascii="Times New Roman" w:hAnsi="Times New Roman"/>
                      <w:color w:val="auto"/>
                      <w:sz w:val="21"/>
                      <w:szCs w:val="21"/>
                    </w:rPr>
                    <w:t>项目改扩建完成后编制应急预案，并积极开展应急演练，且本次环评严格按照先关要求制定了运营期监测计划，便于在发现污染情况时及时采取相应的环保措施，防止区域环境恶化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5" w:type="dxa"/>
                  <w:vMerge w:val="continue"/>
                  <w:vAlign w:val="center"/>
                </w:tcPr>
                <w:p>
                  <w:pPr>
                    <w:pStyle w:val="61"/>
                    <w:spacing w:line="240" w:lineRule="auto"/>
                    <w:jc w:val="center"/>
                    <w:rPr>
                      <w:rFonts w:ascii="Times New Roman" w:hAnsi="Times New Roman"/>
                      <w:color w:val="auto"/>
                      <w:sz w:val="21"/>
                      <w:szCs w:val="21"/>
                    </w:rPr>
                  </w:pPr>
                </w:p>
              </w:tc>
              <w:tc>
                <w:tcPr>
                  <w:tcW w:w="451" w:type="dxa"/>
                  <w:vMerge w:val="continue"/>
                  <w:vAlign w:val="center"/>
                </w:tcPr>
                <w:p>
                  <w:pPr>
                    <w:pStyle w:val="61"/>
                    <w:spacing w:line="240" w:lineRule="auto"/>
                    <w:jc w:val="center"/>
                    <w:rPr>
                      <w:rFonts w:ascii="Times New Roman" w:hAnsi="Times New Roman"/>
                      <w:color w:val="auto"/>
                      <w:sz w:val="21"/>
                      <w:szCs w:val="21"/>
                    </w:rPr>
                  </w:pPr>
                </w:p>
              </w:tc>
              <w:tc>
                <w:tcPr>
                  <w:tcW w:w="491" w:type="dxa"/>
                  <w:vMerge w:val="continue"/>
                  <w:vAlign w:val="center"/>
                </w:tcPr>
                <w:p>
                  <w:pPr>
                    <w:pStyle w:val="61"/>
                    <w:spacing w:line="240" w:lineRule="auto"/>
                    <w:jc w:val="center"/>
                    <w:rPr>
                      <w:rFonts w:ascii="Times New Roman" w:hAnsi="Times New Roman"/>
                      <w:color w:val="auto"/>
                      <w:sz w:val="21"/>
                      <w:szCs w:val="21"/>
                    </w:rPr>
                  </w:pPr>
                </w:p>
              </w:tc>
              <w:tc>
                <w:tcPr>
                  <w:tcW w:w="2658" w:type="dxa"/>
                  <w:vAlign w:val="center"/>
                </w:tcPr>
                <w:p>
                  <w:pPr>
                    <w:pStyle w:val="61"/>
                    <w:spacing w:line="240" w:lineRule="auto"/>
                    <w:rPr>
                      <w:rStyle w:val="62"/>
                      <w:color w:val="auto"/>
                      <w:sz w:val="21"/>
                      <w:szCs w:val="21"/>
                    </w:rPr>
                  </w:pPr>
                  <w:r>
                    <w:rPr>
                      <w:rStyle w:val="62"/>
                      <w:color w:val="auto"/>
                      <w:sz w:val="21"/>
                      <w:szCs w:val="21"/>
                    </w:rPr>
                    <w:t>工业企业应有完善的风险防范措施，其最大可信事故半致死浓度范围内不得有居民点存在。重污染企业周边合理设置环境防护距离，保障居民生活环境的安全</w:t>
                  </w:r>
                </w:p>
              </w:tc>
              <w:tc>
                <w:tcPr>
                  <w:tcW w:w="2790" w:type="dxa"/>
                  <w:vMerge w:val="continue"/>
                  <w:vAlign w:val="center"/>
                </w:tcPr>
                <w:p>
                  <w:pPr>
                    <w:pStyle w:val="61"/>
                    <w:spacing w:line="240" w:lineRule="auto"/>
                    <w:jc w:val="center"/>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5" w:type="dxa"/>
                  <w:vMerge w:val="continue"/>
                  <w:vAlign w:val="center"/>
                </w:tcPr>
                <w:p>
                  <w:pPr>
                    <w:pStyle w:val="61"/>
                    <w:spacing w:line="240" w:lineRule="auto"/>
                    <w:rPr>
                      <w:rFonts w:ascii="Times New Roman" w:hAnsi="Times New Roman"/>
                      <w:color w:val="auto"/>
                      <w:sz w:val="21"/>
                      <w:szCs w:val="21"/>
                    </w:rPr>
                  </w:pPr>
                </w:p>
              </w:tc>
              <w:tc>
                <w:tcPr>
                  <w:tcW w:w="451" w:type="dxa"/>
                  <w:vMerge w:val="continue"/>
                  <w:vAlign w:val="center"/>
                </w:tcPr>
                <w:p>
                  <w:pPr>
                    <w:pStyle w:val="61"/>
                    <w:spacing w:line="240" w:lineRule="auto"/>
                    <w:rPr>
                      <w:rFonts w:ascii="Times New Roman" w:hAnsi="Times New Roman"/>
                      <w:color w:val="auto"/>
                      <w:sz w:val="21"/>
                      <w:szCs w:val="21"/>
                    </w:rPr>
                  </w:pPr>
                </w:p>
              </w:tc>
              <w:tc>
                <w:tcPr>
                  <w:tcW w:w="491" w:type="dxa"/>
                  <w:vMerge w:val="continue"/>
                  <w:vAlign w:val="center"/>
                </w:tcPr>
                <w:p>
                  <w:pPr>
                    <w:pStyle w:val="61"/>
                    <w:spacing w:line="240" w:lineRule="auto"/>
                    <w:rPr>
                      <w:rFonts w:ascii="Times New Roman" w:hAnsi="Times New Roman"/>
                      <w:color w:val="auto"/>
                      <w:sz w:val="21"/>
                      <w:szCs w:val="21"/>
                    </w:rPr>
                  </w:pPr>
                </w:p>
              </w:tc>
              <w:tc>
                <w:tcPr>
                  <w:tcW w:w="2658" w:type="dxa"/>
                  <w:vAlign w:val="center"/>
                </w:tcPr>
                <w:p>
                  <w:pPr>
                    <w:pStyle w:val="61"/>
                    <w:spacing w:line="240" w:lineRule="auto"/>
                    <w:rPr>
                      <w:rStyle w:val="62"/>
                      <w:color w:val="auto"/>
                      <w:sz w:val="21"/>
                      <w:szCs w:val="21"/>
                    </w:rPr>
                  </w:pPr>
                  <w:r>
                    <w:rPr>
                      <w:rStyle w:val="62"/>
                      <w:color w:val="auto"/>
                      <w:sz w:val="21"/>
                      <w:szCs w:val="21"/>
                    </w:rPr>
                    <w:t>按照资源节约的原则，冶金、建材清洁生产水平应达国际先进，其余产业清洁生产水平应达到国内先进水平以上</w:t>
                  </w:r>
                </w:p>
              </w:tc>
              <w:tc>
                <w:tcPr>
                  <w:tcW w:w="2790" w:type="dxa"/>
                  <w:vAlign w:val="center"/>
                </w:tcPr>
                <w:p>
                  <w:pPr>
                    <w:pStyle w:val="61"/>
                    <w:spacing w:line="240" w:lineRule="auto"/>
                    <w:jc w:val="center"/>
                    <w:rPr>
                      <w:rFonts w:ascii="Times New Roman" w:hAnsi="Times New Roman"/>
                      <w:color w:val="auto"/>
                      <w:sz w:val="21"/>
                      <w:szCs w:val="21"/>
                    </w:rPr>
                  </w:pPr>
                  <w:r>
                    <w:rPr>
                      <w:rFonts w:hint="eastAsia" w:ascii="Times New Roman" w:hAnsi="Times New Roman"/>
                      <w:color w:val="auto"/>
                      <w:sz w:val="21"/>
                      <w:szCs w:val="21"/>
                    </w:rPr>
                    <w:t>项目采用先进生产工艺和生产设备</w:t>
                  </w:r>
                </w:p>
              </w:tc>
            </w:tr>
          </w:tbl>
          <w:p>
            <w:pPr>
              <w:adjustRightInd w:val="0"/>
              <w:snapToGrid w:val="0"/>
              <w:ind w:firstLine="420" w:firstLineChars="200"/>
              <w:rPr>
                <w:color w:val="auto"/>
              </w:rPr>
            </w:pPr>
          </w:p>
          <w:p>
            <w:pPr>
              <w:adjustRightInd w:val="0"/>
              <w:snapToGrid w:val="0"/>
              <w:spacing w:line="360" w:lineRule="auto"/>
              <w:ind w:firstLine="480" w:firstLineChars="200"/>
              <w:rPr>
                <w:color w:val="auto"/>
                <w:sz w:val="24"/>
              </w:rPr>
            </w:pPr>
            <w:r>
              <w:rPr>
                <w:color w:val="auto"/>
                <w:sz w:val="24"/>
              </w:rPr>
              <w:t>综上，本项目的建设符合《昆明市人民政府关于昆明市“三线一单”生态环境分区管控的实施意见》。</w:t>
            </w:r>
          </w:p>
          <w:p>
            <w:pPr>
              <w:autoSpaceDE w:val="0"/>
              <w:autoSpaceDN w:val="0"/>
              <w:adjustRightInd w:val="0"/>
              <w:snapToGrid w:val="0"/>
              <w:spacing w:line="360" w:lineRule="auto"/>
              <w:rPr>
                <w:b/>
                <w:color w:val="auto"/>
                <w:sz w:val="24"/>
              </w:rPr>
            </w:pPr>
            <w:r>
              <w:rPr>
                <w:rFonts w:hint="eastAsia"/>
                <w:b/>
                <w:color w:val="auto"/>
                <w:sz w:val="24"/>
              </w:rPr>
              <w:t>1.6项目与《昆明市大气污染防治条例》符合性</w:t>
            </w:r>
          </w:p>
          <w:p>
            <w:pPr>
              <w:adjustRightInd w:val="0"/>
              <w:snapToGrid w:val="0"/>
              <w:spacing w:line="360" w:lineRule="auto"/>
              <w:ind w:firstLine="480" w:firstLineChars="200"/>
              <w:rPr>
                <w:color w:val="auto"/>
                <w:sz w:val="24"/>
              </w:rPr>
            </w:pPr>
            <w:r>
              <w:rPr>
                <w:color w:val="auto"/>
                <w:sz w:val="24"/>
              </w:rPr>
              <w:t>项目与《昆明市大气污染防治条例》符合性分析内容见表1-</w:t>
            </w:r>
            <w:r>
              <w:rPr>
                <w:rFonts w:hint="eastAsia"/>
                <w:color w:val="auto"/>
                <w:sz w:val="24"/>
                <w:lang w:val="en-US" w:eastAsia="zh-CN"/>
              </w:rPr>
              <w:t>6</w:t>
            </w:r>
            <w:r>
              <w:rPr>
                <w:color w:val="auto"/>
                <w:sz w:val="24"/>
              </w:rPr>
              <w:t>。</w:t>
            </w:r>
          </w:p>
          <w:p>
            <w:pPr>
              <w:adjustRightInd w:val="0"/>
              <w:snapToGrid w:val="0"/>
              <w:jc w:val="center"/>
              <w:rPr>
                <w:color w:val="auto"/>
                <w:sz w:val="24"/>
              </w:rPr>
            </w:pPr>
            <w:r>
              <w:rPr>
                <w:b/>
                <w:snapToGrid w:val="0"/>
                <w:color w:val="auto"/>
                <w:kern w:val="0"/>
                <w:szCs w:val="21"/>
              </w:rPr>
              <w:t>表1-</w:t>
            </w:r>
            <w:r>
              <w:rPr>
                <w:rFonts w:hint="eastAsia"/>
                <w:b/>
                <w:snapToGrid w:val="0"/>
                <w:color w:val="auto"/>
                <w:kern w:val="0"/>
                <w:szCs w:val="21"/>
                <w:lang w:val="en-US" w:eastAsia="zh-CN"/>
              </w:rPr>
              <w:t>6</w:t>
            </w:r>
            <w:r>
              <w:rPr>
                <w:rFonts w:hint="eastAsia"/>
                <w:b/>
                <w:snapToGrid w:val="0"/>
                <w:color w:val="auto"/>
                <w:kern w:val="0"/>
                <w:szCs w:val="21"/>
              </w:rPr>
              <w:t xml:space="preserve"> </w:t>
            </w:r>
            <w:r>
              <w:rPr>
                <w:b/>
                <w:snapToGrid w:val="0"/>
                <w:color w:val="auto"/>
                <w:kern w:val="0"/>
                <w:szCs w:val="21"/>
              </w:rPr>
              <w:t xml:space="preserve"> 项目与昆明市大气污染防治条例符合性分析</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3040"/>
              <w:gridCol w:w="2632"/>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vAlign w:val="center"/>
                </w:tcPr>
                <w:p>
                  <w:pPr>
                    <w:widowControl/>
                    <w:adjustRightInd w:val="0"/>
                    <w:snapToGrid w:val="0"/>
                    <w:jc w:val="center"/>
                    <w:rPr>
                      <w:bCs/>
                      <w:snapToGrid w:val="0"/>
                      <w:color w:val="auto"/>
                      <w:kern w:val="0"/>
                      <w:szCs w:val="21"/>
                    </w:rPr>
                  </w:pPr>
                  <w:r>
                    <w:rPr>
                      <w:bCs/>
                      <w:snapToGrid w:val="0"/>
                      <w:color w:val="auto"/>
                      <w:kern w:val="0"/>
                      <w:szCs w:val="21"/>
                    </w:rPr>
                    <w:t>序号</w:t>
                  </w:r>
                </w:p>
              </w:tc>
              <w:tc>
                <w:tcPr>
                  <w:tcW w:w="2159" w:type="pct"/>
                  <w:vAlign w:val="center"/>
                </w:tcPr>
                <w:p>
                  <w:pPr>
                    <w:widowControl/>
                    <w:adjustRightInd w:val="0"/>
                    <w:snapToGrid w:val="0"/>
                    <w:jc w:val="center"/>
                    <w:rPr>
                      <w:bCs/>
                      <w:snapToGrid w:val="0"/>
                      <w:color w:val="auto"/>
                      <w:kern w:val="0"/>
                      <w:szCs w:val="21"/>
                    </w:rPr>
                  </w:pPr>
                  <w:r>
                    <w:rPr>
                      <w:bCs/>
                      <w:snapToGrid w:val="0"/>
                      <w:color w:val="auto"/>
                      <w:kern w:val="0"/>
                      <w:szCs w:val="21"/>
                    </w:rPr>
                    <w:t>分析内容</w:t>
                  </w:r>
                </w:p>
              </w:tc>
              <w:tc>
                <w:tcPr>
                  <w:tcW w:w="1869" w:type="pct"/>
                  <w:vAlign w:val="center"/>
                </w:tcPr>
                <w:p>
                  <w:pPr>
                    <w:widowControl/>
                    <w:adjustRightInd w:val="0"/>
                    <w:snapToGrid w:val="0"/>
                    <w:jc w:val="center"/>
                    <w:rPr>
                      <w:bCs/>
                      <w:snapToGrid w:val="0"/>
                      <w:color w:val="auto"/>
                      <w:kern w:val="0"/>
                      <w:szCs w:val="21"/>
                    </w:rPr>
                  </w:pPr>
                  <w:r>
                    <w:rPr>
                      <w:bCs/>
                      <w:snapToGrid w:val="0"/>
                      <w:color w:val="auto"/>
                      <w:kern w:val="0"/>
                      <w:szCs w:val="21"/>
                    </w:rPr>
                    <w:t>本项目情况</w:t>
                  </w:r>
                </w:p>
              </w:tc>
              <w:tc>
                <w:tcPr>
                  <w:tcW w:w="470" w:type="pct"/>
                  <w:vAlign w:val="center"/>
                </w:tcPr>
                <w:p>
                  <w:pPr>
                    <w:widowControl/>
                    <w:adjustRightInd w:val="0"/>
                    <w:snapToGrid w:val="0"/>
                    <w:jc w:val="center"/>
                    <w:rPr>
                      <w:bCs/>
                      <w:snapToGrid w:val="0"/>
                      <w:color w:val="auto"/>
                      <w:kern w:val="0"/>
                      <w:szCs w:val="21"/>
                    </w:rPr>
                  </w:pPr>
                  <w:r>
                    <w:rPr>
                      <w:bCs/>
                      <w:snapToGrid w:val="0"/>
                      <w:color w:val="auto"/>
                      <w:kern w:val="0"/>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vAlign w:val="center"/>
                </w:tcPr>
                <w:p>
                  <w:pPr>
                    <w:widowControl/>
                    <w:adjustRightInd w:val="0"/>
                    <w:snapToGrid w:val="0"/>
                    <w:jc w:val="center"/>
                    <w:rPr>
                      <w:bCs/>
                      <w:snapToGrid w:val="0"/>
                      <w:color w:val="auto"/>
                      <w:kern w:val="0"/>
                      <w:szCs w:val="21"/>
                    </w:rPr>
                  </w:pPr>
                  <w:r>
                    <w:rPr>
                      <w:rFonts w:hint="eastAsia"/>
                      <w:bCs/>
                      <w:snapToGrid w:val="0"/>
                      <w:color w:val="auto"/>
                      <w:kern w:val="0"/>
                      <w:szCs w:val="21"/>
                    </w:rPr>
                    <w:t>十一条</w:t>
                  </w:r>
                </w:p>
              </w:tc>
              <w:tc>
                <w:tcPr>
                  <w:tcW w:w="2159" w:type="pct"/>
                  <w:vAlign w:val="center"/>
                </w:tcPr>
                <w:p>
                  <w:pPr>
                    <w:widowControl/>
                    <w:adjustRightInd w:val="0"/>
                    <w:snapToGrid w:val="0"/>
                    <w:rPr>
                      <w:bCs/>
                      <w:snapToGrid w:val="0"/>
                      <w:color w:val="auto"/>
                      <w:kern w:val="0"/>
                      <w:szCs w:val="21"/>
                    </w:rPr>
                  </w:pPr>
                  <w:r>
                    <w:rPr>
                      <w:bCs/>
                      <w:snapToGrid w:val="0"/>
                      <w:color w:val="auto"/>
                      <w:kern w:val="0"/>
                      <w:szCs w:val="21"/>
                    </w:rPr>
                    <w:t>按照国家有关规定依法实行排污许可管理的单位，应当依法取得排污许可证，并按照排污许可证的规定排放大气污染物，禁止无排污许可证或者不按照排污许可证的规定排放大气污染物</w:t>
                  </w:r>
                </w:p>
              </w:tc>
              <w:tc>
                <w:tcPr>
                  <w:tcW w:w="1869" w:type="pct"/>
                  <w:vAlign w:val="center"/>
                </w:tcPr>
                <w:p>
                  <w:pPr>
                    <w:widowControl/>
                    <w:adjustRightInd w:val="0"/>
                    <w:snapToGrid w:val="0"/>
                    <w:rPr>
                      <w:bCs/>
                      <w:snapToGrid w:val="0"/>
                      <w:color w:val="auto"/>
                      <w:kern w:val="0"/>
                      <w:szCs w:val="21"/>
                    </w:rPr>
                  </w:pPr>
                  <w:r>
                    <w:rPr>
                      <w:rFonts w:hint="eastAsia"/>
                      <w:color w:val="auto"/>
                      <w:szCs w:val="21"/>
                    </w:rPr>
                    <w:t>昆明红枫湖耐火材料有限公司于202</w:t>
                  </w:r>
                  <w:r>
                    <w:rPr>
                      <w:rFonts w:hint="eastAsia"/>
                      <w:color w:val="auto"/>
                      <w:szCs w:val="21"/>
                      <w:lang w:val="en-US" w:eastAsia="zh-CN"/>
                    </w:rPr>
                    <w:t>3</w:t>
                  </w:r>
                  <w:r>
                    <w:rPr>
                      <w:rFonts w:hint="eastAsia"/>
                      <w:color w:val="auto"/>
                      <w:szCs w:val="21"/>
                    </w:rPr>
                    <w:t>年</w:t>
                  </w:r>
                  <w:r>
                    <w:rPr>
                      <w:rFonts w:hint="eastAsia"/>
                      <w:color w:val="auto"/>
                      <w:szCs w:val="21"/>
                      <w:lang w:val="en-US" w:eastAsia="zh-CN"/>
                    </w:rPr>
                    <w:t>3</w:t>
                  </w:r>
                  <w:r>
                    <w:rPr>
                      <w:rFonts w:hint="eastAsia"/>
                      <w:color w:val="auto"/>
                      <w:szCs w:val="21"/>
                    </w:rPr>
                    <w:t>月01日取得排污许可证，证书编号：915301256836581500001R</w:t>
                  </w:r>
                </w:p>
              </w:tc>
              <w:tc>
                <w:tcPr>
                  <w:tcW w:w="470" w:type="pct"/>
                  <w:vAlign w:val="center"/>
                </w:tcPr>
                <w:p>
                  <w:pPr>
                    <w:widowControl/>
                    <w:adjustRightInd w:val="0"/>
                    <w:snapToGrid w:val="0"/>
                    <w:jc w:val="center"/>
                    <w:rPr>
                      <w:bCs/>
                      <w:snapToGrid w:val="0"/>
                      <w:color w:val="auto"/>
                      <w:kern w:val="0"/>
                      <w:szCs w:val="21"/>
                    </w:rPr>
                  </w:pPr>
                  <w:r>
                    <w:rPr>
                      <w:bCs/>
                      <w:snapToGrid w:val="0"/>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vAlign w:val="center"/>
                </w:tcPr>
                <w:p>
                  <w:pPr>
                    <w:widowControl/>
                    <w:adjustRightInd w:val="0"/>
                    <w:snapToGrid w:val="0"/>
                    <w:jc w:val="center"/>
                    <w:rPr>
                      <w:bCs/>
                      <w:snapToGrid w:val="0"/>
                      <w:color w:val="auto"/>
                      <w:kern w:val="0"/>
                      <w:szCs w:val="21"/>
                    </w:rPr>
                  </w:pPr>
                  <w:r>
                    <w:rPr>
                      <w:rFonts w:hint="eastAsia"/>
                      <w:bCs/>
                      <w:snapToGrid w:val="0"/>
                      <w:color w:val="auto"/>
                      <w:kern w:val="0"/>
                      <w:szCs w:val="21"/>
                    </w:rPr>
                    <w:t>十二条</w:t>
                  </w:r>
                </w:p>
              </w:tc>
              <w:tc>
                <w:tcPr>
                  <w:tcW w:w="2159" w:type="pct"/>
                  <w:vAlign w:val="center"/>
                </w:tcPr>
                <w:p>
                  <w:pPr>
                    <w:widowControl/>
                    <w:adjustRightInd w:val="0"/>
                    <w:snapToGrid w:val="0"/>
                    <w:rPr>
                      <w:bCs/>
                      <w:snapToGrid w:val="0"/>
                      <w:color w:val="auto"/>
                      <w:kern w:val="0"/>
                      <w:szCs w:val="21"/>
                      <w:highlight w:val="none"/>
                    </w:rPr>
                  </w:pPr>
                  <w:r>
                    <w:rPr>
                      <w:rFonts w:hint="eastAsia"/>
                      <w:bCs/>
                      <w:snapToGrid w:val="0"/>
                      <w:color w:val="auto"/>
                      <w:kern w:val="0"/>
                      <w:szCs w:val="21"/>
                      <w:highlight w:val="none"/>
                    </w:rPr>
                    <w:t>禁止排放超过排放标准或者超过重点大气污染物排放总量控制指标的大气污染物</w:t>
                  </w:r>
                </w:p>
              </w:tc>
              <w:tc>
                <w:tcPr>
                  <w:tcW w:w="1869" w:type="pct"/>
                  <w:vAlign w:val="center"/>
                </w:tcPr>
                <w:p>
                  <w:pPr>
                    <w:widowControl/>
                    <w:adjustRightInd w:val="0"/>
                    <w:snapToGrid w:val="0"/>
                    <w:rPr>
                      <w:color w:val="auto"/>
                      <w:szCs w:val="21"/>
                      <w:highlight w:val="none"/>
                    </w:rPr>
                  </w:pPr>
                  <w:r>
                    <w:rPr>
                      <w:rFonts w:hint="eastAsia"/>
                      <w:color w:val="auto"/>
                      <w:kern w:val="0"/>
                      <w:szCs w:val="21"/>
                      <w:highlight w:val="none"/>
                    </w:rPr>
                    <w:t>项目产生的颗粒物、二氧化硫、氮氧化物和</w:t>
                  </w:r>
                  <w:r>
                    <w:rPr>
                      <w:rFonts w:hint="eastAsia"/>
                      <w:color w:val="auto"/>
                      <w:kern w:val="0"/>
                      <w:szCs w:val="21"/>
                      <w:highlight w:val="none"/>
                      <w:lang w:eastAsia="zh-CN"/>
                    </w:rPr>
                    <w:t>氟及其化合物（以F计）</w:t>
                  </w:r>
                  <w:r>
                    <w:rPr>
                      <w:rFonts w:hint="eastAsia"/>
                      <w:color w:val="auto"/>
                      <w:kern w:val="0"/>
                      <w:szCs w:val="21"/>
                      <w:highlight w:val="none"/>
                    </w:rPr>
                    <w:t>可达标排放</w:t>
                  </w:r>
                </w:p>
              </w:tc>
              <w:tc>
                <w:tcPr>
                  <w:tcW w:w="470" w:type="pct"/>
                  <w:vAlign w:val="center"/>
                </w:tcPr>
                <w:p>
                  <w:pPr>
                    <w:widowControl/>
                    <w:adjustRightInd w:val="0"/>
                    <w:snapToGrid w:val="0"/>
                    <w:jc w:val="center"/>
                    <w:rPr>
                      <w:bCs/>
                      <w:snapToGrid w:val="0"/>
                      <w:color w:val="auto"/>
                      <w:kern w:val="0"/>
                      <w:szCs w:val="21"/>
                    </w:rPr>
                  </w:pPr>
                  <w:r>
                    <w:rPr>
                      <w:rFonts w:hint="eastAsia"/>
                      <w:bCs/>
                      <w:snapToGrid w:val="0"/>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vAlign w:val="center"/>
                </w:tcPr>
                <w:p>
                  <w:pPr>
                    <w:widowControl/>
                    <w:adjustRightInd w:val="0"/>
                    <w:snapToGrid w:val="0"/>
                    <w:jc w:val="center"/>
                    <w:rPr>
                      <w:bCs/>
                      <w:snapToGrid w:val="0"/>
                      <w:color w:val="auto"/>
                      <w:kern w:val="0"/>
                      <w:szCs w:val="21"/>
                    </w:rPr>
                  </w:pPr>
                  <w:r>
                    <w:rPr>
                      <w:rFonts w:hint="eastAsia"/>
                      <w:bCs/>
                      <w:snapToGrid w:val="0"/>
                      <w:color w:val="auto"/>
                      <w:kern w:val="0"/>
                      <w:szCs w:val="21"/>
                    </w:rPr>
                    <w:t>十六条</w:t>
                  </w:r>
                </w:p>
              </w:tc>
              <w:tc>
                <w:tcPr>
                  <w:tcW w:w="2159" w:type="pct"/>
                  <w:vAlign w:val="center"/>
                </w:tcPr>
                <w:p>
                  <w:pPr>
                    <w:widowControl/>
                    <w:adjustRightInd w:val="0"/>
                    <w:snapToGrid w:val="0"/>
                    <w:rPr>
                      <w:bCs/>
                      <w:snapToGrid w:val="0"/>
                      <w:color w:val="auto"/>
                      <w:kern w:val="0"/>
                      <w:szCs w:val="21"/>
                    </w:rPr>
                  </w:pPr>
                  <w:r>
                    <w:rPr>
                      <w:bCs/>
                      <w:snapToGrid w:val="0"/>
                      <w:color w:val="auto"/>
                      <w:kern w:val="0"/>
                      <w:szCs w:val="21"/>
                    </w:rPr>
                    <w:t>向大气排放污染物的企业事业单位和其他生产经营者，应当按照有关规定设置大气污染物排放口</w:t>
                  </w:r>
                </w:p>
              </w:tc>
              <w:tc>
                <w:tcPr>
                  <w:tcW w:w="1869" w:type="pct"/>
                  <w:vAlign w:val="center"/>
                </w:tcPr>
                <w:p>
                  <w:pPr>
                    <w:widowControl/>
                    <w:adjustRightInd w:val="0"/>
                    <w:snapToGrid w:val="0"/>
                    <w:rPr>
                      <w:color w:val="auto"/>
                      <w:szCs w:val="21"/>
                    </w:rPr>
                  </w:pPr>
                  <w:r>
                    <w:rPr>
                      <w:rFonts w:hint="eastAsia"/>
                      <w:color w:val="auto"/>
                      <w:szCs w:val="21"/>
                    </w:rPr>
                    <w:t>本项目已规范废气排放口，并安排专人定期维护，保证设施正常运营</w:t>
                  </w:r>
                </w:p>
              </w:tc>
              <w:tc>
                <w:tcPr>
                  <w:tcW w:w="470" w:type="pct"/>
                  <w:vAlign w:val="center"/>
                </w:tcPr>
                <w:p>
                  <w:pPr>
                    <w:widowControl/>
                    <w:adjustRightInd w:val="0"/>
                    <w:snapToGrid w:val="0"/>
                    <w:jc w:val="center"/>
                    <w:rPr>
                      <w:bCs/>
                      <w:snapToGrid w:val="0"/>
                      <w:color w:val="auto"/>
                      <w:kern w:val="0"/>
                      <w:szCs w:val="21"/>
                    </w:rPr>
                  </w:pPr>
                  <w:r>
                    <w:rPr>
                      <w:rFonts w:hint="eastAsia"/>
                      <w:bCs/>
                      <w:snapToGrid w:val="0"/>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vAlign w:val="center"/>
                </w:tcPr>
                <w:p>
                  <w:pPr>
                    <w:widowControl/>
                    <w:adjustRightInd w:val="0"/>
                    <w:snapToGrid w:val="0"/>
                    <w:jc w:val="center"/>
                    <w:rPr>
                      <w:bCs/>
                      <w:snapToGrid w:val="0"/>
                      <w:color w:val="auto"/>
                      <w:kern w:val="0"/>
                      <w:szCs w:val="21"/>
                    </w:rPr>
                  </w:pPr>
                  <w:r>
                    <w:rPr>
                      <w:rFonts w:hint="eastAsia"/>
                      <w:bCs/>
                      <w:snapToGrid w:val="0"/>
                      <w:color w:val="auto"/>
                      <w:kern w:val="0"/>
                      <w:szCs w:val="21"/>
                    </w:rPr>
                    <w:t>二十四条</w:t>
                  </w:r>
                </w:p>
              </w:tc>
              <w:tc>
                <w:tcPr>
                  <w:tcW w:w="2159" w:type="pct"/>
                  <w:vAlign w:val="center"/>
                </w:tcPr>
                <w:p>
                  <w:pPr>
                    <w:widowControl/>
                    <w:adjustRightInd w:val="0"/>
                    <w:snapToGrid w:val="0"/>
                    <w:rPr>
                      <w:bCs/>
                      <w:snapToGrid w:val="0"/>
                      <w:color w:val="auto"/>
                      <w:kern w:val="0"/>
                      <w:szCs w:val="21"/>
                    </w:rPr>
                  </w:pPr>
                  <w:r>
                    <w:rPr>
                      <w:rFonts w:hint="eastAsia"/>
                      <w:bCs/>
                      <w:snapToGrid w:val="0"/>
                      <w:color w:val="auto"/>
                      <w:kern w:val="0"/>
                      <w:szCs w:val="21"/>
                    </w:rPr>
                    <w:t>市、县（市、区）人民政府、开发（度假）园区管委会应当采取有效措施优化能源结构，推广利用清洁能源。推进生产和生活领域以气代煤、以电代煤、以电代柴。加快天然气基础设施建设，增加天然气使用量，控制大气污染物的排放</w:t>
                  </w:r>
                </w:p>
              </w:tc>
              <w:tc>
                <w:tcPr>
                  <w:tcW w:w="1869" w:type="pct"/>
                  <w:vAlign w:val="center"/>
                </w:tcPr>
                <w:p>
                  <w:pPr>
                    <w:widowControl/>
                    <w:adjustRightInd w:val="0"/>
                    <w:snapToGrid w:val="0"/>
                    <w:rPr>
                      <w:bCs/>
                      <w:snapToGrid w:val="0"/>
                      <w:color w:val="auto"/>
                      <w:kern w:val="0"/>
                      <w:szCs w:val="21"/>
                    </w:rPr>
                  </w:pPr>
                  <w:r>
                    <w:rPr>
                      <w:color w:val="auto"/>
                      <w:szCs w:val="21"/>
                    </w:rPr>
                    <w:t>本次改扩建拆除</w:t>
                  </w:r>
                  <w:r>
                    <w:rPr>
                      <w:rFonts w:hint="eastAsia"/>
                      <w:color w:val="auto"/>
                      <w:szCs w:val="21"/>
                      <w:lang w:val="en-US" w:eastAsia="zh-CN"/>
                    </w:rPr>
                    <w:t>了</w:t>
                  </w:r>
                  <w:r>
                    <w:rPr>
                      <w:color w:val="auto"/>
                      <w:szCs w:val="21"/>
                    </w:rPr>
                    <w:t>原有煤气发生炉</w:t>
                  </w:r>
                  <w:r>
                    <w:rPr>
                      <w:rFonts w:hint="eastAsia"/>
                      <w:color w:val="auto"/>
                      <w:szCs w:val="21"/>
                    </w:rPr>
                    <w:t>，</w:t>
                  </w:r>
                  <w:r>
                    <w:rPr>
                      <w:color w:val="auto"/>
                      <w:szCs w:val="21"/>
                    </w:rPr>
                    <w:t>全厂改用天然气作为燃料</w:t>
                  </w:r>
                  <w:r>
                    <w:rPr>
                      <w:rFonts w:hint="eastAsia"/>
                      <w:color w:val="auto"/>
                      <w:szCs w:val="21"/>
                    </w:rPr>
                    <w:t>，天然气</w:t>
                  </w:r>
                  <w:r>
                    <w:rPr>
                      <w:color w:val="auto"/>
                      <w:szCs w:val="21"/>
                    </w:rPr>
                    <w:t>为清洁能源</w:t>
                  </w:r>
                  <w:r>
                    <w:rPr>
                      <w:rFonts w:hint="eastAsia"/>
                      <w:color w:val="auto"/>
                      <w:szCs w:val="21"/>
                    </w:rPr>
                    <w:t>，</w:t>
                  </w:r>
                  <w:r>
                    <w:rPr>
                      <w:color w:val="auto"/>
                      <w:szCs w:val="21"/>
                    </w:rPr>
                    <w:t>可从源头上控制大气污染物的排放</w:t>
                  </w:r>
                </w:p>
              </w:tc>
              <w:tc>
                <w:tcPr>
                  <w:tcW w:w="470" w:type="pct"/>
                  <w:vAlign w:val="center"/>
                </w:tcPr>
                <w:p>
                  <w:pPr>
                    <w:widowControl/>
                    <w:adjustRightInd w:val="0"/>
                    <w:snapToGrid w:val="0"/>
                    <w:jc w:val="center"/>
                    <w:rPr>
                      <w:bCs/>
                      <w:snapToGrid w:val="0"/>
                      <w:color w:val="auto"/>
                      <w:kern w:val="0"/>
                      <w:szCs w:val="21"/>
                    </w:rPr>
                  </w:pPr>
                  <w:r>
                    <w:rPr>
                      <w:bCs/>
                      <w:snapToGrid w:val="0"/>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2" w:type="pct"/>
                  <w:vAlign w:val="center"/>
                </w:tcPr>
                <w:p>
                  <w:pPr>
                    <w:widowControl/>
                    <w:adjustRightInd w:val="0"/>
                    <w:snapToGrid w:val="0"/>
                    <w:jc w:val="center"/>
                    <w:rPr>
                      <w:bCs/>
                      <w:snapToGrid w:val="0"/>
                      <w:color w:val="auto"/>
                      <w:kern w:val="0"/>
                      <w:szCs w:val="21"/>
                    </w:rPr>
                  </w:pPr>
                  <w:r>
                    <w:rPr>
                      <w:rFonts w:hint="eastAsia"/>
                      <w:bCs/>
                      <w:snapToGrid w:val="0"/>
                      <w:color w:val="auto"/>
                      <w:kern w:val="0"/>
                      <w:szCs w:val="21"/>
                    </w:rPr>
                    <w:t>五十条</w:t>
                  </w:r>
                </w:p>
              </w:tc>
              <w:tc>
                <w:tcPr>
                  <w:tcW w:w="2159" w:type="pct"/>
                  <w:vAlign w:val="center"/>
                </w:tcPr>
                <w:p>
                  <w:pPr>
                    <w:widowControl/>
                    <w:adjustRightInd w:val="0"/>
                    <w:snapToGrid w:val="0"/>
                    <w:rPr>
                      <w:bCs/>
                      <w:snapToGrid w:val="0"/>
                      <w:color w:val="auto"/>
                      <w:kern w:val="0"/>
                      <w:szCs w:val="21"/>
                    </w:rPr>
                  </w:pPr>
                  <w:r>
                    <w:rPr>
                      <w:bCs/>
                      <w:snapToGrid w:val="0"/>
                      <w:color w:val="auto"/>
                      <w:kern w:val="0"/>
                      <w:szCs w:val="21"/>
                    </w:rPr>
                    <w:t>可能发生大气突发环境事件的企业事业单位应当按照有关规定编制应急预案，报所在地生态环境主管部门备案</w:t>
                  </w:r>
                </w:p>
              </w:tc>
              <w:tc>
                <w:tcPr>
                  <w:tcW w:w="1869" w:type="pct"/>
                  <w:vAlign w:val="center"/>
                </w:tcPr>
                <w:p>
                  <w:pPr>
                    <w:widowControl/>
                    <w:adjustRightInd w:val="0"/>
                    <w:snapToGrid w:val="0"/>
                    <w:rPr>
                      <w:bCs/>
                      <w:snapToGrid w:val="0"/>
                      <w:color w:val="auto"/>
                      <w:kern w:val="0"/>
                      <w:szCs w:val="21"/>
                    </w:rPr>
                  </w:pPr>
                  <w:r>
                    <w:rPr>
                      <w:rFonts w:hint="eastAsia"/>
                      <w:bCs/>
                      <w:snapToGrid w:val="0"/>
                      <w:color w:val="auto"/>
                      <w:kern w:val="0"/>
                      <w:szCs w:val="21"/>
                      <w:lang w:val="en-US" w:eastAsia="zh-CN"/>
                    </w:rPr>
                    <w:t>本</w:t>
                  </w:r>
                  <w:r>
                    <w:rPr>
                      <w:bCs/>
                      <w:snapToGrid w:val="0"/>
                      <w:color w:val="auto"/>
                      <w:kern w:val="0"/>
                      <w:szCs w:val="21"/>
                    </w:rPr>
                    <w:t>项目</w:t>
                  </w:r>
                  <w:r>
                    <w:rPr>
                      <w:rFonts w:hint="eastAsia"/>
                      <w:bCs/>
                      <w:snapToGrid w:val="0"/>
                      <w:color w:val="auto"/>
                      <w:kern w:val="0"/>
                      <w:szCs w:val="21"/>
                      <w:lang w:val="en-US" w:eastAsia="zh-CN"/>
                    </w:rPr>
                    <w:t>正在编制</w:t>
                  </w:r>
                  <w:r>
                    <w:rPr>
                      <w:bCs/>
                      <w:snapToGrid w:val="0"/>
                      <w:color w:val="auto"/>
                      <w:kern w:val="0"/>
                      <w:szCs w:val="21"/>
                    </w:rPr>
                    <w:t>应急预案</w:t>
                  </w:r>
                </w:p>
              </w:tc>
              <w:tc>
                <w:tcPr>
                  <w:tcW w:w="470" w:type="pct"/>
                  <w:vAlign w:val="center"/>
                </w:tcPr>
                <w:p>
                  <w:pPr>
                    <w:widowControl/>
                    <w:adjustRightInd w:val="0"/>
                    <w:snapToGrid w:val="0"/>
                    <w:jc w:val="center"/>
                    <w:rPr>
                      <w:bCs/>
                      <w:snapToGrid w:val="0"/>
                      <w:color w:val="auto"/>
                      <w:kern w:val="0"/>
                      <w:szCs w:val="21"/>
                    </w:rPr>
                  </w:pPr>
                  <w:r>
                    <w:rPr>
                      <w:bCs/>
                      <w:snapToGrid w:val="0"/>
                      <w:color w:val="auto"/>
                      <w:kern w:val="0"/>
                      <w:szCs w:val="21"/>
                    </w:rPr>
                    <w:t>符合</w:t>
                  </w:r>
                </w:p>
              </w:tc>
            </w:tr>
          </w:tbl>
          <w:p>
            <w:pPr>
              <w:autoSpaceDE w:val="0"/>
              <w:autoSpaceDN w:val="0"/>
              <w:adjustRightInd w:val="0"/>
              <w:snapToGrid w:val="0"/>
              <w:ind w:firstLine="420" w:firstLineChars="200"/>
              <w:rPr>
                <w:color w:val="auto"/>
              </w:rPr>
            </w:pPr>
          </w:p>
          <w:p>
            <w:pPr>
              <w:autoSpaceDE w:val="0"/>
              <w:autoSpaceDN w:val="0"/>
              <w:adjustRightInd w:val="0"/>
              <w:snapToGrid w:val="0"/>
              <w:spacing w:line="360" w:lineRule="auto"/>
              <w:ind w:firstLine="480" w:firstLineChars="200"/>
              <w:rPr>
                <w:b/>
                <w:color w:val="auto"/>
                <w:sz w:val="24"/>
              </w:rPr>
            </w:pPr>
            <w:r>
              <w:rPr>
                <w:rFonts w:hint="eastAsia"/>
                <w:color w:val="auto"/>
                <w:sz w:val="24"/>
              </w:rPr>
              <w:t>综上所述，</w:t>
            </w:r>
            <w:r>
              <w:rPr>
                <w:rFonts w:hint="eastAsia"/>
                <w:color w:val="auto"/>
                <w:kern w:val="0"/>
                <w:sz w:val="24"/>
              </w:rPr>
              <w:t>项目</w:t>
            </w:r>
            <w:r>
              <w:rPr>
                <w:rFonts w:hint="eastAsia"/>
                <w:color w:val="auto"/>
                <w:sz w:val="24"/>
              </w:rPr>
              <w:t>符合《昆明市大气污染防治条例》要求。</w:t>
            </w:r>
            <w:r>
              <w:rPr>
                <w:b/>
                <w:color w:val="auto"/>
                <w:sz w:val="24"/>
              </w:rPr>
              <w:br w:type="textWrapping" w:clear="all"/>
            </w:r>
            <w:r>
              <w:rPr>
                <w:rFonts w:hint="eastAsia"/>
                <w:b/>
                <w:color w:val="auto"/>
                <w:sz w:val="24"/>
              </w:rPr>
              <w:t>1.7项目与《工业炉窑大气污染综合防治治理方案》相符性分析</w:t>
            </w:r>
          </w:p>
          <w:p>
            <w:pPr>
              <w:autoSpaceDE w:val="0"/>
              <w:autoSpaceDN w:val="0"/>
              <w:adjustRightInd w:val="0"/>
              <w:snapToGrid w:val="0"/>
              <w:spacing w:line="360" w:lineRule="auto"/>
              <w:ind w:firstLine="480" w:firstLineChars="200"/>
              <w:rPr>
                <w:color w:val="auto"/>
                <w:sz w:val="24"/>
              </w:rPr>
            </w:pPr>
            <w:r>
              <w:rPr>
                <w:rFonts w:hint="eastAsia"/>
                <w:color w:val="auto"/>
                <w:sz w:val="24"/>
              </w:rPr>
              <w:t>本项目与《工业炉窑大气污染综合防治治理方案》（环大气[2019]56号）相符性分析见表1-</w:t>
            </w:r>
            <w:r>
              <w:rPr>
                <w:rFonts w:hint="eastAsia"/>
                <w:color w:val="auto"/>
                <w:sz w:val="24"/>
                <w:lang w:val="en-US" w:eastAsia="zh-CN"/>
              </w:rPr>
              <w:t>7</w:t>
            </w:r>
            <w:r>
              <w:rPr>
                <w:rFonts w:hint="eastAsia"/>
                <w:color w:val="auto"/>
                <w:sz w:val="24"/>
              </w:rPr>
              <w:t>。</w:t>
            </w:r>
          </w:p>
          <w:p>
            <w:pPr>
              <w:autoSpaceDE w:val="0"/>
              <w:autoSpaceDN w:val="0"/>
              <w:adjustRightInd w:val="0"/>
              <w:snapToGrid w:val="0"/>
              <w:jc w:val="center"/>
              <w:rPr>
                <w:b/>
                <w:color w:val="auto"/>
              </w:rPr>
            </w:pPr>
            <w:r>
              <w:rPr>
                <w:rFonts w:hint="eastAsia"/>
                <w:b/>
                <w:color w:val="auto"/>
              </w:rPr>
              <w:t>表1-</w:t>
            </w:r>
            <w:r>
              <w:rPr>
                <w:rFonts w:hint="eastAsia"/>
                <w:b/>
                <w:color w:val="auto"/>
                <w:lang w:val="en-US" w:eastAsia="zh-CN"/>
              </w:rPr>
              <w:t>7</w:t>
            </w:r>
            <w:r>
              <w:rPr>
                <w:rFonts w:hint="eastAsia"/>
                <w:b/>
                <w:color w:val="auto"/>
              </w:rPr>
              <w:t xml:space="preserve">  项目与《工业炉窑大气污染综合防治治理方案》相符性分析</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7"/>
              <w:gridCol w:w="3192"/>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395" w:type="dxa"/>
                  <w:vAlign w:val="center"/>
                </w:tcPr>
                <w:p>
                  <w:pPr>
                    <w:autoSpaceDE w:val="0"/>
                    <w:autoSpaceDN w:val="0"/>
                    <w:adjustRightInd w:val="0"/>
                    <w:snapToGrid w:val="0"/>
                    <w:jc w:val="center"/>
                    <w:rPr>
                      <w:color w:val="auto"/>
                    </w:rPr>
                  </w:pPr>
                  <w:r>
                    <w:rPr>
                      <w:rFonts w:hint="eastAsia"/>
                      <w:color w:val="auto"/>
                    </w:rPr>
                    <w:t>环大气[2019]56号</w:t>
                  </w:r>
                </w:p>
              </w:tc>
              <w:tc>
                <w:tcPr>
                  <w:tcW w:w="2031" w:type="dxa"/>
                  <w:vAlign w:val="center"/>
                </w:tcPr>
                <w:p>
                  <w:pPr>
                    <w:autoSpaceDE w:val="0"/>
                    <w:autoSpaceDN w:val="0"/>
                    <w:adjustRightInd w:val="0"/>
                    <w:snapToGrid w:val="0"/>
                    <w:jc w:val="center"/>
                    <w:rPr>
                      <w:color w:val="auto"/>
                    </w:rPr>
                  </w:pPr>
                  <w:r>
                    <w:rPr>
                      <w:rFonts w:hint="eastAsia"/>
                      <w:color w:val="auto"/>
                    </w:rPr>
                    <w:t>项目情况</w:t>
                  </w:r>
                </w:p>
              </w:tc>
              <w:tc>
                <w:tcPr>
                  <w:tcW w:w="617" w:type="dxa"/>
                  <w:vAlign w:val="center"/>
                </w:tcPr>
                <w:p>
                  <w:pPr>
                    <w:autoSpaceDE w:val="0"/>
                    <w:autoSpaceDN w:val="0"/>
                    <w:adjustRightInd w:val="0"/>
                    <w:snapToGrid w:val="0"/>
                    <w:jc w:val="center"/>
                    <w:rPr>
                      <w:color w:val="auto"/>
                    </w:rPr>
                  </w:pPr>
                  <w:r>
                    <w:rPr>
                      <w:rFonts w:hint="eastAsia"/>
                      <w:color w:val="auto"/>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395" w:type="dxa"/>
                  <w:vAlign w:val="center"/>
                </w:tcPr>
                <w:p>
                  <w:pPr>
                    <w:autoSpaceDE w:val="0"/>
                    <w:autoSpaceDN w:val="0"/>
                    <w:adjustRightInd w:val="0"/>
                    <w:snapToGrid w:val="0"/>
                    <w:rPr>
                      <w:color w:val="auto"/>
                    </w:rPr>
                  </w:pPr>
                  <w:r>
                    <w:rPr>
                      <w:rFonts w:hint="eastAsia"/>
                      <w:color w:val="auto"/>
                      <w:shd w:val="clear" w:color="auto" w:fill="FFFFFF"/>
                    </w:rPr>
                    <w:t>加大产业结构调整力度。严格建设项目环境准入。新建涉工业炉窑的建设项目，原则上要入园区，配套建设高效环保治理设施</w:t>
                  </w:r>
                </w:p>
              </w:tc>
              <w:tc>
                <w:tcPr>
                  <w:tcW w:w="2031" w:type="dxa"/>
                  <w:vAlign w:val="center"/>
                </w:tcPr>
                <w:p>
                  <w:pPr>
                    <w:autoSpaceDE w:val="0"/>
                    <w:autoSpaceDN w:val="0"/>
                    <w:adjustRightInd w:val="0"/>
                    <w:snapToGrid w:val="0"/>
                    <w:rPr>
                      <w:color w:val="auto"/>
                    </w:rPr>
                  </w:pPr>
                  <w:r>
                    <w:rPr>
                      <w:rFonts w:hint="eastAsia"/>
                      <w:color w:val="auto"/>
                    </w:rPr>
                    <w:t xml:space="preserve">本项目位于宜良工业园区北古城片区，为耐火材料生产项目，属于建材行业，符合工业园区产业定位，且现有项目已建高效环保治理设施 </w:t>
                  </w:r>
                </w:p>
              </w:tc>
              <w:tc>
                <w:tcPr>
                  <w:tcW w:w="617" w:type="dxa"/>
                  <w:vAlign w:val="center"/>
                </w:tcPr>
                <w:p>
                  <w:pPr>
                    <w:autoSpaceDE w:val="0"/>
                    <w:autoSpaceDN w:val="0"/>
                    <w:adjustRightInd w:val="0"/>
                    <w:snapToGrid w:val="0"/>
                    <w:jc w:val="cente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395" w:type="dxa"/>
                  <w:vAlign w:val="center"/>
                </w:tcPr>
                <w:p>
                  <w:pPr>
                    <w:autoSpaceDE w:val="0"/>
                    <w:autoSpaceDN w:val="0"/>
                    <w:adjustRightInd w:val="0"/>
                    <w:snapToGrid w:val="0"/>
                    <w:rPr>
                      <w:color w:val="auto"/>
                    </w:rPr>
                  </w:pPr>
                  <w:r>
                    <w:rPr>
                      <w:rFonts w:hint="eastAsia"/>
                      <w:color w:val="auto"/>
                      <w:shd w:val="clear" w:color="auto" w:fill="FFFFFF"/>
                    </w:rPr>
                    <w:t>加大落后产能和不达标工业炉窑淘汰力度。分行业清理《产业结构调整指导目录》淘汰类工业炉窑</w:t>
                  </w:r>
                </w:p>
              </w:tc>
              <w:tc>
                <w:tcPr>
                  <w:tcW w:w="2031" w:type="dxa"/>
                  <w:vAlign w:val="center"/>
                </w:tcPr>
                <w:p>
                  <w:pPr>
                    <w:autoSpaceDE w:val="0"/>
                    <w:autoSpaceDN w:val="0"/>
                    <w:adjustRightInd w:val="0"/>
                    <w:snapToGrid w:val="0"/>
                    <w:rPr>
                      <w:color w:val="auto"/>
                      <w:szCs w:val="21"/>
                    </w:rPr>
                  </w:pPr>
                  <w:r>
                    <w:rPr>
                      <w:rFonts w:hint="eastAsia"/>
                      <w:color w:val="auto"/>
                      <w:szCs w:val="21"/>
                    </w:rPr>
                    <w:t>根据</w:t>
                  </w:r>
                  <w:r>
                    <w:rPr>
                      <w:color w:val="auto"/>
                      <w:szCs w:val="21"/>
                    </w:rPr>
                    <w:t>《产业结构调整指导目录</w:t>
                  </w:r>
                  <w:r>
                    <w:rPr>
                      <w:rFonts w:hint="eastAsia"/>
                      <w:color w:val="auto"/>
                      <w:szCs w:val="21"/>
                    </w:rPr>
                    <w:t>（2019年本）</w:t>
                  </w:r>
                  <w:r>
                    <w:rPr>
                      <w:color w:val="auto"/>
                      <w:szCs w:val="21"/>
                    </w:rPr>
                    <w:t>》（20</w:t>
                  </w:r>
                  <w:r>
                    <w:rPr>
                      <w:rFonts w:hint="eastAsia"/>
                      <w:color w:val="auto"/>
                      <w:szCs w:val="21"/>
                    </w:rPr>
                    <w:t>21年修订</w:t>
                  </w:r>
                  <w:r>
                    <w:rPr>
                      <w:color w:val="auto"/>
                      <w:szCs w:val="21"/>
                    </w:rPr>
                    <w:t>），</w:t>
                  </w:r>
                  <w:r>
                    <w:rPr>
                      <w:rFonts w:hint="eastAsia"/>
                      <w:color w:val="auto"/>
                      <w:szCs w:val="21"/>
                    </w:rPr>
                    <w:t xml:space="preserve">本项目不属于淘汰类工业炉窑 </w:t>
                  </w:r>
                </w:p>
              </w:tc>
              <w:tc>
                <w:tcPr>
                  <w:tcW w:w="617" w:type="dxa"/>
                  <w:vAlign w:val="center"/>
                </w:tcPr>
                <w:p>
                  <w:pPr>
                    <w:autoSpaceDE w:val="0"/>
                    <w:autoSpaceDN w:val="0"/>
                    <w:adjustRightInd w:val="0"/>
                    <w:snapToGrid w:val="0"/>
                    <w:jc w:val="cente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395" w:type="dxa"/>
                  <w:vAlign w:val="center"/>
                </w:tcPr>
                <w:p>
                  <w:pPr>
                    <w:autoSpaceDE w:val="0"/>
                    <w:autoSpaceDN w:val="0"/>
                    <w:adjustRightInd w:val="0"/>
                    <w:snapToGrid w:val="0"/>
                    <w:rPr>
                      <w:color w:val="auto"/>
                    </w:rPr>
                  </w:pPr>
                  <w:r>
                    <w:rPr>
                      <w:rFonts w:hint="eastAsia"/>
                      <w:color w:val="auto"/>
                      <w:shd w:val="clear" w:color="auto" w:fill="FFFFFF"/>
                    </w:rPr>
                    <w:t>加快燃料清洁低碳化替代。对以煤、石油焦、渣油、重油等为燃料的工业炉窑，加快使用清洁低碳能源以及利用工厂余热、电厂热力等进行替代</w:t>
                  </w:r>
                </w:p>
              </w:tc>
              <w:tc>
                <w:tcPr>
                  <w:tcW w:w="2031" w:type="dxa"/>
                  <w:vMerge w:val="restart"/>
                  <w:vAlign w:val="center"/>
                </w:tcPr>
                <w:p>
                  <w:pPr>
                    <w:autoSpaceDE w:val="0"/>
                    <w:autoSpaceDN w:val="0"/>
                    <w:adjustRightInd w:val="0"/>
                    <w:snapToGrid w:val="0"/>
                    <w:rPr>
                      <w:color w:val="auto"/>
                    </w:rPr>
                  </w:pPr>
                  <w:r>
                    <w:rPr>
                      <w:rFonts w:hint="eastAsia"/>
                      <w:color w:val="auto"/>
                    </w:rPr>
                    <w:t>本次改扩建将拆除原有煤气发生炉，全厂统一使用天然气作为燃料</w:t>
                  </w:r>
                </w:p>
              </w:tc>
              <w:tc>
                <w:tcPr>
                  <w:tcW w:w="617" w:type="dxa"/>
                  <w:vAlign w:val="center"/>
                </w:tcPr>
                <w:p>
                  <w:pPr>
                    <w:autoSpaceDE w:val="0"/>
                    <w:autoSpaceDN w:val="0"/>
                    <w:adjustRightInd w:val="0"/>
                    <w:snapToGrid w:val="0"/>
                    <w:jc w:val="cente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395" w:type="dxa"/>
                  <w:vAlign w:val="center"/>
                </w:tcPr>
                <w:p>
                  <w:pPr>
                    <w:autoSpaceDE w:val="0"/>
                    <w:autoSpaceDN w:val="0"/>
                    <w:adjustRightInd w:val="0"/>
                    <w:snapToGrid w:val="0"/>
                    <w:rPr>
                      <w:color w:val="auto"/>
                    </w:rPr>
                  </w:pPr>
                  <w:r>
                    <w:rPr>
                      <w:rFonts w:hint="eastAsia"/>
                      <w:color w:val="auto"/>
                      <w:shd w:val="clear" w:color="auto" w:fill="FFFFFF"/>
                    </w:rPr>
                    <w:t>加大煤气发生炉淘汰力度。2020年年底前；集中使用煤气发生炉的工业园区，暂不具备改用天然气条件的，原则上应建设统一的清洁煤制气中心</w:t>
                  </w:r>
                </w:p>
              </w:tc>
              <w:tc>
                <w:tcPr>
                  <w:tcW w:w="2031" w:type="dxa"/>
                  <w:vMerge w:val="continue"/>
                  <w:vAlign w:val="center"/>
                </w:tcPr>
                <w:p>
                  <w:pPr>
                    <w:autoSpaceDE w:val="0"/>
                    <w:autoSpaceDN w:val="0"/>
                    <w:adjustRightInd w:val="0"/>
                    <w:snapToGrid w:val="0"/>
                    <w:jc w:val="center"/>
                    <w:rPr>
                      <w:color w:val="auto"/>
                    </w:rPr>
                  </w:pPr>
                </w:p>
              </w:tc>
              <w:tc>
                <w:tcPr>
                  <w:tcW w:w="617" w:type="dxa"/>
                  <w:vAlign w:val="center"/>
                </w:tcPr>
                <w:p>
                  <w:pPr>
                    <w:autoSpaceDE w:val="0"/>
                    <w:autoSpaceDN w:val="0"/>
                    <w:adjustRightInd w:val="0"/>
                    <w:snapToGrid w:val="0"/>
                    <w:jc w:val="cente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395" w:type="dxa"/>
                  <w:vAlign w:val="center"/>
                </w:tcPr>
                <w:p>
                  <w:pPr>
                    <w:autoSpaceDE w:val="0"/>
                    <w:autoSpaceDN w:val="0"/>
                    <w:adjustRightInd w:val="0"/>
                    <w:snapToGrid w:val="0"/>
                    <w:rPr>
                      <w:color w:val="auto"/>
                    </w:rPr>
                  </w:pPr>
                  <w:r>
                    <w:rPr>
                      <w:rFonts w:hint="eastAsia"/>
                      <w:color w:val="auto"/>
                      <w:shd w:val="clear" w:color="auto" w:fill="FFFFFF"/>
                    </w:rPr>
                    <w:t>加快淘汰燃煤工业炉窑。加快推动铸造（10吨/小时及以下）、岩棉等行业冲天炉改为电炉</w:t>
                  </w:r>
                </w:p>
              </w:tc>
              <w:tc>
                <w:tcPr>
                  <w:tcW w:w="2031" w:type="dxa"/>
                  <w:vMerge w:val="continue"/>
                  <w:vAlign w:val="center"/>
                </w:tcPr>
                <w:p>
                  <w:pPr>
                    <w:autoSpaceDE w:val="0"/>
                    <w:autoSpaceDN w:val="0"/>
                    <w:adjustRightInd w:val="0"/>
                    <w:snapToGrid w:val="0"/>
                    <w:jc w:val="center"/>
                    <w:rPr>
                      <w:color w:val="auto"/>
                    </w:rPr>
                  </w:pPr>
                </w:p>
              </w:tc>
              <w:tc>
                <w:tcPr>
                  <w:tcW w:w="617" w:type="dxa"/>
                  <w:vAlign w:val="center"/>
                </w:tcPr>
                <w:p>
                  <w:pPr>
                    <w:autoSpaceDE w:val="0"/>
                    <w:autoSpaceDN w:val="0"/>
                    <w:adjustRightInd w:val="0"/>
                    <w:snapToGrid w:val="0"/>
                    <w:jc w:val="cente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395" w:type="dxa"/>
                  <w:vAlign w:val="center"/>
                </w:tcPr>
                <w:p>
                  <w:pPr>
                    <w:autoSpaceDE w:val="0"/>
                    <w:autoSpaceDN w:val="0"/>
                    <w:adjustRightInd w:val="0"/>
                    <w:snapToGrid w:val="0"/>
                    <w:rPr>
                      <w:color w:val="auto"/>
                    </w:rPr>
                  </w:pPr>
                  <w:r>
                    <w:rPr>
                      <w:rFonts w:hint="eastAsia"/>
                      <w:color w:val="auto"/>
                      <w:shd w:val="clear" w:color="auto" w:fill="FFFFFF"/>
                    </w:rPr>
                    <w:t>实施污染深度治理。推进工业炉窑全面达标排放，已有行业排放标准的工业炉窑，严格执行行业排放标准相关规定，配套建设高效脱硫脱硝除尘设施，确保稳定达标排放</w:t>
                  </w:r>
                </w:p>
              </w:tc>
              <w:tc>
                <w:tcPr>
                  <w:tcW w:w="2031" w:type="dxa"/>
                  <w:vAlign w:val="center"/>
                </w:tcPr>
                <w:p>
                  <w:pPr>
                    <w:autoSpaceDE w:val="0"/>
                    <w:autoSpaceDN w:val="0"/>
                    <w:adjustRightInd w:val="0"/>
                    <w:snapToGrid w:val="0"/>
                    <w:rPr>
                      <w:color w:val="auto"/>
                    </w:rPr>
                  </w:pPr>
                  <w:r>
                    <w:rPr>
                      <w:rFonts w:hint="eastAsia"/>
                      <w:color w:val="auto"/>
                    </w:rPr>
                    <w:t>本项目为建材行业，进行耐火材料生产，生产过程中产生的窑烧烟气经脱硫除尘设备处理后可达标排放</w:t>
                  </w:r>
                </w:p>
              </w:tc>
              <w:tc>
                <w:tcPr>
                  <w:tcW w:w="617" w:type="dxa"/>
                  <w:vAlign w:val="center"/>
                </w:tcPr>
                <w:p>
                  <w:pPr>
                    <w:autoSpaceDE w:val="0"/>
                    <w:autoSpaceDN w:val="0"/>
                    <w:adjustRightInd w:val="0"/>
                    <w:snapToGrid w:val="0"/>
                    <w:jc w:val="cente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395"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已制定更严格地方排放标准的，按地方标准执行。已核发排污许可证的，应严格执行许可要求，暂未制订行业排放标准的工业炉窑应参照相关行业已出台的标准，全面加大污染治理力度</w:t>
                  </w:r>
                </w:p>
              </w:tc>
              <w:tc>
                <w:tcPr>
                  <w:tcW w:w="2031" w:type="dxa"/>
                  <w:vAlign w:val="center"/>
                </w:tcPr>
                <w:p>
                  <w:pPr>
                    <w:autoSpaceDE w:val="0"/>
                    <w:autoSpaceDN w:val="0"/>
                    <w:adjustRightInd w:val="0"/>
                    <w:snapToGrid w:val="0"/>
                    <w:rPr>
                      <w:color w:val="auto"/>
                    </w:rPr>
                  </w:pPr>
                  <w:r>
                    <w:rPr>
                      <w:rFonts w:hint="eastAsia"/>
                      <w:color w:val="auto"/>
                    </w:rPr>
                    <w:t>本项目已取得排污许可证（</w:t>
                  </w:r>
                  <w:r>
                    <w:rPr>
                      <w:rFonts w:hint="eastAsia"/>
                      <w:color w:val="auto"/>
                      <w:szCs w:val="21"/>
                    </w:rPr>
                    <w:t>915301256836581500001R</w:t>
                  </w:r>
                  <w:r>
                    <w:rPr>
                      <w:rFonts w:hint="eastAsia"/>
                      <w:color w:val="auto"/>
                    </w:rPr>
                    <w:t>），运营期污染物排放将严格执行许可要求</w:t>
                  </w:r>
                </w:p>
              </w:tc>
              <w:tc>
                <w:tcPr>
                  <w:tcW w:w="617" w:type="dxa"/>
                  <w:vAlign w:val="center"/>
                </w:tcPr>
                <w:p>
                  <w:pPr>
                    <w:autoSpaceDE w:val="0"/>
                    <w:autoSpaceDN w:val="0"/>
                    <w:adjustRightInd w:val="0"/>
                    <w:snapToGrid w:val="0"/>
                    <w:jc w:val="cente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395"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全面加强无组织排放管理。严格控制工业炉窑生产工艺过程及相关物料储存、输送等无组织排放，在保障生产安全的前提下，采取密闭、封闭等有效措施，有效提高废气收集率，产尘点及车间不得有可见烟粉尘外逸</w:t>
                  </w:r>
                </w:p>
              </w:tc>
              <w:tc>
                <w:tcPr>
                  <w:tcW w:w="2031" w:type="dxa"/>
                  <w:vAlign w:val="center"/>
                </w:tcPr>
                <w:p>
                  <w:pPr>
                    <w:autoSpaceDE w:val="0"/>
                    <w:autoSpaceDN w:val="0"/>
                    <w:adjustRightInd w:val="0"/>
                    <w:snapToGrid w:val="0"/>
                    <w:rPr>
                      <w:color w:val="auto"/>
                    </w:rPr>
                  </w:pPr>
                  <w:r>
                    <w:rPr>
                      <w:rFonts w:hint="eastAsia"/>
                      <w:color w:val="auto"/>
                    </w:rPr>
                    <w:t>本项目物料堆场和各车间设三面围挡和顶棚，可有效减少无组织粉尘排放量；物料运是采用篷布覆盖，工序之间物料输送方式为管道输送，且项目定时对堆场采取洒水降尘，增加物料湿度，从而减少无组织粉尘产生量，项目产尘点及生产车间基本无可见烟粉尘外逸</w:t>
                  </w:r>
                </w:p>
              </w:tc>
              <w:tc>
                <w:tcPr>
                  <w:tcW w:w="617" w:type="dxa"/>
                  <w:vAlign w:val="center"/>
                </w:tcPr>
                <w:p>
                  <w:pPr>
                    <w:autoSpaceDE w:val="0"/>
                    <w:autoSpaceDN w:val="0"/>
                    <w:adjustRightInd w:val="0"/>
                    <w:snapToGrid w:val="0"/>
                    <w:jc w:val="cente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395"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生产工艺产尘点（装置）应采取密闭、封闭或设置集气罩等措施</w:t>
                  </w:r>
                </w:p>
              </w:tc>
              <w:tc>
                <w:tcPr>
                  <w:tcW w:w="2031" w:type="dxa"/>
                  <w:vAlign w:val="center"/>
                </w:tcPr>
                <w:p>
                  <w:pPr>
                    <w:autoSpaceDE w:val="0"/>
                    <w:autoSpaceDN w:val="0"/>
                    <w:adjustRightInd w:val="0"/>
                    <w:snapToGrid w:val="0"/>
                    <w:rPr>
                      <w:color w:val="auto"/>
                    </w:rPr>
                  </w:pPr>
                  <w:r>
                    <w:rPr>
                      <w:rFonts w:hint="eastAsia"/>
                      <w:color w:val="auto"/>
                    </w:rPr>
                    <w:t>项目破碎、筛分、板料等工序设置集气罩，并采用洒水降尘和布袋除尘器对产生的粉尘进行处理</w:t>
                  </w:r>
                </w:p>
              </w:tc>
              <w:tc>
                <w:tcPr>
                  <w:tcW w:w="617" w:type="dxa"/>
                  <w:vAlign w:val="center"/>
                </w:tcPr>
                <w:p>
                  <w:pPr>
                    <w:autoSpaceDE w:val="0"/>
                    <w:autoSpaceDN w:val="0"/>
                    <w:adjustRightInd w:val="0"/>
                    <w:snapToGrid w:val="0"/>
                    <w:jc w:val="cente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395" w:type="dxa"/>
                  <w:vAlign w:val="center"/>
                </w:tcPr>
                <w:p>
                  <w:pPr>
                    <w:autoSpaceDE w:val="0"/>
                    <w:autoSpaceDN w:val="0"/>
                    <w:adjustRightInd w:val="0"/>
                    <w:snapToGrid w:val="0"/>
                    <w:rPr>
                      <w:color w:val="auto"/>
                    </w:rPr>
                  </w:pPr>
                  <w:r>
                    <w:rPr>
                      <w:rFonts w:hint="eastAsia"/>
                      <w:color w:val="auto"/>
                      <w:shd w:val="clear" w:color="auto" w:fill="FFFFFF"/>
                    </w:rPr>
                    <w:t>煤粉、粉煤灰、石灰、除尘灰、脱硫灰等粉状物料应密闭或封闭储存，采用密闭皮带、封闭通廊、管状带式输送机或密闭车厢、真空罐车、气力输送等方式输送。粒状、块状物料应采用入棚入仓或建设防风抑尘网等方式进行储存，粒状物料采用密闭、封闭等方式输送。物料输送过程中产尘点应采取有效抑尘措施</w:t>
                  </w:r>
                </w:p>
              </w:tc>
              <w:tc>
                <w:tcPr>
                  <w:tcW w:w="2031" w:type="dxa"/>
                  <w:vAlign w:val="center"/>
                </w:tcPr>
                <w:p>
                  <w:pPr>
                    <w:autoSpaceDE w:val="0"/>
                    <w:autoSpaceDN w:val="0"/>
                    <w:adjustRightInd w:val="0"/>
                    <w:snapToGrid w:val="0"/>
                    <w:rPr>
                      <w:color w:val="auto"/>
                    </w:rPr>
                  </w:pPr>
                  <w:r>
                    <w:rPr>
                      <w:rFonts w:hint="eastAsia"/>
                      <w:color w:val="auto"/>
                    </w:rPr>
                    <w:t>项目堆场采取三面围挡，设置顶棚，仅留有一面作为作业机械出入口，且项目定时对堆场采取洒水降尘，增加物料湿度，从而减少无组织粉尘产生。工序之间物料输送方式为管道输送，在进料口设置封闭措施和洒水降尘设施，能有效抑制生产过程中产尘点粉尘的产生</w:t>
                  </w:r>
                </w:p>
              </w:tc>
              <w:tc>
                <w:tcPr>
                  <w:tcW w:w="617" w:type="dxa"/>
                  <w:vAlign w:val="center"/>
                </w:tcPr>
                <w:p>
                  <w:pPr>
                    <w:autoSpaceDE w:val="0"/>
                    <w:autoSpaceDN w:val="0"/>
                    <w:adjustRightInd w:val="0"/>
                    <w:snapToGrid w:val="0"/>
                    <w:jc w:val="center"/>
                    <w:rPr>
                      <w:color w:val="auto"/>
                    </w:rPr>
                  </w:pPr>
                  <w:r>
                    <w:rPr>
                      <w:rFonts w:hint="eastAsia"/>
                      <w:color w:val="auto"/>
                    </w:rPr>
                    <w:t>符合</w:t>
                  </w:r>
                </w:p>
              </w:tc>
            </w:tr>
          </w:tbl>
          <w:p>
            <w:pPr>
              <w:autoSpaceDE w:val="0"/>
              <w:autoSpaceDN w:val="0"/>
              <w:adjustRightInd w:val="0"/>
              <w:snapToGrid w:val="0"/>
              <w:rPr>
                <w:b/>
                <w:color w:val="auto"/>
                <w:sz w:val="24"/>
              </w:rPr>
            </w:pPr>
          </w:p>
          <w:p>
            <w:pPr>
              <w:autoSpaceDE w:val="0"/>
              <w:autoSpaceDN w:val="0"/>
              <w:adjustRightInd w:val="0"/>
              <w:snapToGrid w:val="0"/>
              <w:spacing w:line="360" w:lineRule="auto"/>
              <w:ind w:firstLine="480" w:firstLineChars="200"/>
              <w:rPr>
                <w:color w:val="auto"/>
                <w:kern w:val="0"/>
                <w:sz w:val="24"/>
              </w:rPr>
            </w:pPr>
            <w:r>
              <w:rPr>
                <w:rFonts w:hint="eastAsia"/>
                <w:color w:val="auto"/>
                <w:kern w:val="0"/>
                <w:sz w:val="24"/>
              </w:rPr>
              <w:t>综上所述，项目符合《工业炉窑大气污染综合防治治理方案》（环大气[2019]56号）相关要求。</w:t>
            </w:r>
          </w:p>
          <w:p>
            <w:pPr>
              <w:autoSpaceDE w:val="0"/>
              <w:autoSpaceDN w:val="0"/>
              <w:adjustRightInd w:val="0"/>
              <w:snapToGrid w:val="0"/>
              <w:spacing w:line="360" w:lineRule="auto"/>
              <w:rPr>
                <w:b/>
                <w:color w:val="auto"/>
                <w:sz w:val="24"/>
              </w:rPr>
            </w:pPr>
            <w:r>
              <w:rPr>
                <w:rFonts w:hint="eastAsia"/>
                <w:b/>
                <w:color w:val="auto"/>
                <w:sz w:val="24"/>
              </w:rPr>
              <w:t>1.8</w:t>
            </w:r>
            <w:r>
              <w:rPr>
                <w:b/>
                <w:color w:val="auto"/>
                <w:sz w:val="24"/>
              </w:rPr>
              <w:t>项目与</w:t>
            </w:r>
            <w:r>
              <w:rPr>
                <w:rFonts w:hint="eastAsia"/>
                <w:b/>
                <w:color w:val="auto"/>
                <w:sz w:val="24"/>
              </w:rPr>
              <w:t>《云南省长江经济带发展负面清单指南实施细则》（试行，2022年版）相符性分析</w:t>
            </w:r>
          </w:p>
          <w:p>
            <w:pPr>
              <w:autoSpaceDE w:val="0"/>
              <w:autoSpaceDN w:val="0"/>
              <w:adjustRightInd w:val="0"/>
              <w:snapToGrid w:val="0"/>
              <w:spacing w:line="360" w:lineRule="auto"/>
              <w:ind w:firstLine="480" w:firstLineChars="200"/>
              <w:rPr>
                <w:color w:val="auto"/>
                <w:kern w:val="0"/>
                <w:sz w:val="24"/>
              </w:rPr>
            </w:pPr>
            <w:r>
              <w:rPr>
                <w:rFonts w:hint="eastAsia"/>
                <w:color w:val="auto"/>
                <w:kern w:val="0"/>
                <w:sz w:val="24"/>
              </w:rPr>
              <w:t>项目与《云南省长江经济带发展负面清单指南实施细则》（试行，2022年版）相符性分析见表1-</w:t>
            </w:r>
            <w:r>
              <w:rPr>
                <w:rFonts w:hint="eastAsia"/>
                <w:color w:val="auto"/>
                <w:kern w:val="0"/>
                <w:sz w:val="24"/>
                <w:lang w:val="en-US" w:eastAsia="zh-CN"/>
              </w:rPr>
              <w:t>8</w:t>
            </w:r>
            <w:r>
              <w:rPr>
                <w:rFonts w:hint="eastAsia"/>
                <w:color w:val="auto"/>
                <w:kern w:val="0"/>
                <w:sz w:val="24"/>
              </w:rPr>
              <w:t>。</w:t>
            </w:r>
          </w:p>
          <w:p>
            <w:pPr>
              <w:autoSpaceDE w:val="0"/>
              <w:autoSpaceDN w:val="0"/>
              <w:adjustRightInd w:val="0"/>
              <w:snapToGrid w:val="0"/>
              <w:jc w:val="center"/>
              <w:rPr>
                <w:b/>
                <w:color w:val="auto"/>
                <w:szCs w:val="21"/>
              </w:rPr>
            </w:pPr>
            <w:r>
              <w:rPr>
                <w:rFonts w:hint="eastAsia"/>
                <w:b/>
                <w:color w:val="auto"/>
                <w:szCs w:val="21"/>
              </w:rPr>
              <w:t>表1-</w:t>
            </w:r>
            <w:r>
              <w:rPr>
                <w:rFonts w:hint="eastAsia"/>
                <w:b/>
                <w:color w:val="auto"/>
                <w:szCs w:val="21"/>
                <w:lang w:val="en-US" w:eastAsia="zh-CN"/>
              </w:rPr>
              <w:t>8</w:t>
            </w:r>
            <w:r>
              <w:rPr>
                <w:rFonts w:hint="eastAsia"/>
                <w:b/>
                <w:color w:val="auto"/>
                <w:szCs w:val="21"/>
              </w:rPr>
              <w:t xml:space="preserve">  与</w:t>
            </w:r>
            <w:r>
              <w:rPr>
                <w:rFonts w:hint="eastAsia"/>
                <w:b/>
                <w:color w:val="auto"/>
                <w:kern w:val="0"/>
                <w:szCs w:val="21"/>
              </w:rPr>
              <w:t>《云南省长江经济带发展负面清单指南实施细则》相符性分析</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2627"/>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544" w:type="dxa"/>
                  <w:vAlign w:val="center"/>
                </w:tcPr>
                <w:p>
                  <w:pPr>
                    <w:autoSpaceDE w:val="0"/>
                    <w:autoSpaceDN w:val="0"/>
                    <w:adjustRightInd w:val="0"/>
                    <w:snapToGrid w:val="0"/>
                    <w:jc w:val="center"/>
                    <w:rPr>
                      <w:color w:val="auto"/>
                      <w:szCs w:val="21"/>
                    </w:rPr>
                  </w:pPr>
                  <w:r>
                    <w:rPr>
                      <w:rFonts w:hint="eastAsia"/>
                      <w:color w:val="auto"/>
                      <w:kern w:val="0"/>
                      <w:szCs w:val="21"/>
                    </w:rPr>
                    <w:t>云南省长江经济带发展负面清单指南实施细则</w:t>
                  </w:r>
                </w:p>
              </w:tc>
              <w:tc>
                <w:tcPr>
                  <w:tcW w:w="2627" w:type="dxa"/>
                  <w:vAlign w:val="center"/>
                </w:tcPr>
                <w:p>
                  <w:pPr>
                    <w:autoSpaceDE w:val="0"/>
                    <w:autoSpaceDN w:val="0"/>
                    <w:adjustRightInd w:val="0"/>
                    <w:snapToGrid w:val="0"/>
                    <w:jc w:val="center"/>
                    <w:rPr>
                      <w:color w:val="auto"/>
                      <w:szCs w:val="21"/>
                    </w:rPr>
                  </w:pPr>
                  <w:r>
                    <w:rPr>
                      <w:rFonts w:hint="eastAsia"/>
                      <w:color w:val="auto"/>
                      <w:szCs w:val="21"/>
                    </w:rPr>
                    <w:t>项目情况</w:t>
                  </w:r>
                </w:p>
              </w:tc>
              <w:tc>
                <w:tcPr>
                  <w:tcW w:w="659" w:type="dxa"/>
                  <w:vAlign w:val="center"/>
                </w:tcPr>
                <w:p>
                  <w:pPr>
                    <w:autoSpaceDE w:val="0"/>
                    <w:autoSpaceDN w:val="0"/>
                    <w:adjustRightInd w:val="0"/>
                    <w:snapToGrid w:val="0"/>
                    <w:jc w:val="center"/>
                    <w:rPr>
                      <w:color w:val="auto"/>
                      <w:szCs w:val="21"/>
                    </w:rPr>
                  </w:pPr>
                  <w:r>
                    <w:rPr>
                      <w:rFonts w:hint="eastAsia"/>
                      <w:color w:val="auto"/>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544"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禁止建设不符合全国和省级港口布局规划以及港口总体规划的码头项目</w:t>
                  </w:r>
                </w:p>
              </w:tc>
              <w:tc>
                <w:tcPr>
                  <w:tcW w:w="2627" w:type="dxa"/>
                  <w:vAlign w:val="center"/>
                </w:tcPr>
                <w:p>
                  <w:pPr>
                    <w:autoSpaceDE w:val="0"/>
                    <w:autoSpaceDN w:val="0"/>
                    <w:adjustRightInd w:val="0"/>
                    <w:snapToGrid w:val="0"/>
                    <w:jc w:val="center"/>
                    <w:rPr>
                      <w:color w:val="auto"/>
                      <w:shd w:val="clear" w:color="auto" w:fill="FFFFFF"/>
                    </w:rPr>
                  </w:pPr>
                  <w:r>
                    <w:rPr>
                      <w:rFonts w:hint="eastAsia"/>
                      <w:color w:val="auto"/>
                      <w:shd w:val="clear" w:color="auto" w:fill="FFFFFF"/>
                    </w:rPr>
                    <w:t>不涉及</w:t>
                  </w:r>
                </w:p>
              </w:tc>
              <w:tc>
                <w:tcPr>
                  <w:tcW w:w="659" w:type="dxa"/>
                  <w:vAlign w:val="center"/>
                </w:tcPr>
                <w:p>
                  <w:pPr>
                    <w:autoSpaceDE w:val="0"/>
                    <w:autoSpaceDN w:val="0"/>
                    <w:adjustRightInd w:val="0"/>
                    <w:snapToGrid w:val="0"/>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544"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禁止在生态保护红线范围内投资建设项目，生态保护红线内、自然保护地核心保护区原则上禁止人为活动；其他区域严格禁止开发性、生产性建设活动。除国家重大战略资源勘查项目、生态保护修复和环境治理项目、重大基础设施项目、军事国防项目以及农牧民基本生产生活等必要的民生项目以外的项目。生态保护红线原则上按禁止开发区域的要求进行管理外，仅允许对生态功能不造成破坏的有限人为活动</w:t>
                  </w:r>
                </w:p>
              </w:tc>
              <w:tc>
                <w:tcPr>
                  <w:tcW w:w="2627"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本项目位于宜良工业园区北古城片区，在昆明红枫湖耐火材料有限公司现有项目场地内进行改扩建，不新增占地，项目建设用地不涉及生态保护红线</w:t>
                  </w:r>
                </w:p>
              </w:tc>
              <w:tc>
                <w:tcPr>
                  <w:tcW w:w="659" w:type="dxa"/>
                  <w:vAlign w:val="center"/>
                </w:tcPr>
                <w:p>
                  <w:pPr>
                    <w:autoSpaceDE w:val="0"/>
                    <w:autoSpaceDN w:val="0"/>
                    <w:adjustRightInd w:val="0"/>
                    <w:snapToGrid w:val="0"/>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544"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禁止在自然保护区内进行砍伐、放牧、狩猎、捕捞、采药、开垦、烧荒、开矿、采石、挖沙等活动；禁止任何人进入自然保护区的核心区；禁止在自然保护区的缓冲区开展旅游和生产经营活动；严禁开设与自然保护区保护方向不一致的参观、旅游项目；在自然保护区的实验区内，不得建设污染环境、破坏资源或者景观的生产设施；自然保护区核心区，严禁任何生产经营活动；新建公路、铁路和其他基础设施不得穿越自然保护区核心区，尽量避免穿越缓冲区；禁止在自然保护区的核心区和缓冲区内建设畜禽养殖场、养殖小区</w:t>
                  </w:r>
                </w:p>
              </w:tc>
              <w:tc>
                <w:tcPr>
                  <w:tcW w:w="2627"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本项目位于宜良工业园区北古城片区，在昆明红枫湖耐火材料有限公司现有项目场地内进行改扩建，不新增占地，项目建设用地不涉及自然保护区</w:t>
                  </w:r>
                </w:p>
              </w:tc>
              <w:tc>
                <w:tcPr>
                  <w:tcW w:w="659" w:type="dxa"/>
                  <w:vAlign w:val="center"/>
                </w:tcPr>
                <w:p>
                  <w:pPr>
                    <w:autoSpaceDE w:val="0"/>
                    <w:autoSpaceDN w:val="0"/>
                    <w:adjustRightInd w:val="0"/>
                    <w:snapToGrid w:val="0"/>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544"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禁止在风景名胜区内进行开山、采石、开矿、开荒、修坟立碑等破坏景观、植被和地形地貌的活动以及修建储存爆炸性、易燃性、放射性、毒害性、腐蚀性物品的设施；禁止违反风景名胜区规划，在风景名胜区内设立各类开发区和在核心景区内建设宾馆、招待所、培训中心、疗养院以及与风景名胜资源保护无关的其他建筑物；禁止在风景名胜区从事与风景名胜资源无关的生产建设活动；风景名胜区内的水源、水体应当严加保护，禁止污染水源、水体，禁止擅自围、填、堵塞水面和围湖造田等；禁止在风景名胜区内建设畜禽养殖场、养殖小区</w:t>
                  </w:r>
                </w:p>
              </w:tc>
              <w:tc>
                <w:tcPr>
                  <w:tcW w:w="2627"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本项目位于宜良工业园区北古城片区，在昆明红枫湖耐火材料有限公司现有项目场地内进行改扩建，不新增占地，项目建设用地不涉及风景名胜区</w:t>
                  </w:r>
                </w:p>
              </w:tc>
              <w:tc>
                <w:tcPr>
                  <w:tcW w:w="659" w:type="dxa"/>
                  <w:vAlign w:val="center"/>
                </w:tcPr>
                <w:p>
                  <w:pPr>
                    <w:autoSpaceDE w:val="0"/>
                    <w:autoSpaceDN w:val="0"/>
                    <w:adjustRightInd w:val="0"/>
                    <w:snapToGrid w:val="0"/>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544"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禁止擅自征收、占用国家湿地公园的土地。除国家另有规定外，禁止在国家湿地公园内开（围）垦、填埋或者排干湿地；截断湿地水源；挖沙、采矿，倾倒有毒有害物质、废弃物、垃圾；从事房地产、度假村、高尔夫球场、风力发电、光伏发电等任何不符合主体功能定位的建设项目和开发活动；破坏野生动物栖息地和迁徙通道、鱼类洄游通道；滥采滥捕野生动植物，引入外来物种；擅自放牧、捕捞、取土、取水、排污、放生等破坏湿地及其生态功能的活动。国家湿地公园保育区除开展保护、监测、科学研究等必需的保护管理活动外，不得进行任何与湿地生态系统保护和管理无关的其他活动</w:t>
                  </w:r>
                </w:p>
              </w:tc>
              <w:tc>
                <w:tcPr>
                  <w:tcW w:w="2627"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本项目位于宜良工业园区北古城片区，在昆明红枫湖耐火材料有限公司现有项目场地内进行改扩建，不新增占地，项目建设用地不占用国家湿地公园土地</w:t>
                  </w:r>
                </w:p>
              </w:tc>
              <w:tc>
                <w:tcPr>
                  <w:tcW w:w="659" w:type="dxa"/>
                  <w:vAlign w:val="center"/>
                </w:tcPr>
                <w:p>
                  <w:pPr>
                    <w:autoSpaceDE w:val="0"/>
                    <w:autoSpaceDN w:val="0"/>
                    <w:adjustRightInd w:val="0"/>
                    <w:snapToGrid w:val="0"/>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8" w:hRule="atLeast"/>
              </w:trPr>
              <w:tc>
                <w:tcPr>
                  <w:tcW w:w="3544"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禁止在饮用水水源一级保护区内新建、改扩建、扩建与供水设施和保护水源无关的建设项目；禁止在饮用水水源一级保护区内从事网箱养殖、旅游、游泳、垂钓或者其他可能污染饮用水水体的活动。禁止在饮用水水源二级保护区内新建、改扩建、扩建排放污染物的建设项目；在饮用水水源二级保护区内从事网箱养殖、旅游等活动的，应当按照规定采取措施，防止污染饮用水水体</w:t>
                  </w:r>
                </w:p>
              </w:tc>
              <w:tc>
                <w:tcPr>
                  <w:tcW w:w="2627"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本项目位于宜良工业园区北古城片区，在昆明红枫湖耐火材料有限公司现有项目场地内进行改扩建，不新增占地，项目建设用地不涉及饮用水源保护区</w:t>
                  </w:r>
                </w:p>
              </w:tc>
              <w:tc>
                <w:tcPr>
                  <w:tcW w:w="659" w:type="dxa"/>
                  <w:vAlign w:val="center"/>
                </w:tcPr>
                <w:p>
                  <w:pPr>
                    <w:autoSpaceDE w:val="0"/>
                    <w:autoSpaceDN w:val="0"/>
                    <w:adjustRightInd w:val="0"/>
                    <w:snapToGrid w:val="0"/>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8" w:hRule="atLeast"/>
              </w:trPr>
              <w:tc>
                <w:tcPr>
                  <w:tcW w:w="3544"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除国家明确支持的重大建设项目、军事国防类项目、交通类项目、能源类项目、水利类项目、国务院投资主管部门或国务院投资主管部门会同有关部门支持和认可的交通、能源、水利基础设施项目外，禁止在永久基本农田范围内投资建设项目。重大建设项目选址难以避让永久基本农田的，在可行性研究阶段，对占用必要性、合理性和补划方案可行性进行严格论证，按数量不减、质量不降、布局稳定要求补划，报自然资源部用地预审，依法依规办理农用地转用和土地征收和法定程序修改相应的国土空间规划用途</w:t>
                  </w:r>
                </w:p>
              </w:tc>
              <w:tc>
                <w:tcPr>
                  <w:tcW w:w="2627"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本项目位于宜良工业园区北古城片区，在昆明红枫湖耐火材料有限公司现有项目场地内进行改扩建，不新增占地，项目建设用地不在《长江岸线保护和开发利用总体规划》划定的岸线保护区和保留区内，不占用永久基本农田</w:t>
                  </w:r>
                </w:p>
              </w:tc>
              <w:tc>
                <w:tcPr>
                  <w:tcW w:w="659" w:type="dxa"/>
                  <w:vAlign w:val="center"/>
                </w:tcPr>
                <w:p>
                  <w:pPr>
                    <w:autoSpaceDE w:val="0"/>
                    <w:autoSpaceDN w:val="0"/>
                    <w:adjustRightInd w:val="0"/>
                    <w:snapToGrid w:val="0"/>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8" w:hRule="atLeast"/>
              </w:trPr>
              <w:tc>
                <w:tcPr>
                  <w:tcW w:w="3544"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禁止在《全国重要江河湖泊水功能区划》划定的河段及湖泊保护区、保留区内投资建设不利于水资源及自然生态保护的项目。禁止在金沙江、长江一级支流建设除党中央、国务院、国家投资主管部门、省级有关部门批复同意以外的过江基础设施项目；禁止未经许可在长江流域、九大高原湖泊流域新设、改设或扩大排污口，除入河（海）排污口命名与编码规则（HJ1235-2021）规定的第四类“其他排口”外。禁止在水产种质资源保护区内新建排污口，以及从事围湖造田、围湖造地或围填海工程</w:t>
                  </w:r>
                </w:p>
              </w:tc>
              <w:tc>
                <w:tcPr>
                  <w:tcW w:w="2627"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本项目位于宜良工业园区北古城片区，在昆明红枫湖耐火材料有限公司现有项目场地内进行改扩建，不新增占地，项目建设用地不在《全国重要江河湖泊水功能区划》划定的河段及湖泊保护区、保留区内</w:t>
                  </w:r>
                </w:p>
              </w:tc>
              <w:tc>
                <w:tcPr>
                  <w:tcW w:w="659" w:type="dxa"/>
                  <w:vAlign w:val="center"/>
                </w:tcPr>
                <w:p>
                  <w:pPr>
                    <w:autoSpaceDE w:val="0"/>
                    <w:autoSpaceDN w:val="0"/>
                    <w:adjustRightInd w:val="0"/>
                    <w:snapToGrid w:val="0"/>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3544"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禁止在金沙江、赤水河、乌江和等水生动植物自然保护区、水产种质资源保护区长江流域禁捕水域开展天然渔业资源生产性捕捞。禁止开（围）垦、填埋或者排干湿地；禁止截断湿地水源、挖沙、采矿、引入外来物种；禁止擅自放牧、捕捞、取土、取水、排污、放生；禁止其他破坏湿地及其生态功能活动</w:t>
                  </w:r>
                </w:p>
              </w:tc>
              <w:tc>
                <w:tcPr>
                  <w:tcW w:w="2627"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本项目位于宜良工业园区北古城片区，在昆明红枫湖耐火材料有限公司现有项目场地内进行改扩建，不新增占地，项目建设用地不涉及自然保护区、水产种质资源保护区</w:t>
                  </w:r>
                </w:p>
              </w:tc>
              <w:tc>
                <w:tcPr>
                  <w:tcW w:w="659" w:type="dxa"/>
                  <w:vAlign w:val="center"/>
                </w:tcPr>
                <w:p>
                  <w:pPr>
                    <w:autoSpaceDE w:val="0"/>
                    <w:autoSpaceDN w:val="0"/>
                    <w:adjustRightInd w:val="0"/>
                    <w:snapToGrid w:val="0"/>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544"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禁止在金沙江、长江一级支流岸线边界一公里范围内新建、扩建化工园区和化工项目。新建化工园区充分留足与周边城镇未来扩张发展的安全距离，立足于生态工业园区建设方向，推广绿色化学和绿色化工发展模式。化工园区设立及园区产业发展规划由省级业务主管部门牵头组织专家论证后审定</w:t>
                  </w:r>
                </w:p>
              </w:tc>
              <w:tc>
                <w:tcPr>
                  <w:tcW w:w="2627" w:type="dxa"/>
                  <w:vAlign w:val="center"/>
                </w:tcPr>
                <w:p>
                  <w:pPr>
                    <w:autoSpaceDE w:val="0"/>
                    <w:autoSpaceDN w:val="0"/>
                    <w:adjustRightInd w:val="0"/>
                    <w:snapToGrid w:val="0"/>
                    <w:rPr>
                      <w:color w:val="auto"/>
                      <w:shd w:val="clear" w:color="auto" w:fill="FFFFFF"/>
                    </w:rPr>
                  </w:pPr>
                  <w:r>
                    <w:rPr>
                      <w:rFonts w:hint="eastAsia"/>
                      <w:color w:val="auto"/>
                      <w:szCs w:val="21"/>
                    </w:rPr>
                    <w:t>本项目位于工业园区北古城片区，区域地表水为项目南侧1330m处的南盘江，不在</w:t>
                  </w:r>
                  <w:r>
                    <w:rPr>
                      <w:rFonts w:hint="eastAsia"/>
                      <w:color w:val="auto"/>
                      <w:shd w:val="clear" w:color="auto" w:fill="FFFFFF"/>
                    </w:rPr>
                    <w:t>金沙江、长江一级支流岸线边界1公里范围内</w:t>
                  </w:r>
                </w:p>
              </w:tc>
              <w:tc>
                <w:tcPr>
                  <w:tcW w:w="659" w:type="dxa"/>
                  <w:vAlign w:val="center"/>
                </w:tcPr>
                <w:p>
                  <w:pPr>
                    <w:autoSpaceDE w:val="0"/>
                    <w:autoSpaceDN w:val="0"/>
                    <w:adjustRightInd w:val="0"/>
                    <w:snapToGrid w:val="0"/>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544"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禁止在金沙江干流岸线3公里、长江（金沙江）一级支流岸线1公里范围内新建、改扩建、扩建尾矿库、冶炼渣库和磷石膏库，以提升安全、生态环境保护水平为目的的改扩建除外</w:t>
                  </w:r>
                </w:p>
              </w:tc>
              <w:tc>
                <w:tcPr>
                  <w:tcW w:w="2627"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本项目为耐火材料生产项目，属于建材行业，项目不在金沙江岸线3公里、长江一级支流岸线1公里范围内</w:t>
                  </w:r>
                </w:p>
              </w:tc>
              <w:tc>
                <w:tcPr>
                  <w:tcW w:w="659" w:type="dxa"/>
                  <w:vAlign w:val="center"/>
                </w:tcPr>
                <w:p>
                  <w:pPr>
                    <w:autoSpaceDE w:val="0"/>
                    <w:autoSpaceDN w:val="0"/>
                    <w:adjustRightInd w:val="0"/>
                    <w:snapToGrid w:val="0"/>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544"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禁止在合规园区外新建、扩建钢铁、石化、化工、焦化、建材、有色、制浆造纸等高污染项目。禁止新增钢铁、水泥、平板玻璃等行业建设产能，确有必要建设的，应按规定实施产能等量或减量置换</w:t>
                  </w:r>
                </w:p>
              </w:tc>
              <w:tc>
                <w:tcPr>
                  <w:tcW w:w="2627"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项目位于宜良工业园区北古城片区，宜良工业园区于2009年2月正式纳入省级工业园区管理，为合规园区。项目为耐火材料生产项目，为建材行业，符合工业园区产业规划</w:t>
                  </w:r>
                </w:p>
              </w:tc>
              <w:tc>
                <w:tcPr>
                  <w:tcW w:w="659" w:type="dxa"/>
                  <w:vAlign w:val="center"/>
                </w:tcPr>
                <w:p>
                  <w:pPr>
                    <w:autoSpaceDE w:val="0"/>
                    <w:autoSpaceDN w:val="0"/>
                    <w:adjustRightInd w:val="0"/>
                    <w:snapToGrid w:val="0"/>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544"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禁止新建、扩建不符合国家石化、现代煤化工产业布局规划项目。禁止《云南省城镇人口密集区危险化学品生产企业搬迁改造名单》搬迁改造企业在原址新建、扩建危险化学品生产项目，加强搬迁入园、关闭退出企业腾退土地污染风险管控和治理修复，确保腾退土地符合规划用地土壤环境质量标准</w:t>
                  </w:r>
                </w:p>
              </w:tc>
              <w:tc>
                <w:tcPr>
                  <w:tcW w:w="2627" w:type="dxa"/>
                  <w:vAlign w:val="center"/>
                </w:tcPr>
                <w:p>
                  <w:pPr>
                    <w:autoSpaceDE w:val="0"/>
                    <w:autoSpaceDN w:val="0"/>
                    <w:adjustRightInd w:val="0"/>
                    <w:snapToGrid w:val="0"/>
                    <w:jc w:val="center"/>
                    <w:rPr>
                      <w:color w:val="auto"/>
                      <w:shd w:val="clear" w:color="auto" w:fill="FFFFFF"/>
                    </w:rPr>
                  </w:pPr>
                  <w:r>
                    <w:rPr>
                      <w:rFonts w:hint="eastAsia"/>
                      <w:color w:val="auto"/>
                      <w:shd w:val="clear" w:color="auto" w:fill="FFFFFF"/>
                    </w:rPr>
                    <w:t>不涉及</w:t>
                  </w:r>
                </w:p>
              </w:tc>
              <w:tc>
                <w:tcPr>
                  <w:tcW w:w="659" w:type="dxa"/>
                  <w:vAlign w:val="center"/>
                </w:tcPr>
                <w:p>
                  <w:pPr>
                    <w:autoSpaceDE w:val="0"/>
                    <w:autoSpaceDN w:val="0"/>
                    <w:adjustRightInd w:val="0"/>
                    <w:snapToGrid w:val="0"/>
                    <w:jc w:val="center"/>
                    <w:rPr>
                      <w:color w:val="auto"/>
                      <w:szCs w:val="21"/>
                    </w:rPr>
                  </w:pPr>
                  <w:r>
                    <w:rPr>
                      <w:rFonts w:hint="eastAsia"/>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544"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禁止新建、扩建法律法规和相关政策明令禁止的落后产能项目，依法依规淘汰不符合要求的电石炉及开放式电石炉、无化产回收的单一炼焦生产设施，依法依规淘汰不符合要求的硫铁矿制酸、硫磺制酸、黄磷生产、有钙焙烧铬化合物生产装置和有机—无机复混肥料、过磷酸钙和钙镁磷肥生产线。禁止新建、扩建不符合国家产能置换要求的严重过剩产能行业的项目。禁止新建、扩建不符合要求的高耗能高排放项目。禁止建设高毒高残留以及对环境影响大的农药原药生产装置，严格控制尿素、磷铵、电石、焦炭、黄磷、烧碱、纯碱、聚氯乙烯等行业新增产能</w:t>
                  </w:r>
                </w:p>
              </w:tc>
              <w:tc>
                <w:tcPr>
                  <w:tcW w:w="2627" w:type="dxa"/>
                  <w:vAlign w:val="center"/>
                </w:tcPr>
                <w:p>
                  <w:pPr>
                    <w:autoSpaceDE w:val="0"/>
                    <w:autoSpaceDN w:val="0"/>
                    <w:adjustRightInd w:val="0"/>
                    <w:snapToGrid w:val="0"/>
                    <w:rPr>
                      <w:color w:val="auto"/>
                      <w:shd w:val="clear" w:color="auto" w:fill="FFFFFF"/>
                    </w:rPr>
                  </w:pPr>
                  <w:r>
                    <w:rPr>
                      <w:rFonts w:hint="eastAsia"/>
                      <w:color w:val="auto"/>
                      <w:shd w:val="clear" w:color="auto" w:fill="FFFFFF"/>
                    </w:rPr>
                    <w:t>本项目为耐火材料生产项目，属于建材行业，项目不在</w:t>
                  </w:r>
                  <w:r>
                    <w:rPr>
                      <w:color w:val="auto"/>
                      <w:shd w:val="clear" w:color="auto" w:fill="FFFFFF"/>
                    </w:rPr>
                    <w:t>《产业结构调整指导目录</w:t>
                  </w:r>
                  <w:r>
                    <w:rPr>
                      <w:rFonts w:hint="eastAsia"/>
                      <w:color w:val="auto"/>
                      <w:shd w:val="clear" w:color="auto" w:fill="FFFFFF"/>
                    </w:rPr>
                    <w:t>（2019年本）</w:t>
                  </w:r>
                  <w:r>
                    <w:rPr>
                      <w:color w:val="auto"/>
                      <w:shd w:val="clear" w:color="auto" w:fill="FFFFFF"/>
                    </w:rPr>
                    <w:t>》（20</w:t>
                  </w:r>
                  <w:r>
                    <w:rPr>
                      <w:rFonts w:hint="eastAsia"/>
                      <w:color w:val="auto"/>
                      <w:shd w:val="clear" w:color="auto" w:fill="FFFFFF"/>
                    </w:rPr>
                    <w:t>21年修订</w:t>
                  </w:r>
                  <w:r>
                    <w:rPr>
                      <w:color w:val="auto"/>
                      <w:shd w:val="clear" w:color="auto" w:fill="FFFFFF"/>
                    </w:rPr>
                    <w:t>）</w:t>
                  </w:r>
                  <w:r>
                    <w:rPr>
                      <w:rFonts w:hint="eastAsia"/>
                      <w:color w:val="auto"/>
                      <w:shd w:val="clear" w:color="auto" w:fill="FFFFFF"/>
                    </w:rPr>
                    <w:t xml:space="preserve"> “鼓励类、限制类和淘汰类”规定范围内，属于允许类项目，且项目不属于过剩产能项目</w:t>
                  </w:r>
                </w:p>
              </w:tc>
              <w:tc>
                <w:tcPr>
                  <w:tcW w:w="659" w:type="dxa"/>
                  <w:vAlign w:val="center"/>
                </w:tcPr>
                <w:p>
                  <w:pPr>
                    <w:autoSpaceDE w:val="0"/>
                    <w:autoSpaceDN w:val="0"/>
                    <w:adjustRightInd w:val="0"/>
                    <w:snapToGrid w:val="0"/>
                    <w:jc w:val="center"/>
                    <w:rPr>
                      <w:color w:val="auto"/>
                      <w:szCs w:val="21"/>
                    </w:rPr>
                  </w:pPr>
                  <w:r>
                    <w:rPr>
                      <w:rFonts w:hint="eastAsia"/>
                      <w:color w:val="auto"/>
                      <w:szCs w:val="21"/>
                    </w:rPr>
                    <w:t>符合</w:t>
                  </w:r>
                </w:p>
              </w:tc>
            </w:tr>
          </w:tbl>
          <w:p>
            <w:pPr>
              <w:autoSpaceDE w:val="0"/>
              <w:autoSpaceDN w:val="0"/>
              <w:adjustRightInd w:val="0"/>
              <w:snapToGrid w:val="0"/>
              <w:rPr>
                <w:b/>
                <w:color w:val="auto"/>
              </w:rPr>
            </w:pPr>
          </w:p>
          <w:p>
            <w:pPr>
              <w:autoSpaceDE w:val="0"/>
              <w:autoSpaceDN w:val="0"/>
              <w:adjustRightInd w:val="0"/>
              <w:snapToGrid w:val="0"/>
              <w:spacing w:line="360" w:lineRule="auto"/>
              <w:ind w:firstLine="480" w:firstLineChars="200"/>
              <w:rPr>
                <w:color w:val="auto"/>
                <w:sz w:val="24"/>
              </w:rPr>
            </w:pPr>
            <w:r>
              <w:rPr>
                <w:rFonts w:hint="eastAsia"/>
                <w:color w:val="auto"/>
                <w:sz w:val="24"/>
              </w:rPr>
              <w:t>综上所述，项目符合</w:t>
            </w:r>
            <w:r>
              <w:rPr>
                <w:rFonts w:hint="eastAsia"/>
                <w:color w:val="auto"/>
                <w:kern w:val="0"/>
                <w:sz w:val="24"/>
              </w:rPr>
              <w:t>《云南省长江经济带发展负面清单指南实施细则》（试行，2022年版）相关要求。</w:t>
            </w:r>
          </w:p>
          <w:p>
            <w:pPr>
              <w:autoSpaceDE w:val="0"/>
              <w:autoSpaceDN w:val="0"/>
              <w:adjustRightInd w:val="0"/>
              <w:snapToGrid w:val="0"/>
              <w:spacing w:line="360" w:lineRule="auto"/>
              <w:rPr>
                <w:b/>
                <w:color w:val="auto"/>
                <w:sz w:val="24"/>
              </w:rPr>
            </w:pPr>
            <w:r>
              <w:rPr>
                <w:rFonts w:hint="eastAsia"/>
                <w:b/>
                <w:color w:val="auto"/>
                <w:sz w:val="24"/>
              </w:rPr>
              <w:t>1.9项目选址合理性分析</w:t>
            </w:r>
          </w:p>
          <w:p>
            <w:pPr>
              <w:autoSpaceDE w:val="0"/>
              <w:autoSpaceDN w:val="0"/>
              <w:adjustRightInd w:val="0"/>
              <w:snapToGrid w:val="0"/>
              <w:spacing w:line="360" w:lineRule="auto"/>
              <w:ind w:firstLine="480" w:firstLineChars="200"/>
              <w:rPr>
                <w:color w:val="auto"/>
                <w:kern w:val="0"/>
                <w:sz w:val="24"/>
              </w:rPr>
            </w:pPr>
            <w:r>
              <w:rPr>
                <w:color w:val="auto"/>
                <w:kern w:val="0"/>
                <w:sz w:val="24"/>
              </w:rPr>
              <w:t>项目位于</w:t>
            </w:r>
            <w:r>
              <w:rPr>
                <w:rFonts w:hint="eastAsia" w:ascii="宋体" w:hAnsi="宋体"/>
                <w:color w:val="auto"/>
                <w:sz w:val="24"/>
              </w:rPr>
              <w:t>云南省昆明市宜良县北古城工业园区</w:t>
            </w:r>
            <w:r>
              <w:rPr>
                <w:rFonts w:hint="eastAsia"/>
                <w:color w:val="auto"/>
                <w:sz w:val="24"/>
              </w:rPr>
              <w:t>，在</w:t>
            </w:r>
            <w:r>
              <w:rPr>
                <w:rFonts w:hint="eastAsia" w:ascii="宋体" w:hAnsi="宋体"/>
                <w:color w:val="auto"/>
                <w:sz w:val="24"/>
              </w:rPr>
              <w:t>昆明红枫湖耐火材料有限公司已建成厂区内改扩建</w:t>
            </w:r>
            <w:r>
              <w:rPr>
                <w:rFonts w:hint="eastAsia"/>
                <w:color w:val="auto"/>
                <w:sz w:val="24"/>
              </w:rPr>
              <w:t>，不新增占地</w:t>
            </w:r>
            <w:r>
              <w:rPr>
                <w:rFonts w:hint="eastAsia"/>
                <w:color w:val="auto"/>
                <w:kern w:val="0"/>
                <w:sz w:val="24"/>
              </w:rPr>
              <w:t>。</w:t>
            </w:r>
            <w:r>
              <w:rPr>
                <w:color w:val="auto"/>
                <w:kern w:val="0"/>
                <w:sz w:val="24"/>
              </w:rPr>
              <w:t>项目不涉及生态保护红线、自然保护区、风景名胜区、饮用水水源保护区等环境敏感区。项目严格按照本环评的要求建设，不会改变评价区域的环境功能，且经过本环评分析，本项目产生的污染物均得到合理处置，外排污染物可实现达标排放，对周边环境的影响是可以接受的，本项目选址合理</w:t>
            </w:r>
            <w:r>
              <w:rPr>
                <w:rFonts w:hint="eastAsia"/>
                <w:color w:val="auto"/>
                <w:kern w:val="0"/>
                <w:sz w:val="24"/>
              </w:rPr>
              <w:t>。</w:t>
            </w:r>
          </w:p>
          <w:p>
            <w:pPr>
              <w:autoSpaceDE w:val="0"/>
              <w:autoSpaceDN w:val="0"/>
              <w:adjustRightInd w:val="0"/>
              <w:snapToGrid w:val="0"/>
              <w:spacing w:line="360" w:lineRule="auto"/>
              <w:ind w:firstLine="480" w:firstLineChars="200"/>
              <w:rPr>
                <w:color w:val="auto"/>
                <w:kern w:val="0"/>
                <w:sz w:val="24"/>
              </w:rPr>
            </w:pPr>
          </w:p>
          <w:p>
            <w:pPr>
              <w:autoSpaceDE w:val="0"/>
              <w:autoSpaceDN w:val="0"/>
              <w:adjustRightInd w:val="0"/>
              <w:snapToGrid w:val="0"/>
              <w:spacing w:line="360" w:lineRule="auto"/>
              <w:ind w:firstLine="480" w:firstLineChars="200"/>
              <w:rPr>
                <w:color w:val="auto"/>
                <w:kern w:val="0"/>
                <w:sz w:val="24"/>
              </w:rPr>
            </w:pPr>
          </w:p>
          <w:p>
            <w:pPr>
              <w:autoSpaceDE w:val="0"/>
              <w:autoSpaceDN w:val="0"/>
              <w:adjustRightInd w:val="0"/>
              <w:snapToGrid w:val="0"/>
              <w:spacing w:line="360" w:lineRule="auto"/>
              <w:ind w:firstLine="480" w:firstLineChars="200"/>
              <w:rPr>
                <w:color w:val="auto"/>
                <w:kern w:val="0"/>
                <w:sz w:val="24"/>
              </w:rPr>
            </w:pPr>
          </w:p>
          <w:p>
            <w:pPr>
              <w:autoSpaceDE w:val="0"/>
              <w:autoSpaceDN w:val="0"/>
              <w:adjustRightInd w:val="0"/>
              <w:snapToGrid w:val="0"/>
              <w:spacing w:line="360" w:lineRule="auto"/>
              <w:ind w:firstLine="480" w:firstLineChars="200"/>
              <w:rPr>
                <w:color w:val="auto"/>
                <w:kern w:val="0"/>
                <w:sz w:val="24"/>
              </w:rPr>
            </w:pPr>
          </w:p>
          <w:p>
            <w:pPr>
              <w:autoSpaceDE w:val="0"/>
              <w:autoSpaceDN w:val="0"/>
              <w:adjustRightInd w:val="0"/>
              <w:snapToGrid w:val="0"/>
              <w:spacing w:line="360" w:lineRule="auto"/>
              <w:ind w:firstLine="480" w:firstLineChars="200"/>
              <w:rPr>
                <w:color w:val="auto"/>
                <w:kern w:val="0"/>
                <w:sz w:val="24"/>
              </w:rPr>
            </w:pPr>
          </w:p>
          <w:p>
            <w:pPr>
              <w:autoSpaceDE w:val="0"/>
              <w:autoSpaceDN w:val="0"/>
              <w:adjustRightInd w:val="0"/>
              <w:snapToGrid w:val="0"/>
              <w:spacing w:line="360" w:lineRule="auto"/>
              <w:ind w:firstLine="480" w:firstLineChars="200"/>
              <w:rPr>
                <w:color w:val="auto"/>
                <w:kern w:val="0"/>
                <w:sz w:val="24"/>
              </w:rPr>
            </w:pPr>
          </w:p>
          <w:p>
            <w:pPr>
              <w:autoSpaceDE w:val="0"/>
              <w:autoSpaceDN w:val="0"/>
              <w:adjustRightInd w:val="0"/>
              <w:snapToGrid w:val="0"/>
              <w:spacing w:line="360" w:lineRule="auto"/>
              <w:ind w:firstLine="480" w:firstLineChars="200"/>
              <w:rPr>
                <w:color w:val="auto"/>
                <w:kern w:val="0"/>
                <w:sz w:val="24"/>
              </w:rPr>
            </w:pPr>
          </w:p>
          <w:p>
            <w:pPr>
              <w:autoSpaceDE w:val="0"/>
              <w:autoSpaceDN w:val="0"/>
              <w:adjustRightInd w:val="0"/>
              <w:snapToGrid w:val="0"/>
              <w:spacing w:line="360" w:lineRule="auto"/>
              <w:ind w:firstLine="480" w:firstLineChars="200"/>
              <w:rPr>
                <w:color w:val="auto"/>
                <w:kern w:val="0"/>
                <w:sz w:val="24"/>
              </w:rPr>
            </w:pPr>
          </w:p>
          <w:p>
            <w:pPr>
              <w:autoSpaceDE w:val="0"/>
              <w:autoSpaceDN w:val="0"/>
              <w:adjustRightInd w:val="0"/>
              <w:snapToGrid w:val="0"/>
              <w:spacing w:line="360" w:lineRule="auto"/>
              <w:ind w:firstLine="480" w:firstLineChars="200"/>
              <w:rPr>
                <w:color w:val="auto"/>
                <w:kern w:val="0"/>
                <w:sz w:val="24"/>
              </w:rPr>
            </w:pPr>
          </w:p>
          <w:p>
            <w:pPr>
              <w:autoSpaceDE w:val="0"/>
              <w:autoSpaceDN w:val="0"/>
              <w:adjustRightInd w:val="0"/>
              <w:snapToGrid w:val="0"/>
              <w:spacing w:line="360" w:lineRule="auto"/>
              <w:ind w:firstLine="480" w:firstLineChars="200"/>
              <w:rPr>
                <w:color w:val="auto"/>
                <w:kern w:val="0"/>
                <w:sz w:val="24"/>
              </w:rPr>
            </w:pPr>
          </w:p>
          <w:p>
            <w:pPr>
              <w:autoSpaceDE w:val="0"/>
              <w:autoSpaceDN w:val="0"/>
              <w:adjustRightInd w:val="0"/>
              <w:snapToGrid w:val="0"/>
              <w:spacing w:line="360" w:lineRule="auto"/>
              <w:rPr>
                <w:color w:val="auto"/>
                <w:kern w:val="0"/>
                <w:sz w:val="24"/>
              </w:rPr>
            </w:pPr>
          </w:p>
          <w:p>
            <w:pPr>
              <w:autoSpaceDE w:val="0"/>
              <w:autoSpaceDN w:val="0"/>
              <w:adjustRightInd w:val="0"/>
              <w:snapToGrid w:val="0"/>
              <w:spacing w:line="360" w:lineRule="auto"/>
              <w:ind w:firstLine="480" w:firstLineChars="200"/>
              <w:rPr>
                <w:color w:val="auto"/>
                <w:kern w:val="0"/>
                <w:sz w:val="24"/>
              </w:rPr>
            </w:pPr>
          </w:p>
          <w:p>
            <w:pPr>
              <w:autoSpaceDE w:val="0"/>
              <w:autoSpaceDN w:val="0"/>
              <w:adjustRightInd w:val="0"/>
              <w:snapToGrid w:val="0"/>
              <w:spacing w:line="360" w:lineRule="auto"/>
              <w:ind w:firstLine="480" w:firstLineChars="200"/>
              <w:rPr>
                <w:color w:val="auto"/>
                <w:kern w:val="0"/>
                <w:sz w:val="24"/>
              </w:rPr>
            </w:pPr>
          </w:p>
          <w:p>
            <w:pPr>
              <w:autoSpaceDE w:val="0"/>
              <w:autoSpaceDN w:val="0"/>
              <w:adjustRightInd w:val="0"/>
              <w:snapToGrid w:val="0"/>
              <w:spacing w:line="360" w:lineRule="auto"/>
              <w:rPr>
                <w:color w:val="auto"/>
                <w:kern w:val="0"/>
                <w:sz w:val="24"/>
              </w:rPr>
            </w:pPr>
          </w:p>
        </w:tc>
      </w:tr>
    </w:tbl>
    <w:p>
      <w:pPr>
        <w:spacing w:line="360" w:lineRule="auto"/>
        <w:rPr>
          <w:rFonts w:eastAsia="黑体"/>
          <w:color w:val="auto"/>
          <w:sz w:val="30"/>
        </w:rPr>
        <w:sectPr>
          <w:footerReference r:id="rId4" w:type="default"/>
          <w:pgSz w:w="11906" w:h="16838"/>
          <w:pgMar w:top="1701" w:right="1531" w:bottom="1701" w:left="1531" w:header="851" w:footer="1077" w:gutter="0"/>
          <w:pgNumType w:start="1"/>
          <w:cols w:space="720" w:num="1"/>
          <w:docGrid w:linePitch="312" w:charSpace="0"/>
        </w:sectPr>
      </w:pPr>
    </w:p>
    <w:p>
      <w:pPr>
        <w:pStyle w:val="19"/>
        <w:jc w:val="center"/>
        <w:outlineLvl w:val="0"/>
        <w:rPr>
          <w:rFonts w:ascii="黑体" w:hAnsi="黑体" w:eastAsia="黑体"/>
          <w:snapToGrid w:val="0"/>
          <w:color w:val="auto"/>
          <w:sz w:val="30"/>
          <w:szCs w:val="30"/>
        </w:rPr>
      </w:pPr>
      <w:bookmarkStart w:id="2" w:name="_Toc11335"/>
      <w:r>
        <w:rPr>
          <w:rFonts w:hint="eastAsia" w:ascii="黑体" w:hAnsi="黑体" w:eastAsia="黑体"/>
          <w:snapToGrid w:val="0"/>
          <w:color w:val="auto"/>
          <w:sz w:val="30"/>
          <w:szCs w:val="30"/>
        </w:rPr>
        <w:t>二、建设项目工程分析</w:t>
      </w:r>
      <w:bookmarkEnd w:id="2"/>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6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Align w:val="center"/>
          </w:tcPr>
          <w:p>
            <w:pPr>
              <w:pStyle w:val="19"/>
              <w:adjustRightInd w:val="0"/>
              <w:snapToGrid w:val="0"/>
              <w:spacing w:before="0" w:beforeAutospacing="0" w:after="0" w:afterAutospacing="0"/>
              <w:jc w:val="center"/>
              <w:rPr>
                <w:rFonts w:cs="宋体"/>
                <w:color w:val="auto"/>
                <w:sz w:val="21"/>
                <w:szCs w:val="21"/>
              </w:rPr>
            </w:pPr>
            <w:r>
              <w:rPr>
                <w:rFonts w:hint="eastAsia" w:cs="宋体"/>
                <w:color w:val="auto"/>
                <w:szCs w:val="24"/>
              </w:rPr>
              <w:t>建设内容</w:t>
            </w:r>
          </w:p>
        </w:tc>
        <w:tc>
          <w:tcPr>
            <w:tcW w:w="8161" w:type="dxa"/>
          </w:tcPr>
          <w:p>
            <w:pPr>
              <w:pStyle w:val="47"/>
              <w:adjustRightInd w:val="0"/>
              <w:snapToGrid w:val="0"/>
              <w:ind w:firstLine="0"/>
              <w:outlineLvl w:val="2"/>
              <w:rPr>
                <w:b/>
                <w:color w:val="auto"/>
                <w:szCs w:val="24"/>
              </w:rPr>
            </w:pPr>
            <w:r>
              <w:rPr>
                <w:rFonts w:hint="eastAsia"/>
                <w:b/>
                <w:color w:val="auto"/>
                <w:szCs w:val="24"/>
              </w:rPr>
              <w:t>2.1项目由来</w:t>
            </w:r>
          </w:p>
          <w:p>
            <w:pPr>
              <w:spacing w:line="360" w:lineRule="auto"/>
              <w:ind w:firstLine="480" w:firstLineChars="200"/>
              <w:rPr>
                <w:color w:val="auto"/>
                <w:sz w:val="24"/>
              </w:rPr>
            </w:pPr>
            <w:r>
              <w:rPr>
                <w:color w:val="auto"/>
                <w:sz w:val="24"/>
              </w:rPr>
              <w:t>昆明红枫湖耐火材料有限公司位于宜良工业园区北古城片区</w:t>
            </w:r>
            <w:r>
              <w:rPr>
                <w:rFonts w:hint="eastAsia"/>
                <w:color w:val="auto"/>
                <w:sz w:val="24"/>
              </w:rPr>
              <w:t>，</w:t>
            </w:r>
            <w:r>
              <w:rPr>
                <w:color w:val="auto"/>
                <w:sz w:val="24"/>
              </w:rPr>
              <w:t>占地面积29885.27m</w:t>
            </w:r>
            <w:r>
              <w:rPr>
                <w:color w:val="auto"/>
                <w:sz w:val="24"/>
                <w:vertAlign w:val="superscript"/>
              </w:rPr>
              <w:t>2</w:t>
            </w:r>
            <w:r>
              <w:rPr>
                <w:rFonts w:hint="eastAsia"/>
                <w:color w:val="auto"/>
                <w:sz w:val="24"/>
              </w:rPr>
              <w:t>，</w:t>
            </w:r>
            <w:r>
              <w:rPr>
                <w:color w:val="auto"/>
                <w:sz w:val="24"/>
              </w:rPr>
              <w:t>主要从事耐火材料生产。2008年3月18日</w:t>
            </w:r>
            <w:r>
              <w:rPr>
                <w:rFonts w:hint="eastAsia"/>
                <w:color w:val="auto"/>
                <w:sz w:val="24"/>
              </w:rPr>
              <w:t>昆明红枫湖</w:t>
            </w:r>
            <w:r>
              <w:rPr>
                <w:color w:val="auto"/>
                <w:sz w:val="24"/>
              </w:rPr>
              <w:t>耐火材料有限公司委托云南大学科技资讯发展中心编制完成了《年产10万吨耐火材料生产建设项目环境影响报告表》上报昆明市</w:t>
            </w:r>
            <w:r>
              <w:rPr>
                <w:rFonts w:hint="eastAsia"/>
                <w:color w:val="auto"/>
                <w:sz w:val="24"/>
              </w:rPr>
              <w:t>环境保护</w:t>
            </w:r>
            <w:r>
              <w:rPr>
                <w:color w:val="auto"/>
                <w:sz w:val="24"/>
              </w:rPr>
              <w:t>局审批，并于2008年5月12日取得了《昆明市环境保护局关于对&lt;年产10万吨耐火材料生产线建设项目环境影响报告表&gt;的批复》（昆环保复[2008]103号），批准建设内容为粉碎车间、配料混合车间、成型车间、办公室、仓库和职工宿舍各1栋、隧道窑</w:t>
            </w:r>
            <w:r>
              <w:rPr>
                <w:rFonts w:hint="eastAsia"/>
                <w:color w:val="auto"/>
                <w:sz w:val="24"/>
              </w:rPr>
              <w:t>2</w:t>
            </w:r>
            <w:r>
              <w:rPr>
                <w:color w:val="auto"/>
                <w:sz w:val="24"/>
              </w:rPr>
              <w:t>条</w:t>
            </w:r>
            <w:r>
              <w:rPr>
                <w:rFonts w:hint="eastAsia"/>
                <w:color w:val="auto"/>
                <w:sz w:val="24"/>
              </w:rPr>
              <w:t>（燃料为煤气）</w:t>
            </w:r>
            <w:r>
              <w:rPr>
                <w:color w:val="auto"/>
                <w:sz w:val="24"/>
              </w:rPr>
              <w:t>，建成后预计年产定型耐火材料和不定型耐火材料共计10万吨。</w:t>
            </w:r>
            <w:r>
              <w:rPr>
                <w:rFonts w:hint="eastAsia"/>
                <w:color w:val="auto"/>
                <w:sz w:val="24"/>
              </w:rPr>
              <w:t>年产10万吨耐火材料生产线建设项目于</w:t>
            </w:r>
            <w:r>
              <w:rPr>
                <w:color w:val="auto"/>
                <w:sz w:val="24"/>
              </w:rPr>
              <w:t>2008年8月开工建设，并于2013年8月19日</w:t>
            </w:r>
            <w:r>
              <w:rPr>
                <w:rFonts w:hint="eastAsia"/>
                <w:color w:val="auto"/>
                <w:sz w:val="24"/>
              </w:rPr>
              <w:t>完成竣工环境保护验收，</w:t>
            </w:r>
            <w:r>
              <w:rPr>
                <w:color w:val="auto"/>
                <w:sz w:val="24"/>
              </w:rPr>
              <w:t>项目实际建设内容为粉碎车间、配料混合车间、成型车间、办公室、仓库和职工宿舍各1栋，隧道窑1条</w:t>
            </w:r>
            <w:r>
              <w:rPr>
                <w:rFonts w:hint="eastAsia"/>
                <w:color w:val="auto"/>
                <w:sz w:val="24"/>
              </w:rPr>
              <w:t>（燃料为煤气）</w:t>
            </w:r>
            <w:r>
              <w:rPr>
                <w:color w:val="auto"/>
                <w:sz w:val="24"/>
              </w:rPr>
              <w:t>。据</w:t>
            </w:r>
            <w:r>
              <w:rPr>
                <w:rFonts w:hint="eastAsia"/>
                <w:color w:val="auto"/>
                <w:sz w:val="24"/>
                <w:lang w:val="en-US" w:eastAsia="zh-CN"/>
              </w:rPr>
              <w:t>建设单位</w:t>
            </w:r>
            <w:r>
              <w:rPr>
                <w:color w:val="auto"/>
                <w:sz w:val="24"/>
              </w:rPr>
              <w:t>生产台账数据统计</w:t>
            </w:r>
            <w:r>
              <w:rPr>
                <w:rFonts w:hint="eastAsia"/>
                <w:color w:val="auto"/>
                <w:sz w:val="24"/>
              </w:rPr>
              <w:t>，2013年验收完成的工程内容实际生产能力为：</w:t>
            </w:r>
            <w:r>
              <w:rPr>
                <w:color w:val="auto"/>
                <w:sz w:val="24"/>
              </w:rPr>
              <w:t>年产不定型耐火材料约1.2万吨，年产定型耐火材料约2.8万吨。</w:t>
            </w:r>
          </w:p>
          <w:p>
            <w:pPr>
              <w:spacing w:line="360" w:lineRule="auto"/>
              <w:ind w:firstLine="480" w:firstLineChars="200"/>
              <w:rPr>
                <w:color w:val="auto"/>
                <w:sz w:val="24"/>
              </w:rPr>
            </w:pPr>
            <w:r>
              <w:rPr>
                <w:rFonts w:hint="eastAsia"/>
                <w:color w:val="auto"/>
                <w:sz w:val="24"/>
              </w:rPr>
              <w:t>2020年6月</w:t>
            </w:r>
            <w:r>
              <w:rPr>
                <w:color w:val="auto"/>
                <w:sz w:val="24"/>
              </w:rPr>
              <w:t>昆明红枫湖耐火材料有限公司</w:t>
            </w:r>
            <w:r>
              <w:rPr>
                <w:rFonts w:hint="eastAsia"/>
                <w:color w:val="auto"/>
                <w:sz w:val="24"/>
              </w:rPr>
              <w:t>委托</w:t>
            </w:r>
            <w:r>
              <w:rPr>
                <w:color w:val="auto"/>
                <w:sz w:val="24"/>
              </w:rPr>
              <w:t>北京中环博宏环境资源科技有限公司编制完成了《年产10万吨耐火材料生产线技改项目环境影响报告表》上报昆明市生态环境局宜良分局审批，并于2020年7月5日取得了《昆明市生态环境局宜良分局关于对&lt;昆明红枫湖耐火材料有限公司年产10万吨耐火材料生产线技改项目环境影响报告表&gt;的批复》（宜生环[2020]100号），批复</w:t>
            </w:r>
            <w:r>
              <w:rPr>
                <w:rFonts w:hint="eastAsia"/>
                <w:color w:val="auto"/>
                <w:sz w:val="24"/>
              </w:rPr>
              <w:t>技改</w:t>
            </w:r>
            <w:r>
              <w:rPr>
                <w:color w:val="auto"/>
                <w:sz w:val="24"/>
              </w:rPr>
              <w:t>工程内容主要包括将</w:t>
            </w:r>
            <w:r>
              <w:rPr>
                <w:rFonts w:hint="eastAsia"/>
                <w:color w:val="auto"/>
                <w:sz w:val="24"/>
              </w:rPr>
              <w:t>原有</w:t>
            </w:r>
            <w:r>
              <w:rPr>
                <w:color w:val="auto"/>
                <w:sz w:val="24"/>
              </w:rPr>
              <w:t>隧道窑由80m加长至100m、一段式煤气发生炉更换为两段式煤气发生炉，新增一套全自动给料系统及一台变压器，并对厂房及烟囱进行维修。年产10万吨耐火材料生产线技改项目于</w:t>
            </w:r>
            <w:r>
              <w:rPr>
                <w:rFonts w:hint="eastAsia"/>
                <w:color w:val="auto"/>
                <w:sz w:val="24"/>
              </w:rPr>
              <w:t>2020年7月上旬开工， 7月底竣工。并于</w:t>
            </w:r>
            <w:r>
              <w:rPr>
                <w:color w:val="auto"/>
                <w:sz w:val="24"/>
              </w:rPr>
              <w:t>2021年11月10日通过了自主验收会议</w:t>
            </w:r>
            <w:r>
              <w:rPr>
                <w:rFonts w:hint="eastAsia"/>
                <w:color w:val="auto"/>
                <w:sz w:val="24"/>
              </w:rPr>
              <w:t>，</w:t>
            </w:r>
            <w:r>
              <w:rPr>
                <w:color w:val="auto"/>
                <w:sz w:val="24"/>
              </w:rPr>
              <w:t>验收工程内容一段式煤气发生炉更换为两段式煤气发生炉，新增一套全自动给料系统及一台变压器，并对厂房及</w:t>
            </w:r>
            <w:r>
              <w:rPr>
                <w:rFonts w:hint="eastAsia"/>
                <w:color w:val="auto"/>
                <w:sz w:val="24"/>
                <w:lang w:val="en-US" w:eastAsia="zh-CN"/>
              </w:rPr>
              <w:t>烟囱</w:t>
            </w:r>
            <w:r>
              <w:rPr>
                <w:color w:val="auto"/>
                <w:sz w:val="24"/>
              </w:rPr>
              <w:t>进行维修</w:t>
            </w:r>
            <w:r>
              <w:rPr>
                <w:rFonts w:hint="eastAsia"/>
                <w:color w:val="auto"/>
                <w:sz w:val="24"/>
              </w:rPr>
              <w:t>，但</w:t>
            </w:r>
            <w:r>
              <w:rPr>
                <w:color w:val="auto"/>
                <w:sz w:val="24"/>
              </w:rPr>
              <w:t>未对</w:t>
            </w:r>
            <w:r>
              <w:rPr>
                <w:rFonts w:hint="eastAsia"/>
                <w:color w:val="auto"/>
                <w:sz w:val="24"/>
              </w:rPr>
              <w:t>原有</w:t>
            </w:r>
            <w:r>
              <w:rPr>
                <w:color w:val="auto"/>
                <w:sz w:val="24"/>
              </w:rPr>
              <w:t>隧道窑进行加长</w:t>
            </w:r>
            <w:r>
              <w:rPr>
                <w:rFonts w:hint="eastAsia"/>
                <w:color w:val="auto"/>
                <w:sz w:val="24"/>
              </w:rPr>
              <w:t>。</w:t>
            </w:r>
            <w:r>
              <w:rPr>
                <w:color w:val="auto"/>
                <w:sz w:val="24"/>
              </w:rPr>
              <w:t>技改后实际产为年产不定型耐火材料约1.2万吨，年产定型耐火材料约2.8万吨。</w:t>
            </w:r>
          </w:p>
          <w:p>
            <w:pPr>
              <w:spacing w:line="360" w:lineRule="auto"/>
              <w:ind w:left="0" w:leftChars="0" w:firstLine="420" w:firstLineChars="175"/>
              <w:jc w:val="both"/>
              <w:rPr>
                <w:rFonts w:hint="eastAsia"/>
                <w:b w:val="0"/>
                <w:bCs w:val="0"/>
                <w:color w:val="auto"/>
                <w:sz w:val="24"/>
                <w:szCs w:val="24"/>
                <w:lang w:val="en-US" w:eastAsia="zh-CN"/>
              </w:rPr>
            </w:pPr>
            <w:r>
              <w:rPr>
                <w:rFonts w:hint="eastAsia"/>
                <w:b w:val="0"/>
                <w:bCs w:val="0"/>
                <w:color w:val="auto"/>
                <w:sz w:val="24"/>
                <w:szCs w:val="24"/>
                <w:lang w:val="en-US" w:eastAsia="zh-CN"/>
              </w:rPr>
              <w:t>2022年10月，</w:t>
            </w:r>
            <w:r>
              <w:rPr>
                <w:color w:val="auto"/>
                <w:sz w:val="24"/>
              </w:rPr>
              <w:t>昆明红枫湖耐火材料有限公司</w:t>
            </w:r>
            <w:r>
              <w:rPr>
                <w:rFonts w:hint="eastAsia"/>
                <w:b w:val="0"/>
                <w:bCs w:val="0"/>
                <w:color w:val="auto"/>
                <w:sz w:val="24"/>
                <w:szCs w:val="24"/>
                <w:lang w:val="en-US" w:eastAsia="zh-CN"/>
              </w:rPr>
              <w:t>委托云南建环环保科技有限公司编制了《年产10万吨耐火材料生产线改扩建项目环境影响报告表》，2022年11月21日取得昆明市生态环境局宜良分局关于《年产10万吨耐火材料生产线改扩建项目环境影响报告表》的批复（宜生环[2022]78号），</w:t>
            </w:r>
            <w:r>
              <w:rPr>
                <w:color w:val="auto"/>
                <w:sz w:val="24"/>
              </w:rPr>
              <w:t>改扩建</w:t>
            </w:r>
            <w:r>
              <w:rPr>
                <w:rFonts w:hint="eastAsia"/>
                <w:color w:val="auto"/>
                <w:sz w:val="24"/>
                <w:lang w:val="en-US" w:eastAsia="zh-CN"/>
              </w:rPr>
              <w:t>内容包括拆除煤气发生炉，</w:t>
            </w:r>
            <w:r>
              <w:rPr>
                <w:color w:val="auto"/>
                <w:sz w:val="24"/>
              </w:rPr>
              <w:t>将</w:t>
            </w:r>
            <w:r>
              <w:rPr>
                <w:rFonts w:hint="eastAsia"/>
                <w:color w:val="auto"/>
                <w:sz w:val="24"/>
              </w:rPr>
              <w:t>现有隧道窑燃料由煤气改为天然气，并在厂区</w:t>
            </w:r>
            <w:r>
              <w:rPr>
                <w:color w:val="auto"/>
                <w:sz w:val="24"/>
              </w:rPr>
              <w:t>新增1条隧道窑和2条推板窑</w:t>
            </w:r>
            <w:r>
              <w:rPr>
                <w:rFonts w:hint="eastAsia"/>
                <w:color w:val="auto"/>
                <w:sz w:val="24"/>
              </w:rPr>
              <w:t>（燃料均为天然气）、</w:t>
            </w:r>
            <w:r>
              <w:rPr>
                <w:color w:val="auto"/>
                <w:sz w:val="24"/>
              </w:rPr>
              <w:t>1座4500m</w:t>
            </w:r>
            <w:r>
              <w:rPr>
                <w:color w:val="auto"/>
                <w:sz w:val="24"/>
                <w:vertAlign w:val="superscript"/>
              </w:rPr>
              <w:t>2</w:t>
            </w:r>
            <w:r>
              <w:rPr>
                <w:rFonts w:hint="eastAsia"/>
                <w:color w:val="auto"/>
                <w:sz w:val="24"/>
              </w:rPr>
              <w:t>原料</w:t>
            </w:r>
            <w:r>
              <w:rPr>
                <w:color w:val="auto"/>
                <w:sz w:val="24"/>
              </w:rPr>
              <w:t>堆场，同时配套新增破碎机、成型机等生产设备</w:t>
            </w:r>
            <w:r>
              <w:rPr>
                <w:rFonts w:hint="eastAsia"/>
                <w:color w:val="auto"/>
                <w:sz w:val="24"/>
                <w:lang w:eastAsia="zh-CN"/>
              </w:rPr>
              <w:t>，</w:t>
            </w:r>
            <w:r>
              <w:rPr>
                <w:color w:val="auto"/>
                <w:sz w:val="24"/>
              </w:rPr>
              <w:t>改扩建完成后生产规模为年产10万吨耐火材料。</w:t>
            </w:r>
            <w:r>
              <w:rPr>
                <w:rFonts w:hint="eastAsia"/>
                <w:b w:val="0"/>
                <w:bCs w:val="0"/>
                <w:color w:val="auto"/>
                <w:sz w:val="24"/>
                <w:szCs w:val="24"/>
                <w:lang w:val="en-US" w:eastAsia="zh-CN"/>
              </w:rPr>
              <w:t>2023年2月20日，项目取得排污许可证。2023年2月24日，项目改扩建内容只剩余1条隧道窑未建成，其余内容已投产运行，并开始竣工环境保护自主验收。</w:t>
            </w:r>
          </w:p>
          <w:p>
            <w:pPr>
              <w:spacing w:line="360" w:lineRule="auto"/>
              <w:ind w:left="0" w:leftChars="0" w:firstLine="420" w:firstLineChars="175"/>
              <w:jc w:val="both"/>
              <w:rPr>
                <w:rFonts w:hint="default"/>
                <w:b w:val="0"/>
                <w:bCs w:val="0"/>
                <w:color w:val="auto"/>
                <w:sz w:val="24"/>
                <w:szCs w:val="24"/>
                <w:lang w:val="en-US" w:eastAsia="zh-CN"/>
              </w:rPr>
            </w:pPr>
            <w:r>
              <w:rPr>
                <w:rFonts w:hint="eastAsia"/>
                <w:b w:val="0"/>
                <w:bCs w:val="0"/>
                <w:color w:val="auto"/>
                <w:sz w:val="24"/>
                <w:szCs w:val="24"/>
                <w:lang w:val="en-US" w:eastAsia="zh-CN"/>
              </w:rPr>
              <w:t>自主验收过程中，项目原材料发生变更，变更后的原材料中含有硫成分，导致实际生产时SO</w:t>
            </w:r>
            <w:r>
              <w:rPr>
                <w:rFonts w:hint="eastAsia"/>
                <w:b w:val="0"/>
                <w:bCs w:val="0"/>
                <w:color w:val="auto"/>
                <w:sz w:val="24"/>
                <w:szCs w:val="24"/>
                <w:vertAlign w:val="subscript"/>
                <w:lang w:val="en-US" w:eastAsia="zh-CN"/>
              </w:rPr>
              <w:t>2</w:t>
            </w:r>
            <w:r>
              <w:rPr>
                <w:rFonts w:hint="eastAsia"/>
                <w:b w:val="0"/>
                <w:bCs w:val="0"/>
                <w:color w:val="auto"/>
                <w:sz w:val="24"/>
                <w:szCs w:val="24"/>
                <w:lang w:val="en-US" w:eastAsia="zh-CN"/>
              </w:rPr>
              <w:t>排放量超过环评批复文件中规定的SO</w:t>
            </w:r>
            <w:r>
              <w:rPr>
                <w:rFonts w:hint="eastAsia"/>
                <w:b w:val="0"/>
                <w:bCs w:val="0"/>
                <w:color w:val="auto"/>
                <w:sz w:val="24"/>
                <w:szCs w:val="24"/>
                <w:vertAlign w:val="subscript"/>
                <w:lang w:val="en-US" w:eastAsia="zh-CN"/>
              </w:rPr>
              <w:t>2</w:t>
            </w:r>
            <w:r>
              <w:rPr>
                <w:rFonts w:hint="eastAsia"/>
                <w:b w:val="0"/>
                <w:bCs w:val="0"/>
                <w:color w:val="auto"/>
                <w:sz w:val="24"/>
                <w:szCs w:val="24"/>
                <w:lang w:val="en-US" w:eastAsia="zh-CN"/>
              </w:rPr>
              <w:t>总量，且总量超过10%。根据《污染影响类建设项目重大变动清单（试行）》第6条“新增产品品种或生产工艺（含主要生产装置、设备及配套设施）、主要原辅材料、燃料变化，导致其他污染物排放量增加10%及以上的”情形属于重大变动。</w:t>
            </w:r>
            <w:r>
              <w:rPr>
                <w:rFonts w:hint="default" w:ascii="Times New Roman" w:hAnsi="Times New Roman" w:eastAsia="宋体" w:cs="Times New Roman"/>
                <w:color w:val="auto"/>
                <w:sz w:val="24"/>
                <w:szCs w:val="24"/>
                <w:lang w:val="en-US" w:eastAsia="zh-CN"/>
              </w:rPr>
              <w:t>根据</w:t>
            </w:r>
            <w:r>
              <w:rPr>
                <w:rFonts w:hint="default" w:ascii="Times New Roman" w:hAnsi="Times New Roman" w:eastAsia="宋体" w:cs="Times New Roman"/>
                <w:color w:val="auto"/>
                <w:sz w:val="24"/>
                <w:szCs w:val="24"/>
              </w:rPr>
              <w:t>《中华人民共和国环境影响评价法》（2018年12月29日修正）第二十四条</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建设项目的环境影响评价文件经批准后，建设项目的性质、规模、地点、采用的生产工艺或者防治污染、防止生态破坏的措施发生重大变动的，建设单位应当重新报批建设项目的环境影响评价文件</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w:t>
            </w:r>
          </w:p>
          <w:p>
            <w:pPr>
              <w:spacing w:line="360" w:lineRule="auto"/>
              <w:ind w:firstLine="480" w:firstLineChars="200"/>
              <w:rPr>
                <w:color w:val="auto"/>
                <w:sz w:val="24"/>
              </w:rPr>
            </w:pPr>
            <w:r>
              <w:rPr>
                <w:rFonts w:hint="eastAsia"/>
                <w:b w:val="0"/>
                <w:bCs w:val="0"/>
                <w:color w:val="auto"/>
                <w:sz w:val="24"/>
                <w:szCs w:val="24"/>
                <w:lang w:val="en-US" w:eastAsia="zh-CN"/>
              </w:rPr>
              <w:t>根据上述文件，</w:t>
            </w:r>
            <w:r>
              <w:rPr>
                <w:color w:val="auto"/>
                <w:sz w:val="24"/>
              </w:rPr>
              <w:t>昆明红枫湖耐火材料有限公司</w:t>
            </w:r>
            <w:r>
              <w:rPr>
                <w:rFonts w:hint="eastAsia"/>
                <w:b w:val="0"/>
                <w:bCs w:val="0"/>
                <w:color w:val="auto"/>
                <w:sz w:val="24"/>
                <w:szCs w:val="24"/>
                <w:lang w:val="en-US" w:eastAsia="zh-CN"/>
              </w:rPr>
              <w:t>拟重新报批年产10万吨耐火材料生产线改扩建项目的环境影响评价。</w:t>
            </w:r>
          </w:p>
          <w:p>
            <w:pPr>
              <w:widowControl/>
              <w:spacing w:line="360" w:lineRule="auto"/>
              <w:ind w:firstLine="480" w:firstLineChars="200"/>
              <w:jc w:val="left"/>
              <w:rPr>
                <w:color w:val="auto"/>
                <w:kern w:val="0"/>
                <w:sz w:val="24"/>
                <w:lang w:bidi="ar"/>
              </w:rPr>
            </w:pPr>
            <w:r>
              <w:rPr>
                <w:rFonts w:hint="eastAsia"/>
                <w:color w:val="auto"/>
                <w:kern w:val="0"/>
                <w:sz w:val="24"/>
                <w:lang w:bidi="ar"/>
              </w:rPr>
              <w:t>根据</w:t>
            </w:r>
            <w:r>
              <w:rPr>
                <w:color w:val="auto"/>
                <w:kern w:val="0"/>
                <w:sz w:val="24"/>
                <w:lang w:bidi="ar"/>
              </w:rPr>
              <w:t>《中华人民共和国环境影响评价法》、《建设项目环境保护管理条例》的有关规定，项目需进行环</w:t>
            </w:r>
            <w:r>
              <w:rPr>
                <w:rFonts w:hint="eastAsia"/>
                <w:color w:val="auto"/>
                <w:kern w:val="0"/>
                <w:sz w:val="24"/>
                <w:lang w:bidi="ar"/>
              </w:rPr>
              <w:t>境影响评价。经查阅《建设项目环境影响评价分类管理名录（2021版）》，项目属于耐火材料制造（其他），</w:t>
            </w:r>
            <w:r>
              <w:rPr>
                <w:color w:val="auto"/>
                <w:kern w:val="0"/>
                <w:sz w:val="24"/>
                <w:lang w:bidi="ar"/>
              </w:rPr>
              <w:t>应编制环境影响报告表。</w:t>
            </w:r>
            <w:r>
              <w:rPr>
                <w:rFonts w:hint="eastAsia"/>
                <w:color w:val="auto"/>
                <w:kern w:val="0"/>
                <w:sz w:val="24"/>
                <w:lang w:bidi="ar"/>
              </w:rPr>
              <w:t>为此，</w:t>
            </w:r>
            <w:r>
              <w:rPr>
                <w:color w:val="auto"/>
                <w:kern w:val="0"/>
                <w:sz w:val="24"/>
                <w:lang w:bidi="ar"/>
              </w:rPr>
              <w:t>昆明红枫湖耐火材料有限公司委托</w:t>
            </w:r>
            <w:r>
              <w:rPr>
                <w:rFonts w:hint="eastAsia"/>
                <w:color w:val="auto"/>
                <w:kern w:val="0"/>
                <w:sz w:val="24"/>
                <w:lang w:bidi="ar"/>
              </w:rPr>
              <w:t>云南建环环保科技有限公司对“</w:t>
            </w:r>
            <w:r>
              <w:rPr>
                <w:color w:val="auto"/>
                <w:kern w:val="0"/>
                <w:sz w:val="24"/>
                <w:lang w:bidi="ar"/>
              </w:rPr>
              <w:t>年产10万吨耐火材料生产线改扩建项目</w:t>
            </w:r>
            <w:r>
              <w:rPr>
                <w:rFonts w:hint="eastAsia"/>
                <w:color w:val="auto"/>
                <w:kern w:val="0"/>
                <w:sz w:val="24"/>
                <w:lang w:bidi="ar"/>
              </w:rPr>
              <w:t>”</w:t>
            </w:r>
            <w:r>
              <w:rPr>
                <w:color w:val="auto"/>
                <w:kern w:val="0"/>
                <w:sz w:val="24"/>
                <w:lang w:bidi="ar"/>
              </w:rPr>
              <w:t>进行环境影响评价工作。接受委托后我单位组织有关技术人员进行现场踏勘、收集资料</w:t>
            </w:r>
            <w:r>
              <w:rPr>
                <w:rFonts w:hint="eastAsia"/>
                <w:color w:val="auto"/>
                <w:kern w:val="0"/>
                <w:sz w:val="24"/>
                <w:lang w:bidi="ar"/>
              </w:rPr>
              <w:t>，</w:t>
            </w:r>
            <w:r>
              <w:rPr>
                <w:color w:val="auto"/>
                <w:kern w:val="0"/>
                <w:sz w:val="24"/>
                <w:lang w:bidi="ar"/>
              </w:rPr>
              <w:t>依据国家有关法规文件和环境影响评价技术导则，编制了</w:t>
            </w:r>
            <w:r>
              <w:rPr>
                <w:rFonts w:hint="eastAsia"/>
                <w:color w:val="auto"/>
                <w:kern w:val="0"/>
                <w:sz w:val="24"/>
                <w:lang w:bidi="ar"/>
              </w:rPr>
              <w:t>《</w:t>
            </w:r>
            <w:r>
              <w:rPr>
                <w:color w:val="auto"/>
                <w:kern w:val="0"/>
                <w:sz w:val="24"/>
                <w:lang w:bidi="ar"/>
              </w:rPr>
              <w:t>年产10万吨耐火材料生产线改扩建项目</w:t>
            </w:r>
            <w:r>
              <w:rPr>
                <w:rFonts w:hint="eastAsia"/>
                <w:color w:val="auto"/>
                <w:kern w:val="0"/>
                <w:sz w:val="24"/>
                <w:lang w:bidi="ar"/>
              </w:rPr>
              <w:t>环境影响报告表》供建设单位</w:t>
            </w:r>
            <w:r>
              <w:rPr>
                <w:rFonts w:hint="eastAsia"/>
                <w:color w:val="auto"/>
                <w:kern w:val="0"/>
                <w:sz w:val="24"/>
                <w:lang w:val="en-US" w:eastAsia="zh-CN" w:bidi="ar"/>
              </w:rPr>
              <w:t>重新报批</w:t>
            </w:r>
            <w:r>
              <w:rPr>
                <w:color w:val="auto"/>
                <w:kern w:val="0"/>
                <w:sz w:val="24"/>
                <w:lang w:bidi="ar"/>
              </w:rPr>
              <w:t>。</w:t>
            </w:r>
          </w:p>
          <w:p>
            <w:pPr>
              <w:pStyle w:val="47"/>
              <w:adjustRightInd w:val="0"/>
              <w:snapToGrid w:val="0"/>
              <w:ind w:firstLine="0"/>
              <w:outlineLvl w:val="2"/>
              <w:rPr>
                <w:b/>
                <w:color w:val="auto"/>
                <w:szCs w:val="24"/>
              </w:rPr>
            </w:pPr>
            <w:r>
              <w:rPr>
                <w:rFonts w:hint="eastAsia"/>
                <w:b/>
                <w:color w:val="auto"/>
                <w:szCs w:val="24"/>
              </w:rPr>
              <w:t>2.2</w:t>
            </w:r>
            <w:r>
              <w:rPr>
                <w:b/>
                <w:color w:val="auto"/>
                <w:szCs w:val="24"/>
              </w:rPr>
              <w:t>项目概况</w:t>
            </w:r>
          </w:p>
          <w:p>
            <w:pPr>
              <w:pStyle w:val="47"/>
              <w:adjustRightInd w:val="0"/>
              <w:snapToGrid w:val="0"/>
              <w:ind w:firstLine="480" w:firstLineChars="200"/>
              <w:outlineLvl w:val="2"/>
              <w:rPr>
                <w:color w:val="auto"/>
              </w:rPr>
            </w:pPr>
            <w:r>
              <w:rPr>
                <w:color w:val="auto"/>
                <w:szCs w:val="24"/>
              </w:rPr>
              <w:t>（1）项目名称</w:t>
            </w:r>
            <w:r>
              <w:rPr>
                <w:color w:val="auto"/>
              </w:rPr>
              <w:t>：</w:t>
            </w:r>
            <w:r>
              <w:rPr>
                <w:color w:val="auto"/>
                <w:szCs w:val="24"/>
              </w:rPr>
              <w:t>年产10万吨耐火材料生产线改扩建项目</w:t>
            </w:r>
            <w:r>
              <w:rPr>
                <w:bCs/>
                <w:color w:val="auto"/>
              </w:rPr>
              <w:t>；</w:t>
            </w:r>
          </w:p>
          <w:p>
            <w:pPr>
              <w:pStyle w:val="47"/>
              <w:adjustRightInd w:val="0"/>
              <w:snapToGrid w:val="0"/>
              <w:ind w:firstLine="480" w:firstLineChars="200"/>
              <w:outlineLvl w:val="2"/>
              <w:rPr>
                <w:color w:val="auto"/>
              </w:rPr>
            </w:pPr>
            <w:r>
              <w:rPr>
                <w:color w:val="auto"/>
                <w:szCs w:val="24"/>
              </w:rPr>
              <w:t>（2）建设单位</w:t>
            </w:r>
            <w:r>
              <w:rPr>
                <w:color w:val="auto"/>
              </w:rPr>
              <w:t>：</w:t>
            </w:r>
            <w:r>
              <w:rPr>
                <w:color w:val="auto"/>
                <w:szCs w:val="24"/>
              </w:rPr>
              <w:t>昆明红枫湖耐火材料有限公司</w:t>
            </w:r>
            <w:r>
              <w:rPr>
                <w:bCs/>
                <w:color w:val="auto"/>
              </w:rPr>
              <w:t>；</w:t>
            </w:r>
          </w:p>
          <w:p>
            <w:pPr>
              <w:pStyle w:val="47"/>
              <w:adjustRightInd w:val="0"/>
              <w:snapToGrid w:val="0"/>
              <w:ind w:firstLine="480" w:firstLineChars="200"/>
              <w:outlineLvl w:val="2"/>
              <w:rPr>
                <w:color w:val="auto"/>
                <w:szCs w:val="24"/>
              </w:rPr>
            </w:pPr>
            <w:r>
              <w:rPr>
                <w:color w:val="auto"/>
                <w:szCs w:val="24"/>
              </w:rPr>
              <w:t>（3）建设性质：改扩建；</w:t>
            </w:r>
          </w:p>
          <w:p>
            <w:pPr>
              <w:pStyle w:val="47"/>
              <w:adjustRightInd w:val="0"/>
              <w:snapToGrid w:val="0"/>
              <w:ind w:firstLine="480" w:firstLineChars="200"/>
              <w:outlineLvl w:val="2"/>
              <w:rPr>
                <w:color w:val="auto"/>
                <w:szCs w:val="24"/>
              </w:rPr>
            </w:pPr>
            <w:r>
              <w:rPr>
                <w:color w:val="auto"/>
                <w:szCs w:val="24"/>
              </w:rPr>
              <w:t>（4）建设地点：</w:t>
            </w:r>
            <w:r>
              <w:rPr>
                <w:rFonts w:hint="eastAsia"/>
                <w:color w:val="auto"/>
                <w:szCs w:val="24"/>
              </w:rPr>
              <w:t>宜良工业园区</w:t>
            </w:r>
            <w:r>
              <w:rPr>
                <w:color w:val="auto"/>
                <w:szCs w:val="24"/>
              </w:rPr>
              <w:t>北古城片区</w:t>
            </w:r>
            <w:r>
              <w:rPr>
                <w:color w:val="auto"/>
              </w:rPr>
              <w:t>；</w:t>
            </w:r>
          </w:p>
          <w:p>
            <w:pPr>
              <w:pStyle w:val="47"/>
              <w:adjustRightInd w:val="0"/>
              <w:snapToGrid w:val="0"/>
              <w:ind w:firstLine="480" w:firstLineChars="200"/>
              <w:outlineLvl w:val="2"/>
              <w:rPr>
                <w:color w:val="auto"/>
                <w:szCs w:val="24"/>
              </w:rPr>
            </w:pPr>
            <w:r>
              <w:rPr>
                <w:color w:val="auto"/>
                <w:szCs w:val="24"/>
              </w:rPr>
              <w:t>（5）占地面积：</w:t>
            </w:r>
            <w:r>
              <w:rPr>
                <w:rFonts w:hint="eastAsia"/>
                <w:color w:val="auto"/>
                <w:szCs w:val="24"/>
              </w:rPr>
              <w:t>本次改扩建在原有场地内进行，不新增占地</w:t>
            </w:r>
            <w:r>
              <w:rPr>
                <w:color w:val="auto"/>
                <w:szCs w:val="24"/>
              </w:rPr>
              <w:t>；</w:t>
            </w:r>
          </w:p>
          <w:p>
            <w:pPr>
              <w:pStyle w:val="47"/>
              <w:adjustRightInd w:val="0"/>
              <w:snapToGrid w:val="0"/>
              <w:ind w:firstLine="480" w:firstLineChars="200"/>
              <w:outlineLvl w:val="2"/>
              <w:rPr>
                <w:color w:val="auto"/>
              </w:rPr>
            </w:pPr>
            <w:r>
              <w:rPr>
                <w:color w:val="auto"/>
                <w:szCs w:val="24"/>
              </w:rPr>
              <w:t>（6）总投资：</w:t>
            </w:r>
            <w:r>
              <w:rPr>
                <w:rFonts w:hint="eastAsia"/>
                <w:color w:val="auto"/>
                <w:lang w:val="en-US" w:eastAsia="zh-CN"/>
              </w:rPr>
              <w:t>1187.79</w:t>
            </w:r>
            <w:r>
              <w:rPr>
                <w:color w:val="auto"/>
              </w:rPr>
              <w:t>万元；</w:t>
            </w:r>
          </w:p>
          <w:p>
            <w:pPr>
              <w:pStyle w:val="47"/>
              <w:adjustRightInd w:val="0"/>
              <w:snapToGrid w:val="0"/>
              <w:ind w:firstLine="480" w:firstLineChars="200"/>
              <w:outlineLvl w:val="2"/>
              <w:rPr>
                <w:color w:val="auto"/>
              </w:rPr>
            </w:pPr>
            <w:r>
              <w:rPr>
                <w:color w:val="auto"/>
              </w:rPr>
              <w:t>（7）生产规模：</w:t>
            </w:r>
            <w:r>
              <w:rPr>
                <w:rFonts w:hint="eastAsia"/>
                <w:color w:val="auto"/>
                <w:szCs w:val="24"/>
              </w:rPr>
              <w:t>原有</w:t>
            </w:r>
            <w:r>
              <w:rPr>
                <w:color w:val="auto"/>
                <w:szCs w:val="24"/>
              </w:rPr>
              <w:t>项目</w:t>
            </w:r>
            <w:r>
              <w:rPr>
                <w:rFonts w:hint="eastAsia"/>
                <w:color w:val="auto"/>
                <w:szCs w:val="24"/>
              </w:rPr>
              <w:t>生产规模为4万t/年（不定型耐火材料1.2万t/a，定型耐火材料2.8万t/a），本次改扩建项目生产规模为6万t/a（不定型耐火材料2万t/a，定型耐火材料4万t/a），</w:t>
            </w:r>
            <w:r>
              <w:rPr>
                <w:color w:val="auto"/>
                <w:szCs w:val="24"/>
              </w:rPr>
              <w:t>改扩建</w:t>
            </w:r>
            <w:r>
              <w:rPr>
                <w:rFonts w:hint="eastAsia"/>
                <w:color w:val="auto"/>
                <w:szCs w:val="24"/>
              </w:rPr>
              <w:t>完成</w:t>
            </w:r>
            <w:r>
              <w:rPr>
                <w:color w:val="auto"/>
                <w:szCs w:val="24"/>
              </w:rPr>
              <w:t>后，生产规模为10万吨/年</w:t>
            </w:r>
            <w:r>
              <w:rPr>
                <w:rFonts w:hint="eastAsia"/>
                <w:color w:val="auto"/>
                <w:szCs w:val="24"/>
              </w:rPr>
              <w:t>（不定型耐火材料3.2万t/a，定型耐火材料6.8万t/a）</w:t>
            </w:r>
            <w:r>
              <w:rPr>
                <w:color w:val="auto"/>
              </w:rPr>
              <w:t>；</w:t>
            </w:r>
          </w:p>
          <w:p>
            <w:pPr>
              <w:pStyle w:val="47"/>
              <w:adjustRightInd w:val="0"/>
              <w:snapToGrid w:val="0"/>
              <w:ind w:firstLine="480" w:firstLineChars="200"/>
              <w:outlineLvl w:val="2"/>
              <w:rPr>
                <w:color w:val="auto"/>
              </w:rPr>
            </w:pPr>
            <w:r>
              <w:rPr>
                <w:color w:val="auto"/>
              </w:rPr>
              <w:t>（8）工程建设内容：</w:t>
            </w:r>
            <w:r>
              <w:rPr>
                <w:color w:val="auto"/>
                <w:szCs w:val="24"/>
              </w:rPr>
              <w:t>扩建一条隧道窑、2条推板窑、1座4500m</w:t>
            </w:r>
            <w:r>
              <w:rPr>
                <w:color w:val="auto"/>
                <w:szCs w:val="24"/>
                <w:vertAlign w:val="superscript"/>
              </w:rPr>
              <w:t>2</w:t>
            </w:r>
            <w:r>
              <w:rPr>
                <w:color w:val="auto"/>
                <w:szCs w:val="24"/>
              </w:rPr>
              <w:t>的</w:t>
            </w:r>
            <w:r>
              <w:rPr>
                <w:rFonts w:hint="eastAsia"/>
                <w:color w:val="auto"/>
                <w:szCs w:val="24"/>
              </w:rPr>
              <w:t>原料堆棚</w:t>
            </w:r>
            <w:r>
              <w:rPr>
                <w:color w:val="auto"/>
                <w:szCs w:val="24"/>
              </w:rPr>
              <w:t>，同时配套</w:t>
            </w:r>
            <w:r>
              <w:rPr>
                <w:rFonts w:hint="eastAsia"/>
                <w:color w:val="auto"/>
                <w:szCs w:val="24"/>
              </w:rPr>
              <w:t>增设</w:t>
            </w:r>
            <w:r>
              <w:rPr>
                <w:color w:val="auto"/>
                <w:szCs w:val="24"/>
              </w:rPr>
              <w:t>破碎机、对辊机、磨机等设备。</w:t>
            </w:r>
            <w:r>
              <w:rPr>
                <w:color w:val="auto"/>
              </w:rPr>
              <w:t>拆除</w:t>
            </w:r>
            <w:r>
              <w:rPr>
                <w:rFonts w:hint="eastAsia"/>
                <w:color w:val="auto"/>
              </w:rPr>
              <w:t>现有</w:t>
            </w:r>
            <w:r>
              <w:rPr>
                <w:color w:val="auto"/>
              </w:rPr>
              <w:t>煤气发生炉</w:t>
            </w:r>
            <w:r>
              <w:rPr>
                <w:rFonts w:hint="eastAsia"/>
                <w:color w:val="auto"/>
              </w:rPr>
              <w:t>，热源</w:t>
            </w:r>
            <w:r>
              <w:rPr>
                <w:color w:val="auto"/>
              </w:rPr>
              <w:t>改为天然气</w:t>
            </w:r>
            <w:r>
              <w:rPr>
                <w:rFonts w:hint="eastAsia"/>
                <w:color w:val="auto"/>
              </w:rPr>
              <w:t>。</w:t>
            </w:r>
            <w:r>
              <w:rPr>
                <w:rFonts w:hint="eastAsia"/>
                <w:color w:val="auto"/>
                <w:lang w:val="en-US" w:eastAsia="zh-CN"/>
              </w:rPr>
              <w:t>截至本次重新报批环评介入时，</w:t>
            </w:r>
            <w:r>
              <w:rPr>
                <w:rFonts w:hint="eastAsia"/>
                <w:color w:val="auto"/>
              </w:rPr>
              <w:t>项目改扩建内容只剩余1条隧道窑未建成，其余内容已投产运行</w:t>
            </w:r>
            <w:r>
              <w:rPr>
                <w:rFonts w:hint="eastAsia"/>
                <w:color w:val="auto"/>
                <w:lang w:eastAsia="zh-CN"/>
              </w:rPr>
              <w:t>。</w:t>
            </w:r>
            <w:r>
              <w:rPr>
                <w:rFonts w:hint="eastAsia"/>
                <w:color w:val="auto"/>
              </w:rPr>
              <w:t>改扩建项目建设内容见表2-1。</w:t>
            </w:r>
            <w:r>
              <w:rPr>
                <w:color w:val="auto"/>
              </w:rPr>
              <w:t xml:space="preserve"> </w:t>
            </w:r>
          </w:p>
          <w:p>
            <w:pPr>
              <w:adjustRightInd w:val="0"/>
              <w:snapToGrid w:val="0"/>
              <w:ind w:firstLine="198"/>
              <w:jc w:val="center"/>
              <w:rPr>
                <w:b/>
                <w:color w:val="auto"/>
                <w:szCs w:val="21"/>
              </w:rPr>
            </w:pPr>
            <w:r>
              <w:rPr>
                <w:rFonts w:hint="eastAsia"/>
                <w:b/>
                <w:color w:val="auto"/>
                <w:szCs w:val="21"/>
              </w:rPr>
              <w:t>表2-1  改扩建后全厂建设内容一览表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426"/>
              <w:gridCol w:w="1082"/>
              <w:gridCol w:w="994"/>
              <w:gridCol w:w="4109"/>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33" w:type="pct"/>
                  <w:vAlign w:val="center"/>
                </w:tcPr>
                <w:p>
                  <w:pPr>
                    <w:jc w:val="center"/>
                    <w:rPr>
                      <w:rFonts w:eastAsiaTheme="minorEastAsia"/>
                      <w:b/>
                      <w:snapToGrid w:val="0"/>
                      <w:color w:val="auto"/>
                      <w:kern w:val="0"/>
                      <w:szCs w:val="21"/>
                    </w:rPr>
                  </w:pPr>
                  <w:r>
                    <w:rPr>
                      <w:rFonts w:eastAsiaTheme="minorEastAsia"/>
                      <w:b/>
                      <w:snapToGrid w:val="0"/>
                      <w:color w:val="auto"/>
                      <w:kern w:val="0"/>
                      <w:szCs w:val="21"/>
                    </w:rPr>
                    <w:t>分类</w:t>
                  </w:r>
                </w:p>
              </w:tc>
              <w:tc>
                <w:tcPr>
                  <w:tcW w:w="900" w:type="pct"/>
                  <w:gridSpan w:val="2"/>
                  <w:vAlign w:val="center"/>
                </w:tcPr>
                <w:p>
                  <w:pPr>
                    <w:jc w:val="center"/>
                    <w:rPr>
                      <w:rFonts w:eastAsiaTheme="minorEastAsia"/>
                      <w:b/>
                      <w:snapToGrid w:val="0"/>
                      <w:color w:val="auto"/>
                      <w:kern w:val="0"/>
                      <w:szCs w:val="21"/>
                    </w:rPr>
                  </w:pPr>
                  <w:r>
                    <w:rPr>
                      <w:rFonts w:hint="eastAsia" w:eastAsiaTheme="minorEastAsia"/>
                      <w:b/>
                      <w:snapToGrid w:val="0"/>
                      <w:color w:val="auto"/>
                      <w:kern w:val="0"/>
                      <w:szCs w:val="21"/>
                    </w:rPr>
                    <w:t>工程名称</w:t>
                  </w:r>
                </w:p>
              </w:tc>
              <w:tc>
                <w:tcPr>
                  <w:tcW w:w="3045" w:type="pct"/>
                  <w:gridSpan w:val="2"/>
                  <w:vAlign w:val="center"/>
                </w:tcPr>
                <w:p>
                  <w:pPr>
                    <w:jc w:val="center"/>
                    <w:rPr>
                      <w:rFonts w:eastAsiaTheme="minorEastAsia"/>
                      <w:b/>
                      <w:snapToGrid w:val="0"/>
                      <w:color w:val="auto"/>
                      <w:kern w:val="0"/>
                      <w:szCs w:val="21"/>
                    </w:rPr>
                  </w:pPr>
                  <w:r>
                    <w:rPr>
                      <w:rFonts w:eastAsiaTheme="minorEastAsia"/>
                      <w:b/>
                      <w:snapToGrid w:val="0"/>
                      <w:color w:val="auto"/>
                      <w:kern w:val="0"/>
                      <w:szCs w:val="21"/>
                    </w:rPr>
                    <w:t>建设内容</w:t>
                  </w:r>
                </w:p>
              </w:tc>
              <w:tc>
                <w:tcPr>
                  <w:tcW w:w="622" w:type="pct"/>
                  <w:vAlign w:val="center"/>
                </w:tcPr>
                <w:p>
                  <w:pPr>
                    <w:jc w:val="center"/>
                    <w:rPr>
                      <w:rFonts w:eastAsiaTheme="minorEastAsia"/>
                      <w:b/>
                      <w:snapToGrid w:val="0"/>
                      <w:color w:val="auto"/>
                      <w:kern w:val="0"/>
                      <w:szCs w:val="21"/>
                    </w:rPr>
                  </w:pPr>
                  <w:r>
                    <w:rPr>
                      <w:rFonts w:eastAsiaTheme="minorEastAsia"/>
                      <w:b/>
                      <w:snapToGrid w:val="0"/>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33" w:type="pct"/>
                  <w:vMerge w:val="restart"/>
                  <w:vAlign w:val="center"/>
                </w:tcPr>
                <w:p>
                  <w:pPr>
                    <w:jc w:val="center"/>
                    <w:rPr>
                      <w:rFonts w:eastAsiaTheme="minorEastAsia"/>
                      <w:snapToGrid w:val="0"/>
                      <w:color w:val="auto"/>
                      <w:kern w:val="0"/>
                      <w:szCs w:val="21"/>
                    </w:rPr>
                  </w:pPr>
                  <w:r>
                    <w:rPr>
                      <w:rFonts w:eastAsiaTheme="minorEastAsia"/>
                      <w:snapToGrid w:val="0"/>
                      <w:color w:val="auto"/>
                      <w:kern w:val="0"/>
                      <w:szCs w:val="21"/>
                    </w:rPr>
                    <w:t>主体工程</w:t>
                  </w:r>
                </w:p>
              </w:tc>
              <w:tc>
                <w:tcPr>
                  <w:tcW w:w="900" w:type="pct"/>
                  <w:gridSpan w:val="2"/>
                  <w:vAlign w:val="center"/>
                </w:tcPr>
                <w:p>
                  <w:pPr>
                    <w:widowControl/>
                    <w:jc w:val="center"/>
                    <w:textAlignment w:val="center"/>
                    <w:rPr>
                      <w:rFonts w:eastAsiaTheme="minorEastAsia"/>
                      <w:color w:val="auto"/>
                      <w:szCs w:val="21"/>
                    </w:rPr>
                  </w:pPr>
                  <w:r>
                    <w:rPr>
                      <w:rFonts w:eastAsiaTheme="minorEastAsia"/>
                      <w:color w:val="auto"/>
                      <w:szCs w:val="21"/>
                    </w:rPr>
                    <w:t>1#烧成车间</w:t>
                  </w:r>
                </w:p>
              </w:tc>
              <w:tc>
                <w:tcPr>
                  <w:tcW w:w="3045" w:type="pct"/>
                  <w:gridSpan w:val="2"/>
                  <w:vAlign w:val="center"/>
                </w:tcPr>
                <w:p>
                  <w:pPr>
                    <w:widowControl/>
                    <w:textAlignment w:val="center"/>
                    <w:rPr>
                      <w:rFonts w:eastAsiaTheme="minorEastAsia"/>
                      <w:color w:val="auto"/>
                      <w:szCs w:val="21"/>
                    </w:rPr>
                  </w:pPr>
                  <w:r>
                    <w:rPr>
                      <w:rFonts w:hint="eastAsia" w:eastAsiaTheme="minorEastAsia"/>
                      <w:color w:val="auto"/>
                      <w:kern w:val="0"/>
                      <w:szCs w:val="21"/>
                    </w:rPr>
                    <w:t>1座，</w:t>
                  </w:r>
                  <w:r>
                    <w:rPr>
                      <w:rFonts w:eastAsiaTheme="minorEastAsia"/>
                      <w:color w:val="auto"/>
                      <w:kern w:val="0"/>
                      <w:szCs w:val="21"/>
                    </w:rPr>
                    <w:t>位于厂区中部，占地面积698m</w:t>
                  </w:r>
                  <w:r>
                    <w:rPr>
                      <w:rFonts w:eastAsiaTheme="minorEastAsia"/>
                      <w:color w:val="auto"/>
                      <w:kern w:val="0"/>
                      <w:szCs w:val="21"/>
                      <w:vertAlign w:val="superscript"/>
                    </w:rPr>
                    <w:t>2</w:t>
                  </w:r>
                  <w:r>
                    <w:rPr>
                      <w:rFonts w:eastAsiaTheme="minorEastAsia"/>
                      <w:color w:val="auto"/>
                      <w:kern w:val="0"/>
                      <w:szCs w:val="21"/>
                    </w:rPr>
                    <w:t>，</w:t>
                  </w:r>
                  <w:r>
                    <w:rPr>
                      <w:rFonts w:hint="eastAsia" w:eastAsiaTheme="minorEastAsia"/>
                      <w:color w:val="auto"/>
                      <w:kern w:val="0"/>
                      <w:szCs w:val="21"/>
                    </w:rPr>
                    <w:t>设</w:t>
                  </w:r>
                  <w:r>
                    <w:rPr>
                      <w:rFonts w:eastAsiaTheme="minorEastAsia"/>
                      <w:color w:val="auto"/>
                      <w:kern w:val="0"/>
                      <w:szCs w:val="21"/>
                    </w:rPr>
                    <w:t>三面围挡</w:t>
                  </w:r>
                  <w:r>
                    <w:rPr>
                      <w:rFonts w:hint="eastAsia" w:eastAsiaTheme="minorEastAsia"/>
                      <w:color w:val="auto"/>
                      <w:kern w:val="0"/>
                      <w:szCs w:val="21"/>
                    </w:rPr>
                    <w:t>+</w:t>
                  </w:r>
                  <w:r>
                    <w:rPr>
                      <w:rFonts w:eastAsiaTheme="minorEastAsia"/>
                      <w:color w:val="auto"/>
                      <w:kern w:val="0"/>
                      <w:szCs w:val="21"/>
                    </w:rPr>
                    <w:t>彩钢瓦顶棚</w:t>
                  </w:r>
                  <w:r>
                    <w:rPr>
                      <w:rFonts w:hint="eastAsia" w:eastAsiaTheme="minorEastAsia"/>
                      <w:color w:val="auto"/>
                      <w:kern w:val="0"/>
                      <w:szCs w:val="21"/>
                    </w:rPr>
                    <w:t>，内现有</w:t>
                  </w:r>
                  <w:r>
                    <w:rPr>
                      <w:rFonts w:eastAsiaTheme="minorEastAsia"/>
                      <w:color w:val="auto"/>
                      <w:kern w:val="0"/>
                      <w:szCs w:val="21"/>
                    </w:rPr>
                    <w:t>一条80</w:t>
                  </w:r>
                  <w:r>
                    <w:rPr>
                      <w:rFonts w:hint="eastAsia" w:eastAsiaTheme="minorEastAsia"/>
                      <w:color w:val="auto"/>
                      <w:kern w:val="0"/>
                      <w:szCs w:val="21"/>
                    </w:rPr>
                    <w:t>m</w:t>
                  </w:r>
                  <w:r>
                    <w:rPr>
                      <w:rFonts w:eastAsiaTheme="minorEastAsia"/>
                      <w:color w:val="auto"/>
                      <w:szCs w:val="21"/>
                    </w:rPr>
                    <w:t>×2.5</w:t>
                  </w:r>
                  <w:r>
                    <w:rPr>
                      <w:rFonts w:hint="eastAsia" w:eastAsiaTheme="minorEastAsia"/>
                      <w:color w:val="auto"/>
                      <w:szCs w:val="21"/>
                    </w:rPr>
                    <w:t>m</w:t>
                  </w:r>
                  <w:r>
                    <w:rPr>
                      <w:rFonts w:eastAsiaTheme="minorEastAsia"/>
                      <w:color w:val="auto"/>
                      <w:szCs w:val="21"/>
                    </w:rPr>
                    <w:t>×3</w:t>
                  </w:r>
                  <w:r>
                    <w:rPr>
                      <w:rFonts w:hint="eastAsia" w:eastAsiaTheme="minorEastAsia"/>
                      <w:color w:val="auto"/>
                      <w:szCs w:val="21"/>
                    </w:rPr>
                    <w:t>m</w:t>
                  </w:r>
                  <w:r>
                    <w:rPr>
                      <w:rFonts w:eastAsiaTheme="minorEastAsia"/>
                      <w:color w:val="auto"/>
                      <w:szCs w:val="21"/>
                    </w:rPr>
                    <w:t>的</w:t>
                  </w:r>
                  <w:r>
                    <w:rPr>
                      <w:rFonts w:eastAsiaTheme="minorEastAsia"/>
                      <w:color w:val="auto"/>
                      <w:kern w:val="0"/>
                      <w:szCs w:val="21"/>
                    </w:rPr>
                    <w:t>隧道窑</w:t>
                  </w:r>
                  <w:r>
                    <w:rPr>
                      <w:rFonts w:eastAsiaTheme="minorEastAsia"/>
                      <w:color w:val="auto"/>
                      <w:szCs w:val="21"/>
                    </w:rPr>
                    <w:t>，一条</w:t>
                  </w:r>
                  <w:r>
                    <w:rPr>
                      <w:rFonts w:eastAsiaTheme="minorEastAsia"/>
                      <w:color w:val="auto"/>
                      <w:kern w:val="0"/>
                      <w:szCs w:val="21"/>
                    </w:rPr>
                    <w:t>50</w:t>
                  </w:r>
                  <w:r>
                    <w:rPr>
                      <w:rFonts w:hint="eastAsia" w:eastAsiaTheme="minorEastAsia"/>
                      <w:color w:val="auto"/>
                      <w:kern w:val="0"/>
                      <w:szCs w:val="21"/>
                    </w:rPr>
                    <w:t>m</w:t>
                  </w:r>
                  <w:r>
                    <w:rPr>
                      <w:rFonts w:eastAsiaTheme="minorEastAsia"/>
                      <w:color w:val="auto"/>
                      <w:szCs w:val="21"/>
                    </w:rPr>
                    <w:t>×2.5</w:t>
                  </w:r>
                  <w:r>
                    <w:rPr>
                      <w:rFonts w:hint="eastAsia" w:eastAsiaTheme="minorEastAsia"/>
                      <w:color w:val="auto"/>
                      <w:szCs w:val="21"/>
                    </w:rPr>
                    <w:t>m</w:t>
                  </w:r>
                  <w:r>
                    <w:rPr>
                      <w:rFonts w:eastAsiaTheme="minorEastAsia"/>
                      <w:color w:val="auto"/>
                      <w:szCs w:val="21"/>
                    </w:rPr>
                    <w:t>×3</w:t>
                  </w:r>
                  <w:r>
                    <w:rPr>
                      <w:rFonts w:hint="eastAsia" w:eastAsiaTheme="minorEastAsia"/>
                      <w:color w:val="auto"/>
                      <w:szCs w:val="21"/>
                    </w:rPr>
                    <w:t>m</w:t>
                  </w:r>
                  <w:r>
                    <w:rPr>
                      <w:rFonts w:eastAsiaTheme="minorEastAsia"/>
                      <w:color w:val="auto"/>
                      <w:szCs w:val="21"/>
                    </w:rPr>
                    <w:t>的烘干窑。本次改</w:t>
                  </w:r>
                  <w:r>
                    <w:rPr>
                      <w:rFonts w:hint="eastAsia" w:eastAsiaTheme="minorEastAsia"/>
                      <w:color w:val="auto"/>
                      <w:szCs w:val="21"/>
                    </w:rPr>
                    <w:t>扩</w:t>
                  </w:r>
                  <w:r>
                    <w:rPr>
                      <w:rFonts w:eastAsiaTheme="minorEastAsia"/>
                      <w:color w:val="auto"/>
                      <w:szCs w:val="21"/>
                    </w:rPr>
                    <w:t>建新增推板窑2条，尺寸均为36</w:t>
                  </w:r>
                  <w:r>
                    <w:rPr>
                      <w:rFonts w:hint="eastAsia" w:eastAsiaTheme="minorEastAsia"/>
                      <w:color w:val="auto"/>
                      <w:szCs w:val="21"/>
                    </w:rPr>
                    <w:t>m</w:t>
                  </w:r>
                  <w:r>
                    <w:rPr>
                      <w:rFonts w:eastAsiaTheme="minorEastAsia"/>
                      <w:color w:val="auto"/>
                      <w:szCs w:val="21"/>
                    </w:rPr>
                    <w:t>×2.5</w:t>
                  </w:r>
                  <w:r>
                    <w:rPr>
                      <w:rFonts w:hint="eastAsia" w:eastAsiaTheme="minorEastAsia"/>
                      <w:color w:val="auto"/>
                      <w:szCs w:val="21"/>
                    </w:rPr>
                    <w:t>m</w:t>
                  </w:r>
                  <w:r>
                    <w:rPr>
                      <w:rFonts w:eastAsiaTheme="minorEastAsia"/>
                      <w:color w:val="auto"/>
                      <w:szCs w:val="21"/>
                    </w:rPr>
                    <w:t>×3</w:t>
                  </w:r>
                  <w:r>
                    <w:rPr>
                      <w:rFonts w:hint="eastAsia" w:eastAsiaTheme="minorEastAsia"/>
                      <w:color w:val="auto"/>
                      <w:szCs w:val="21"/>
                    </w:rPr>
                    <w:t>m，燃料由原煤气发生炉产生的煤气改为天然气。</w:t>
                  </w:r>
                </w:p>
              </w:tc>
              <w:tc>
                <w:tcPr>
                  <w:tcW w:w="622" w:type="pct"/>
                  <w:vAlign w:val="center"/>
                </w:tcPr>
                <w:p>
                  <w:pPr>
                    <w:rPr>
                      <w:rFonts w:eastAsiaTheme="minorEastAsia"/>
                      <w:snapToGrid w:val="0"/>
                      <w:color w:val="auto"/>
                      <w:kern w:val="0"/>
                      <w:szCs w:val="21"/>
                    </w:rPr>
                  </w:pPr>
                  <w:r>
                    <w:rPr>
                      <w:rFonts w:eastAsiaTheme="minorEastAsia"/>
                      <w:snapToGrid w:val="0"/>
                      <w:color w:val="auto"/>
                      <w:kern w:val="0"/>
                      <w:szCs w:val="21"/>
                    </w:rPr>
                    <w:t>新增2条推板窑</w:t>
                  </w:r>
                  <w:r>
                    <w:rPr>
                      <w:rFonts w:hint="eastAsia" w:eastAsiaTheme="minorEastAsia"/>
                      <w:snapToGrid w:val="0"/>
                      <w:color w:val="auto"/>
                      <w:kern w:val="0"/>
                      <w:szCs w:val="21"/>
                    </w:rPr>
                    <w:t>，热源变更为天然气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900" w:type="pct"/>
                  <w:gridSpan w:val="2"/>
                  <w:vAlign w:val="center"/>
                </w:tcPr>
                <w:p>
                  <w:pPr>
                    <w:widowControl/>
                    <w:jc w:val="center"/>
                    <w:textAlignment w:val="center"/>
                    <w:rPr>
                      <w:rFonts w:eastAsiaTheme="minorEastAsia"/>
                      <w:snapToGrid w:val="0"/>
                      <w:color w:val="auto"/>
                      <w:kern w:val="0"/>
                      <w:szCs w:val="21"/>
                    </w:rPr>
                  </w:pPr>
                  <w:r>
                    <w:rPr>
                      <w:rFonts w:eastAsiaTheme="minorEastAsia"/>
                      <w:color w:val="auto"/>
                      <w:szCs w:val="21"/>
                    </w:rPr>
                    <w:t>2#烧成车间</w:t>
                  </w:r>
                </w:p>
              </w:tc>
              <w:tc>
                <w:tcPr>
                  <w:tcW w:w="3045" w:type="pct"/>
                  <w:gridSpan w:val="2"/>
                  <w:vAlign w:val="center"/>
                </w:tcPr>
                <w:p>
                  <w:pPr>
                    <w:widowControl/>
                    <w:textAlignment w:val="center"/>
                    <w:rPr>
                      <w:rFonts w:eastAsiaTheme="minorEastAsia"/>
                      <w:color w:val="auto"/>
                      <w:szCs w:val="21"/>
                    </w:rPr>
                  </w:pPr>
                  <w:r>
                    <w:rPr>
                      <w:rFonts w:eastAsiaTheme="minorEastAsia"/>
                      <w:color w:val="auto"/>
                      <w:szCs w:val="21"/>
                    </w:rPr>
                    <w:t>1座，位于厂区东侧，由原燃煤堆</w:t>
                  </w:r>
                  <w:r>
                    <w:rPr>
                      <w:rFonts w:hint="eastAsia" w:eastAsiaTheme="minorEastAsia"/>
                      <w:color w:val="auto"/>
                      <w:szCs w:val="21"/>
                    </w:rPr>
                    <w:t>棚</w:t>
                  </w:r>
                  <w:r>
                    <w:rPr>
                      <w:rFonts w:eastAsiaTheme="minorEastAsia"/>
                      <w:color w:val="auto"/>
                      <w:szCs w:val="21"/>
                    </w:rPr>
                    <w:t>改建，占地面积1000m</w:t>
                  </w:r>
                  <w:r>
                    <w:rPr>
                      <w:rFonts w:eastAsiaTheme="minorEastAsia"/>
                      <w:color w:val="auto"/>
                      <w:szCs w:val="21"/>
                      <w:vertAlign w:val="superscript"/>
                    </w:rPr>
                    <w:t>2</w:t>
                  </w:r>
                  <w:r>
                    <w:rPr>
                      <w:rFonts w:eastAsiaTheme="minorEastAsia"/>
                      <w:color w:val="auto"/>
                      <w:szCs w:val="21"/>
                    </w:rPr>
                    <w:t>，内</w:t>
                  </w:r>
                  <w:r>
                    <w:rPr>
                      <w:rFonts w:hint="eastAsia" w:eastAsiaTheme="minorEastAsia"/>
                      <w:color w:val="auto"/>
                      <w:szCs w:val="21"/>
                    </w:rPr>
                    <w:t>新增</w:t>
                  </w:r>
                  <w:r>
                    <w:rPr>
                      <w:rFonts w:eastAsiaTheme="minorEastAsia"/>
                      <w:color w:val="auto"/>
                      <w:szCs w:val="21"/>
                    </w:rPr>
                    <w:t>116m×2.5m×3m</w:t>
                  </w:r>
                  <w:r>
                    <w:rPr>
                      <w:rFonts w:hint="eastAsia" w:eastAsiaTheme="minorEastAsia"/>
                      <w:color w:val="auto"/>
                      <w:szCs w:val="21"/>
                    </w:rPr>
                    <w:t>的</w:t>
                  </w:r>
                  <w:r>
                    <w:rPr>
                      <w:rFonts w:eastAsiaTheme="minorEastAsia"/>
                      <w:color w:val="auto"/>
                      <w:szCs w:val="21"/>
                    </w:rPr>
                    <w:t>高温隧道窑1条，用于烧制高温耐火砖，燃料</w:t>
                  </w:r>
                  <w:r>
                    <w:rPr>
                      <w:rFonts w:hint="eastAsia" w:eastAsiaTheme="minorEastAsia"/>
                      <w:color w:val="auto"/>
                      <w:szCs w:val="21"/>
                    </w:rPr>
                    <w:t>采用</w:t>
                  </w:r>
                  <w:r>
                    <w:rPr>
                      <w:rFonts w:eastAsiaTheme="minorEastAsia"/>
                      <w:color w:val="auto"/>
                      <w:szCs w:val="21"/>
                    </w:rPr>
                    <w:t>天然气</w:t>
                  </w:r>
                  <w:r>
                    <w:rPr>
                      <w:rFonts w:hint="eastAsia" w:eastAsiaTheme="minorEastAsia"/>
                      <w:color w:val="auto"/>
                      <w:szCs w:val="21"/>
                    </w:rPr>
                    <w:t>。</w:t>
                  </w:r>
                </w:p>
              </w:tc>
              <w:tc>
                <w:tcPr>
                  <w:tcW w:w="622" w:type="pct"/>
                  <w:vAlign w:val="center"/>
                </w:tcPr>
                <w:p>
                  <w:pPr>
                    <w:jc w:val="center"/>
                    <w:rPr>
                      <w:rFonts w:eastAsiaTheme="minorEastAsia"/>
                      <w:snapToGrid w:val="0"/>
                      <w:color w:val="auto"/>
                      <w:kern w:val="0"/>
                      <w:szCs w:val="21"/>
                    </w:rPr>
                  </w:pPr>
                  <w:r>
                    <w:rPr>
                      <w:rFonts w:eastAsiaTheme="minorEastAsia"/>
                      <w:snapToGrid w:val="0"/>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900" w:type="pct"/>
                  <w:gridSpan w:val="2"/>
                  <w:vAlign w:val="center"/>
                </w:tcPr>
                <w:p>
                  <w:pPr>
                    <w:widowControl/>
                    <w:jc w:val="center"/>
                    <w:rPr>
                      <w:rFonts w:eastAsiaTheme="minorEastAsia"/>
                      <w:color w:val="auto"/>
                      <w:szCs w:val="21"/>
                    </w:rPr>
                  </w:pPr>
                  <w:r>
                    <w:rPr>
                      <w:rFonts w:eastAsiaTheme="minorEastAsia"/>
                      <w:color w:val="auto"/>
                      <w:kern w:val="0"/>
                      <w:szCs w:val="21"/>
                    </w:rPr>
                    <w:t>破碎车间</w:t>
                  </w:r>
                </w:p>
              </w:tc>
              <w:tc>
                <w:tcPr>
                  <w:tcW w:w="3045" w:type="pct"/>
                  <w:gridSpan w:val="2"/>
                  <w:vAlign w:val="center"/>
                </w:tcPr>
                <w:p>
                  <w:pPr>
                    <w:widowControl/>
                    <w:rPr>
                      <w:rFonts w:eastAsiaTheme="minorEastAsia"/>
                      <w:color w:val="auto"/>
                      <w:kern w:val="0"/>
                      <w:szCs w:val="21"/>
                    </w:rPr>
                  </w:pPr>
                  <w:r>
                    <w:rPr>
                      <w:rFonts w:hint="eastAsia" w:eastAsiaTheme="minorEastAsia"/>
                      <w:color w:val="auto"/>
                      <w:kern w:val="0"/>
                      <w:szCs w:val="21"/>
                    </w:rPr>
                    <w:t>1座，</w:t>
                  </w:r>
                  <w:r>
                    <w:rPr>
                      <w:rFonts w:eastAsiaTheme="minorEastAsia"/>
                      <w:color w:val="auto"/>
                      <w:kern w:val="0"/>
                      <w:szCs w:val="21"/>
                    </w:rPr>
                    <w:t>位于原料堆场北侧，紧邻原有原料堆场，</w:t>
                  </w:r>
                  <w:r>
                    <w:rPr>
                      <w:rFonts w:hint="eastAsia" w:eastAsiaTheme="minorEastAsia"/>
                      <w:color w:val="auto"/>
                      <w:szCs w:val="21"/>
                    </w:rPr>
                    <w:t>设</w:t>
                  </w:r>
                  <w:r>
                    <w:rPr>
                      <w:rFonts w:eastAsiaTheme="minorEastAsia"/>
                      <w:color w:val="auto"/>
                      <w:kern w:val="0"/>
                      <w:szCs w:val="21"/>
                    </w:rPr>
                    <w:t>三面围挡</w:t>
                  </w:r>
                  <w:r>
                    <w:rPr>
                      <w:rFonts w:hint="eastAsia" w:eastAsiaTheme="minorEastAsia"/>
                      <w:color w:val="auto"/>
                      <w:kern w:val="0"/>
                      <w:szCs w:val="21"/>
                    </w:rPr>
                    <w:t>+</w:t>
                  </w:r>
                  <w:r>
                    <w:rPr>
                      <w:rFonts w:eastAsiaTheme="minorEastAsia"/>
                      <w:color w:val="auto"/>
                      <w:kern w:val="0"/>
                      <w:szCs w:val="21"/>
                    </w:rPr>
                    <w:t>彩钢瓦顶棚，占地面积300m</w:t>
                  </w:r>
                  <w:r>
                    <w:rPr>
                      <w:rFonts w:eastAsiaTheme="minorEastAsia"/>
                      <w:color w:val="auto"/>
                      <w:kern w:val="0"/>
                      <w:szCs w:val="21"/>
                      <w:vertAlign w:val="superscript"/>
                    </w:rPr>
                    <w:t>2</w:t>
                  </w:r>
                  <w:r>
                    <w:rPr>
                      <w:rFonts w:eastAsiaTheme="minorEastAsia"/>
                      <w:color w:val="auto"/>
                      <w:kern w:val="0"/>
                      <w:szCs w:val="21"/>
                    </w:rPr>
                    <w:t>，地面已硬化，</w:t>
                  </w:r>
                  <w:r>
                    <w:rPr>
                      <w:rFonts w:hint="eastAsia" w:eastAsiaTheme="minorEastAsia"/>
                      <w:color w:val="auto"/>
                      <w:kern w:val="0"/>
                      <w:szCs w:val="21"/>
                    </w:rPr>
                    <w:t>现有</w:t>
                  </w:r>
                  <w:r>
                    <w:rPr>
                      <w:rFonts w:eastAsiaTheme="minorEastAsia"/>
                      <w:color w:val="auto"/>
                      <w:kern w:val="0"/>
                      <w:szCs w:val="21"/>
                    </w:rPr>
                    <w:t>颚式破碎机5台</w:t>
                  </w:r>
                  <w:r>
                    <w:rPr>
                      <w:rFonts w:hint="eastAsia" w:eastAsiaTheme="minorEastAsia"/>
                      <w:color w:val="auto"/>
                      <w:kern w:val="0"/>
                      <w:szCs w:val="21"/>
                    </w:rPr>
                    <w:t>、</w:t>
                  </w:r>
                  <w:r>
                    <w:rPr>
                      <w:rFonts w:eastAsiaTheme="minorEastAsia"/>
                      <w:color w:val="auto"/>
                      <w:kern w:val="0"/>
                      <w:szCs w:val="21"/>
                    </w:rPr>
                    <w:t>双辊破碎机6台</w:t>
                  </w:r>
                  <w:r>
                    <w:rPr>
                      <w:rFonts w:hint="eastAsia" w:eastAsiaTheme="minorEastAsia"/>
                      <w:color w:val="auto"/>
                      <w:kern w:val="0"/>
                      <w:szCs w:val="21"/>
                    </w:rPr>
                    <w:t>、</w:t>
                  </w:r>
                  <w:r>
                    <w:rPr>
                      <w:rFonts w:eastAsiaTheme="minorEastAsia"/>
                      <w:color w:val="auto"/>
                      <w:kern w:val="0"/>
                      <w:szCs w:val="21"/>
                    </w:rPr>
                    <w:t>球磨机1台</w:t>
                  </w:r>
                  <w:r>
                    <w:rPr>
                      <w:rFonts w:hint="eastAsia" w:eastAsiaTheme="minorEastAsia"/>
                      <w:color w:val="auto"/>
                      <w:kern w:val="0"/>
                      <w:szCs w:val="21"/>
                    </w:rPr>
                    <w:t>、</w:t>
                  </w:r>
                  <w:r>
                    <w:rPr>
                      <w:rFonts w:eastAsiaTheme="minorEastAsia"/>
                      <w:color w:val="auto"/>
                      <w:kern w:val="0"/>
                      <w:szCs w:val="21"/>
                    </w:rPr>
                    <w:t>高压粉磨机2台。本次改</w:t>
                  </w:r>
                  <w:r>
                    <w:rPr>
                      <w:rFonts w:hint="eastAsia" w:eastAsiaTheme="minorEastAsia"/>
                      <w:color w:val="auto"/>
                      <w:kern w:val="0"/>
                      <w:szCs w:val="21"/>
                    </w:rPr>
                    <w:t>扩</w:t>
                  </w:r>
                  <w:r>
                    <w:rPr>
                      <w:rFonts w:eastAsiaTheme="minorEastAsia"/>
                      <w:color w:val="auto"/>
                      <w:kern w:val="0"/>
                      <w:szCs w:val="21"/>
                    </w:rPr>
                    <w:t xml:space="preserve">建新增颚式破碎机2台、双辊破碎机1台，高压磨粉机1台，石碾机1台，提升机6台 </w:t>
                  </w:r>
                </w:p>
              </w:tc>
              <w:tc>
                <w:tcPr>
                  <w:tcW w:w="622" w:type="pct"/>
                  <w:vAlign w:val="center"/>
                </w:tcPr>
                <w:p>
                  <w:pPr>
                    <w:jc w:val="center"/>
                    <w:rPr>
                      <w:rFonts w:eastAsiaTheme="minorEastAsia"/>
                      <w:snapToGrid w:val="0"/>
                      <w:color w:val="auto"/>
                      <w:kern w:val="0"/>
                      <w:szCs w:val="21"/>
                    </w:rPr>
                  </w:pPr>
                  <w:r>
                    <w:rPr>
                      <w:rFonts w:eastAsiaTheme="minorEastAsia"/>
                      <w:snapToGrid w:val="0"/>
                      <w:color w:val="auto"/>
                      <w:kern w:val="0"/>
                      <w:szCs w:val="21"/>
                    </w:rPr>
                    <w:t>新增</w:t>
                  </w:r>
                  <w:r>
                    <w:rPr>
                      <w:rFonts w:hint="eastAsia" w:eastAsiaTheme="minorEastAsia"/>
                      <w:snapToGrid w:val="0"/>
                      <w:color w:val="auto"/>
                      <w:kern w:val="0"/>
                      <w:szCs w:val="21"/>
                    </w:rPr>
                    <w:t>部分</w:t>
                  </w:r>
                  <w:r>
                    <w:rPr>
                      <w:rFonts w:eastAsiaTheme="minorEastAsia"/>
                      <w:snapToGrid w:val="0"/>
                      <w:color w:val="auto"/>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900" w:type="pct"/>
                  <w:gridSpan w:val="2"/>
                  <w:vAlign w:val="center"/>
                </w:tcPr>
                <w:p>
                  <w:pPr>
                    <w:widowControl/>
                    <w:jc w:val="center"/>
                    <w:rPr>
                      <w:rFonts w:eastAsiaTheme="minorEastAsia"/>
                      <w:color w:val="auto"/>
                      <w:szCs w:val="21"/>
                    </w:rPr>
                  </w:pPr>
                  <w:r>
                    <w:rPr>
                      <w:rFonts w:eastAsiaTheme="minorEastAsia"/>
                      <w:color w:val="auto"/>
                      <w:kern w:val="0"/>
                      <w:szCs w:val="21"/>
                    </w:rPr>
                    <w:t>成型车间</w:t>
                  </w:r>
                </w:p>
              </w:tc>
              <w:tc>
                <w:tcPr>
                  <w:tcW w:w="3045" w:type="pct"/>
                  <w:gridSpan w:val="2"/>
                  <w:vAlign w:val="center"/>
                </w:tcPr>
                <w:p>
                  <w:pPr>
                    <w:widowControl/>
                    <w:rPr>
                      <w:rFonts w:eastAsiaTheme="minorEastAsia"/>
                      <w:color w:val="auto"/>
                      <w:kern w:val="0"/>
                      <w:szCs w:val="21"/>
                    </w:rPr>
                  </w:pPr>
                  <w:r>
                    <w:rPr>
                      <w:rFonts w:hint="eastAsia" w:eastAsiaTheme="minorEastAsia"/>
                      <w:color w:val="auto"/>
                      <w:kern w:val="0"/>
                      <w:szCs w:val="21"/>
                    </w:rPr>
                    <w:t>1座，</w:t>
                  </w:r>
                  <w:r>
                    <w:rPr>
                      <w:rFonts w:eastAsiaTheme="minorEastAsia"/>
                      <w:color w:val="auto"/>
                      <w:kern w:val="0"/>
                      <w:szCs w:val="21"/>
                    </w:rPr>
                    <w:t>位于厂区中部，</w:t>
                  </w:r>
                  <w:r>
                    <w:rPr>
                      <w:rFonts w:hint="eastAsia" w:eastAsiaTheme="minorEastAsia"/>
                      <w:color w:val="auto"/>
                      <w:szCs w:val="21"/>
                    </w:rPr>
                    <w:t>设</w:t>
                  </w:r>
                  <w:r>
                    <w:rPr>
                      <w:rFonts w:eastAsiaTheme="minorEastAsia"/>
                      <w:color w:val="auto"/>
                      <w:kern w:val="0"/>
                      <w:szCs w:val="21"/>
                    </w:rPr>
                    <w:t>三面围挡</w:t>
                  </w:r>
                  <w:r>
                    <w:rPr>
                      <w:rFonts w:hint="eastAsia" w:eastAsiaTheme="minorEastAsia"/>
                      <w:color w:val="auto"/>
                      <w:kern w:val="0"/>
                      <w:szCs w:val="21"/>
                    </w:rPr>
                    <w:t>+</w:t>
                  </w:r>
                  <w:r>
                    <w:rPr>
                      <w:rFonts w:eastAsiaTheme="minorEastAsia"/>
                      <w:color w:val="auto"/>
                      <w:kern w:val="0"/>
                      <w:szCs w:val="21"/>
                    </w:rPr>
                    <w:t>彩钢瓦顶棚，占地面积1296m</w:t>
                  </w:r>
                  <w:r>
                    <w:rPr>
                      <w:rFonts w:eastAsiaTheme="minorEastAsia"/>
                      <w:color w:val="auto"/>
                      <w:kern w:val="0"/>
                      <w:szCs w:val="21"/>
                      <w:vertAlign w:val="superscript"/>
                    </w:rPr>
                    <w:t>2</w:t>
                  </w:r>
                  <w:r>
                    <w:rPr>
                      <w:rFonts w:eastAsiaTheme="minorEastAsia"/>
                      <w:color w:val="auto"/>
                      <w:kern w:val="0"/>
                      <w:szCs w:val="21"/>
                    </w:rPr>
                    <w:t>，地面已硬化，</w:t>
                  </w:r>
                  <w:r>
                    <w:rPr>
                      <w:rFonts w:hint="eastAsia" w:eastAsiaTheme="minorEastAsia"/>
                      <w:color w:val="auto"/>
                      <w:kern w:val="0"/>
                      <w:szCs w:val="21"/>
                    </w:rPr>
                    <w:t>现有行</w:t>
                  </w:r>
                  <w:r>
                    <w:rPr>
                      <w:rFonts w:eastAsiaTheme="minorEastAsia"/>
                      <w:color w:val="auto"/>
                      <w:kern w:val="0"/>
                      <w:szCs w:val="21"/>
                    </w:rPr>
                    <w:t>星式强制混合机6台</w:t>
                  </w:r>
                  <w:r>
                    <w:rPr>
                      <w:rFonts w:hint="eastAsia" w:eastAsiaTheme="minorEastAsia"/>
                      <w:color w:val="auto"/>
                      <w:kern w:val="0"/>
                      <w:szCs w:val="21"/>
                    </w:rPr>
                    <w:t>、</w:t>
                  </w:r>
                  <w:r>
                    <w:rPr>
                      <w:rFonts w:eastAsiaTheme="minorEastAsia"/>
                      <w:color w:val="auto"/>
                      <w:kern w:val="0"/>
                      <w:szCs w:val="21"/>
                    </w:rPr>
                    <w:t>螺旋压力机16台</w:t>
                  </w:r>
                  <w:r>
                    <w:rPr>
                      <w:rFonts w:hint="eastAsia" w:eastAsiaTheme="minorEastAsia"/>
                      <w:color w:val="auto"/>
                      <w:kern w:val="0"/>
                      <w:szCs w:val="21"/>
                    </w:rPr>
                    <w:t>，</w:t>
                  </w:r>
                  <w:r>
                    <w:rPr>
                      <w:rFonts w:eastAsiaTheme="minorEastAsia"/>
                      <w:color w:val="auto"/>
                      <w:kern w:val="0"/>
                      <w:szCs w:val="21"/>
                    </w:rPr>
                    <w:t>本次改</w:t>
                  </w:r>
                  <w:r>
                    <w:rPr>
                      <w:rFonts w:hint="eastAsia" w:eastAsiaTheme="minorEastAsia"/>
                      <w:color w:val="auto"/>
                      <w:kern w:val="0"/>
                      <w:szCs w:val="21"/>
                    </w:rPr>
                    <w:t>扩</w:t>
                  </w:r>
                  <w:r>
                    <w:rPr>
                      <w:rFonts w:eastAsiaTheme="minorEastAsia"/>
                      <w:color w:val="auto"/>
                      <w:kern w:val="0"/>
                      <w:szCs w:val="21"/>
                    </w:rPr>
                    <w:t>建新增配料机4台</w:t>
                  </w:r>
                  <w:r>
                    <w:rPr>
                      <w:rFonts w:hint="eastAsia" w:eastAsiaTheme="minorEastAsia"/>
                      <w:color w:val="auto"/>
                      <w:kern w:val="0"/>
                      <w:szCs w:val="21"/>
                    </w:rPr>
                    <w:t>、</w:t>
                  </w:r>
                  <w:r>
                    <w:rPr>
                      <w:rFonts w:eastAsiaTheme="minorEastAsia"/>
                      <w:color w:val="auto"/>
                      <w:kern w:val="0"/>
                      <w:szCs w:val="21"/>
                    </w:rPr>
                    <w:t>全自动给料机4台</w:t>
                  </w:r>
                  <w:r>
                    <w:rPr>
                      <w:rFonts w:hint="eastAsia" w:eastAsiaTheme="minorEastAsia"/>
                      <w:color w:val="auto"/>
                      <w:kern w:val="0"/>
                      <w:szCs w:val="21"/>
                    </w:rPr>
                    <w:t>、</w:t>
                  </w:r>
                  <w:r>
                    <w:rPr>
                      <w:rFonts w:eastAsiaTheme="minorEastAsia"/>
                      <w:color w:val="auto"/>
                      <w:kern w:val="0"/>
                      <w:szCs w:val="21"/>
                    </w:rPr>
                    <w:t>螺旋压力机6台</w:t>
                  </w:r>
                  <w:r>
                    <w:rPr>
                      <w:rFonts w:hint="eastAsia" w:eastAsiaTheme="minorEastAsia"/>
                      <w:color w:val="auto"/>
                      <w:kern w:val="0"/>
                      <w:szCs w:val="21"/>
                    </w:rPr>
                    <w:t>。</w:t>
                  </w:r>
                </w:p>
              </w:tc>
              <w:tc>
                <w:tcPr>
                  <w:tcW w:w="622" w:type="pct"/>
                  <w:vAlign w:val="center"/>
                </w:tcPr>
                <w:p>
                  <w:pPr>
                    <w:jc w:val="center"/>
                    <w:rPr>
                      <w:rFonts w:eastAsiaTheme="minorEastAsia"/>
                      <w:snapToGrid w:val="0"/>
                      <w:color w:val="auto"/>
                      <w:kern w:val="0"/>
                      <w:szCs w:val="21"/>
                    </w:rPr>
                  </w:pPr>
                  <w:r>
                    <w:rPr>
                      <w:rFonts w:eastAsiaTheme="minorEastAsia"/>
                      <w:snapToGrid w:val="0"/>
                      <w:color w:val="auto"/>
                      <w:kern w:val="0"/>
                      <w:szCs w:val="21"/>
                    </w:rPr>
                    <w:t>新增</w:t>
                  </w:r>
                  <w:r>
                    <w:rPr>
                      <w:rFonts w:hint="eastAsia" w:eastAsiaTheme="minorEastAsia"/>
                      <w:snapToGrid w:val="0"/>
                      <w:color w:val="auto"/>
                      <w:kern w:val="0"/>
                      <w:szCs w:val="21"/>
                    </w:rPr>
                    <w:t>部分</w:t>
                  </w:r>
                  <w:r>
                    <w:rPr>
                      <w:rFonts w:eastAsiaTheme="minorEastAsia"/>
                      <w:snapToGrid w:val="0"/>
                      <w:color w:val="auto"/>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33" w:type="pct"/>
                  <w:vMerge w:val="restart"/>
                  <w:vAlign w:val="center"/>
                </w:tcPr>
                <w:p>
                  <w:pPr>
                    <w:jc w:val="center"/>
                    <w:rPr>
                      <w:rFonts w:eastAsiaTheme="minorEastAsia"/>
                      <w:snapToGrid w:val="0"/>
                      <w:color w:val="auto"/>
                      <w:kern w:val="0"/>
                      <w:szCs w:val="21"/>
                    </w:rPr>
                  </w:pPr>
                  <w:r>
                    <w:rPr>
                      <w:rFonts w:hint="eastAsia" w:eastAsiaTheme="minorEastAsia"/>
                      <w:snapToGrid w:val="0"/>
                      <w:color w:val="auto"/>
                      <w:kern w:val="0"/>
                      <w:szCs w:val="21"/>
                    </w:rPr>
                    <w:t>储运工程</w:t>
                  </w:r>
                </w:p>
              </w:tc>
              <w:tc>
                <w:tcPr>
                  <w:tcW w:w="900" w:type="pct"/>
                  <w:gridSpan w:val="2"/>
                  <w:vAlign w:val="center"/>
                </w:tcPr>
                <w:p>
                  <w:pPr>
                    <w:widowControl/>
                    <w:jc w:val="center"/>
                    <w:rPr>
                      <w:rFonts w:eastAsiaTheme="minorEastAsia"/>
                      <w:color w:val="auto"/>
                      <w:kern w:val="0"/>
                      <w:szCs w:val="21"/>
                    </w:rPr>
                  </w:pPr>
                  <w:r>
                    <w:rPr>
                      <w:rFonts w:hint="eastAsia" w:eastAsiaTheme="minorEastAsia"/>
                      <w:color w:val="auto"/>
                      <w:kern w:val="0"/>
                      <w:szCs w:val="21"/>
                    </w:rPr>
                    <w:t>1#原料堆棚</w:t>
                  </w:r>
                </w:p>
              </w:tc>
              <w:tc>
                <w:tcPr>
                  <w:tcW w:w="3045" w:type="pct"/>
                  <w:gridSpan w:val="2"/>
                  <w:vAlign w:val="center"/>
                </w:tcPr>
                <w:p>
                  <w:pPr>
                    <w:widowControl/>
                    <w:jc w:val="center"/>
                    <w:rPr>
                      <w:rFonts w:eastAsiaTheme="minorEastAsia"/>
                      <w:color w:val="auto"/>
                      <w:kern w:val="0"/>
                      <w:szCs w:val="21"/>
                    </w:rPr>
                  </w:pPr>
                  <w:r>
                    <w:rPr>
                      <w:rFonts w:eastAsiaTheme="minorEastAsia"/>
                      <w:color w:val="auto"/>
                      <w:kern w:val="0"/>
                      <w:szCs w:val="21"/>
                    </w:rPr>
                    <w:t>位于厂区最北侧，紧邻破碎车间，</w:t>
                  </w:r>
                  <w:r>
                    <w:rPr>
                      <w:rFonts w:hint="eastAsia" w:eastAsiaTheme="minorEastAsia"/>
                      <w:color w:val="auto"/>
                      <w:kern w:val="0"/>
                      <w:szCs w:val="21"/>
                    </w:rPr>
                    <w:t>设</w:t>
                  </w:r>
                  <w:r>
                    <w:rPr>
                      <w:rFonts w:eastAsiaTheme="minorEastAsia"/>
                      <w:color w:val="auto"/>
                      <w:kern w:val="0"/>
                      <w:szCs w:val="21"/>
                    </w:rPr>
                    <w:t>三面围挡</w:t>
                  </w:r>
                  <w:r>
                    <w:rPr>
                      <w:rFonts w:hint="eastAsia" w:eastAsiaTheme="minorEastAsia"/>
                      <w:color w:val="auto"/>
                      <w:kern w:val="0"/>
                      <w:szCs w:val="21"/>
                    </w:rPr>
                    <w:t>+</w:t>
                  </w:r>
                  <w:r>
                    <w:rPr>
                      <w:rFonts w:eastAsiaTheme="minorEastAsia"/>
                      <w:color w:val="auto"/>
                      <w:kern w:val="0"/>
                      <w:szCs w:val="21"/>
                    </w:rPr>
                    <w:t>彩钢瓦顶棚，占地1400m</w:t>
                  </w:r>
                  <w:r>
                    <w:rPr>
                      <w:rFonts w:eastAsiaTheme="minorEastAsia"/>
                      <w:color w:val="auto"/>
                      <w:kern w:val="0"/>
                      <w:szCs w:val="21"/>
                      <w:vertAlign w:val="superscript"/>
                    </w:rPr>
                    <w:t>2</w:t>
                  </w:r>
                  <w:r>
                    <w:rPr>
                      <w:rFonts w:eastAsiaTheme="minorEastAsia"/>
                      <w:color w:val="auto"/>
                      <w:kern w:val="0"/>
                      <w:szCs w:val="21"/>
                    </w:rPr>
                    <w:t>，地面已硬化，用于原料堆存</w:t>
                  </w:r>
                  <w:r>
                    <w:rPr>
                      <w:rFonts w:hint="eastAsia" w:eastAsiaTheme="minorEastAsia"/>
                      <w:color w:val="auto"/>
                      <w:kern w:val="0"/>
                      <w:szCs w:val="21"/>
                    </w:rPr>
                    <w:t>。</w:t>
                  </w:r>
                </w:p>
              </w:tc>
              <w:tc>
                <w:tcPr>
                  <w:tcW w:w="622" w:type="pct"/>
                  <w:vAlign w:val="center"/>
                </w:tcPr>
                <w:p>
                  <w:pPr>
                    <w:jc w:val="center"/>
                    <w:rPr>
                      <w:rFonts w:eastAsiaTheme="minorEastAsia"/>
                      <w:color w:val="auto"/>
                      <w:kern w:val="0"/>
                      <w:szCs w:val="21"/>
                    </w:rPr>
                  </w:pPr>
                  <w:r>
                    <w:rPr>
                      <w:rFonts w:hint="eastAsia" w:eastAsiaTheme="minorEastAsia"/>
                      <w:color w:val="auto"/>
                      <w:kern w:val="0"/>
                      <w:szCs w:val="21"/>
                    </w:rPr>
                    <w:t>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900" w:type="pct"/>
                  <w:gridSpan w:val="2"/>
                  <w:vAlign w:val="center"/>
                </w:tcPr>
                <w:p>
                  <w:pPr>
                    <w:widowControl/>
                    <w:jc w:val="center"/>
                    <w:rPr>
                      <w:rFonts w:eastAsiaTheme="minorEastAsia"/>
                      <w:color w:val="auto"/>
                      <w:kern w:val="0"/>
                      <w:szCs w:val="21"/>
                    </w:rPr>
                  </w:pPr>
                  <w:r>
                    <w:rPr>
                      <w:rFonts w:hint="eastAsia" w:eastAsiaTheme="minorEastAsia"/>
                      <w:color w:val="auto"/>
                      <w:kern w:val="0"/>
                      <w:szCs w:val="21"/>
                    </w:rPr>
                    <w:t>2#原料堆棚</w:t>
                  </w:r>
                </w:p>
              </w:tc>
              <w:tc>
                <w:tcPr>
                  <w:tcW w:w="3045" w:type="pct"/>
                  <w:gridSpan w:val="2"/>
                  <w:vAlign w:val="center"/>
                </w:tcPr>
                <w:p>
                  <w:pPr>
                    <w:widowControl/>
                    <w:rPr>
                      <w:rFonts w:eastAsiaTheme="minorEastAsia"/>
                      <w:color w:val="auto"/>
                      <w:kern w:val="0"/>
                      <w:szCs w:val="21"/>
                    </w:rPr>
                  </w:pPr>
                  <w:r>
                    <w:rPr>
                      <w:rFonts w:eastAsiaTheme="minorEastAsia"/>
                      <w:color w:val="auto"/>
                      <w:kern w:val="0"/>
                      <w:szCs w:val="21"/>
                    </w:rPr>
                    <w:t>1座，位于厂区中部，</w:t>
                  </w:r>
                  <w:r>
                    <w:rPr>
                      <w:rFonts w:hint="eastAsia" w:eastAsiaTheme="minorEastAsia"/>
                      <w:color w:val="auto"/>
                      <w:kern w:val="0"/>
                      <w:szCs w:val="21"/>
                    </w:rPr>
                    <w:t>原煤气发生炉（拆除）所在位置，</w:t>
                  </w:r>
                  <w:r>
                    <w:rPr>
                      <w:rFonts w:eastAsiaTheme="minorEastAsia"/>
                      <w:color w:val="auto"/>
                      <w:kern w:val="0"/>
                      <w:szCs w:val="21"/>
                    </w:rPr>
                    <w:t>占地面积4500m</w:t>
                  </w:r>
                  <w:r>
                    <w:rPr>
                      <w:rFonts w:eastAsiaTheme="minorEastAsia"/>
                      <w:color w:val="auto"/>
                      <w:kern w:val="0"/>
                      <w:szCs w:val="21"/>
                      <w:vertAlign w:val="superscript"/>
                    </w:rPr>
                    <w:t>2</w:t>
                  </w:r>
                  <w:r>
                    <w:rPr>
                      <w:rFonts w:eastAsiaTheme="minorEastAsia"/>
                      <w:color w:val="auto"/>
                      <w:kern w:val="0"/>
                      <w:szCs w:val="21"/>
                    </w:rPr>
                    <w:t>，</w:t>
                  </w:r>
                  <w:r>
                    <w:rPr>
                      <w:rFonts w:hint="eastAsia" w:eastAsiaTheme="minorEastAsia"/>
                      <w:color w:val="auto"/>
                      <w:kern w:val="0"/>
                      <w:szCs w:val="21"/>
                    </w:rPr>
                    <w:t>设</w:t>
                  </w:r>
                  <w:r>
                    <w:rPr>
                      <w:rFonts w:eastAsiaTheme="minorEastAsia"/>
                      <w:color w:val="auto"/>
                      <w:kern w:val="0"/>
                      <w:szCs w:val="21"/>
                    </w:rPr>
                    <w:t>三面围挡</w:t>
                  </w:r>
                  <w:r>
                    <w:rPr>
                      <w:rFonts w:hint="eastAsia" w:eastAsiaTheme="minorEastAsia"/>
                      <w:color w:val="auto"/>
                      <w:kern w:val="0"/>
                      <w:szCs w:val="21"/>
                    </w:rPr>
                    <w:t>+</w:t>
                  </w:r>
                  <w:r>
                    <w:rPr>
                      <w:rFonts w:eastAsiaTheme="minorEastAsia"/>
                      <w:color w:val="auto"/>
                      <w:kern w:val="0"/>
                      <w:szCs w:val="21"/>
                    </w:rPr>
                    <w:t>彩钢瓦顶棚</w:t>
                  </w:r>
                  <w:r>
                    <w:rPr>
                      <w:rFonts w:hint="eastAsia" w:eastAsiaTheme="minorEastAsia"/>
                      <w:color w:val="auto"/>
                      <w:kern w:val="0"/>
                      <w:szCs w:val="21"/>
                    </w:rPr>
                    <w:t>，</w:t>
                  </w:r>
                  <w:r>
                    <w:rPr>
                      <w:rFonts w:eastAsiaTheme="minorEastAsia"/>
                      <w:color w:val="auto"/>
                      <w:kern w:val="0"/>
                      <w:szCs w:val="21"/>
                    </w:rPr>
                    <w:t>用于原料堆存</w:t>
                  </w:r>
                  <w:r>
                    <w:rPr>
                      <w:rFonts w:hint="eastAsia" w:eastAsiaTheme="minorEastAsia"/>
                      <w:color w:val="auto"/>
                      <w:kern w:val="0"/>
                      <w:szCs w:val="21"/>
                    </w:rPr>
                    <w:t>。</w:t>
                  </w:r>
                </w:p>
              </w:tc>
              <w:tc>
                <w:tcPr>
                  <w:tcW w:w="622" w:type="pct"/>
                  <w:vAlign w:val="center"/>
                </w:tcPr>
                <w:p>
                  <w:pPr>
                    <w:jc w:val="center"/>
                    <w:rPr>
                      <w:rFonts w:eastAsiaTheme="minorEastAsia"/>
                      <w:color w:val="auto"/>
                      <w:kern w:val="0"/>
                      <w:szCs w:val="21"/>
                    </w:rPr>
                  </w:pPr>
                  <w:r>
                    <w:rPr>
                      <w:rFonts w:eastAsiaTheme="minorEastAsia"/>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900" w:type="pct"/>
                  <w:gridSpan w:val="2"/>
                  <w:vAlign w:val="center"/>
                </w:tcPr>
                <w:p>
                  <w:pPr>
                    <w:widowControl/>
                    <w:jc w:val="center"/>
                    <w:rPr>
                      <w:rFonts w:eastAsiaTheme="minorEastAsia"/>
                      <w:color w:val="auto"/>
                      <w:kern w:val="0"/>
                      <w:szCs w:val="21"/>
                    </w:rPr>
                  </w:pPr>
                  <w:r>
                    <w:rPr>
                      <w:rFonts w:eastAsiaTheme="minorEastAsia"/>
                      <w:color w:val="auto"/>
                      <w:kern w:val="0"/>
                      <w:szCs w:val="21"/>
                    </w:rPr>
                    <w:t>定型耐火材料成品堆场</w:t>
                  </w:r>
                </w:p>
              </w:tc>
              <w:tc>
                <w:tcPr>
                  <w:tcW w:w="3045" w:type="pct"/>
                  <w:gridSpan w:val="2"/>
                  <w:vAlign w:val="center"/>
                </w:tcPr>
                <w:p>
                  <w:pPr>
                    <w:widowControl/>
                    <w:rPr>
                      <w:rFonts w:eastAsiaTheme="minorEastAsia"/>
                      <w:color w:val="auto"/>
                      <w:kern w:val="0"/>
                      <w:szCs w:val="21"/>
                    </w:rPr>
                  </w:pPr>
                  <w:r>
                    <w:rPr>
                      <w:rFonts w:eastAsiaTheme="minorEastAsia"/>
                      <w:color w:val="auto"/>
                      <w:kern w:val="0"/>
                      <w:szCs w:val="21"/>
                    </w:rPr>
                    <w:t>露天堆场</w:t>
                  </w:r>
                  <w:r>
                    <w:rPr>
                      <w:rFonts w:hint="eastAsia" w:eastAsiaTheme="minorEastAsia"/>
                      <w:color w:val="auto"/>
                      <w:kern w:val="0"/>
                      <w:szCs w:val="21"/>
                    </w:rPr>
                    <w:t>，位于厂区中部，占地面积4200m</w:t>
                  </w:r>
                  <w:r>
                    <w:rPr>
                      <w:rFonts w:hint="eastAsia" w:eastAsiaTheme="minorEastAsia"/>
                      <w:color w:val="auto"/>
                      <w:kern w:val="0"/>
                      <w:szCs w:val="21"/>
                      <w:vertAlign w:val="superscript"/>
                    </w:rPr>
                    <w:t>2</w:t>
                  </w:r>
                  <w:r>
                    <w:rPr>
                      <w:rFonts w:hint="eastAsia" w:eastAsiaTheme="minorEastAsia"/>
                      <w:color w:val="auto"/>
                      <w:kern w:val="0"/>
                      <w:szCs w:val="21"/>
                    </w:rPr>
                    <w:t>，用于定型耐火材料堆放，定型耐火材料按照数量规格木质框架包装后堆存</w:t>
                  </w:r>
                </w:p>
              </w:tc>
              <w:tc>
                <w:tcPr>
                  <w:tcW w:w="622" w:type="pct"/>
                  <w:vAlign w:val="center"/>
                </w:tcPr>
                <w:p>
                  <w:pPr>
                    <w:jc w:val="center"/>
                    <w:rPr>
                      <w:rFonts w:eastAsiaTheme="minorEastAsia"/>
                      <w:color w:val="auto"/>
                      <w:kern w:val="0"/>
                      <w:szCs w:val="21"/>
                    </w:rPr>
                  </w:pPr>
                  <w:r>
                    <w:rPr>
                      <w:rFonts w:hint="eastAsia" w:eastAsiaTheme="minorEastAsia"/>
                      <w:color w:val="auto"/>
                      <w:kern w:val="0"/>
                      <w:szCs w:val="21"/>
                    </w:rPr>
                    <w:t>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900" w:type="pct"/>
                  <w:gridSpan w:val="2"/>
                  <w:vAlign w:val="center"/>
                </w:tcPr>
                <w:p>
                  <w:pPr>
                    <w:widowControl/>
                    <w:jc w:val="center"/>
                    <w:rPr>
                      <w:rFonts w:eastAsiaTheme="minorEastAsia"/>
                      <w:color w:val="auto"/>
                      <w:kern w:val="0"/>
                      <w:szCs w:val="21"/>
                    </w:rPr>
                  </w:pPr>
                  <w:r>
                    <w:rPr>
                      <w:rFonts w:eastAsiaTheme="minorEastAsia"/>
                      <w:color w:val="auto"/>
                      <w:kern w:val="0"/>
                      <w:szCs w:val="21"/>
                    </w:rPr>
                    <w:t>不定型耐火材料仓库</w:t>
                  </w:r>
                </w:p>
              </w:tc>
              <w:tc>
                <w:tcPr>
                  <w:tcW w:w="3045" w:type="pct"/>
                  <w:gridSpan w:val="2"/>
                  <w:vAlign w:val="center"/>
                </w:tcPr>
                <w:p>
                  <w:pPr>
                    <w:widowControl/>
                    <w:rPr>
                      <w:rFonts w:eastAsiaTheme="minorEastAsia"/>
                      <w:color w:val="auto"/>
                      <w:kern w:val="0"/>
                      <w:szCs w:val="21"/>
                    </w:rPr>
                  </w:pPr>
                  <w:r>
                    <w:rPr>
                      <w:rFonts w:hint="eastAsia" w:eastAsiaTheme="minorEastAsia"/>
                      <w:color w:val="auto"/>
                      <w:kern w:val="0"/>
                      <w:szCs w:val="21"/>
                    </w:rPr>
                    <w:t>1座，位于厂区东侧，靠近住宿楼，占地面积400m</w:t>
                  </w:r>
                  <w:r>
                    <w:rPr>
                      <w:rFonts w:hint="eastAsia" w:eastAsiaTheme="minorEastAsia"/>
                      <w:color w:val="auto"/>
                      <w:kern w:val="0"/>
                      <w:szCs w:val="21"/>
                      <w:vertAlign w:val="superscript"/>
                    </w:rPr>
                    <w:t>2</w:t>
                  </w:r>
                  <w:r>
                    <w:rPr>
                      <w:rFonts w:hint="eastAsia" w:eastAsiaTheme="minorEastAsia"/>
                      <w:color w:val="auto"/>
                      <w:kern w:val="0"/>
                      <w:szCs w:val="21"/>
                    </w:rPr>
                    <w:t>，用于不定型耐火材料堆存。不定型耐火材料袋装堆存。</w:t>
                  </w:r>
                </w:p>
              </w:tc>
              <w:tc>
                <w:tcPr>
                  <w:tcW w:w="622" w:type="pct"/>
                  <w:vAlign w:val="center"/>
                </w:tcPr>
                <w:p>
                  <w:pPr>
                    <w:jc w:val="center"/>
                    <w:rPr>
                      <w:rFonts w:eastAsiaTheme="minorEastAsia"/>
                      <w:color w:val="auto"/>
                      <w:kern w:val="0"/>
                      <w:szCs w:val="21"/>
                    </w:rPr>
                  </w:pPr>
                  <w:r>
                    <w:rPr>
                      <w:rFonts w:hint="eastAsia" w:eastAsiaTheme="minorEastAsia"/>
                      <w:color w:val="auto"/>
                      <w:kern w:val="0"/>
                      <w:szCs w:val="21"/>
                    </w:rPr>
                    <w:t>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33" w:type="pct"/>
                  <w:vMerge w:val="restart"/>
                  <w:vAlign w:val="center"/>
                </w:tcPr>
                <w:p>
                  <w:pPr>
                    <w:jc w:val="center"/>
                    <w:rPr>
                      <w:rFonts w:eastAsiaTheme="minorEastAsia"/>
                      <w:snapToGrid w:val="0"/>
                      <w:color w:val="auto"/>
                      <w:kern w:val="0"/>
                      <w:szCs w:val="21"/>
                    </w:rPr>
                  </w:pPr>
                  <w:r>
                    <w:rPr>
                      <w:rFonts w:eastAsiaTheme="minorEastAsia"/>
                      <w:snapToGrid w:val="0"/>
                      <w:color w:val="auto"/>
                      <w:kern w:val="0"/>
                      <w:szCs w:val="21"/>
                    </w:rPr>
                    <w:t>辅助工程</w:t>
                  </w:r>
                </w:p>
              </w:tc>
              <w:tc>
                <w:tcPr>
                  <w:tcW w:w="900" w:type="pct"/>
                  <w:gridSpan w:val="2"/>
                  <w:vAlign w:val="center"/>
                </w:tcPr>
                <w:p>
                  <w:pPr>
                    <w:jc w:val="center"/>
                    <w:rPr>
                      <w:rFonts w:eastAsiaTheme="minorEastAsia"/>
                      <w:snapToGrid w:val="0"/>
                      <w:color w:val="auto"/>
                      <w:kern w:val="0"/>
                      <w:szCs w:val="21"/>
                    </w:rPr>
                  </w:pPr>
                  <w:r>
                    <w:rPr>
                      <w:rFonts w:eastAsiaTheme="minorEastAsia"/>
                      <w:snapToGrid w:val="0"/>
                      <w:color w:val="auto"/>
                      <w:kern w:val="0"/>
                      <w:szCs w:val="21"/>
                    </w:rPr>
                    <w:t>办公楼</w:t>
                  </w:r>
                </w:p>
              </w:tc>
              <w:tc>
                <w:tcPr>
                  <w:tcW w:w="3045" w:type="pct"/>
                  <w:gridSpan w:val="2"/>
                  <w:vAlign w:val="center"/>
                </w:tcPr>
                <w:p>
                  <w:pPr>
                    <w:widowControl/>
                    <w:jc w:val="center"/>
                    <w:rPr>
                      <w:rFonts w:eastAsiaTheme="minorEastAsia"/>
                      <w:snapToGrid w:val="0"/>
                      <w:color w:val="auto"/>
                      <w:kern w:val="0"/>
                      <w:szCs w:val="21"/>
                    </w:rPr>
                  </w:pPr>
                  <w:r>
                    <w:rPr>
                      <w:rFonts w:eastAsiaTheme="minorEastAsia"/>
                      <w:color w:val="auto"/>
                      <w:kern w:val="0"/>
                      <w:szCs w:val="21"/>
                    </w:rPr>
                    <w:t>位于厂区中部南侧，三层，占地950</w:t>
                  </w:r>
                  <w:r>
                    <w:rPr>
                      <w:rFonts w:eastAsiaTheme="minorEastAsia"/>
                      <w:color w:val="auto"/>
                      <w:szCs w:val="21"/>
                    </w:rPr>
                    <w:t>m</w:t>
                  </w:r>
                  <w:r>
                    <w:rPr>
                      <w:rFonts w:eastAsiaTheme="minorEastAsia"/>
                      <w:color w:val="auto"/>
                      <w:szCs w:val="21"/>
                      <w:vertAlign w:val="superscript"/>
                    </w:rPr>
                    <w:t>2</w:t>
                  </w:r>
                  <w:r>
                    <w:rPr>
                      <w:rFonts w:hint="eastAsia" w:eastAsiaTheme="minorEastAsia"/>
                      <w:color w:val="auto"/>
                      <w:szCs w:val="21"/>
                    </w:rPr>
                    <w:t>。</w:t>
                  </w:r>
                </w:p>
              </w:tc>
              <w:tc>
                <w:tcPr>
                  <w:tcW w:w="622" w:type="pct"/>
                  <w:vMerge w:val="restart"/>
                  <w:vAlign w:val="center"/>
                </w:tcPr>
                <w:p>
                  <w:pPr>
                    <w:jc w:val="center"/>
                    <w:rPr>
                      <w:rFonts w:eastAsiaTheme="minorEastAsia"/>
                      <w:snapToGrid w:val="0"/>
                      <w:color w:val="auto"/>
                      <w:kern w:val="0"/>
                      <w:szCs w:val="21"/>
                    </w:rPr>
                  </w:pPr>
                  <w:r>
                    <w:rPr>
                      <w:rFonts w:hint="eastAsia" w:eastAsiaTheme="minorEastAsia"/>
                      <w:snapToGrid w:val="0"/>
                      <w:color w:val="auto"/>
                      <w:kern w:val="0"/>
                      <w:szCs w:val="21"/>
                    </w:rPr>
                    <w:t>利用</w:t>
                  </w:r>
                </w:p>
                <w:p>
                  <w:pPr>
                    <w:jc w:val="center"/>
                    <w:rPr>
                      <w:rFonts w:eastAsiaTheme="minorEastAsia"/>
                      <w:bCs/>
                      <w:snapToGrid w:val="0"/>
                      <w:color w:val="auto"/>
                      <w:kern w:val="0"/>
                      <w:szCs w:val="21"/>
                    </w:rPr>
                  </w:pPr>
                  <w:r>
                    <w:rPr>
                      <w:rFonts w:eastAsiaTheme="minorEastAsia"/>
                      <w:snapToGrid w:val="0"/>
                      <w:color w:val="auto"/>
                      <w:kern w:val="0"/>
                      <w:szCs w:val="21"/>
                    </w:rPr>
                    <w:t>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900" w:type="pct"/>
                  <w:gridSpan w:val="2"/>
                  <w:vAlign w:val="center"/>
                </w:tcPr>
                <w:p>
                  <w:pPr>
                    <w:jc w:val="center"/>
                    <w:rPr>
                      <w:rFonts w:eastAsiaTheme="minorEastAsia"/>
                      <w:color w:val="auto"/>
                      <w:szCs w:val="21"/>
                    </w:rPr>
                  </w:pPr>
                  <w:r>
                    <w:rPr>
                      <w:rFonts w:eastAsiaTheme="minorEastAsia"/>
                      <w:color w:val="auto"/>
                      <w:szCs w:val="21"/>
                    </w:rPr>
                    <w:t>住宿楼</w:t>
                  </w:r>
                </w:p>
              </w:tc>
              <w:tc>
                <w:tcPr>
                  <w:tcW w:w="3045" w:type="pct"/>
                  <w:gridSpan w:val="2"/>
                  <w:vAlign w:val="center"/>
                </w:tcPr>
                <w:p>
                  <w:pPr>
                    <w:widowControl/>
                    <w:rPr>
                      <w:rFonts w:eastAsiaTheme="minorEastAsia"/>
                      <w:snapToGrid w:val="0"/>
                      <w:color w:val="auto"/>
                      <w:kern w:val="0"/>
                      <w:szCs w:val="21"/>
                    </w:rPr>
                  </w:pPr>
                  <w:r>
                    <w:rPr>
                      <w:rFonts w:eastAsiaTheme="minorEastAsia"/>
                      <w:color w:val="auto"/>
                      <w:kern w:val="0"/>
                      <w:szCs w:val="21"/>
                    </w:rPr>
                    <w:t>位于厂区东南侧，三层，占地面积640</w:t>
                  </w:r>
                  <w:r>
                    <w:rPr>
                      <w:rFonts w:eastAsiaTheme="minorEastAsia"/>
                      <w:color w:val="auto"/>
                      <w:szCs w:val="21"/>
                    </w:rPr>
                    <w:t>m</w:t>
                  </w:r>
                  <w:r>
                    <w:rPr>
                      <w:rFonts w:eastAsiaTheme="minorEastAsia"/>
                      <w:color w:val="auto"/>
                      <w:szCs w:val="21"/>
                      <w:vertAlign w:val="superscript"/>
                    </w:rPr>
                    <w:t>2</w:t>
                  </w:r>
                  <w:r>
                    <w:rPr>
                      <w:rFonts w:eastAsiaTheme="minorEastAsia"/>
                      <w:color w:val="auto"/>
                      <w:kern w:val="0"/>
                      <w:szCs w:val="21"/>
                    </w:rPr>
                    <w:t>，不设置水冲厕及洗浴</w:t>
                  </w:r>
                  <w:r>
                    <w:rPr>
                      <w:rFonts w:hint="eastAsia" w:eastAsiaTheme="minorEastAsia"/>
                      <w:color w:val="auto"/>
                      <w:kern w:val="0"/>
                      <w:szCs w:val="21"/>
                    </w:rPr>
                    <w:t>设施。</w:t>
                  </w:r>
                </w:p>
              </w:tc>
              <w:tc>
                <w:tcPr>
                  <w:tcW w:w="622" w:type="pct"/>
                  <w:vMerge w:val="continue"/>
                  <w:vAlign w:val="center"/>
                </w:tcPr>
                <w:p>
                  <w:pPr>
                    <w:jc w:val="center"/>
                    <w:rPr>
                      <w:rFonts w:eastAsiaTheme="minorEastAsia"/>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900" w:type="pct"/>
                  <w:gridSpan w:val="2"/>
                  <w:vAlign w:val="center"/>
                </w:tcPr>
                <w:p>
                  <w:pPr>
                    <w:jc w:val="center"/>
                    <w:rPr>
                      <w:rFonts w:eastAsiaTheme="minorEastAsia"/>
                      <w:color w:val="auto"/>
                      <w:szCs w:val="21"/>
                    </w:rPr>
                  </w:pPr>
                  <w:r>
                    <w:rPr>
                      <w:rFonts w:eastAsiaTheme="minorEastAsia"/>
                      <w:color w:val="auto"/>
                      <w:szCs w:val="21"/>
                    </w:rPr>
                    <w:t>实验室</w:t>
                  </w:r>
                </w:p>
              </w:tc>
              <w:tc>
                <w:tcPr>
                  <w:tcW w:w="3045" w:type="pct"/>
                  <w:gridSpan w:val="2"/>
                  <w:vAlign w:val="center"/>
                </w:tcPr>
                <w:p>
                  <w:pPr>
                    <w:widowControl/>
                    <w:rPr>
                      <w:rFonts w:eastAsiaTheme="minorEastAsia"/>
                      <w:color w:val="auto"/>
                      <w:szCs w:val="21"/>
                    </w:rPr>
                  </w:pPr>
                  <w:r>
                    <w:rPr>
                      <w:rFonts w:eastAsiaTheme="minorEastAsia"/>
                      <w:color w:val="auto"/>
                      <w:kern w:val="0"/>
                      <w:szCs w:val="21"/>
                    </w:rPr>
                    <w:t>位于办公楼西侧，一层，占地210</w:t>
                  </w:r>
                  <w:r>
                    <w:rPr>
                      <w:rFonts w:eastAsiaTheme="minorEastAsia"/>
                      <w:color w:val="auto"/>
                      <w:szCs w:val="21"/>
                    </w:rPr>
                    <w:t>m</w:t>
                  </w:r>
                  <w:r>
                    <w:rPr>
                      <w:rFonts w:eastAsiaTheme="minorEastAsia"/>
                      <w:color w:val="auto"/>
                      <w:szCs w:val="21"/>
                      <w:vertAlign w:val="superscript"/>
                    </w:rPr>
                    <w:t>2</w:t>
                  </w:r>
                  <w:r>
                    <w:rPr>
                      <w:rFonts w:eastAsiaTheme="minorEastAsia"/>
                      <w:color w:val="auto"/>
                      <w:kern w:val="0"/>
                      <w:szCs w:val="21"/>
                    </w:rPr>
                    <w:t>，进行耐火砖的硬度、耐热度试验以及检验原料、成品中耐火成分含量</w:t>
                  </w:r>
                  <w:r>
                    <w:rPr>
                      <w:rFonts w:hint="eastAsia" w:eastAsiaTheme="minorEastAsia"/>
                      <w:color w:val="auto"/>
                      <w:kern w:val="0"/>
                      <w:szCs w:val="21"/>
                    </w:rPr>
                    <w:t>。</w:t>
                  </w:r>
                </w:p>
              </w:tc>
              <w:tc>
                <w:tcPr>
                  <w:tcW w:w="622" w:type="pct"/>
                  <w:vMerge w:val="continue"/>
                  <w:vAlign w:val="center"/>
                </w:tcPr>
                <w:p>
                  <w:pPr>
                    <w:jc w:val="center"/>
                    <w:rPr>
                      <w:rFonts w:eastAsiaTheme="minorEastAsia"/>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900" w:type="pct"/>
                  <w:gridSpan w:val="2"/>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食堂</w:t>
                  </w:r>
                </w:p>
              </w:tc>
              <w:tc>
                <w:tcPr>
                  <w:tcW w:w="3045" w:type="pct"/>
                  <w:gridSpan w:val="2"/>
                  <w:vAlign w:val="center"/>
                </w:tcPr>
                <w:p>
                  <w:pPr>
                    <w:widowControl/>
                    <w:jc w:val="center"/>
                    <w:rPr>
                      <w:rFonts w:eastAsiaTheme="minorEastAsia"/>
                      <w:color w:val="auto"/>
                      <w:szCs w:val="21"/>
                    </w:rPr>
                  </w:pPr>
                  <w:r>
                    <w:rPr>
                      <w:rFonts w:eastAsiaTheme="minorEastAsia"/>
                      <w:color w:val="auto"/>
                      <w:kern w:val="0"/>
                      <w:szCs w:val="21"/>
                    </w:rPr>
                    <w:t>位于实验室西侧，一层，占地230</w:t>
                  </w:r>
                  <w:r>
                    <w:rPr>
                      <w:rFonts w:eastAsiaTheme="minorEastAsia"/>
                      <w:color w:val="auto"/>
                      <w:szCs w:val="21"/>
                    </w:rPr>
                    <w:t>m</w:t>
                  </w:r>
                  <w:r>
                    <w:rPr>
                      <w:rFonts w:eastAsiaTheme="minorEastAsia"/>
                      <w:color w:val="auto"/>
                      <w:szCs w:val="21"/>
                      <w:vertAlign w:val="superscript"/>
                    </w:rPr>
                    <w:t>2</w:t>
                  </w:r>
                  <w:r>
                    <w:rPr>
                      <w:rFonts w:hint="eastAsia" w:eastAsiaTheme="minorEastAsia"/>
                      <w:color w:val="auto"/>
                      <w:kern w:val="0"/>
                      <w:szCs w:val="21"/>
                    </w:rPr>
                    <w:t>。</w:t>
                  </w:r>
                </w:p>
              </w:tc>
              <w:tc>
                <w:tcPr>
                  <w:tcW w:w="622" w:type="pct"/>
                  <w:vMerge w:val="continue"/>
                  <w:vAlign w:val="center"/>
                </w:tcPr>
                <w:p>
                  <w:pPr>
                    <w:jc w:val="center"/>
                    <w:rPr>
                      <w:rFonts w:eastAsiaTheme="minorEastAsia"/>
                      <w:bCs/>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900" w:type="pct"/>
                  <w:gridSpan w:val="2"/>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厕所</w:t>
                  </w:r>
                </w:p>
              </w:tc>
              <w:tc>
                <w:tcPr>
                  <w:tcW w:w="3045" w:type="pct"/>
                  <w:gridSpan w:val="2"/>
                  <w:vAlign w:val="center"/>
                </w:tcPr>
                <w:p>
                  <w:pPr>
                    <w:widowControl/>
                    <w:jc w:val="center"/>
                    <w:rPr>
                      <w:rFonts w:eastAsiaTheme="minorEastAsia"/>
                      <w:color w:val="auto"/>
                      <w:szCs w:val="21"/>
                    </w:rPr>
                  </w:pPr>
                  <w:r>
                    <w:rPr>
                      <w:rFonts w:eastAsiaTheme="minorEastAsia"/>
                      <w:color w:val="auto"/>
                      <w:kern w:val="0"/>
                      <w:szCs w:val="21"/>
                    </w:rPr>
                    <w:t>位于厂区东南角，占地20</w:t>
                  </w:r>
                  <w:r>
                    <w:rPr>
                      <w:rFonts w:eastAsiaTheme="minorEastAsia"/>
                      <w:color w:val="auto"/>
                      <w:szCs w:val="21"/>
                    </w:rPr>
                    <w:t>m</w:t>
                  </w:r>
                  <w:r>
                    <w:rPr>
                      <w:rFonts w:eastAsiaTheme="minorEastAsia"/>
                      <w:color w:val="auto"/>
                      <w:szCs w:val="21"/>
                      <w:vertAlign w:val="superscript"/>
                    </w:rPr>
                    <w:t>2</w:t>
                  </w:r>
                  <w:r>
                    <w:rPr>
                      <w:rFonts w:hint="eastAsia" w:eastAsiaTheme="minorEastAsia"/>
                      <w:color w:val="auto"/>
                      <w:szCs w:val="21"/>
                    </w:rPr>
                    <w:t>。</w:t>
                  </w:r>
                </w:p>
              </w:tc>
              <w:tc>
                <w:tcPr>
                  <w:tcW w:w="622" w:type="pct"/>
                  <w:vMerge w:val="continue"/>
                  <w:vAlign w:val="center"/>
                </w:tcPr>
                <w:p>
                  <w:pPr>
                    <w:jc w:val="center"/>
                    <w:rPr>
                      <w:rFonts w:eastAsiaTheme="minorEastAsia"/>
                      <w:bCs/>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33" w:type="pct"/>
                  <w:vMerge w:val="restart"/>
                  <w:vAlign w:val="center"/>
                </w:tcPr>
                <w:p>
                  <w:pPr>
                    <w:jc w:val="center"/>
                    <w:rPr>
                      <w:rFonts w:eastAsiaTheme="minorEastAsia"/>
                      <w:snapToGrid w:val="0"/>
                      <w:color w:val="auto"/>
                      <w:kern w:val="0"/>
                      <w:szCs w:val="21"/>
                    </w:rPr>
                  </w:pPr>
                  <w:r>
                    <w:rPr>
                      <w:rFonts w:eastAsiaTheme="minorEastAsia"/>
                      <w:snapToGrid w:val="0"/>
                      <w:color w:val="auto"/>
                      <w:kern w:val="0"/>
                      <w:szCs w:val="21"/>
                    </w:rPr>
                    <w:t>公用工程</w:t>
                  </w:r>
                </w:p>
              </w:tc>
              <w:tc>
                <w:tcPr>
                  <w:tcW w:w="900" w:type="pct"/>
                  <w:gridSpan w:val="2"/>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给水</w:t>
                  </w:r>
                </w:p>
              </w:tc>
              <w:tc>
                <w:tcPr>
                  <w:tcW w:w="3045" w:type="pct"/>
                  <w:gridSpan w:val="2"/>
                  <w:vAlign w:val="center"/>
                </w:tcPr>
                <w:p>
                  <w:pPr>
                    <w:jc w:val="center"/>
                    <w:rPr>
                      <w:rFonts w:eastAsiaTheme="minorEastAsia"/>
                      <w:color w:val="auto"/>
                      <w:szCs w:val="21"/>
                    </w:rPr>
                  </w:pPr>
                  <w:r>
                    <w:rPr>
                      <w:rFonts w:eastAsiaTheme="minorEastAsia"/>
                      <w:color w:val="auto"/>
                      <w:szCs w:val="21"/>
                    </w:rPr>
                    <w:t>市政自来水管网供给</w:t>
                  </w:r>
                  <w:r>
                    <w:rPr>
                      <w:rFonts w:hint="eastAsia" w:eastAsiaTheme="minorEastAsia"/>
                      <w:color w:val="auto"/>
                      <w:szCs w:val="21"/>
                    </w:rPr>
                    <w:t>。</w:t>
                  </w:r>
                </w:p>
              </w:tc>
              <w:tc>
                <w:tcPr>
                  <w:tcW w:w="622" w:type="pct"/>
                  <w:vAlign w:val="center"/>
                </w:tcPr>
                <w:p>
                  <w:pPr>
                    <w:jc w:val="center"/>
                    <w:rPr>
                      <w:rFonts w:eastAsiaTheme="minorEastAsia"/>
                      <w:color w:val="auto"/>
                      <w:szCs w:val="21"/>
                    </w:rPr>
                  </w:pPr>
                  <w:r>
                    <w:rPr>
                      <w:rFonts w:eastAsiaTheme="minorEastAsia"/>
                      <w:color w:val="auto"/>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900" w:type="pct"/>
                  <w:gridSpan w:val="2"/>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排水</w:t>
                  </w:r>
                </w:p>
              </w:tc>
              <w:tc>
                <w:tcPr>
                  <w:tcW w:w="3045" w:type="pct"/>
                  <w:gridSpan w:val="2"/>
                  <w:vAlign w:val="center"/>
                </w:tcPr>
                <w:p>
                  <w:pPr>
                    <w:widowControl/>
                    <w:rPr>
                      <w:rFonts w:eastAsiaTheme="minorEastAsia"/>
                      <w:color w:val="auto"/>
                      <w:szCs w:val="21"/>
                    </w:rPr>
                  </w:pPr>
                  <w:r>
                    <w:rPr>
                      <w:rFonts w:eastAsiaTheme="minorEastAsia"/>
                      <w:color w:val="auto"/>
                      <w:szCs w:val="21"/>
                    </w:rPr>
                    <w:t>本次改建不新增员工，实验室废水经中和池处理后与经化粪池处理后的生活污水排入园区污水管网，最终进入园区污水处理厂处理；脱硫</w:t>
                  </w:r>
                  <w:r>
                    <w:rPr>
                      <w:rFonts w:hint="eastAsia" w:eastAsiaTheme="minorEastAsia"/>
                      <w:color w:val="auto"/>
                      <w:szCs w:val="21"/>
                    </w:rPr>
                    <w:t>装置</w:t>
                  </w:r>
                  <w:r>
                    <w:rPr>
                      <w:rFonts w:eastAsiaTheme="minorEastAsia"/>
                      <w:color w:val="auto"/>
                      <w:szCs w:val="21"/>
                    </w:rPr>
                    <w:t>废水经再生池添加石灰发生置换反应并过滤沉淀后返回</w:t>
                  </w:r>
                  <w:r>
                    <w:t>石灰石膏法脱硫</w:t>
                  </w:r>
                  <w:r>
                    <w:rPr>
                      <w:rFonts w:eastAsiaTheme="minorEastAsia"/>
                      <w:color w:val="auto"/>
                      <w:szCs w:val="21"/>
                    </w:rPr>
                    <w:t>塔配套水池循环使用</w:t>
                  </w:r>
                  <w:r>
                    <w:rPr>
                      <w:rFonts w:hint="eastAsia" w:eastAsiaTheme="minorEastAsia"/>
                      <w:color w:val="auto"/>
                      <w:szCs w:val="21"/>
                    </w:rPr>
                    <w:t>。初期雨水经1座200m</w:t>
                  </w:r>
                  <w:r>
                    <w:rPr>
                      <w:rFonts w:hint="eastAsia" w:eastAsiaTheme="minorEastAsia"/>
                      <w:color w:val="auto"/>
                      <w:szCs w:val="21"/>
                      <w:vertAlign w:val="superscript"/>
                    </w:rPr>
                    <w:t>3</w:t>
                  </w:r>
                  <w:r>
                    <w:rPr>
                      <w:rFonts w:hint="eastAsia" w:eastAsiaTheme="minorEastAsia"/>
                      <w:color w:val="auto"/>
                      <w:szCs w:val="21"/>
                    </w:rPr>
                    <w:t>的初期雨水收集池收集沉淀后回用于生产。</w:t>
                  </w:r>
                </w:p>
              </w:tc>
              <w:tc>
                <w:tcPr>
                  <w:tcW w:w="622" w:type="pct"/>
                  <w:vAlign w:val="center"/>
                </w:tcPr>
                <w:p>
                  <w:pPr>
                    <w:jc w:val="center"/>
                    <w:rPr>
                      <w:rFonts w:eastAsiaTheme="minorEastAsia"/>
                      <w:snapToGrid w:val="0"/>
                      <w:color w:val="auto"/>
                      <w:kern w:val="0"/>
                      <w:szCs w:val="21"/>
                    </w:rPr>
                  </w:pPr>
                  <w:r>
                    <w:rPr>
                      <w:rFonts w:hint="eastAsia" w:eastAsiaTheme="minorEastAsia"/>
                      <w:snapToGrid w:val="0"/>
                      <w:color w:val="auto"/>
                      <w:kern w:val="0"/>
                      <w:szCs w:val="21"/>
                    </w:rPr>
                    <w:t>利用</w:t>
                  </w:r>
                </w:p>
                <w:p>
                  <w:pPr>
                    <w:jc w:val="center"/>
                    <w:rPr>
                      <w:rFonts w:eastAsiaTheme="minorEastAsia"/>
                      <w:color w:val="auto"/>
                      <w:szCs w:val="21"/>
                    </w:rPr>
                  </w:pPr>
                  <w:r>
                    <w:rPr>
                      <w:rFonts w:eastAsiaTheme="minorEastAsia"/>
                      <w:snapToGrid w:val="0"/>
                      <w:color w:val="auto"/>
                      <w:kern w:val="0"/>
                      <w:szCs w:val="21"/>
                    </w:rPr>
                    <w:t>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900" w:type="pct"/>
                  <w:gridSpan w:val="2"/>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供电</w:t>
                  </w:r>
                </w:p>
              </w:tc>
              <w:tc>
                <w:tcPr>
                  <w:tcW w:w="3045" w:type="pct"/>
                  <w:gridSpan w:val="2"/>
                  <w:vAlign w:val="center"/>
                </w:tcPr>
                <w:p>
                  <w:pPr>
                    <w:jc w:val="center"/>
                    <w:rPr>
                      <w:rFonts w:eastAsiaTheme="minorEastAsia"/>
                      <w:color w:val="auto"/>
                      <w:szCs w:val="21"/>
                    </w:rPr>
                  </w:pPr>
                  <w:r>
                    <w:rPr>
                      <w:rFonts w:eastAsiaTheme="minorEastAsia"/>
                      <w:color w:val="auto"/>
                      <w:szCs w:val="21"/>
                    </w:rPr>
                    <w:t>市政电网供给</w:t>
                  </w:r>
                  <w:r>
                    <w:rPr>
                      <w:rFonts w:hint="eastAsia" w:eastAsiaTheme="minorEastAsia"/>
                      <w:color w:val="auto"/>
                      <w:szCs w:val="21"/>
                    </w:rPr>
                    <w:t>。</w:t>
                  </w:r>
                </w:p>
              </w:tc>
              <w:tc>
                <w:tcPr>
                  <w:tcW w:w="622" w:type="pct"/>
                  <w:vAlign w:val="center"/>
                </w:tcPr>
                <w:p>
                  <w:pPr>
                    <w:jc w:val="center"/>
                    <w:rPr>
                      <w:rFonts w:eastAsiaTheme="minorEastAsia"/>
                      <w:snapToGrid w:val="0"/>
                      <w:color w:val="auto"/>
                      <w:kern w:val="0"/>
                      <w:szCs w:val="21"/>
                    </w:rPr>
                  </w:pPr>
                  <w:r>
                    <w:rPr>
                      <w:rFonts w:eastAsiaTheme="minorEastAsia"/>
                      <w:color w:val="auto"/>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33" w:type="pct"/>
                  <w:vMerge w:val="restart"/>
                  <w:vAlign w:val="center"/>
                </w:tcPr>
                <w:p>
                  <w:pPr>
                    <w:jc w:val="center"/>
                    <w:rPr>
                      <w:rFonts w:eastAsiaTheme="minorEastAsia"/>
                      <w:snapToGrid w:val="0"/>
                      <w:color w:val="auto"/>
                      <w:kern w:val="0"/>
                      <w:szCs w:val="21"/>
                    </w:rPr>
                  </w:pPr>
                  <w:r>
                    <w:rPr>
                      <w:rFonts w:eastAsiaTheme="minorEastAsia"/>
                      <w:snapToGrid w:val="0"/>
                      <w:color w:val="auto"/>
                      <w:kern w:val="0"/>
                      <w:szCs w:val="21"/>
                    </w:rPr>
                    <w:t>环保工程</w:t>
                  </w:r>
                </w:p>
              </w:tc>
              <w:tc>
                <w:tcPr>
                  <w:tcW w:w="254" w:type="pct"/>
                  <w:vMerge w:val="restar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废气</w:t>
                  </w:r>
                </w:p>
              </w:tc>
              <w:tc>
                <w:tcPr>
                  <w:tcW w:w="646" w:type="pc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布袋</w:t>
                  </w:r>
                </w:p>
                <w:p>
                  <w:pPr>
                    <w:pStyle w:val="42"/>
                    <w:tabs>
                      <w:tab w:val="right" w:leader="dot" w:pos="8823"/>
                    </w:tabs>
                    <w:spacing w:before="24" w:after="24" w:line="240" w:lineRule="auto"/>
                    <w:rPr>
                      <w:rFonts w:eastAsiaTheme="minorEastAsia"/>
                      <w:color w:val="auto"/>
                    </w:rPr>
                  </w:pPr>
                  <w:r>
                    <w:rPr>
                      <w:rFonts w:eastAsiaTheme="minorEastAsia"/>
                      <w:color w:val="auto"/>
                    </w:rPr>
                    <w:t>除尘器</w:t>
                  </w:r>
                </w:p>
              </w:tc>
              <w:tc>
                <w:tcPr>
                  <w:tcW w:w="3045" w:type="pct"/>
                  <w:gridSpan w:val="2"/>
                  <w:vAlign w:val="center"/>
                </w:tcPr>
                <w:p>
                  <w:pPr>
                    <w:rPr>
                      <w:rFonts w:eastAsiaTheme="minorEastAsia"/>
                      <w:color w:val="auto"/>
                      <w:szCs w:val="21"/>
                    </w:rPr>
                  </w:pPr>
                  <w:r>
                    <w:rPr>
                      <w:rFonts w:hint="eastAsia" w:eastAsiaTheme="minorEastAsia"/>
                      <w:color w:val="auto"/>
                      <w:szCs w:val="21"/>
                    </w:rPr>
                    <w:t>现有2套，新增4套，用于处理破碎、筛分、球磨工序粉尘。废气经处理后由1根15m高排气筒（DA002）排放。</w:t>
                  </w:r>
                </w:p>
              </w:tc>
              <w:tc>
                <w:tcPr>
                  <w:tcW w:w="622" w:type="pct"/>
                  <w:vAlign w:val="center"/>
                </w:tcPr>
                <w:p>
                  <w:pPr>
                    <w:jc w:val="center"/>
                    <w:rPr>
                      <w:rFonts w:eastAsiaTheme="minorEastAsia"/>
                      <w:snapToGrid w:val="0"/>
                      <w:color w:val="auto"/>
                      <w:kern w:val="0"/>
                      <w:szCs w:val="21"/>
                    </w:rPr>
                  </w:pPr>
                  <w:r>
                    <w:rPr>
                      <w:rFonts w:hint="eastAsia" w:eastAsiaTheme="minorEastAsia"/>
                      <w:snapToGrid w:val="0"/>
                      <w:color w:val="auto"/>
                      <w:kern w:val="0"/>
                      <w:szCs w:val="21"/>
                    </w:rPr>
                    <w:t>利用+</w:t>
                  </w:r>
                  <w:r>
                    <w:rPr>
                      <w:rFonts w:eastAsiaTheme="minorEastAsia"/>
                      <w:snapToGrid w:val="0"/>
                      <w:color w:val="auto"/>
                      <w:kern w:val="0"/>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254" w:type="pct"/>
                  <w:vMerge w:val="continue"/>
                  <w:vAlign w:val="center"/>
                </w:tcPr>
                <w:p>
                  <w:pPr>
                    <w:pStyle w:val="42"/>
                    <w:tabs>
                      <w:tab w:val="right" w:leader="dot" w:pos="8823"/>
                    </w:tabs>
                    <w:spacing w:before="24" w:after="24" w:line="240" w:lineRule="auto"/>
                    <w:rPr>
                      <w:rFonts w:eastAsiaTheme="minorEastAsia"/>
                      <w:color w:val="auto"/>
                    </w:rPr>
                  </w:pPr>
                </w:p>
              </w:tc>
              <w:tc>
                <w:tcPr>
                  <w:tcW w:w="646" w:type="pct"/>
                  <w:vAlign w:val="center"/>
                </w:tcPr>
                <w:p>
                  <w:pPr>
                    <w:pStyle w:val="42"/>
                    <w:tabs>
                      <w:tab w:val="right" w:leader="dot" w:pos="8823"/>
                    </w:tabs>
                    <w:spacing w:before="24" w:after="24" w:line="240" w:lineRule="auto"/>
                    <w:rPr>
                      <w:rFonts w:eastAsiaTheme="minorEastAsia"/>
                      <w:color w:val="auto"/>
                    </w:rPr>
                  </w:pPr>
                  <w:r>
                    <w:rPr>
                      <w:rFonts w:hint="eastAsia" w:eastAsiaTheme="minorEastAsia"/>
                      <w:color w:val="auto"/>
                    </w:rPr>
                    <w:t>脱硫塔</w:t>
                  </w:r>
                </w:p>
              </w:tc>
              <w:tc>
                <w:tcPr>
                  <w:tcW w:w="3045" w:type="pct"/>
                  <w:gridSpan w:val="2"/>
                  <w:vAlign w:val="center"/>
                </w:tcPr>
                <w:p>
                  <w:pPr>
                    <w:widowControl/>
                    <w:rPr>
                      <w:rFonts w:eastAsiaTheme="minorEastAsia"/>
                      <w:color w:val="auto"/>
                      <w:szCs w:val="21"/>
                    </w:rPr>
                  </w:pPr>
                  <w:r>
                    <w:rPr>
                      <w:rFonts w:hint="eastAsia" w:eastAsiaTheme="minorEastAsia"/>
                      <w:color w:val="auto"/>
                      <w:szCs w:val="21"/>
                    </w:rPr>
                    <w:t>烘干窑采用隧道窑尾气余热作为热源，隧道窑采用天然气作为热源，烘干废气与隧道窑废气经现有</w:t>
                  </w:r>
                  <w:r>
                    <w:rPr>
                      <w:rFonts w:hint="eastAsia" w:eastAsiaTheme="minorEastAsia"/>
                      <w:color w:val="auto"/>
                      <w:szCs w:val="21"/>
                      <w:lang w:val="en-US" w:eastAsia="zh-CN"/>
                    </w:rPr>
                    <w:t>石灰石膏法</w:t>
                  </w:r>
                  <w:r>
                    <w:rPr>
                      <w:rFonts w:hint="eastAsia" w:eastAsiaTheme="minorEastAsia"/>
                      <w:color w:val="auto"/>
                      <w:szCs w:val="21"/>
                    </w:rPr>
                    <w:t>脱硫设施处理后由50m高排气筒（DA001）排放。</w:t>
                  </w:r>
                </w:p>
              </w:tc>
              <w:tc>
                <w:tcPr>
                  <w:tcW w:w="622" w:type="pct"/>
                  <w:vAlign w:val="center"/>
                </w:tcPr>
                <w:p>
                  <w:pPr>
                    <w:jc w:val="center"/>
                    <w:rPr>
                      <w:rFonts w:eastAsiaTheme="minorEastAsia"/>
                      <w:snapToGrid w:val="0"/>
                      <w:color w:val="auto"/>
                      <w:kern w:val="0"/>
                      <w:szCs w:val="21"/>
                    </w:rPr>
                  </w:pPr>
                  <w:r>
                    <w:rPr>
                      <w:rFonts w:hint="eastAsia" w:eastAsiaTheme="minorEastAsia"/>
                      <w:snapToGrid w:val="0"/>
                      <w:color w:val="auto"/>
                      <w:kern w:val="0"/>
                      <w:szCs w:val="21"/>
                    </w:rPr>
                    <w:t>利用</w:t>
                  </w:r>
                </w:p>
                <w:p>
                  <w:pPr>
                    <w:jc w:val="center"/>
                    <w:rPr>
                      <w:rFonts w:eastAsiaTheme="minorEastAsia"/>
                      <w:snapToGrid w:val="0"/>
                      <w:color w:val="auto"/>
                      <w:kern w:val="0"/>
                      <w:szCs w:val="21"/>
                    </w:rPr>
                  </w:pPr>
                  <w:r>
                    <w:rPr>
                      <w:rFonts w:eastAsiaTheme="minorEastAsia"/>
                      <w:snapToGrid w:val="0"/>
                      <w:color w:val="auto"/>
                      <w:kern w:val="0"/>
                      <w:szCs w:val="21"/>
                    </w:rPr>
                    <w:t>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254" w:type="pct"/>
                  <w:vMerge w:val="continue"/>
                  <w:vAlign w:val="center"/>
                </w:tcPr>
                <w:p>
                  <w:pPr>
                    <w:pStyle w:val="42"/>
                    <w:tabs>
                      <w:tab w:val="right" w:leader="dot" w:pos="8823"/>
                    </w:tabs>
                    <w:spacing w:before="24" w:after="24" w:line="240" w:lineRule="auto"/>
                    <w:rPr>
                      <w:rFonts w:eastAsiaTheme="minorEastAsia"/>
                      <w:color w:val="auto"/>
                    </w:rPr>
                  </w:pPr>
                </w:p>
              </w:tc>
              <w:tc>
                <w:tcPr>
                  <w:tcW w:w="646" w:type="pct"/>
                  <w:vAlign w:val="center"/>
                </w:tcPr>
                <w:p>
                  <w:pPr>
                    <w:pStyle w:val="42"/>
                    <w:tabs>
                      <w:tab w:val="right" w:leader="dot" w:pos="8823"/>
                    </w:tabs>
                    <w:spacing w:before="24" w:after="24" w:line="240" w:lineRule="auto"/>
                    <w:rPr>
                      <w:rFonts w:eastAsiaTheme="minorEastAsia"/>
                      <w:color w:val="auto"/>
                    </w:rPr>
                  </w:pPr>
                  <w:r>
                    <w:rPr>
                      <w:rFonts w:hint="eastAsia" w:eastAsiaTheme="minorEastAsia"/>
                      <w:color w:val="auto"/>
                    </w:rPr>
                    <w:t>在线监测系统</w:t>
                  </w:r>
                </w:p>
              </w:tc>
              <w:tc>
                <w:tcPr>
                  <w:tcW w:w="3045" w:type="pct"/>
                  <w:gridSpan w:val="2"/>
                  <w:vAlign w:val="center"/>
                </w:tcPr>
                <w:p>
                  <w:pPr>
                    <w:widowControl/>
                    <w:rPr>
                      <w:rFonts w:eastAsiaTheme="minorEastAsia"/>
                      <w:color w:val="auto"/>
                      <w:szCs w:val="21"/>
                    </w:rPr>
                  </w:pPr>
                  <w:r>
                    <w:rPr>
                      <w:rFonts w:hint="eastAsia" w:eastAsiaTheme="minorEastAsia"/>
                      <w:color w:val="auto"/>
                      <w:szCs w:val="21"/>
                    </w:rPr>
                    <w:t>隧道窑废气排气筒已设置了在线监测系统，监测指标：颗粒物、SO</w:t>
                  </w:r>
                  <w:r>
                    <w:rPr>
                      <w:rFonts w:hint="eastAsia" w:eastAsiaTheme="minorEastAsia"/>
                      <w:color w:val="auto"/>
                      <w:szCs w:val="21"/>
                      <w:vertAlign w:val="subscript"/>
                    </w:rPr>
                    <w:t>2</w:t>
                  </w:r>
                  <w:r>
                    <w:rPr>
                      <w:rFonts w:hint="eastAsia" w:eastAsiaTheme="minorEastAsia"/>
                      <w:color w:val="auto"/>
                      <w:szCs w:val="21"/>
                    </w:rPr>
                    <w:t>、NOx。</w:t>
                  </w:r>
                </w:p>
              </w:tc>
              <w:tc>
                <w:tcPr>
                  <w:tcW w:w="622" w:type="pct"/>
                  <w:vMerge w:val="restart"/>
                  <w:vAlign w:val="center"/>
                </w:tcPr>
                <w:p>
                  <w:pPr>
                    <w:jc w:val="center"/>
                    <w:rPr>
                      <w:rFonts w:eastAsiaTheme="minorEastAsia"/>
                      <w:snapToGrid w:val="0"/>
                      <w:color w:val="auto"/>
                      <w:kern w:val="0"/>
                      <w:szCs w:val="21"/>
                    </w:rPr>
                  </w:pPr>
                  <w:r>
                    <w:rPr>
                      <w:rFonts w:hint="eastAsia" w:eastAsiaTheme="minorEastAsia"/>
                      <w:snapToGrid w:val="0"/>
                      <w:color w:val="auto"/>
                      <w:kern w:val="0"/>
                      <w:szCs w:val="21"/>
                    </w:rPr>
                    <w:t>利用</w:t>
                  </w:r>
                </w:p>
                <w:p>
                  <w:pPr>
                    <w:jc w:val="center"/>
                    <w:rPr>
                      <w:rFonts w:eastAsiaTheme="minorEastAsia"/>
                      <w:snapToGrid w:val="0"/>
                      <w:color w:val="auto"/>
                      <w:kern w:val="0"/>
                      <w:szCs w:val="21"/>
                    </w:rPr>
                  </w:pPr>
                  <w:r>
                    <w:rPr>
                      <w:rFonts w:eastAsiaTheme="minorEastAsia"/>
                      <w:snapToGrid w:val="0"/>
                      <w:color w:val="auto"/>
                      <w:kern w:val="0"/>
                      <w:szCs w:val="21"/>
                    </w:rPr>
                    <w:t>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254" w:type="pct"/>
                  <w:vMerge w:val="continue"/>
                  <w:vAlign w:val="center"/>
                </w:tcPr>
                <w:p>
                  <w:pPr>
                    <w:pStyle w:val="42"/>
                    <w:tabs>
                      <w:tab w:val="right" w:leader="dot" w:pos="8823"/>
                    </w:tabs>
                    <w:spacing w:before="24" w:after="24" w:line="240" w:lineRule="auto"/>
                    <w:rPr>
                      <w:rFonts w:eastAsiaTheme="minorEastAsia"/>
                      <w:color w:val="auto"/>
                    </w:rPr>
                  </w:pPr>
                </w:p>
              </w:tc>
              <w:tc>
                <w:tcPr>
                  <w:tcW w:w="646" w:type="pct"/>
                  <w:vAlign w:val="center"/>
                </w:tcPr>
                <w:p>
                  <w:pPr>
                    <w:pStyle w:val="42"/>
                    <w:tabs>
                      <w:tab w:val="right" w:leader="dot" w:pos="8823"/>
                    </w:tabs>
                    <w:spacing w:before="24" w:after="24" w:line="240" w:lineRule="auto"/>
                    <w:rPr>
                      <w:rFonts w:eastAsiaTheme="minorEastAsia"/>
                      <w:color w:val="auto"/>
                    </w:rPr>
                  </w:pPr>
                  <w:r>
                    <w:rPr>
                      <w:rFonts w:hint="eastAsia" w:eastAsiaTheme="minorEastAsia"/>
                      <w:color w:val="auto"/>
                    </w:rPr>
                    <w:t>喷雾洒水装置</w:t>
                  </w:r>
                </w:p>
              </w:tc>
              <w:tc>
                <w:tcPr>
                  <w:tcW w:w="3045" w:type="pct"/>
                  <w:gridSpan w:val="2"/>
                  <w:vAlign w:val="center"/>
                </w:tcPr>
                <w:p>
                  <w:pPr>
                    <w:widowControl/>
                    <w:rPr>
                      <w:rFonts w:eastAsiaTheme="minorEastAsia"/>
                      <w:color w:val="auto"/>
                      <w:kern w:val="0"/>
                      <w:szCs w:val="21"/>
                      <w:lang w:val="zh-CN"/>
                    </w:rPr>
                  </w:pPr>
                  <w:r>
                    <w:rPr>
                      <w:rFonts w:hint="eastAsia" w:eastAsiaTheme="minorEastAsia"/>
                      <w:color w:val="auto"/>
                      <w:kern w:val="0"/>
                      <w:szCs w:val="21"/>
                      <w:lang w:val="zh-CN"/>
                    </w:rPr>
                    <w:t>6套，位于上料料仓顶部，用于上料时粉尘控制。</w:t>
                  </w:r>
                </w:p>
              </w:tc>
              <w:tc>
                <w:tcPr>
                  <w:tcW w:w="622" w:type="pct"/>
                  <w:vMerge w:val="continue"/>
                  <w:vAlign w:val="center"/>
                </w:tcPr>
                <w:p>
                  <w:pPr>
                    <w:jc w:val="center"/>
                    <w:rPr>
                      <w:rFonts w:eastAsiaTheme="minorEastAsia"/>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254" w:type="pct"/>
                  <w:vMerge w:val="restar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废水</w:t>
                  </w:r>
                </w:p>
              </w:tc>
              <w:tc>
                <w:tcPr>
                  <w:tcW w:w="646" w:type="pct"/>
                  <w:vMerge w:val="restart"/>
                  <w:vAlign w:val="center"/>
                </w:tcPr>
                <w:p>
                  <w:pPr>
                    <w:pStyle w:val="42"/>
                    <w:tabs>
                      <w:tab w:val="right" w:leader="dot" w:pos="8823"/>
                    </w:tabs>
                    <w:spacing w:before="24" w:after="24" w:line="240" w:lineRule="auto"/>
                    <w:rPr>
                      <w:rFonts w:eastAsiaTheme="minorEastAsia"/>
                      <w:color w:val="auto"/>
                    </w:rPr>
                  </w:pPr>
                  <w:r>
                    <w:rPr>
                      <w:rFonts w:hint="eastAsia" w:eastAsiaTheme="minorEastAsia"/>
                      <w:color w:val="auto"/>
                    </w:rPr>
                    <w:t>脱硫废水处理设施</w:t>
                  </w:r>
                </w:p>
              </w:tc>
              <w:tc>
                <w:tcPr>
                  <w:tcW w:w="593" w:type="pc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再生池</w:t>
                  </w:r>
                </w:p>
              </w:tc>
              <w:tc>
                <w:tcPr>
                  <w:tcW w:w="2452" w:type="pct"/>
                  <w:vAlign w:val="center"/>
                </w:tcPr>
                <w:p>
                  <w:pPr>
                    <w:widowControl/>
                    <w:rPr>
                      <w:rFonts w:eastAsiaTheme="minorEastAsia"/>
                      <w:color w:val="auto"/>
                      <w:szCs w:val="21"/>
                    </w:rPr>
                  </w:pPr>
                  <w:r>
                    <w:rPr>
                      <w:rFonts w:eastAsiaTheme="minorEastAsia"/>
                      <w:color w:val="auto"/>
                      <w:szCs w:val="21"/>
                    </w:rPr>
                    <w:t>1座，容积为3m</w:t>
                  </w:r>
                  <w:r>
                    <w:rPr>
                      <w:rFonts w:eastAsiaTheme="minorEastAsia"/>
                      <w:color w:val="auto"/>
                      <w:szCs w:val="21"/>
                      <w:vertAlign w:val="superscript"/>
                    </w:rPr>
                    <w:t>3</w:t>
                  </w:r>
                  <w:r>
                    <w:rPr>
                      <w:rFonts w:eastAsiaTheme="minorEastAsia"/>
                      <w:color w:val="auto"/>
                      <w:szCs w:val="21"/>
                    </w:rPr>
                    <w:t>，在再生池中加入碳酸钙</w:t>
                  </w:r>
                  <w:r>
                    <w:rPr>
                      <w:rFonts w:hint="eastAsia" w:eastAsiaTheme="minorEastAsia"/>
                      <w:color w:val="auto"/>
                      <w:szCs w:val="21"/>
                    </w:rPr>
                    <w:t>对脱硫废水</w:t>
                  </w:r>
                  <w:r>
                    <w:rPr>
                      <w:rFonts w:eastAsiaTheme="minorEastAsia"/>
                      <w:color w:val="auto"/>
                      <w:szCs w:val="21"/>
                    </w:rPr>
                    <w:t>进行再生处理，处理沉淀后的上清液进入循环池</w:t>
                  </w:r>
                  <w:r>
                    <w:rPr>
                      <w:rFonts w:hint="eastAsia" w:eastAsiaTheme="minorEastAsia"/>
                      <w:color w:val="auto"/>
                      <w:szCs w:val="21"/>
                    </w:rPr>
                    <w:t>。</w:t>
                  </w:r>
                </w:p>
              </w:tc>
              <w:tc>
                <w:tcPr>
                  <w:tcW w:w="622" w:type="pct"/>
                  <w:vMerge w:val="restart"/>
                  <w:vAlign w:val="center"/>
                </w:tcPr>
                <w:p>
                  <w:pPr>
                    <w:jc w:val="center"/>
                    <w:rPr>
                      <w:rFonts w:eastAsiaTheme="minorEastAsia"/>
                      <w:snapToGrid w:val="0"/>
                      <w:color w:val="auto"/>
                      <w:kern w:val="0"/>
                      <w:szCs w:val="21"/>
                    </w:rPr>
                  </w:pPr>
                  <w:r>
                    <w:rPr>
                      <w:rFonts w:hint="eastAsia" w:eastAsiaTheme="minorEastAsia"/>
                      <w:snapToGrid w:val="0"/>
                      <w:color w:val="auto"/>
                      <w:kern w:val="0"/>
                      <w:szCs w:val="21"/>
                    </w:rPr>
                    <w:t>利用</w:t>
                  </w:r>
                </w:p>
                <w:p>
                  <w:pPr>
                    <w:jc w:val="center"/>
                    <w:rPr>
                      <w:rFonts w:eastAsiaTheme="minorEastAsia"/>
                      <w:snapToGrid w:val="0"/>
                      <w:color w:val="auto"/>
                      <w:kern w:val="0"/>
                      <w:szCs w:val="21"/>
                    </w:rPr>
                  </w:pPr>
                  <w:r>
                    <w:rPr>
                      <w:rFonts w:eastAsiaTheme="minorEastAsia"/>
                      <w:snapToGrid w:val="0"/>
                      <w:color w:val="auto"/>
                      <w:kern w:val="0"/>
                      <w:szCs w:val="21"/>
                    </w:rPr>
                    <w:t>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254" w:type="pct"/>
                  <w:vMerge w:val="continue"/>
                  <w:vAlign w:val="center"/>
                </w:tcPr>
                <w:p>
                  <w:pPr>
                    <w:pStyle w:val="42"/>
                    <w:tabs>
                      <w:tab w:val="right" w:leader="dot" w:pos="8823"/>
                    </w:tabs>
                    <w:spacing w:before="24" w:after="24" w:line="240" w:lineRule="auto"/>
                    <w:rPr>
                      <w:rFonts w:eastAsiaTheme="minorEastAsia"/>
                      <w:color w:val="auto"/>
                    </w:rPr>
                  </w:pPr>
                </w:p>
              </w:tc>
              <w:tc>
                <w:tcPr>
                  <w:tcW w:w="646" w:type="pct"/>
                  <w:vMerge w:val="continue"/>
                  <w:vAlign w:val="center"/>
                </w:tcPr>
                <w:p>
                  <w:pPr>
                    <w:pStyle w:val="42"/>
                    <w:tabs>
                      <w:tab w:val="right" w:leader="dot" w:pos="8823"/>
                    </w:tabs>
                    <w:spacing w:before="24" w:after="24" w:line="240" w:lineRule="auto"/>
                    <w:rPr>
                      <w:rFonts w:eastAsiaTheme="minorEastAsia"/>
                      <w:color w:val="auto"/>
                    </w:rPr>
                  </w:pPr>
                </w:p>
              </w:tc>
              <w:tc>
                <w:tcPr>
                  <w:tcW w:w="593" w:type="pc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压滤机</w:t>
                  </w:r>
                </w:p>
              </w:tc>
              <w:tc>
                <w:tcPr>
                  <w:tcW w:w="2452" w:type="pct"/>
                  <w:vAlign w:val="center"/>
                </w:tcPr>
                <w:p>
                  <w:pPr>
                    <w:rPr>
                      <w:rFonts w:eastAsiaTheme="minorEastAsia"/>
                      <w:color w:val="auto"/>
                      <w:szCs w:val="21"/>
                    </w:rPr>
                  </w:pPr>
                  <w:r>
                    <w:rPr>
                      <w:rFonts w:eastAsiaTheme="minorEastAsia"/>
                      <w:color w:val="auto"/>
                      <w:szCs w:val="21"/>
                    </w:rPr>
                    <w:t>1台，板框式压滤机，用于去除</w:t>
                  </w:r>
                  <w:r>
                    <w:rPr>
                      <w:rFonts w:hint="eastAsia" w:eastAsiaTheme="minorEastAsia"/>
                      <w:color w:val="auto"/>
                      <w:szCs w:val="21"/>
                    </w:rPr>
                    <w:t>脱硫</w:t>
                  </w:r>
                  <w:r>
                    <w:rPr>
                      <w:rFonts w:eastAsiaTheme="minorEastAsia"/>
                      <w:color w:val="auto"/>
                      <w:szCs w:val="21"/>
                    </w:rPr>
                    <w:t>废水中沉淀物，压滤产生的</w:t>
                  </w:r>
                  <w:r>
                    <w:rPr>
                      <w:rFonts w:hint="eastAsia" w:eastAsiaTheme="minorEastAsia"/>
                      <w:color w:val="auto"/>
                      <w:szCs w:val="21"/>
                    </w:rPr>
                    <w:t>脱硫</w:t>
                  </w:r>
                  <w:r>
                    <w:rPr>
                      <w:rFonts w:eastAsiaTheme="minorEastAsia"/>
                      <w:color w:val="auto"/>
                      <w:szCs w:val="21"/>
                    </w:rPr>
                    <w:t>石膏渣排入污泥池</w:t>
                  </w:r>
                  <w:r>
                    <w:rPr>
                      <w:rFonts w:hint="eastAsia" w:eastAsiaTheme="minorEastAsia"/>
                      <w:color w:val="auto"/>
                      <w:szCs w:val="21"/>
                    </w:rPr>
                    <w:t>。</w:t>
                  </w:r>
                </w:p>
              </w:tc>
              <w:tc>
                <w:tcPr>
                  <w:tcW w:w="622" w:type="pct"/>
                  <w:vMerge w:val="continue"/>
                  <w:vAlign w:val="center"/>
                </w:tcPr>
                <w:p>
                  <w:pPr>
                    <w:jc w:val="center"/>
                    <w:rPr>
                      <w:rFonts w:eastAsiaTheme="minorEastAsia"/>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254" w:type="pct"/>
                  <w:vMerge w:val="continue"/>
                  <w:vAlign w:val="center"/>
                </w:tcPr>
                <w:p>
                  <w:pPr>
                    <w:pStyle w:val="42"/>
                    <w:tabs>
                      <w:tab w:val="right" w:leader="dot" w:pos="8823"/>
                    </w:tabs>
                    <w:spacing w:before="24" w:after="24" w:line="240" w:lineRule="auto"/>
                    <w:rPr>
                      <w:rFonts w:eastAsiaTheme="minorEastAsia"/>
                      <w:color w:val="auto"/>
                    </w:rPr>
                  </w:pPr>
                </w:p>
              </w:tc>
              <w:tc>
                <w:tcPr>
                  <w:tcW w:w="646" w:type="pct"/>
                  <w:vMerge w:val="continue"/>
                  <w:vAlign w:val="center"/>
                </w:tcPr>
                <w:p>
                  <w:pPr>
                    <w:pStyle w:val="42"/>
                    <w:tabs>
                      <w:tab w:val="right" w:leader="dot" w:pos="8823"/>
                    </w:tabs>
                    <w:spacing w:before="24" w:after="24" w:line="240" w:lineRule="auto"/>
                    <w:rPr>
                      <w:rFonts w:eastAsiaTheme="minorEastAsia"/>
                      <w:color w:val="auto"/>
                    </w:rPr>
                  </w:pPr>
                </w:p>
              </w:tc>
              <w:tc>
                <w:tcPr>
                  <w:tcW w:w="593" w:type="pc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循环池</w:t>
                  </w:r>
                </w:p>
              </w:tc>
              <w:tc>
                <w:tcPr>
                  <w:tcW w:w="2452" w:type="pct"/>
                  <w:vAlign w:val="center"/>
                </w:tcPr>
                <w:p>
                  <w:pPr>
                    <w:jc w:val="center"/>
                    <w:rPr>
                      <w:rFonts w:eastAsiaTheme="minorEastAsia"/>
                      <w:color w:val="auto"/>
                      <w:szCs w:val="21"/>
                    </w:rPr>
                  </w:pPr>
                  <w:r>
                    <w:rPr>
                      <w:rFonts w:eastAsiaTheme="minorEastAsia"/>
                      <w:color w:val="auto"/>
                      <w:szCs w:val="21"/>
                    </w:rPr>
                    <w:t>1座，容积为3m</w:t>
                  </w:r>
                  <w:r>
                    <w:rPr>
                      <w:rFonts w:eastAsiaTheme="minorEastAsia"/>
                      <w:color w:val="auto"/>
                      <w:szCs w:val="21"/>
                      <w:vertAlign w:val="superscript"/>
                    </w:rPr>
                    <w:t>3</w:t>
                  </w:r>
                  <w:r>
                    <w:rPr>
                      <w:rFonts w:eastAsiaTheme="minorEastAsia"/>
                      <w:color w:val="auto"/>
                      <w:szCs w:val="21"/>
                    </w:rPr>
                    <w:t>，用于</w:t>
                  </w:r>
                  <w:r>
                    <w:rPr>
                      <w:rFonts w:hint="eastAsia" w:eastAsiaTheme="minorEastAsia"/>
                      <w:color w:val="auto"/>
                      <w:szCs w:val="21"/>
                    </w:rPr>
                    <w:t>脱硫废水循环利用。</w:t>
                  </w:r>
                </w:p>
              </w:tc>
              <w:tc>
                <w:tcPr>
                  <w:tcW w:w="622" w:type="pct"/>
                  <w:vMerge w:val="continue"/>
                  <w:vAlign w:val="center"/>
                </w:tcPr>
                <w:p>
                  <w:pPr>
                    <w:jc w:val="center"/>
                    <w:rPr>
                      <w:rFonts w:eastAsiaTheme="minorEastAsia"/>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254" w:type="pct"/>
                  <w:vMerge w:val="continue"/>
                  <w:vAlign w:val="center"/>
                </w:tcPr>
                <w:p>
                  <w:pPr>
                    <w:pStyle w:val="42"/>
                    <w:tabs>
                      <w:tab w:val="right" w:leader="dot" w:pos="8823"/>
                    </w:tabs>
                    <w:spacing w:before="24" w:after="24" w:line="240" w:lineRule="auto"/>
                    <w:rPr>
                      <w:rFonts w:eastAsiaTheme="minorEastAsia"/>
                      <w:color w:val="auto"/>
                    </w:rPr>
                  </w:pPr>
                </w:p>
              </w:tc>
              <w:tc>
                <w:tcPr>
                  <w:tcW w:w="646" w:type="pc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中和池</w:t>
                  </w:r>
                </w:p>
              </w:tc>
              <w:tc>
                <w:tcPr>
                  <w:tcW w:w="3045" w:type="pct"/>
                  <w:gridSpan w:val="2"/>
                  <w:vAlign w:val="center"/>
                </w:tcPr>
                <w:p>
                  <w:pPr>
                    <w:widowControl/>
                    <w:jc w:val="center"/>
                    <w:rPr>
                      <w:rFonts w:eastAsiaTheme="minorEastAsia"/>
                      <w:color w:val="auto"/>
                      <w:szCs w:val="21"/>
                    </w:rPr>
                  </w:pPr>
                  <w:r>
                    <w:rPr>
                      <w:rFonts w:eastAsiaTheme="minorEastAsia"/>
                      <w:color w:val="auto"/>
                      <w:szCs w:val="21"/>
                    </w:rPr>
                    <w:t>1座，容积1m</w:t>
                  </w:r>
                  <w:r>
                    <w:rPr>
                      <w:rFonts w:eastAsiaTheme="minorEastAsia"/>
                      <w:color w:val="auto"/>
                      <w:szCs w:val="21"/>
                      <w:vertAlign w:val="superscript"/>
                    </w:rPr>
                    <w:t>3</w:t>
                  </w:r>
                  <w:r>
                    <w:rPr>
                      <w:rFonts w:eastAsiaTheme="minorEastAsia"/>
                      <w:color w:val="auto"/>
                      <w:szCs w:val="21"/>
                    </w:rPr>
                    <w:t>，用于处理实验室酸碱废水</w:t>
                  </w:r>
                  <w:r>
                    <w:rPr>
                      <w:rFonts w:hint="eastAsia" w:eastAsiaTheme="minorEastAsia"/>
                      <w:color w:val="auto"/>
                      <w:szCs w:val="21"/>
                    </w:rPr>
                    <w:t>。</w:t>
                  </w:r>
                </w:p>
              </w:tc>
              <w:tc>
                <w:tcPr>
                  <w:tcW w:w="622" w:type="pct"/>
                  <w:vMerge w:val="continue"/>
                  <w:vAlign w:val="center"/>
                </w:tcPr>
                <w:p>
                  <w:pPr>
                    <w:jc w:val="center"/>
                    <w:rPr>
                      <w:rFonts w:eastAsiaTheme="minorEastAsia"/>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254" w:type="pct"/>
                  <w:vMerge w:val="continue"/>
                  <w:vAlign w:val="center"/>
                </w:tcPr>
                <w:p>
                  <w:pPr>
                    <w:pStyle w:val="42"/>
                    <w:tabs>
                      <w:tab w:val="right" w:leader="dot" w:pos="8823"/>
                    </w:tabs>
                    <w:spacing w:before="24" w:after="24" w:line="240" w:lineRule="auto"/>
                    <w:rPr>
                      <w:rFonts w:eastAsiaTheme="minorEastAsia"/>
                      <w:color w:val="auto"/>
                    </w:rPr>
                  </w:pPr>
                </w:p>
              </w:tc>
              <w:tc>
                <w:tcPr>
                  <w:tcW w:w="646" w:type="pc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化粪池</w:t>
                  </w:r>
                </w:p>
              </w:tc>
              <w:tc>
                <w:tcPr>
                  <w:tcW w:w="3045" w:type="pct"/>
                  <w:gridSpan w:val="2"/>
                  <w:vAlign w:val="center"/>
                </w:tcPr>
                <w:p>
                  <w:pPr>
                    <w:widowControl/>
                    <w:jc w:val="center"/>
                    <w:rPr>
                      <w:rFonts w:eastAsiaTheme="minorEastAsia"/>
                      <w:color w:val="auto"/>
                      <w:szCs w:val="21"/>
                    </w:rPr>
                  </w:pPr>
                  <w:r>
                    <w:rPr>
                      <w:rFonts w:eastAsiaTheme="minorEastAsia"/>
                      <w:color w:val="auto"/>
                      <w:szCs w:val="21"/>
                    </w:rPr>
                    <w:t>1座，容积3.5m</w:t>
                  </w:r>
                  <w:r>
                    <w:rPr>
                      <w:rFonts w:eastAsiaTheme="minorEastAsia"/>
                      <w:color w:val="auto"/>
                      <w:szCs w:val="21"/>
                      <w:vertAlign w:val="superscript"/>
                    </w:rPr>
                    <w:t>3</w:t>
                  </w:r>
                  <w:r>
                    <w:rPr>
                      <w:rFonts w:hint="eastAsia" w:eastAsiaTheme="minorEastAsia"/>
                      <w:color w:val="auto"/>
                      <w:szCs w:val="21"/>
                    </w:rPr>
                    <w:t>。</w:t>
                  </w:r>
                </w:p>
              </w:tc>
              <w:tc>
                <w:tcPr>
                  <w:tcW w:w="622" w:type="pct"/>
                  <w:vMerge w:val="continue"/>
                  <w:vAlign w:val="center"/>
                </w:tcPr>
                <w:p>
                  <w:pPr>
                    <w:jc w:val="center"/>
                    <w:rPr>
                      <w:rFonts w:eastAsiaTheme="minorEastAsia"/>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254" w:type="pct"/>
                  <w:vMerge w:val="continue"/>
                  <w:vAlign w:val="center"/>
                </w:tcPr>
                <w:p>
                  <w:pPr>
                    <w:pStyle w:val="42"/>
                    <w:tabs>
                      <w:tab w:val="right" w:leader="dot" w:pos="8823"/>
                    </w:tabs>
                    <w:spacing w:before="24" w:after="24" w:line="240" w:lineRule="auto"/>
                    <w:rPr>
                      <w:rFonts w:eastAsiaTheme="minorEastAsia"/>
                      <w:color w:val="auto"/>
                    </w:rPr>
                  </w:pPr>
                </w:p>
              </w:tc>
              <w:tc>
                <w:tcPr>
                  <w:tcW w:w="646" w:type="pc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隔油池</w:t>
                  </w:r>
                </w:p>
              </w:tc>
              <w:tc>
                <w:tcPr>
                  <w:tcW w:w="3045" w:type="pct"/>
                  <w:gridSpan w:val="2"/>
                  <w:vAlign w:val="center"/>
                </w:tcPr>
                <w:p>
                  <w:pPr>
                    <w:jc w:val="center"/>
                    <w:rPr>
                      <w:rFonts w:eastAsiaTheme="minorEastAsia"/>
                      <w:color w:val="auto"/>
                      <w:szCs w:val="21"/>
                    </w:rPr>
                  </w:pPr>
                  <w:r>
                    <w:rPr>
                      <w:rFonts w:hint="eastAsia" w:eastAsiaTheme="minorEastAsia"/>
                      <w:color w:val="auto"/>
                      <w:szCs w:val="21"/>
                    </w:rPr>
                    <w:t>1座</w:t>
                  </w:r>
                  <w:r>
                    <w:rPr>
                      <w:rFonts w:eastAsiaTheme="minorEastAsia"/>
                      <w:color w:val="auto"/>
                      <w:szCs w:val="21"/>
                    </w:rPr>
                    <w:t>，容积为3m</w:t>
                  </w:r>
                  <w:r>
                    <w:rPr>
                      <w:rFonts w:eastAsiaTheme="minorEastAsia"/>
                      <w:color w:val="auto"/>
                      <w:szCs w:val="21"/>
                      <w:vertAlign w:val="superscript"/>
                    </w:rPr>
                    <w:t>3</w:t>
                  </w:r>
                  <w:r>
                    <w:rPr>
                      <w:rFonts w:eastAsiaTheme="minorEastAsia"/>
                      <w:color w:val="auto"/>
                      <w:szCs w:val="21"/>
                    </w:rPr>
                    <w:t>，用于</w:t>
                  </w:r>
                  <w:r>
                    <w:rPr>
                      <w:rFonts w:hint="eastAsia" w:eastAsiaTheme="minorEastAsia"/>
                      <w:color w:val="auto"/>
                      <w:szCs w:val="21"/>
                    </w:rPr>
                    <w:t>预处理食堂废水。</w:t>
                  </w:r>
                </w:p>
              </w:tc>
              <w:tc>
                <w:tcPr>
                  <w:tcW w:w="622" w:type="pct"/>
                  <w:vMerge w:val="continue"/>
                  <w:vAlign w:val="center"/>
                </w:tcPr>
                <w:p>
                  <w:pPr>
                    <w:jc w:val="center"/>
                    <w:rPr>
                      <w:rFonts w:eastAsiaTheme="minorEastAsia"/>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254" w:type="pct"/>
                  <w:vMerge w:val="continue"/>
                  <w:vAlign w:val="center"/>
                </w:tcPr>
                <w:p>
                  <w:pPr>
                    <w:pStyle w:val="42"/>
                    <w:tabs>
                      <w:tab w:val="right" w:leader="dot" w:pos="8823"/>
                    </w:tabs>
                    <w:spacing w:before="24" w:after="24" w:line="240" w:lineRule="auto"/>
                    <w:rPr>
                      <w:rFonts w:eastAsiaTheme="minorEastAsia"/>
                      <w:color w:val="auto"/>
                    </w:rPr>
                  </w:pPr>
                </w:p>
              </w:tc>
              <w:tc>
                <w:tcPr>
                  <w:tcW w:w="646" w:type="pct"/>
                  <w:vAlign w:val="center"/>
                </w:tcPr>
                <w:p>
                  <w:pPr>
                    <w:pStyle w:val="42"/>
                    <w:tabs>
                      <w:tab w:val="right" w:leader="dot" w:pos="8823"/>
                    </w:tabs>
                    <w:spacing w:before="24" w:after="24" w:line="240" w:lineRule="auto"/>
                    <w:rPr>
                      <w:rFonts w:eastAsiaTheme="minorEastAsia"/>
                      <w:color w:val="auto"/>
                    </w:rPr>
                  </w:pPr>
                  <w:r>
                    <w:rPr>
                      <w:rFonts w:hint="eastAsia" w:eastAsiaTheme="minorEastAsia"/>
                      <w:color w:val="auto"/>
                    </w:rPr>
                    <w:t>初期雨水收集池</w:t>
                  </w:r>
                </w:p>
              </w:tc>
              <w:tc>
                <w:tcPr>
                  <w:tcW w:w="3045" w:type="pct"/>
                  <w:gridSpan w:val="2"/>
                  <w:vAlign w:val="center"/>
                </w:tcPr>
                <w:p>
                  <w:pPr>
                    <w:jc w:val="center"/>
                    <w:rPr>
                      <w:rFonts w:eastAsiaTheme="minorEastAsia"/>
                      <w:color w:val="auto"/>
                      <w:szCs w:val="21"/>
                    </w:rPr>
                  </w:pPr>
                  <w:r>
                    <w:rPr>
                      <w:rFonts w:hint="eastAsia" w:eastAsiaTheme="minorEastAsia"/>
                      <w:color w:val="auto"/>
                      <w:szCs w:val="21"/>
                    </w:rPr>
                    <w:t>1座，</w:t>
                  </w:r>
                  <w:r>
                    <w:rPr>
                      <w:rFonts w:eastAsiaTheme="minorEastAsia"/>
                      <w:color w:val="auto"/>
                      <w:szCs w:val="21"/>
                    </w:rPr>
                    <w:t>容积为</w:t>
                  </w:r>
                  <w:r>
                    <w:rPr>
                      <w:rFonts w:hint="eastAsia" w:eastAsiaTheme="minorEastAsia"/>
                      <w:color w:val="auto"/>
                      <w:szCs w:val="21"/>
                    </w:rPr>
                    <w:t>200</w:t>
                  </w:r>
                  <w:r>
                    <w:rPr>
                      <w:rFonts w:eastAsiaTheme="minorEastAsia"/>
                      <w:color w:val="auto"/>
                      <w:szCs w:val="21"/>
                    </w:rPr>
                    <w:t>m</w:t>
                  </w:r>
                  <w:r>
                    <w:rPr>
                      <w:rFonts w:eastAsiaTheme="minorEastAsia"/>
                      <w:color w:val="auto"/>
                      <w:szCs w:val="21"/>
                      <w:vertAlign w:val="superscript"/>
                    </w:rPr>
                    <w:t>3</w:t>
                  </w:r>
                  <w:r>
                    <w:rPr>
                      <w:rFonts w:eastAsiaTheme="minorEastAsia"/>
                      <w:color w:val="auto"/>
                      <w:szCs w:val="21"/>
                    </w:rPr>
                    <w:t>，用于</w:t>
                  </w:r>
                  <w:r>
                    <w:rPr>
                      <w:rFonts w:hint="eastAsia" w:eastAsiaTheme="minorEastAsia"/>
                      <w:color w:val="auto"/>
                      <w:szCs w:val="21"/>
                    </w:rPr>
                    <w:t>收集初期雨水。</w:t>
                  </w:r>
                </w:p>
              </w:tc>
              <w:tc>
                <w:tcPr>
                  <w:tcW w:w="622" w:type="pct"/>
                  <w:vAlign w:val="center"/>
                </w:tcPr>
                <w:p>
                  <w:pPr>
                    <w:jc w:val="center"/>
                    <w:rPr>
                      <w:rFonts w:eastAsiaTheme="minorEastAsia"/>
                      <w:snapToGrid w:val="0"/>
                      <w:color w:val="auto"/>
                      <w:kern w:val="0"/>
                      <w:szCs w:val="21"/>
                    </w:rPr>
                  </w:pPr>
                  <w:r>
                    <w:rPr>
                      <w:rFonts w:hint="eastAsia" w:eastAsiaTheme="minorEastAsia"/>
                      <w:snapToGrid w:val="0"/>
                      <w:color w:val="auto"/>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254" w:type="pct"/>
                  <w:vMerge w:val="restart"/>
                  <w:vAlign w:val="center"/>
                </w:tcPr>
                <w:p>
                  <w:pPr>
                    <w:pStyle w:val="42"/>
                    <w:tabs>
                      <w:tab w:val="right" w:leader="dot" w:pos="8823"/>
                    </w:tabs>
                    <w:spacing w:before="24" w:after="24"/>
                    <w:rPr>
                      <w:rFonts w:eastAsiaTheme="minorEastAsia"/>
                      <w:color w:val="auto"/>
                    </w:rPr>
                  </w:pPr>
                  <w:r>
                    <w:rPr>
                      <w:rFonts w:hint="eastAsia" w:eastAsiaTheme="minorEastAsia"/>
                      <w:color w:val="auto"/>
                    </w:rPr>
                    <w:t>固废</w:t>
                  </w:r>
                </w:p>
              </w:tc>
              <w:tc>
                <w:tcPr>
                  <w:tcW w:w="646" w:type="pc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污泥池</w:t>
                  </w:r>
                </w:p>
              </w:tc>
              <w:tc>
                <w:tcPr>
                  <w:tcW w:w="3045" w:type="pct"/>
                  <w:gridSpan w:val="2"/>
                  <w:vAlign w:val="center"/>
                </w:tcPr>
                <w:p>
                  <w:pPr>
                    <w:jc w:val="center"/>
                    <w:rPr>
                      <w:rFonts w:eastAsiaTheme="minorEastAsia"/>
                      <w:color w:val="auto"/>
                      <w:szCs w:val="21"/>
                    </w:rPr>
                  </w:pPr>
                  <w:r>
                    <w:rPr>
                      <w:rFonts w:eastAsiaTheme="minorEastAsia"/>
                      <w:color w:val="auto"/>
                      <w:szCs w:val="21"/>
                    </w:rPr>
                    <w:t>1座，可移动钢构池体，用于</w:t>
                  </w:r>
                  <w:r>
                    <w:rPr>
                      <w:rFonts w:hint="eastAsia" w:eastAsiaTheme="minorEastAsia"/>
                      <w:color w:val="auto"/>
                      <w:szCs w:val="21"/>
                    </w:rPr>
                    <w:t>暂存脱硫</w:t>
                  </w:r>
                  <w:r>
                    <w:rPr>
                      <w:rFonts w:eastAsiaTheme="minorEastAsia"/>
                      <w:color w:val="auto"/>
                      <w:szCs w:val="21"/>
                    </w:rPr>
                    <w:t>石膏渣，收集的</w:t>
                  </w:r>
                  <w:r>
                    <w:rPr>
                      <w:rFonts w:hint="eastAsia" w:eastAsiaTheme="minorEastAsia"/>
                      <w:color w:val="auto"/>
                      <w:szCs w:val="21"/>
                    </w:rPr>
                    <w:t>脱硫</w:t>
                  </w:r>
                  <w:r>
                    <w:rPr>
                      <w:rFonts w:eastAsiaTheme="minorEastAsia"/>
                      <w:color w:val="auto"/>
                      <w:szCs w:val="21"/>
                    </w:rPr>
                    <w:t>石膏渣作为制砖原料外售</w:t>
                  </w:r>
                  <w:r>
                    <w:rPr>
                      <w:rFonts w:hint="eastAsia" w:eastAsiaTheme="minorEastAsia"/>
                      <w:color w:val="auto"/>
                      <w:szCs w:val="21"/>
                    </w:rPr>
                    <w:t>。</w:t>
                  </w:r>
                </w:p>
              </w:tc>
              <w:tc>
                <w:tcPr>
                  <w:tcW w:w="622" w:type="pct"/>
                  <w:vMerge w:val="restart"/>
                  <w:vAlign w:val="center"/>
                </w:tcPr>
                <w:p>
                  <w:pPr>
                    <w:jc w:val="center"/>
                    <w:rPr>
                      <w:rFonts w:eastAsiaTheme="minorEastAsia"/>
                      <w:snapToGrid w:val="0"/>
                      <w:color w:val="auto"/>
                      <w:kern w:val="0"/>
                      <w:szCs w:val="21"/>
                    </w:rPr>
                  </w:pPr>
                  <w:r>
                    <w:rPr>
                      <w:rFonts w:hint="eastAsia" w:eastAsiaTheme="minorEastAsia"/>
                      <w:snapToGrid w:val="0"/>
                      <w:color w:val="auto"/>
                      <w:kern w:val="0"/>
                      <w:szCs w:val="21"/>
                    </w:rPr>
                    <w:t>利用原有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254" w:type="pct"/>
                  <w:vMerge w:val="continue"/>
                  <w:vAlign w:val="center"/>
                </w:tcPr>
                <w:p>
                  <w:pPr>
                    <w:pStyle w:val="42"/>
                    <w:tabs>
                      <w:tab w:val="right" w:leader="dot" w:pos="8823"/>
                    </w:tabs>
                    <w:spacing w:before="24" w:after="24"/>
                    <w:rPr>
                      <w:rFonts w:eastAsiaTheme="minorEastAsia"/>
                      <w:color w:val="auto"/>
                    </w:rPr>
                  </w:pPr>
                </w:p>
              </w:tc>
              <w:tc>
                <w:tcPr>
                  <w:tcW w:w="646" w:type="pc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垃圾房</w:t>
                  </w:r>
                </w:p>
              </w:tc>
              <w:tc>
                <w:tcPr>
                  <w:tcW w:w="3045" w:type="pct"/>
                  <w:gridSpan w:val="2"/>
                  <w:vAlign w:val="center"/>
                </w:tcPr>
                <w:p>
                  <w:pPr>
                    <w:jc w:val="center"/>
                    <w:rPr>
                      <w:rFonts w:eastAsiaTheme="minorEastAsia"/>
                      <w:color w:val="auto"/>
                      <w:szCs w:val="21"/>
                    </w:rPr>
                  </w:pPr>
                  <w:r>
                    <w:rPr>
                      <w:rFonts w:eastAsiaTheme="minorEastAsia"/>
                      <w:color w:val="auto"/>
                      <w:szCs w:val="21"/>
                    </w:rPr>
                    <w:t>位于厂区东南角，砖混结构，地面硬化，占地面积30m</w:t>
                  </w:r>
                  <w:r>
                    <w:rPr>
                      <w:rFonts w:eastAsiaTheme="minorEastAsia"/>
                      <w:color w:val="auto"/>
                      <w:szCs w:val="21"/>
                      <w:vertAlign w:val="superscript"/>
                    </w:rPr>
                    <w:t>2</w:t>
                  </w:r>
                  <w:r>
                    <w:rPr>
                      <w:rFonts w:hint="eastAsia" w:eastAsiaTheme="minorEastAsia"/>
                      <w:color w:val="auto"/>
                      <w:szCs w:val="21"/>
                    </w:rPr>
                    <w:t>。</w:t>
                  </w:r>
                </w:p>
              </w:tc>
              <w:tc>
                <w:tcPr>
                  <w:tcW w:w="622" w:type="pct"/>
                  <w:vMerge w:val="continue"/>
                  <w:vAlign w:val="center"/>
                </w:tcPr>
                <w:p>
                  <w:pPr>
                    <w:jc w:val="center"/>
                    <w:rPr>
                      <w:rFonts w:eastAsiaTheme="minorEastAsia"/>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254" w:type="pct"/>
                  <w:vMerge w:val="continue"/>
                  <w:vAlign w:val="center"/>
                </w:tcPr>
                <w:p>
                  <w:pPr>
                    <w:pStyle w:val="42"/>
                    <w:tabs>
                      <w:tab w:val="right" w:leader="dot" w:pos="8823"/>
                    </w:tabs>
                    <w:spacing w:before="24" w:after="24" w:line="240" w:lineRule="auto"/>
                    <w:rPr>
                      <w:rFonts w:eastAsiaTheme="minorEastAsia"/>
                      <w:color w:val="auto"/>
                    </w:rPr>
                  </w:pPr>
                </w:p>
              </w:tc>
              <w:tc>
                <w:tcPr>
                  <w:tcW w:w="646" w:type="pc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事故油池</w:t>
                  </w:r>
                </w:p>
              </w:tc>
              <w:tc>
                <w:tcPr>
                  <w:tcW w:w="3045" w:type="pct"/>
                  <w:gridSpan w:val="2"/>
                  <w:vAlign w:val="center"/>
                </w:tcPr>
                <w:p>
                  <w:pPr>
                    <w:jc w:val="center"/>
                    <w:rPr>
                      <w:rFonts w:eastAsiaTheme="minorEastAsia"/>
                      <w:color w:val="auto"/>
                      <w:szCs w:val="21"/>
                    </w:rPr>
                  </w:pPr>
                  <w:r>
                    <w:rPr>
                      <w:rFonts w:eastAsiaTheme="minorEastAsia"/>
                      <w:color w:val="auto"/>
                      <w:szCs w:val="21"/>
                    </w:rPr>
                    <w:t>位于变压器下方，1座，容积为1.5m</w:t>
                  </w:r>
                  <w:r>
                    <w:rPr>
                      <w:rFonts w:eastAsiaTheme="minorEastAsia"/>
                      <w:color w:val="auto"/>
                      <w:szCs w:val="21"/>
                      <w:vertAlign w:val="superscript"/>
                    </w:rPr>
                    <w:t>3</w:t>
                  </w:r>
                  <w:r>
                    <w:rPr>
                      <w:rFonts w:hint="eastAsia" w:eastAsiaTheme="minorEastAsia"/>
                      <w:color w:val="auto"/>
                      <w:szCs w:val="21"/>
                    </w:rPr>
                    <w:t>。</w:t>
                  </w:r>
                </w:p>
              </w:tc>
              <w:tc>
                <w:tcPr>
                  <w:tcW w:w="622" w:type="pct"/>
                  <w:vMerge w:val="continue"/>
                  <w:vAlign w:val="center"/>
                </w:tcPr>
                <w:p>
                  <w:pPr>
                    <w:jc w:val="center"/>
                    <w:rPr>
                      <w:rFonts w:eastAsiaTheme="minorEastAsia"/>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blHeader/>
                <w:jc w:val="center"/>
              </w:trPr>
              <w:tc>
                <w:tcPr>
                  <w:tcW w:w="433" w:type="pct"/>
                  <w:vMerge w:val="continue"/>
                  <w:vAlign w:val="center"/>
                </w:tcPr>
                <w:p>
                  <w:pPr>
                    <w:jc w:val="center"/>
                    <w:rPr>
                      <w:rFonts w:eastAsiaTheme="minorEastAsia"/>
                      <w:snapToGrid w:val="0"/>
                      <w:color w:val="auto"/>
                      <w:kern w:val="0"/>
                      <w:szCs w:val="21"/>
                    </w:rPr>
                  </w:pPr>
                </w:p>
              </w:tc>
              <w:tc>
                <w:tcPr>
                  <w:tcW w:w="254" w:type="pct"/>
                  <w:vMerge w:val="continue"/>
                  <w:vAlign w:val="center"/>
                </w:tcPr>
                <w:p>
                  <w:pPr>
                    <w:pStyle w:val="42"/>
                    <w:tabs>
                      <w:tab w:val="right" w:leader="dot" w:pos="8823"/>
                    </w:tabs>
                    <w:spacing w:before="24" w:after="24" w:line="240" w:lineRule="auto"/>
                    <w:rPr>
                      <w:rFonts w:eastAsiaTheme="minorEastAsia"/>
                      <w:color w:val="auto"/>
                    </w:rPr>
                  </w:pPr>
                </w:p>
              </w:tc>
              <w:tc>
                <w:tcPr>
                  <w:tcW w:w="646" w:type="pc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危废</w:t>
                  </w:r>
                </w:p>
                <w:p>
                  <w:pPr>
                    <w:pStyle w:val="42"/>
                    <w:tabs>
                      <w:tab w:val="right" w:leader="dot" w:pos="8823"/>
                    </w:tabs>
                    <w:spacing w:before="24" w:after="24" w:line="240" w:lineRule="auto"/>
                    <w:rPr>
                      <w:rFonts w:eastAsiaTheme="minorEastAsia"/>
                      <w:color w:val="auto"/>
                    </w:rPr>
                  </w:pPr>
                  <w:r>
                    <w:rPr>
                      <w:rFonts w:eastAsiaTheme="minorEastAsia"/>
                      <w:color w:val="auto"/>
                    </w:rPr>
                    <w:t>暂存间</w:t>
                  </w:r>
                </w:p>
              </w:tc>
              <w:tc>
                <w:tcPr>
                  <w:tcW w:w="3045" w:type="pct"/>
                  <w:gridSpan w:val="2"/>
                  <w:vAlign w:val="center"/>
                </w:tcPr>
                <w:p>
                  <w:pPr>
                    <w:rPr>
                      <w:rFonts w:eastAsiaTheme="minorEastAsia"/>
                      <w:color w:val="auto"/>
                      <w:szCs w:val="21"/>
                    </w:rPr>
                  </w:pPr>
                  <w:r>
                    <w:rPr>
                      <w:rFonts w:eastAsiaTheme="minorEastAsia"/>
                      <w:color w:val="auto"/>
                      <w:szCs w:val="21"/>
                    </w:rPr>
                    <w:t>1间，位于原有仓库东侧，占地面积30m</w:t>
                  </w:r>
                  <w:r>
                    <w:rPr>
                      <w:rFonts w:eastAsiaTheme="minorEastAsia"/>
                      <w:color w:val="auto"/>
                      <w:szCs w:val="21"/>
                      <w:vertAlign w:val="superscript"/>
                    </w:rPr>
                    <w:t>2</w:t>
                  </w:r>
                  <w:r>
                    <w:rPr>
                      <w:rFonts w:eastAsiaTheme="minorEastAsia"/>
                      <w:color w:val="auto"/>
                      <w:szCs w:val="21"/>
                    </w:rPr>
                    <w:t>，</w:t>
                  </w:r>
                  <w:r>
                    <w:rPr>
                      <w:rFonts w:hint="eastAsia" w:eastAsiaTheme="minorEastAsia"/>
                      <w:color w:val="auto"/>
                      <w:szCs w:val="21"/>
                    </w:rPr>
                    <w:t>已</w:t>
                  </w:r>
                  <w:r>
                    <w:rPr>
                      <w:rFonts w:eastAsiaTheme="minorEastAsia"/>
                      <w:color w:val="auto"/>
                      <w:kern w:val="0"/>
                      <w:szCs w:val="21"/>
                    </w:rPr>
                    <w:t>按照</w:t>
                  </w:r>
                  <w:r>
                    <w:rPr>
                      <w:rFonts w:eastAsiaTheme="minorEastAsia"/>
                      <w:color w:val="auto"/>
                      <w:szCs w:val="21"/>
                    </w:rPr>
                    <w:t>《危险废物贮存污染控制标准》（GB18597-2001）建设</w:t>
                  </w:r>
                  <w:r>
                    <w:rPr>
                      <w:rFonts w:hint="eastAsia" w:eastAsiaTheme="minorEastAsia"/>
                      <w:color w:val="auto"/>
                      <w:szCs w:val="21"/>
                    </w:rPr>
                    <w:t>。</w:t>
                  </w:r>
                </w:p>
              </w:tc>
              <w:tc>
                <w:tcPr>
                  <w:tcW w:w="622" w:type="pct"/>
                  <w:vMerge w:val="continue"/>
                  <w:vAlign w:val="center"/>
                </w:tcPr>
                <w:p>
                  <w:pPr>
                    <w:jc w:val="center"/>
                    <w:rPr>
                      <w:rFonts w:eastAsiaTheme="minorEastAsia"/>
                      <w:snapToGrid w:val="0"/>
                      <w:color w:val="auto"/>
                      <w:kern w:val="0"/>
                      <w:szCs w:val="21"/>
                    </w:rPr>
                  </w:pPr>
                </w:p>
              </w:tc>
            </w:tr>
          </w:tbl>
          <w:p>
            <w:pPr>
              <w:pStyle w:val="47"/>
              <w:adjustRightInd w:val="0"/>
              <w:snapToGrid w:val="0"/>
              <w:spacing w:line="240" w:lineRule="auto"/>
              <w:ind w:firstLine="0"/>
              <w:outlineLvl w:val="2"/>
              <w:rPr>
                <w:b/>
                <w:color w:val="auto"/>
                <w:sz w:val="21"/>
                <w:szCs w:val="21"/>
              </w:rPr>
            </w:pPr>
          </w:p>
          <w:p>
            <w:pPr>
              <w:pStyle w:val="47"/>
              <w:adjustRightInd w:val="0"/>
              <w:snapToGrid w:val="0"/>
              <w:ind w:firstLine="0"/>
              <w:outlineLvl w:val="2"/>
              <w:rPr>
                <w:b/>
                <w:color w:val="auto"/>
                <w:szCs w:val="24"/>
              </w:rPr>
            </w:pPr>
            <w:r>
              <w:rPr>
                <w:rFonts w:hint="eastAsia"/>
                <w:b/>
                <w:color w:val="auto"/>
                <w:szCs w:val="24"/>
              </w:rPr>
              <w:t>2.3产品方案</w:t>
            </w:r>
          </w:p>
          <w:p>
            <w:pPr>
              <w:pStyle w:val="47"/>
              <w:adjustRightInd w:val="0"/>
              <w:snapToGrid w:val="0"/>
              <w:ind w:firstLine="480" w:firstLineChars="200"/>
              <w:outlineLvl w:val="2"/>
              <w:rPr>
                <w:color w:val="auto"/>
                <w:szCs w:val="24"/>
              </w:rPr>
            </w:pPr>
            <w:r>
              <w:rPr>
                <w:rFonts w:hint="eastAsia"/>
                <w:color w:val="auto"/>
                <w:szCs w:val="24"/>
              </w:rPr>
              <w:t>原有</w:t>
            </w:r>
            <w:r>
              <w:rPr>
                <w:color w:val="auto"/>
                <w:szCs w:val="24"/>
              </w:rPr>
              <w:t>项目</w:t>
            </w:r>
            <w:r>
              <w:rPr>
                <w:rFonts w:hint="eastAsia"/>
                <w:color w:val="auto"/>
                <w:szCs w:val="24"/>
              </w:rPr>
              <w:t>生产规模为4万t/年，本次改扩建项目生产规模为6万t/a，</w:t>
            </w:r>
            <w:r>
              <w:rPr>
                <w:color w:val="auto"/>
                <w:szCs w:val="24"/>
              </w:rPr>
              <w:t>改扩建</w:t>
            </w:r>
            <w:r>
              <w:rPr>
                <w:rFonts w:hint="eastAsia"/>
                <w:color w:val="auto"/>
                <w:szCs w:val="24"/>
              </w:rPr>
              <w:t>完成</w:t>
            </w:r>
            <w:r>
              <w:rPr>
                <w:color w:val="auto"/>
                <w:szCs w:val="24"/>
              </w:rPr>
              <w:t>后，生产规模为10万吨/年。各产品规模如下所示：</w:t>
            </w:r>
          </w:p>
          <w:p>
            <w:pPr>
              <w:adjustRightInd w:val="0"/>
              <w:snapToGrid w:val="0"/>
              <w:ind w:firstLine="198"/>
              <w:jc w:val="center"/>
              <w:rPr>
                <w:b/>
                <w:color w:val="auto"/>
                <w:szCs w:val="21"/>
              </w:rPr>
            </w:pPr>
            <w:r>
              <w:rPr>
                <w:rFonts w:hint="eastAsia"/>
                <w:b/>
                <w:color w:val="auto"/>
                <w:szCs w:val="21"/>
              </w:rPr>
              <w:t>表2-2  项目产品方案表  单位：万吨/年</w:t>
            </w:r>
          </w:p>
          <w:tbl>
            <w:tblPr>
              <w:tblStyle w:val="22"/>
              <w:tblW w:w="8386" w:type="dxa"/>
              <w:tblInd w:w="0" w:type="dxa"/>
              <w:tblLayout w:type="autofit"/>
              <w:tblCellMar>
                <w:top w:w="0" w:type="dxa"/>
                <w:left w:w="108" w:type="dxa"/>
                <w:bottom w:w="0" w:type="dxa"/>
                <w:right w:w="108" w:type="dxa"/>
              </w:tblCellMar>
            </w:tblPr>
            <w:tblGrid>
              <w:gridCol w:w="1847"/>
              <w:gridCol w:w="1790"/>
              <w:gridCol w:w="3557"/>
              <w:gridCol w:w="1192"/>
            </w:tblGrid>
            <w:tr>
              <w:tblPrEx>
                <w:tblCellMar>
                  <w:top w:w="0" w:type="dxa"/>
                  <w:left w:w="108" w:type="dxa"/>
                  <w:bottom w:w="0" w:type="dxa"/>
                  <w:right w:w="108" w:type="dxa"/>
                </w:tblCellMar>
              </w:tblPrEx>
              <w:trPr>
                <w:trHeight w:val="369" w:hRule="atLeast"/>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Cs w:val="21"/>
                    </w:rPr>
                  </w:pPr>
                  <w:r>
                    <w:rPr>
                      <w:color w:val="auto"/>
                      <w:kern w:val="0"/>
                      <w:szCs w:val="21"/>
                    </w:rPr>
                    <w:t>产品名称</w:t>
                  </w:r>
                </w:p>
              </w:tc>
              <w:tc>
                <w:tcPr>
                  <w:tcW w:w="1067" w:type="pct"/>
                  <w:tcBorders>
                    <w:top w:val="single" w:color="auto" w:sz="4" w:space="0"/>
                    <w:left w:val="nil"/>
                    <w:bottom w:val="single" w:color="auto" w:sz="4" w:space="0"/>
                    <w:right w:val="single" w:color="auto" w:sz="4" w:space="0"/>
                  </w:tcBorders>
                  <w:noWrap/>
                  <w:vAlign w:val="center"/>
                </w:tcPr>
                <w:p>
                  <w:pPr>
                    <w:widowControl/>
                    <w:jc w:val="center"/>
                    <w:rPr>
                      <w:color w:val="auto"/>
                      <w:kern w:val="0"/>
                      <w:szCs w:val="21"/>
                    </w:rPr>
                  </w:pPr>
                  <w:r>
                    <w:rPr>
                      <w:rFonts w:hint="eastAsia"/>
                      <w:color w:val="auto"/>
                      <w:kern w:val="0"/>
                      <w:szCs w:val="21"/>
                    </w:rPr>
                    <w:t>现有项目</w:t>
                  </w:r>
                  <w:r>
                    <w:rPr>
                      <w:color w:val="auto"/>
                      <w:kern w:val="0"/>
                      <w:szCs w:val="21"/>
                    </w:rPr>
                    <w:t>年产量</w:t>
                  </w:r>
                </w:p>
              </w:tc>
              <w:tc>
                <w:tcPr>
                  <w:tcW w:w="212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Cs w:val="21"/>
                    </w:rPr>
                  </w:pPr>
                  <w:r>
                    <w:rPr>
                      <w:rFonts w:hint="eastAsia"/>
                      <w:color w:val="auto"/>
                      <w:kern w:val="0"/>
                      <w:szCs w:val="21"/>
                    </w:rPr>
                    <w:t>改扩建项目年产量</w:t>
                  </w:r>
                </w:p>
              </w:tc>
              <w:tc>
                <w:tcPr>
                  <w:tcW w:w="71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Cs w:val="21"/>
                    </w:rPr>
                  </w:pPr>
                  <w:r>
                    <w:rPr>
                      <w:rFonts w:hint="eastAsia"/>
                      <w:color w:val="auto"/>
                      <w:kern w:val="0"/>
                      <w:szCs w:val="21"/>
                    </w:rPr>
                    <w:t>总产量</w:t>
                  </w:r>
                </w:p>
              </w:tc>
            </w:tr>
            <w:tr>
              <w:tblPrEx>
                <w:tblCellMar>
                  <w:top w:w="0" w:type="dxa"/>
                  <w:left w:w="108" w:type="dxa"/>
                  <w:bottom w:w="0" w:type="dxa"/>
                  <w:right w:w="108" w:type="dxa"/>
                </w:tblCellMar>
              </w:tblPrEx>
              <w:trPr>
                <w:trHeight w:val="369" w:hRule="atLeast"/>
              </w:trPr>
              <w:tc>
                <w:tcPr>
                  <w:tcW w:w="1101" w:type="pct"/>
                  <w:tcBorders>
                    <w:top w:val="nil"/>
                    <w:left w:val="single" w:color="auto" w:sz="4" w:space="0"/>
                    <w:bottom w:val="single" w:color="auto" w:sz="4" w:space="0"/>
                    <w:right w:val="single" w:color="auto" w:sz="4" w:space="0"/>
                  </w:tcBorders>
                  <w:noWrap/>
                  <w:vAlign w:val="center"/>
                </w:tcPr>
                <w:p>
                  <w:pPr>
                    <w:widowControl/>
                    <w:jc w:val="center"/>
                    <w:rPr>
                      <w:color w:val="auto"/>
                      <w:kern w:val="0"/>
                      <w:szCs w:val="21"/>
                    </w:rPr>
                  </w:pPr>
                  <w:r>
                    <w:rPr>
                      <w:color w:val="auto"/>
                      <w:kern w:val="0"/>
                      <w:szCs w:val="21"/>
                      <w:lang w:bidi="ar"/>
                    </w:rPr>
                    <w:t>高铝耐火砖</w:t>
                  </w:r>
                </w:p>
              </w:tc>
              <w:tc>
                <w:tcPr>
                  <w:tcW w:w="1067" w:type="pct"/>
                  <w:tcBorders>
                    <w:top w:val="nil"/>
                    <w:left w:val="nil"/>
                    <w:bottom w:val="single" w:color="auto" w:sz="4" w:space="0"/>
                    <w:right w:val="single" w:color="auto" w:sz="4" w:space="0"/>
                  </w:tcBorders>
                  <w:noWrap/>
                  <w:vAlign w:val="center"/>
                </w:tcPr>
                <w:p>
                  <w:pPr>
                    <w:widowControl/>
                    <w:jc w:val="center"/>
                    <w:rPr>
                      <w:color w:val="auto"/>
                      <w:kern w:val="0"/>
                      <w:szCs w:val="21"/>
                    </w:rPr>
                  </w:pPr>
                  <w:r>
                    <w:rPr>
                      <w:rFonts w:hint="eastAsia"/>
                      <w:color w:val="auto"/>
                      <w:kern w:val="0"/>
                      <w:szCs w:val="21"/>
                    </w:rPr>
                    <w:t>1.5</w:t>
                  </w:r>
                </w:p>
              </w:tc>
              <w:tc>
                <w:tcPr>
                  <w:tcW w:w="2121" w:type="pct"/>
                  <w:tcBorders>
                    <w:top w:val="nil"/>
                    <w:left w:val="single" w:color="auto" w:sz="4" w:space="0"/>
                    <w:bottom w:val="single" w:color="auto" w:sz="4" w:space="0"/>
                    <w:right w:val="single" w:color="auto" w:sz="4" w:space="0"/>
                  </w:tcBorders>
                  <w:noWrap/>
                  <w:vAlign w:val="center"/>
                </w:tcPr>
                <w:p>
                  <w:pPr>
                    <w:widowControl/>
                    <w:jc w:val="center"/>
                    <w:rPr>
                      <w:color w:val="auto"/>
                      <w:kern w:val="0"/>
                      <w:szCs w:val="21"/>
                    </w:rPr>
                  </w:pPr>
                  <w:r>
                    <w:rPr>
                      <w:rFonts w:hint="eastAsia"/>
                      <w:color w:val="auto"/>
                      <w:kern w:val="0"/>
                      <w:szCs w:val="21"/>
                    </w:rPr>
                    <w:t>2.5（每条推板窑0.25，隧道窑2）</w:t>
                  </w:r>
                </w:p>
              </w:tc>
              <w:tc>
                <w:tcPr>
                  <w:tcW w:w="711" w:type="pct"/>
                  <w:tcBorders>
                    <w:top w:val="nil"/>
                    <w:left w:val="single" w:color="auto" w:sz="4" w:space="0"/>
                    <w:bottom w:val="single" w:color="auto" w:sz="4" w:space="0"/>
                    <w:right w:val="single" w:color="auto" w:sz="4" w:space="0"/>
                  </w:tcBorders>
                  <w:noWrap/>
                  <w:vAlign w:val="center"/>
                </w:tcPr>
                <w:p>
                  <w:pPr>
                    <w:widowControl/>
                    <w:jc w:val="center"/>
                    <w:rPr>
                      <w:color w:val="auto"/>
                      <w:kern w:val="0"/>
                      <w:szCs w:val="21"/>
                    </w:rPr>
                  </w:pPr>
                  <w:r>
                    <w:rPr>
                      <w:color w:val="auto"/>
                      <w:kern w:val="0"/>
                      <w:szCs w:val="21"/>
                    </w:rPr>
                    <w:t>4</w:t>
                  </w:r>
                </w:p>
              </w:tc>
            </w:tr>
            <w:tr>
              <w:tblPrEx>
                <w:tblCellMar>
                  <w:top w:w="0" w:type="dxa"/>
                  <w:left w:w="108" w:type="dxa"/>
                  <w:bottom w:w="0" w:type="dxa"/>
                  <w:right w:w="108" w:type="dxa"/>
                </w:tblCellMar>
              </w:tblPrEx>
              <w:trPr>
                <w:trHeight w:val="369" w:hRule="atLeast"/>
              </w:trPr>
              <w:tc>
                <w:tcPr>
                  <w:tcW w:w="1101" w:type="pct"/>
                  <w:tcBorders>
                    <w:top w:val="nil"/>
                    <w:left w:val="single" w:color="auto" w:sz="4" w:space="0"/>
                    <w:bottom w:val="single" w:color="auto" w:sz="4" w:space="0"/>
                    <w:right w:val="single" w:color="auto" w:sz="4" w:space="0"/>
                  </w:tcBorders>
                  <w:noWrap/>
                  <w:vAlign w:val="center"/>
                </w:tcPr>
                <w:p>
                  <w:pPr>
                    <w:widowControl/>
                    <w:jc w:val="center"/>
                    <w:rPr>
                      <w:color w:val="auto"/>
                      <w:kern w:val="0"/>
                      <w:szCs w:val="21"/>
                    </w:rPr>
                  </w:pPr>
                  <w:r>
                    <w:rPr>
                      <w:color w:val="auto"/>
                      <w:kern w:val="0"/>
                      <w:szCs w:val="21"/>
                      <w:lang w:bidi="ar"/>
                    </w:rPr>
                    <w:t>高铝粘土耐火砖</w:t>
                  </w:r>
                </w:p>
              </w:tc>
              <w:tc>
                <w:tcPr>
                  <w:tcW w:w="1067" w:type="pct"/>
                  <w:tcBorders>
                    <w:top w:val="nil"/>
                    <w:left w:val="nil"/>
                    <w:bottom w:val="single" w:color="auto" w:sz="4" w:space="0"/>
                    <w:right w:val="single" w:color="auto" w:sz="4" w:space="0"/>
                  </w:tcBorders>
                  <w:noWrap/>
                  <w:vAlign w:val="center"/>
                </w:tcPr>
                <w:p>
                  <w:pPr>
                    <w:widowControl/>
                    <w:jc w:val="center"/>
                    <w:rPr>
                      <w:color w:val="auto"/>
                      <w:kern w:val="0"/>
                      <w:szCs w:val="21"/>
                    </w:rPr>
                  </w:pPr>
                  <w:r>
                    <w:rPr>
                      <w:rFonts w:hint="eastAsia"/>
                      <w:color w:val="auto"/>
                      <w:kern w:val="0"/>
                      <w:szCs w:val="21"/>
                    </w:rPr>
                    <w:t>1.3</w:t>
                  </w:r>
                </w:p>
              </w:tc>
              <w:tc>
                <w:tcPr>
                  <w:tcW w:w="2121" w:type="pct"/>
                  <w:tcBorders>
                    <w:top w:val="nil"/>
                    <w:left w:val="single" w:color="auto" w:sz="4" w:space="0"/>
                    <w:bottom w:val="single" w:color="auto" w:sz="4" w:space="0"/>
                    <w:right w:val="single" w:color="auto" w:sz="4" w:space="0"/>
                  </w:tcBorders>
                  <w:noWrap/>
                  <w:vAlign w:val="center"/>
                </w:tcPr>
                <w:p>
                  <w:pPr>
                    <w:widowControl/>
                    <w:jc w:val="center"/>
                    <w:rPr>
                      <w:color w:val="auto"/>
                      <w:kern w:val="0"/>
                      <w:szCs w:val="21"/>
                    </w:rPr>
                  </w:pPr>
                  <w:r>
                    <w:rPr>
                      <w:rFonts w:hint="eastAsia"/>
                      <w:color w:val="auto"/>
                      <w:kern w:val="0"/>
                      <w:szCs w:val="21"/>
                    </w:rPr>
                    <w:t>1.5（每条推板窑0.25，隧道窑1）</w:t>
                  </w:r>
                </w:p>
              </w:tc>
              <w:tc>
                <w:tcPr>
                  <w:tcW w:w="711" w:type="pct"/>
                  <w:tcBorders>
                    <w:top w:val="nil"/>
                    <w:left w:val="single" w:color="auto" w:sz="4" w:space="0"/>
                    <w:bottom w:val="single" w:color="auto" w:sz="4" w:space="0"/>
                    <w:right w:val="single" w:color="auto" w:sz="4" w:space="0"/>
                  </w:tcBorders>
                  <w:noWrap/>
                  <w:vAlign w:val="center"/>
                </w:tcPr>
                <w:p>
                  <w:pPr>
                    <w:widowControl/>
                    <w:jc w:val="center"/>
                    <w:rPr>
                      <w:color w:val="auto"/>
                      <w:kern w:val="0"/>
                      <w:szCs w:val="21"/>
                    </w:rPr>
                  </w:pPr>
                  <w:r>
                    <w:rPr>
                      <w:color w:val="auto"/>
                      <w:kern w:val="0"/>
                      <w:szCs w:val="21"/>
                    </w:rPr>
                    <w:t>2.8</w:t>
                  </w:r>
                </w:p>
              </w:tc>
            </w:tr>
            <w:tr>
              <w:tblPrEx>
                <w:tblCellMar>
                  <w:top w:w="0" w:type="dxa"/>
                  <w:left w:w="108" w:type="dxa"/>
                  <w:bottom w:w="0" w:type="dxa"/>
                  <w:right w:w="108" w:type="dxa"/>
                </w:tblCellMar>
              </w:tblPrEx>
              <w:trPr>
                <w:trHeight w:val="369" w:hRule="atLeast"/>
              </w:trPr>
              <w:tc>
                <w:tcPr>
                  <w:tcW w:w="1101" w:type="pct"/>
                  <w:tcBorders>
                    <w:top w:val="nil"/>
                    <w:left w:val="single" w:color="auto" w:sz="4" w:space="0"/>
                    <w:bottom w:val="single" w:color="auto" w:sz="4" w:space="0"/>
                    <w:right w:val="single" w:color="auto" w:sz="4" w:space="0"/>
                  </w:tcBorders>
                  <w:noWrap/>
                  <w:vAlign w:val="center"/>
                </w:tcPr>
                <w:p>
                  <w:pPr>
                    <w:widowControl/>
                    <w:jc w:val="center"/>
                    <w:rPr>
                      <w:color w:val="auto"/>
                      <w:kern w:val="0"/>
                      <w:szCs w:val="21"/>
                    </w:rPr>
                  </w:pPr>
                  <w:r>
                    <w:rPr>
                      <w:color w:val="auto"/>
                      <w:kern w:val="0"/>
                      <w:szCs w:val="21"/>
                      <w:lang w:bidi="ar"/>
                    </w:rPr>
                    <w:t>不定型耐火材料</w:t>
                  </w:r>
                </w:p>
              </w:tc>
              <w:tc>
                <w:tcPr>
                  <w:tcW w:w="1067" w:type="pct"/>
                  <w:tcBorders>
                    <w:top w:val="nil"/>
                    <w:left w:val="nil"/>
                    <w:bottom w:val="single" w:color="auto" w:sz="4" w:space="0"/>
                    <w:right w:val="single" w:color="auto" w:sz="4" w:space="0"/>
                  </w:tcBorders>
                  <w:noWrap/>
                  <w:vAlign w:val="center"/>
                </w:tcPr>
                <w:p>
                  <w:pPr>
                    <w:widowControl/>
                    <w:jc w:val="center"/>
                    <w:rPr>
                      <w:color w:val="auto"/>
                      <w:kern w:val="0"/>
                      <w:szCs w:val="21"/>
                    </w:rPr>
                  </w:pPr>
                  <w:r>
                    <w:rPr>
                      <w:rFonts w:hint="eastAsia"/>
                      <w:color w:val="auto"/>
                      <w:kern w:val="0"/>
                      <w:szCs w:val="21"/>
                    </w:rPr>
                    <w:t>1.2</w:t>
                  </w:r>
                </w:p>
              </w:tc>
              <w:tc>
                <w:tcPr>
                  <w:tcW w:w="2121" w:type="pct"/>
                  <w:tcBorders>
                    <w:top w:val="nil"/>
                    <w:left w:val="single" w:color="auto" w:sz="4" w:space="0"/>
                    <w:bottom w:val="single" w:color="auto" w:sz="4" w:space="0"/>
                    <w:right w:val="single" w:color="auto" w:sz="4" w:space="0"/>
                  </w:tcBorders>
                  <w:noWrap/>
                  <w:vAlign w:val="center"/>
                </w:tcPr>
                <w:p>
                  <w:pPr>
                    <w:widowControl/>
                    <w:jc w:val="center"/>
                    <w:rPr>
                      <w:color w:val="auto"/>
                      <w:kern w:val="0"/>
                      <w:szCs w:val="21"/>
                    </w:rPr>
                  </w:pPr>
                  <w:r>
                    <w:rPr>
                      <w:rFonts w:hint="eastAsia"/>
                      <w:color w:val="auto"/>
                      <w:kern w:val="0"/>
                      <w:szCs w:val="21"/>
                    </w:rPr>
                    <w:t>2</w:t>
                  </w:r>
                </w:p>
              </w:tc>
              <w:tc>
                <w:tcPr>
                  <w:tcW w:w="711" w:type="pct"/>
                  <w:tcBorders>
                    <w:top w:val="nil"/>
                    <w:left w:val="single" w:color="auto" w:sz="4" w:space="0"/>
                    <w:bottom w:val="single" w:color="auto" w:sz="4" w:space="0"/>
                    <w:right w:val="single" w:color="auto" w:sz="4" w:space="0"/>
                  </w:tcBorders>
                  <w:noWrap/>
                  <w:vAlign w:val="center"/>
                </w:tcPr>
                <w:p>
                  <w:pPr>
                    <w:widowControl/>
                    <w:jc w:val="center"/>
                    <w:rPr>
                      <w:color w:val="auto"/>
                      <w:kern w:val="0"/>
                      <w:szCs w:val="21"/>
                    </w:rPr>
                  </w:pPr>
                  <w:r>
                    <w:rPr>
                      <w:color w:val="auto"/>
                      <w:kern w:val="0"/>
                      <w:szCs w:val="21"/>
                    </w:rPr>
                    <w:t>3.2</w:t>
                  </w:r>
                </w:p>
              </w:tc>
            </w:tr>
            <w:tr>
              <w:tblPrEx>
                <w:tblCellMar>
                  <w:top w:w="0" w:type="dxa"/>
                  <w:left w:w="108" w:type="dxa"/>
                  <w:bottom w:w="0" w:type="dxa"/>
                  <w:right w:w="108" w:type="dxa"/>
                </w:tblCellMar>
              </w:tblPrEx>
              <w:trPr>
                <w:trHeight w:val="369" w:hRule="atLeast"/>
              </w:trPr>
              <w:tc>
                <w:tcPr>
                  <w:tcW w:w="110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Cs w:val="21"/>
                    </w:rPr>
                  </w:pPr>
                  <w:r>
                    <w:rPr>
                      <w:color w:val="auto"/>
                      <w:kern w:val="0"/>
                      <w:szCs w:val="21"/>
                    </w:rPr>
                    <w:t>合计</w:t>
                  </w:r>
                </w:p>
              </w:tc>
              <w:tc>
                <w:tcPr>
                  <w:tcW w:w="1067" w:type="pct"/>
                  <w:tcBorders>
                    <w:top w:val="single" w:color="auto" w:sz="4" w:space="0"/>
                    <w:left w:val="nil"/>
                    <w:bottom w:val="single" w:color="auto" w:sz="4" w:space="0"/>
                    <w:right w:val="single" w:color="auto" w:sz="4" w:space="0"/>
                  </w:tcBorders>
                  <w:noWrap/>
                  <w:vAlign w:val="center"/>
                </w:tcPr>
                <w:p>
                  <w:pPr>
                    <w:widowControl/>
                    <w:jc w:val="center"/>
                    <w:rPr>
                      <w:color w:val="auto"/>
                      <w:kern w:val="0"/>
                      <w:szCs w:val="21"/>
                    </w:rPr>
                  </w:pPr>
                  <w:r>
                    <w:rPr>
                      <w:rFonts w:hint="eastAsia"/>
                      <w:color w:val="auto"/>
                      <w:kern w:val="0"/>
                      <w:szCs w:val="21"/>
                    </w:rPr>
                    <w:t>4</w:t>
                  </w:r>
                </w:p>
              </w:tc>
              <w:tc>
                <w:tcPr>
                  <w:tcW w:w="212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Cs w:val="21"/>
                    </w:rPr>
                  </w:pPr>
                  <w:r>
                    <w:rPr>
                      <w:rFonts w:hint="eastAsia"/>
                      <w:color w:val="auto"/>
                      <w:kern w:val="0"/>
                      <w:szCs w:val="21"/>
                    </w:rPr>
                    <w:t>6</w:t>
                  </w:r>
                </w:p>
              </w:tc>
              <w:tc>
                <w:tcPr>
                  <w:tcW w:w="711"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Cs w:val="21"/>
                    </w:rPr>
                  </w:pPr>
                  <w:r>
                    <w:rPr>
                      <w:color w:val="auto"/>
                      <w:kern w:val="0"/>
                      <w:szCs w:val="21"/>
                    </w:rPr>
                    <w:t>10</w:t>
                  </w:r>
                </w:p>
              </w:tc>
            </w:tr>
          </w:tbl>
          <w:p>
            <w:pPr>
              <w:pStyle w:val="47"/>
              <w:adjustRightInd w:val="0"/>
              <w:snapToGrid w:val="0"/>
              <w:spacing w:line="240" w:lineRule="auto"/>
              <w:ind w:firstLine="0"/>
              <w:outlineLvl w:val="2"/>
              <w:rPr>
                <w:b/>
                <w:color w:val="auto"/>
                <w:sz w:val="21"/>
                <w:szCs w:val="21"/>
              </w:rPr>
            </w:pPr>
          </w:p>
          <w:p>
            <w:pPr>
              <w:pStyle w:val="47"/>
              <w:adjustRightInd w:val="0"/>
              <w:snapToGrid w:val="0"/>
              <w:ind w:firstLine="0"/>
              <w:outlineLvl w:val="2"/>
              <w:rPr>
                <w:b/>
                <w:color w:val="auto"/>
                <w:szCs w:val="24"/>
              </w:rPr>
            </w:pPr>
            <w:r>
              <w:rPr>
                <w:rFonts w:hint="eastAsia"/>
                <w:b/>
                <w:color w:val="auto"/>
                <w:szCs w:val="24"/>
              </w:rPr>
              <w:t>2.4主要生产设备及参数</w:t>
            </w:r>
          </w:p>
          <w:p>
            <w:pPr>
              <w:pStyle w:val="47"/>
              <w:adjustRightInd w:val="0"/>
              <w:snapToGrid w:val="0"/>
              <w:ind w:firstLine="480" w:firstLineChars="200"/>
              <w:outlineLvl w:val="2"/>
              <w:rPr>
                <w:color w:val="auto"/>
                <w:szCs w:val="24"/>
              </w:rPr>
            </w:pPr>
            <w:r>
              <w:rPr>
                <w:rFonts w:hint="eastAsia"/>
                <w:color w:val="auto"/>
                <w:szCs w:val="24"/>
              </w:rPr>
              <w:t>改扩建项目新增设备情况如下所示：</w:t>
            </w:r>
          </w:p>
          <w:p>
            <w:pPr>
              <w:adjustRightInd w:val="0"/>
              <w:snapToGrid w:val="0"/>
              <w:ind w:firstLine="198"/>
              <w:jc w:val="center"/>
              <w:rPr>
                <w:b/>
                <w:color w:val="auto"/>
                <w:szCs w:val="21"/>
              </w:rPr>
            </w:pPr>
            <w:r>
              <w:rPr>
                <w:rFonts w:hint="eastAsia"/>
                <w:b/>
                <w:color w:val="auto"/>
                <w:szCs w:val="21"/>
              </w:rPr>
              <w:t>表2-3  改扩建后全厂设备表</w:t>
            </w:r>
          </w:p>
          <w:tbl>
            <w:tblPr>
              <w:tblStyle w:val="22"/>
              <w:tblW w:w="8385" w:type="dxa"/>
              <w:tblInd w:w="0" w:type="dxa"/>
              <w:tblLayout w:type="autofit"/>
              <w:tblCellMar>
                <w:top w:w="0" w:type="dxa"/>
                <w:left w:w="108" w:type="dxa"/>
                <w:bottom w:w="0" w:type="dxa"/>
                <w:right w:w="108" w:type="dxa"/>
              </w:tblCellMar>
            </w:tblPr>
            <w:tblGrid>
              <w:gridCol w:w="636"/>
              <w:gridCol w:w="1354"/>
              <w:gridCol w:w="1269"/>
              <w:gridCol w:w="1621"/>
              <w:gridCol w:w="1057"/>
              <w:gridCol w:w="636"/>
              <w:gridCol w:w="1118"/>
              <w:gridCol w:w="694"/>
            </w:tblGrid>
            <w:tr>
              <w:tblPrEx>
                <w:tblCellMar>
                  <w:top w:w="0" w:type="dxa"/>
                  <w:left w:w="108" w:type="dxa"/>
                  <w:bottom w:w="0" w:type="dxa"/>
                  <w:right w:w="108" w:type="dxa"/>
                </w:tblCellMar>
              </w:tblPrEx>
              <w:trPr>
                <w:trHeight w:val="284" w:hRule="atLeast"/>
              </w:trPr>
              <w:tc>
                <w:tcPr>
                  <w:tcW w:w="379"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kern w:val="0"/>
                      <w:szCs w:val="21"/>
                      <w:lang w:bidi="ar"/>
                    </w:rPr>
                    <w:t>序号</w:t>
                  </w:r>
                </w:p>
              </w:tc>
              <w:tc>
                <w:tcPr>
                  <w:tcW w:w="807"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color w:val="auto"/>
                      <w:kern w:val="0"/>
                      <w:szCs w:val="21"/>
                      <w:lang w:bidi="ar"/>
                    </w:rPr>
                  </w:pPr>
                  <w:r>
                    <w:rPr>
                      <w:rFonts w:hint="eastAsia"/>
                      <w:color w:val="auto"/>
                      <w:kern w:val="0"/>
                      <w:szCs w:val="21"/>
                      <w:lang w:bidi="ar"/>
                    </w:rPr>
                    <w:t>生产单元</w:t>
                  </w:r>
                </w:p>
              </w:tc>
              <w:tc>
                <w:tcPr>
                  <w:tcW w:w="75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kern w:val="0"/>
                      <w:szCs w:val="21"/>
                      <w:lang w:bidi="ar"/>
                    </w:rPr>
                    <w:t>设备名称</w:t>
                  </w:r>
                </w:p>
              </w:tc>
              <w:tc>
                <w:tcPr>
                  <w:tcW w:w="966" w:type="pct"/>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color w:val="auto"/>
                      <w:kern w:val="0"/>
                      <w:szCs w:val="21"/>
                      <w:lang w:bidi="ar"/>
                    </w:rPr>
                  </w:pPr>
                  <w:r>
                    <w:rPr>
                      <w:rFonts w:hint="eastAsia"/>
                      <w:color w:val="auto"/>
                      <w:kern w:val="0"/>
                      <w:szCs w:val="21"/>
                      <w:lang w:bidi="ar"/>
                    </w:rPr>
                    <w:t>参数</w:t>
                  </w:r>
                </w:p>
              </w:tc>
              <w:tc>
                <w:tcPr>
                  <w:tcW w:w="630"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color w:val="auto"/>
                      <w:kern w:val="0"/>
                      <w:szCs w:val="21"/>
                      <w:lang w:bidi="ar"/>
                    </w:rPr>
                  </w:pPr>
                  <w:r>
                    <w:rPr>
                      <w:rFonts w:hint="eastAsia"/>
                      <w:color w:val="auto"/>
                      <w:kern w:val="0"/>
                      <w:szCs w:val="21"/>
                      <w:lang w:bidi="ar"/>
                    </w:rPr>
                    <w:t>主要工艺</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Cs w:val="21"/>
                    </w:rPr>
                  </w:pPr>
                  <w:r>
                    <w:rPr>
                      <w:color w:val="auto"/>
                      <w:kern w:val="0"/>
                      <w:szCs w:val="21"/>
                      <w:lang w:bidi="ar"/>
                    </w:rPr>
                    <w:t>数量</w:t>
                  </w:r>
                </w:p>
              </w:tc>
              <w:tc>
                <w:tcPr>
                  <w:tcW w:w="66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kern w:val="0"/>
                      <w:szCs w:val="21"/>
                      <w:lang w:bidi="ar"/>
                    </w:rPr>
                  </w:pPr>
                  <w:r>
                    <w:rPr>
                      <w:color w:val="auto"/>
                      <w:kern w:val="0"/>
                      <w:szCs w:val="21"/>
                      <w:lang w:bidi="ar"/>
                    </w:rPr>
                    <w:t>功率</w:t>
                  </w:r>
                </w:p>
                <w:p>
                  <w:pPr>
                    <w:widowControl/>
                    <w:jc w:val="center"/>
                    <w:textAlignment w:val="center"/>
                    <w:rPr>
                      <w:color w:val="auto"/>
                      <w:kern w:val="0"/>
                      <w:szCs w:val="21"/>
                      <w:lang w:bidi="ar"/>
                    </w:rPr>
                  </w:pPr>
                  <w:r>
                    <w:rPr>
                      <w:color w:val="auto"/>
                      <w:kern w:val="0"/>
                      <w:szCs w:val="21"/>
                      <w:lang w:bidi="ar"/>
                    </w:rPr>
                    <w:t>（kW·h）</w:t>
                  </w:r>
                </w:p>
              </w:tc>
              <w:tc>
                <w:tcPr>
                  <w:tcW w:w="413"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auto"/>
                      <w:kern w:val="0"/>
                      <w:szCs w:val="21"/>
                      <w:lang w:bidi="ar"/>
                    </w:rPr>
                  </w:pPr>
                  <w:r>
                    <w:rPr>
                      <w:color w:val="auto"/>
                      <w:kern w:val="0"/>
                      <w:szCs w:val="21"/>
                      <w:lang w:bidi="ar"/>
                    </w:rPr>
                    <w:t>备注</w:t>
                  </w:r>
                </w:p>
              </w:tc>
            </w:tr>
            <w:tr>
              <w:tblPrEx>
                <w:tblCellMar>
                  <w:top w:w="0" w:type="dxa"/>
                  <w:left w:w="108" w:type="dxa"/>
                  <w:bottom w:w="0" w:type="dxa"/>
                  <w:right w:w="108" w:type="dxa"/>
                </w:tblCellMar>
              </w:tblPrEx>
              <w:trPr>
                <w:trHeight w:val="284" w:hRule="atLeast"/>
              </w:trPr>
              <w:tc>
                <w:tcPr>
                  <w:tcW w:w="379"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1</w:t>
                  </w:r>
                </w:p>
              </w:tc>
              <w:tc>
                <w:tcPr>
                  <w:tcW w:w="807" w:type="pct"/>
                  <w:vMerge w:val="restart"/>
                  <w:tcBorders>
                    <w:top w:val="single" w:color="000000" w:sz="4" w:space="0"/>
                    <w:left w:val="single" w:color="auto" w:sz="4" w:space="0"/>
                    <w:right w:val="single" w:color="000000" w:sz="4" w:space="0"/>
                  </w:tcBorders>
                  <w:noWrap/>
                  <w:vAlign w:val="center"/>
                </w:tcPr>
                <w:p>
                  <w:pPr>
                    <w:widowControl/>
                    <w:jc w:val="center"/>
                    <w:textAlignment w:val="center"/>
                    <w:rPr>
                      <w:color w:val="auto"/>
                      <w:szCs w:val="21"/>
                    </w:rPr>
                  </w:pPr>
                  <w:r>
                    <w:rPr>
                      <w:rFonts w:hint="eastAsia"/>
                      <w:color w:val="auto"/>
                      <w:szCs w:val="21"/>
                    </w:rPr>
                    <w:t>1#烧成车间</w:t>
                  </w:r>
                </w:p>
              </w:tc>
              <w:tc>
                <w:tcPr>
                  <w:tcW w:w="75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高温隧道窑</w:t>
                  </w:r>
                </w:p>
              </w:tc>
              <w:tc>
                <w:tcPr>
                  <w:tcW w:w="966" w:type="pct"/>
                  <w:tcBorders>
                    <w:top w:val="single" w:color="000000" w:sz="4" w:space="0"/>
                    <w:left w:val="single" w:color="auto" w:sz="4" w:space="0"/>
                    <w:bottom w:val="single" w:color="auto" w:sz="4" w:space="0"/>
                    <w:right w:val="single" w:color="auto" w:sz="4" w:space="0"/>
                  </w:tcBorders>
                  <w:noWrap/>
                  <w:vAlign w:val="center"/>
                </w:tcPr>
                <w:p>
                  <w:pPr>
                    <w:widowControl/>
                    <w:jc w:val="center"/>
                    <w:textAlignment w:val="center"/>
                    <w:rPr>
                      <w:color w:val="auto"/>
                      <w:szCs w:val="21"/>
                    </w:rPr>
                  </w:pPr>
                  <w:r>
                    <w:rPr>
                      <w:rFonts w:hint="eastAsia"/>
                      <w:color w:val="auto"/>
                      <w:szCs w:val="21"/>
                    </w:rPr>
                    <w:t>80m</w:t>
                  </w:r>
                  <w:r>
                    <w:rPr>
                      <w:color w:val="auto"/>
                      <w:szCs w:val="21"/>
                    </w:rPr>
                    <w:t>×</w:t>
                  </w:r>
                  <w:r>
                    <w:rPr>
                      <w:rFonts w:hint="eastAsia"/>
                      <w:color w:val="auto"/>
                      <w:szCs w:val="21"/>
                    </w:rPr>
                    <w:t>2.5m</w:t>
                  </w:r>
                  <w:r>
                    <w:rPr>
                      <w:color w:val="auto"/>
                      <w:szCs w:val="21"/>
                    </w:rPr>
                    <w:t>×</w:t>
                  </w:r>
                  <w:r>
                    <w:rPr>
                      <w:rFonts w:hint="eastAsia"/>
                      <w:color w:val="auto"/>
                      <w:szCs w:val="21"/>
                    </w:rPr>
                    <w:t>3m</w:t>
                  </w:r>
                </w:p>
              </w:tc>
              <w:tc>
                <w:tcPr>
                  <w:tcW w:w="630" w:type="pct"/>
                  <w:vMerge w:val="restart"/>
                  <w:tcBorders>
                    <w:top w:val="single" w:color="000000" w:sz="4" w:space="0"/>
                    <w:left w:val="single" w:color="auto" w:sz="4" w:space="0"/>
                    <w:right w:val="single" w:color="000000" w:sz="4" w:space="0"/>
                  </w:tcBorders>
                  <w:noWrap/>
                  <w:vAlign w:val="center"/>
                </w:tcPr>
                <w:p>
                  <w:pPr>
                    <w:widowControl/>
                    <w:jc w:val="center"/>
                    <w:textAlignment w:val="center"/>
                    <w:rPr>
                      <w:color w:val="auto"/>
                      <w:szCs w:val="21"/>
                    </w:rPr>
                  </w:pPr>
                  <w:r>
                    <w:rPr>
                      <w:rFonts w:hint="eastAsia"/>
                      <w:color w:val="auto"/>
                      <w:szCs w:val="21"/>
                    </w:rPr>
                    <w:t>焙烧</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Cs w:val="21"/>
                    </w:rPr>
                  </w:pPr>
                  <w:r>
                    <w:rPr>
                      <w:color w:val="auto"/>
                      <w:szCs w:val="21"/>
                    </w:rPr>
                    <w:t>1条</w:t>
                  </w:r>
                </w:p>
              </w:tc>
              <w:tc>
                <w:tcPr>
                  <w:tcW w:w="66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w:t>
                  </w:r>
                </w:p>
              </w:tc>
              <w:tc>
                <w:tcPr>
                  <w:tcW w:w="413"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auto"/>
                      <w:szCs w:val="21"/>
                    </w:rPr>
                  </w:pPr>
                  <w:r>
                    <w:rPr>
                      <w:color w:val="auto"/>
                      <w:szCs w:val="21"/>
                    </w:rPr>
                    <w:t>原有</w:t>
                  </w:r>
                </w:p>
              </w:tc>
            </w:tr>
            <w:tr>
              <w:tblPrEx>
                <w:tblCellMar>
                  <w:top w:w="0" w:type="dxa"/>
                  <w:left w:w="108" w:type="dxa"/>
                  <w:bottom w:w="0" w:type="dxa"/>
                  <w:right w:w="108" w:type="dxa"/>
                </w:tblCellMar>
              </w:tblPrEx>
              <w:trPr>
                <w:trHeight w:val="284" w:hRule="atLeast"/>
              </w:trPr>
              <w:tc>
                <w:tcPr>
                  <w:tcW w:w="379"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2</w:t>
                  </w:r>
                </w:p>
              </w:tc>
              <w:tc>
                <w:tcPr>
                  <w:tcW w:w="807" w:type="pct"/>
                  <w:vMerge w:val="continue"/>
                  <w:tcBorders>
                    <w:left w:val="single" w:color="auto" w:sz="4" w:space="0"/>
                    <w:right w:val="single" w:color="000000" w:sz="4" w:space="0"/>
                  </w:tcBorders>
                  <w:noWrap/>
                  <w:vAlign w:val="center"/>
                </w:tcPr>
                <w:p>
                  <w:pPr>
                    <w:widowControl/>
                    <w:jc w:val="center"/>
                    <w:textAlignment w:val="center"/>
                    <w:rPr>
                      <w:color w:val="auto"/>
                      <w:szCs w:val="21"/>
                    </w:rPr>
                  </w:pPr>
                </w:p>
              </w:tc>
              <w:tc>
                <w:tcPr>
                  <w:tcW w:w="75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推板窑</w:t>
                  </w:r>
                </w:p>
              </w:tc>
              <w:tc>
                <w:tcPr>
                  <w:tcW w:w="9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auto"/>
                      <w:szCs w:val="21"/>
                    </w:rPr>
                  </w:pPr>
                  <w:r>
                    <w:rPr>
                      <w:rFonts w:hint="eastAsia"/>
                      <w:color w:val="auto"/>
                      <w:szCs w:val="21"/>
                    </w:rPr>
                    <w:t>36m</w:t>
                  </w:r>
                  <w:r>
                    <w:rPr>
                      <w:color w:val="auto"/>
                      <w:szCs w:val="21"/>
                    </w:rPr>
                    <w:t>×</w:t>
                  </w:r>
                  <w:r>
                    <w:rPr>
                      <w:rFonts w:hint="eastAsia"/>
                      <w:color w:val="auto"/>
                      <w:szCs w:val="21"/>
                    </w:rPr>
                    <w:t>2.5m</w:t>
                  </w:r>
                  <w:r>
                    <w:rPr>
                      <w:color w:val="auto"/>
                      <w:szCs w:val="21"/>
                    </w:rPr>
                    <w:t>×</w:t>
                  </w:r>
                  <w:r>
                    <w:rPr>
                      <w:rFonts w:hint="eastAsia"/>
                      <w:color w:val="auto"/>
                      <w:szCs w:val="21"/>
                    </w:rPr>
                    <w:t>3m</w:t>
                  </w:r>
                </w:p>
              </w:tc>
              <w:tc>
                <w:tcPr>
                  <w:tcW w:w="630" w:type="pct"/>
                  <w:vMerge w:val="continue"/>
                  <w:tcBorders>
                    <w:left w:val="single" w:color="auto" w:sz="4" w:space="0"/>
                    <w:bottom w:val="single" w:color="000000" w:sz="4" w:space="0"/>
                    <w:right w:val="single" w:color="000000" w:sz="4" w:space="0"/>
                  </w:tcBorders>
                  <w:noWrap/>
                  <w:vAlign w:val="center"/>
                </w:tcPr>
                <w:p>
                  <w:pPr>
                    <w:widowControl/>
                    <w:jc w:val="center"/>
                    <w:textAlignment w:val="center"/>
                    <w:rPr>
                      <w:color w:val="auto"/>
                      <w:szCs w:val="21"/>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Cs w:val="21"/>
                    </w:rPr>
                  </w:pPr>
                  <w:r>
                    <w:rPr>
                      <w:color w:val="auto"/>
                      <w:szCs w:val="21"/>
                    </w:rPr>
                    <w:t>2条</w:t>
                  </w:r>
                </w:p>
              </w:tc>
              <w:tc>
                <w:tcPr>
                  <w:tcW w:w="66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w:t>
                  </w:r>
                </w:p>
              </w:tc>
              <w:tc>
                <w:tcPr>
                  <w:tcW w:w="413"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auto"/>
                      <w:szCs w:val="21"/>
                    </w:rPr>
                  </w:pPr>
                  <w:r>
                    <w:rPr>
                      <w:color w:val="auto"/>
                      <w:szCs w:val="21"/>
                    </w:rPr>
                    <w:t>新增</w:t>
                  </w:r>
                </w:p>
              </w:tc>
            </w:tr>
            <w:tr>
              <w:tblPrEx>
                <w:tblCellMar>
                  <w:top w:w="0" w:type="dxa"/>
                  <w:left w:w="108" w:type="dxa"/>
                  <w:bottom w:w="0" w:type="dxa"/>
                  <w:right w:w="108" w:type="dxa"/>
                </w:tblCellMar>
              </w:tblPrEx>
              <w:trPr>
                <w:trHeight w:val="284" w:hRule="atLeast"/>
              </w:trPr>
              <w:tc>
                <w:tcPr>
                  <w:tcW w:w="379"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3</w:t>
                  </w:r>
                </w:p>
              </w:tc>
              <w:tc>
                <w:tcPr>
                  <w:tcW w:w="807" w:type="pct"/>
                  <w:vMerge w:val="continue"/>
                  <w:tcBorders>
                    <w:left w:val="single" w:color="auto" w:sz="4" w:space="0"/>
                    <w:bottom w:val="single" w:color="000000" w:sz="4" w:space="0"/>
                    <w:right w:val="single" w:color="000000" w:sz="4" w:space="0"/>
                  </w:tcBorders>
                  <w:noWrap/>
                  <w:vAlign w:val="center"/>
                </w:tcPr>
                <w:p>
                  <w:pPr>
                    <w:widowControl/>
                    <w:jc w:val="center"/>
                    <w:textAlignment w:val="center"/>
                    <w:rPr>
                      <w:color w:val="auto"/>
                      <w:szCs w:val="21"/>
                    </w:rPr>
                  </w:pPr>
                </w:p>
              </w:tc>
              <w:tc>
                <w:tcPr>
                  <w:tcW w:w="75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烘干窑</w:t>
                  </w:r>
                </w:p>
              </w:tc>
              <w:tc>
                <w:tcPr>
                  <w:tcW w:w="9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auto"/>
                      <w:szCs w:val="21"/>
                    </w:rPr>
                  </w:pPr>
                  <w:r>
                    <w:rPr>
                      <w:rFonts w:hint="eastAsia"/>
                      <w:color w:val="auto"/>
                      <w:szCs w:val="21"/>
                    </w:rPr>
                    <w:t>50m</w:t>
                  </w:r>
                  <w:r>
                    <w:rPr>
                      <w:color w:val="auto"/>
                      <w:szCs w:val="21"/>
                    </w:rPr>
                    <w:t>×</w:t>
                  </w:r>
                  <w:r>
                    <w:rPr>
                      <w:rFonts w:hint="eastAsia"/>
                      <w:color w:val="auto"/>
                      <w:szCs w:val="21"/>
                    </w:rPr>
                    <w:t>2.5m</w:t>
                  </w:r>
                  <w:r>
                    <w:rPr>
                      <w:color w:val="auto"/>
                      <w:szCs w:val="21"/>
                    </w:rPr>
                    <w:t>×</w:t>
                  </w:r>
                  <w:r>
                    <w:rPr>
                      <w:rFonts w:hint="eastAsia"/>
                      <w:color w:val="auto"/>
                      <w:szCs w:val="21"/>
                    </w:rPr>
                    <w:t>3m</w:t>
                  </w:r>
                </w:p>
              </w:tc>
              <w:tc>
                <w:tcPr>
                  <w:tcW w:w="630" w:type="pct"/>
                  <w:tcBorders>
                    <w:left w:val="single" w:color="auto" w:sz="4" w:space="0"/>
                    <w:bottom w:val="single" w:color="000000" w:sz="4" w:space="0"/>
                    <w:right w:val="single" w:color="000000" w:sz="4" w:space="0"/>
                  </w:tcBorders>
                  <w:noWrap/>
                  <w:vAlign w:val="center"/>
                </w:tcPr>
                <w:p>
                  <w:pPr>
                    <w:widowControl/>
                    <w:jc w:val="center"/>
                    <w:textAlignment w:val="center"/>
                    <w:rPr>
                      <w:color w:val="auto"/>
                      <w:szCs w:val="21"/>
                    </w:rPr>
                  </w:pPr>
                  <w:r>
                    <w:rPr>
                      <w:color w:val="auto"/>
                      <w:szCs w:val="21"/>
                    </w:rPr>
                    <w:t>干燥</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Cs w:val="21"/>
                    </w:rPr>
                  </w:pPr>
                  <w:r>
                    <w:rPr>
                      <w:color w:val="auto"/>
                      <w:szCs w:val="21"/>
                    </w:rPr>
                    <w:t>1条</w:t>
                  </w:r>
                </w:p>
              </w:tc>
              <w:tc>
                <w:tcPr>
                  <w:tcW w:w="66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w:t>
                  </w:r>
                </w:p>
              </w:tc>
              <w:tc>
                <w:tcPr>
                  <w:tcW w:w="413"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auto"/>
                      <w:szCs w:val="21"/>
                    </w:rPr>
                  </w:pPr>
                  <w:r>
                    <w:rPr>
                      <w:rFonts w:hint="eastAsia"/>
                      <w:color w:val="auto"/>
                      <w:szCs w:val="21"/>
                    </w:rPr>
                    <w:t>原有</w:t>
                  </w:r>
                </w:p>
              </w:tc>
            </w:tr>
            <w:tr>
              <w:tblPrEx>
                <w:tblCellMar>
                  <w:top w:w="0" w:type="dxa"/>
                  <w:left w:w="108" w:type="dxa"/>
                  <w:bottom w:w="0" w:type="dxa"/>
                  <w:right w:w="108" w:type="dxa"/>
                </w:tblCellMar>
              </w:tblPrEx>
              <w:trPr>
                <w:trHeight w:val="284" w:hRule="atLeast"/>
              </w:trPr>
              <w:tc>
                <w:tcPr>
                  <w:tcW w:w="379"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4</w:t>
                  </w:r>
                </w:p>
              </w:tc>
              <w:tc>
                <w:tcPr>
                  <w:tcW w:w="807" w:type="pct"/>
                  <w:tcBorders>
                    <w:left w:val="single" w:color="auto" w:sz="4" w:space="0"/>
                    <w:bottom w:val="single" w:color="000000" w:sz="4" w:space="0"/>
                    <w:right w:val="single" w:color="000000" w:sz="4" w:space="0"/>
                  </w:tcBorders>
                  <w:noWrap/>
                  <w:vAlign w:val="center"/>
                </w:tcPr>
                <w:p>
                  <w:pPr>
                    <w:widowControl/>
                    <w:jc w:val="center"/>
                    <w:textAlignment w:val="center"/>
                    <w:rPr>
                      <w:color w:val="auto"/>
                      <w:szCs w:val="21"/>
                    </w:rPr>
                  </w:pPr>
                  <w:r>
                    <w:rPr>
                      <w:rFonts w:hint="eastAsia"/>
                      <w:color w:val="auto"/>
                      <w:szCs w:val="21"/>
                    </w:rPr>
                    <w:t>2#烧成车间</w:t>
                  </w:r>
                </w:p>
              </w:tc>
              <w:tc>
                <w:tcPr>
                  <w:tcW w:w="75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高温隧道窑</w:t>
                  </w:r>
                </w:p>
              </w:tc>
              <w:tc>
                <w:tcPr>
                  <w:tcW w:w="9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auto"/>
                      <w:szCs w:val="21"/>
                    </w:rPr>
                  </w:pPr>
                  <w:r>
                    <w:rPr>
                      <w:rFonts w:hint="eastAsia"/>
                      <w:color w:val="auto"/>
                      <w:szCs w:val="21"/>
                    </w:rPr>
                    <w:t>116m</w:t>
                  </w:r>
                  <w:r>
                    <w:rPr>
                      <w:color w:val="auto"/>
                      <w:szCs w:val="21"/>
                    </w:rPr>
                    <w:t>×</w:t>
                  </w:r>
                  <w:r>
                    <w:rPr>
                      <w:rFonts w:hint="eastAsia"/>
                      <w:color w:val="auto"/>
                      <w:szCs w:val="21"/>
                    </w:rPr>
                    <w:t>2.5m</w:t>
                  </w:r>
                  <w:r>
                    <w:rPr>
                      <w:color w:val="auto"/>
                      <w:szCs w:val="21"/>
                    </w:rPr>
                    <w:t>×</w:t>
                  </w:r>
                  <w:r>
                    <w:rPr>
                      <w:rFonts w:hint="eastAsia"/>
                      <w:color w:val="auto"/>
                      <w:szCs w:val="21"/>
                    </w:rPr>
                    <w:t>3m</w:t>
                  </w:r>
                </w:p>
              </w:tc>
              <w:tc>
                <w:tcPr>
                  <w:tcW w:w="630" w:type="pct"/>
                  <w:tcBorders>
                    <w:left w:val="single" w:color="auto" w:sz="4" w:space="0"/>
                    <w:bottom w:val="single" w:color="000000" w:sz="4" w:space="0"/>
                    <w:right w:val="single" w:color="000000" w:sz="4" w:space="0"/>
                  </w:tcBorders>
                  <w:noWrap/>
                  <w:vAlign w:val="center"/>
                </w:tcPr>
                <w:p>
                  <w:pPr>
                    <w:widowControl/>
                    <w:jc w:val="center"/>
                    <w:textAlignment w:val="center"/>
                    <w:rPr>
                      <w:color w:val="auto"/>
                      <w:szCs w:val="21"/>
                    </w:rPr>
                  </w:pPr>
                  <w:r>
                    <w:rPr>
                      <w:rFonts w:hint="eastAsia"/>
                      <w:color w:val="auto"/>
                      <w:szCs w:val="21"/>
                    </w:rPr>
                    <w:t>焙烧</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Cs w:val="21"/>
                    </w:rPr>
                  </w:pPr>
                  <w:r>
                    <w:rPr>
                      <w:color w:val="auto"/>
                      <w:szCs w:val="21"/>
                    </w:rPr>
                    <w:t>1条</w:t>
                  </w:r>
                </w:p>
              </w:tc>
              <w:tc>
                <w:tcPr>
                  <w:tcW w:w="66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w:t>
                  </w:r>
                </w:p>
              </w:tc>
              <w:tc>
                <w:tcPr>
                  <w:tcW w:w="413"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auto"/>
                      <w:szCs w:val="21"/>
                    </w:rPr>
                  </w:pPr>
                  <w:r>
                    <w:rPr>
                      <w:color w:val="auto"/>
                      <w:szCs w:val="21"/>
                    </w:rPr>
                    <w:t>新增</w:t>
                  </w:r>
                </w:p>
              </w:tc>
            </w:tr>
            <w:tr>
              <w:tblPrEx>
                <w:tblCellMar>
                  <w:top w:w="0" w:type="dxa"/>
                  <w:left w:w="108" w:type="dxa"/>
                  <w:bottom w:w="0" w:type="dxa"/>
                  <w:right w:w="108" w:type="dxa"/>
                </w:tblCellMar>
              </w:tblPrEx>
              <w:trPr>
                <w:trHeight w:val="284" w:hRule="atLeast"/>
              </w:trPr>
              <w:tc>
                <w:tcPr>
                  <w:tcW w:w="379"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5</w:t>
                  </w:r>
                </w:p>
              </w:tc>
              <w:tc>
                <w:tcPr>
                  <w:tcW w:w="807" w:type="pct"/>
                  <w:vMerge w:val="restart"/>
                  <w:tcBorders>
                    <w:top w:val="single" w:color="000000" w:sz="4" w:space="0"/>
                    <w:left w:val="single" w:color="auto" w:sz="4" w:space="0"/>
                    <w:right w:val="single" w:color="000000" w:sz="4" w:space="0"/>
                  </w:tcBorders>
                  <w:noWrap/>
                  <w:vAlign w:val="center"/>
                </w:tcPr>
                <w:p>
                  <w:pPr>
                    <w:jc w:val="center"/>
                    <w:textAlignment w:val="center"/>
                    <w:rPr>
                      <w:color w:val="auto"/>
                      <w:szCs w:val="21"/>
                    </w:rPr>
                  </w:pPr>
                  <w:r>
                    <w:rPr>
                      <w:rFonts w:hint="eastAsia"/>
                      <w:color w:val="auto"/>
                      <w:szCs w:val="21"/>
                    </w:rPr>
                    <w:t>破碎车间</w:t>
                  </w:r>
                </w:p>
              </w:tc>
              <w:tc>
                <w:tcPr>
                  <w:tcW w:w="75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球磨机</w:t>
                  </w:r>
                </w:p>
              </w:tc>
              <w:tc>
                <w:tcPr>
                  <w:tcW w:w="9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auto"/>
                      <w:szCs w:val="21"/>
                    </w:rPr>
                  </w:pPr>
                  <w:r>
                    <w:rPr>
                      <w:rFonts w:hint="eastAsia"/>
                      <w:color w:val="auto"/>
                      <w:szCs w:val="21"/>
                    </w:rPr>
                    <w:t>φ1.5</w:t>
                  </w:r>
                </w:p>
              </w:tc>
              <w:tc>
                <w:tcPr>
                  <w:tcW w:w="630" w:type="pct"/>
                  <w:vMerge w:val="restart"/>
                  <w:tcBorders>
                    <w:top w:val="single" w:color="000000" w:sz="4" w:space="0"/>
                    <w:left w:val="single" w:color="auto" w:sz="4" w:space="0"/>
                    <w:right w:val="single" w:color="000000" w:sz="4" w:space="0"/>
                  </w:tcBorders>
                  <w:noWrap/>
                  <w:vAlign w:val="center"/>
                </w:tcPr>
                <w:p>
                  <w:pPr>
                    <w:widowControl/>
                    <w:jc w:val="center"/>
                    <w:textAlignment w:val="center"/>
                    <w:rPr>
                      <w:color w:val="auto"/>
                      <w:szCs w:val="21"/>
                    </w:rPr>
                  </w:pPr>
                  <w:r>
                    <w:rPr>
                      <w:rFonts w:hint="eastAsia"/>
                      <w:color w:val="auto"/>
                      <w:szCs w:val="21"/>
                    </w:rPr>
                    <w:t>破碎</w:t>
                  </w:r>
                </w:p>
                <w:p>
                  <w:pPr>
                    <w:widowControl/>
                    <w:jc w:val="center"/>
                    <w:textAlignment w:val="center"/>
                    <w:rPr>
                      <w:color w:val="auto"/>
                      <w:szCs w:val="21"/>
                    </w:rPr>
                  </w:pPr>
                  <w:r>
                    <w:rPr>
                      <w:rFonts w:hint="eastAsia"/>
                      <w:color w:val="auto"/>
                      <w:szCs w:val="21"/>
                    </w:rPr>
                    <w:t>研磨</w:t>
                  </w:r>
                </w:p>
                <w:p>
                  <w:pPr>
                    <w:jc w:val="center"/>
                    <w:textAlignment w:val="center"/>
                    <w:rPr>
                      <w:color w:val="auto"/>
                      <w:szCs w:val="21"/>
                    </w:rPr>
                  </w:pPr>
                  <w:r>
                    <w:rPr>
                      <w:rFonts w:hint="eastAsia"/>
                      <w:color w:val="auto"/>
                      <w:szCs w:val="21"/>
                    </w:rPr>
                    <w:t>筛分</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Cs w:val="21"/>
                    </w:rPr>
                  </w:pPr>
                  <w:r>
                    <w:rPr>
                      <w:rFonts w:hint="eastAsia"/>
                      <w:color w:val="auto"/>
                      <w:szCs w:val="21"/>
                    </w:rPr>
                    <w:t>1台</w:t>
                  </w:r>
                </w:p>
              </w:tc>
              <w:tc>
                <w:tcPr>
                  <w:tcW w:w="66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130</w:t>
                  </w:r>
                </w:p>
              </w:tc>
              <w:tc>
                <w:tcPr>
                  <w:tcW w:w="413"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auto"/>
                      <w:szCs w:val="21"/>
                    </w:rPr>
                  </w:pPr>
                  <w:r>
                    <w:rPr>
                      <w:rFonts w:hint="eastAsia"/>
                      <w:color w:val="auto"/>
                      <w:szCs w:val="21"/>
                    </w:rPr>
                    <w:t>原有</w:t>
                  </w:r>
                </w:p>
              </w:tc>
            </w:tr>
            <w:tr>
              <w:tblPrEx>
                <w:tblCellMar>
                  <w:top w:w="0" w:type="dxa"/>
                  <w:left w:w="108" w:type="dxa"/>
                  <w:bottom w:w="0" w:type="dxa"/>
                  <w:right w:w="108" w:type="dxa"/>
                </w:tblCellMar>
              </w:tblPrEx>
              <w:trPr>
                <w:trHeight w:val="284" w:hRule="atLeast"/>
              </w:trPr>
              <w:tc>
                <w:tcPr>
                  <w:tcW w:w="379"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6</w:t>
                  </w:r>
                </w:p>
              </w:tc>
              <w:tc>
                <w:tcPr>
                  <w:tcW w:w="807" w:type="pct"/>
                  <w:vMerge w:val="continue"/>
                  <w:tcBorders>
                    <w:left w:val="single" w:color="auto" w:sz="4" w:space="0"/>
                    <w:right w:val="single" w:color="000000" w:sz="4" w:space="0"/>
                  </w:tcBorders>
                  <w:noWrap/>
                  <w:vAlign w:val="center"/>
                </w:tcPr>
                <w:p>
                  <w:pPr>
                    <w:jc w:val="center"/>
                    <w:textAlignment w:val="center"/>
                    <w:rPr>
                      <w:color w:val="auto"/>
                      <w:szCs w:val="21"/>
                    </w:rPr>
                  </w:pPr>
                </w:p>
              </w:tc>
              <w:tc>
                <w:tcPr>
                  <w:tcW w:w="75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颚式破碎机</w:t>
                  </w:r>
                </w:p>
              </w:tc>
              <w:tc>
                <w:tcPr>
                  <w:tcW w:w="9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auto"/>
                      <w:szCs w:val="21"/>
                    </w:rPr>
                  </w:pPr>
                  <w:r>
                    <w:rPr>
                      <w:rFonts w:hint="eastAsia"/>
                      <w:color w:val="auto"/>
                      <w:szCs w:val="21"/>
                    </w:rPr>
                    <w:t>150-400</w:t>
                  </w:r>
                </w:p>
              </w:tc>
              <w:tc>
                <w:tcPr>
                  <w:tcW w:w="630" w:type="pct"/>
                  <w:vMerge w:val="continue"/>
                  <w:tcBorders>
                    <w:left w:val="single" w:color="auto" w:sz="4" w:space="0"/>
                    <w:right w:val="single" w:color="000000" w:sz="4" w:space="0"/>
                  </w:tcBorders>
                  <w:noWrap/>
                  <w:vAlign w:val="center"/>
                </w:tcPr>
                <w:p>
                  <w:pPr>
                    <w:jc w:val="center"/>
                    <w:textAlignment w:val="center"/>
                    <w:rPr>
                      <w:color w:val="auto"/>
                      <w:szCs w:val="21"/>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Cs w:val="21"/>
                    </w:rPr>
                  </w:pPr>
                  <w:r>
                    <w:rPr>
                      <w:rFonts w:hint="eastAsia"/>
                      <w:color w:val="auto"/>
                      <w:szCs w:val="21"/>
                    </w:rPr>
                    <w:t>5台</w:t>
                  </w:r>
                </w:p>
              </w:tc>
              <w:tc>
                <w:tcPr>
                  <w:tcW w:w="66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15</w:t>
                  </w:r>
                </w:p>
              </w:tc>
              <w:tc>
                <w:tcPr>
                  <w:tcW w:w="413"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auto"/>
                      <w:szCs w:val="21"/>
                    </w:rPr>
                  </w:pPr>
                  <w:r>
                    <w:rPr>
                      <w:color w:val="auto"/>
                      <w:szCs w:val="21"/>
                    </w:rPr>
                    <w:t>原有</w:t>
                  </w:r>
                </w:p>
              </w:tc>
            </w:tr>
            <w:tr>
              <w:tblPrEx>
                <w:tblCellMar>
                  <w:top w:w="0" w:type="dxa"/>
                  <w:left w:w="108" w:type="dxa"/>
                  <w:bottom w:w="0" w:type="dxa"/>
                  <w:right w:w="108" w:type="dxa"/>
                </w:tblCellMar>
              </w:tblPrEx>
              <w:trPr>
                <w:trHeight w:val="284" w:hRule="atLeast"/>
              </w:trPr>
              <w:tc>
                <w:tcPr>
                  <w:tcW w:w="379"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7</w:t>
                  </w:r>
                </w:p>
              </w:tc>
              <w:tc>
                <w:tcPr>
                  <w:tcW w:w="807" w:type="pct"/>
                  <w:vMerge w:val="continue"/>
                  <w:tcBorders>
                    <w:left w:val="single" w:color="auto" w:sz="4" w:space="0"/>
                    <w:right w:val="single" w:color="000000" w:sz="4" w:space="0"/>
                  </w:tcBorders>
                  <w:noWrap/>
                  <w:vAlign w:val="center"/>
                </w:tcPr>
                <w:p>
                  <w:pPr>
                    <w:jc w:val="center"/>
                    <w:textAlignment w:val="center"/>
                    <w:rPr>
                      <w:color w:val="auto"/>
                      <w:szCs w:val="21"/>
                    </w:rPr>
                  </w:pPr>
                </w:p>
              </w:tc>
              <w:tc>
                <w:tcPr>
                  <w:tcW w:w="75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高压粉磨机</w:t>
                  </w:r>
                </w:p>
              </w:tc>
              <w:tc>
                <w:tcPr>
                  <w:tcW w:w="9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auto"/>
                      <w:szCs w:val="21"/>
                    </w:rPr>
                  </w:pPr>
                  <w:r>
                    <w:rPr>
                      <w:rFonts w:hint="eastAsia"/>
                      <w:color w:val="auto"/>
                      <w:szCs w:val="21"/>
                    </w:rPr>
                    <w:t>9548</w:t>
                  </w:r>
                </w:p>
              </w:tc>
              <w:tc>
                <w:tcPr>
                  <w:tcW w:w="630" w:type="pct"/>
                  <w:vMerge w:val="continue"/>
                  <w:tcBorders>
                    <w:left w:val="single" w:color="auto" w:sz="4" w:space="0"/>
                    <w:right w:val="single" w:color="000000" w:sz="4" w:space="0"/>
                  </w:tcBorders>
                  <w:noWrap/>
                  <w:vAlign w:val="center"/>
                </w:tcPr>
                <w:p>
                  <w:pPr>
                    <w:jc w:val="center"/>
                    <w:textAlignment w:val="center"/>
                    <w:rPr>
                      <w:color w:val="auto"/>
                      <w:szCs w:val="21"/>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Cs w:val="21"/>
                    </w:rPr>
                  </w:pPr>
                  <w:r>
                    <w:rPr>
                      <w:rFonts w:hint="eastAsia"/>
                      <w:color w:val="auto"/>
                      <w:szCs w:val="21"/>
                    </w:rPr>
                    <w:t>1台</w:t>
                  </w:r>
                </w:p>
              </w:tc>
              <w:tc>
                <w:tcPr>
                  <w:tcW w:w="66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37</w:t>
                  </w:r>
                </w:p>
              </w:tc>
              <w:tc>
                <w:tcPr>
                  <w:tcW w:w="413"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auto"/>
                      <w:szCs w:val="21"/>
                    </w:rPr>
                  </w:pPr>
                  <w:r>
                    <w:rPr>
                      <w:color w:val="auto"/>
                      <w:szCs w:val="21"/>
                    </w:rPr>
                    <w:t>原有</w:t>
                  </w:r>
                </w:p>
              </w:tc>
            </w:tr>
            <w:tr>
              <w:tblPrEx>
                <w:tblCellMar>
                  <w:top w:w="0" w:type="dxa"/>
                  <w:left w:w="108" w:type="dxa"/>
                  <w:bottom w:w="0" w:type="dxa"/>
                  <w:right w:w="108" w:type="dxa"/>
                </w:tblCellMar>
              </w:tblPrEx>
              <w:trPr>
                <w:trHeight w:val="284" w:hRule="atLeast"/>
              </w:trPr>
              <w:tc>
                <w:tcPr>
                  <w:tcW w:w="379"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8</w:t>
                  </w:r>
                </w:p>
              </w:tc>
              <w:tc>
                <w:tcPr>
                  <w:tcW w:w="807" w:type="pct"/>
                  <w:vMerge w:val="continue"/>
                  <w:tcBorders>
                    <w:left w:val="single" w:color="auto" w:sz="4" w:space="0"/>
                    <w:right w:val="single" w:color="000000" w:sz="4" w:space="0"/>
                  </w:tcBorders>
                  <w:noWrap/>
                  <w:vAlign w:val="center"/>
                </w:tcPr>
                <w:p>
                  <w:pPr>
                    <w:jc w:val="center"/>
                    <w:textAlignment w:val="center"/>
                    <w:rPr>
                      <w:color w:val="auto"/>
                      <w:szCs w:val="21"/>
                    </w:rPr>
                  </w:pPr>
                </w:p>
              </w:tc>
              <w:tc>
                <w:tcPr>
                  <w:tcW w:w="75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高压粉磨机</w:t>
                  </w:r>
                </w:p>
              </w:tc>
              <w:tc>
                <w:tcPr>
                  <w:tcW w:w="9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auto"/>
                      <w:szCs w:val="21"/>
                    </w:rPr>
                  </w:pPr>
                  <w:r>
                    <w:rPr>
                      <w:rFonts w:hint="eastAsia"/>
                      <w:color w:val="auto"/>
                      <w:szCs w:val="21"/>
                    </w:rPr>
                    <w:t>9548</w:t>
                  </w:r>
                </w:p>
              </w:tc>
              <w:tc>
                <w:tcPr>
                  <w:tcW w:w="630" w:type="pct"/>
                  <w:vMerge w:val="continue"/>
                  <w:tcBorders>
                    <w:left w:val="single" w:color="auto" w:sz="4" w:space="0"/>
                    <w:right w:val="single" w:color="000000" w:sz="4" w:space="0"/>
                  </w:tcBorders>
                  <w:noWrap/>
                  <w:vAlign w:val="center"/>
                </w:tcPr>
                <w:p>
                  <w:pPr>
                    <w:jc w:val="center"/>
                    <w:textAlignment w:val="center"/>
                    <w:rPr>
                      <w:color w:val="auto"/>
                      <w:szCs w:val="21"/>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Cs w:val="21"/>
                    </w:rPr>
                  </w:pPr>
                  <w:r>
                    <w:rPr>
                      <w:rFonts w:hint="eastAsia"/>
                      <w:color w:val="auto"/>
                      <w:szCs w:val="21"/>
                    </w:rPr>
                    <w:t>1台</w:t>
                  </w:r>
                </w:p>
              </w:tc>
              <w:tc>
                <w:tcPr>
                  <w:tcW w:w="66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45</w:t>
                  </w:r>
                </w:p>
              </w:tc>
              <w:tc>
                <w:tcPr>
                  <w:tcW w:w="413"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auto"/>
                      <w:szCs w:val="21"/>
                    </w:rPr>
                  </w:pPr>
                  <w:r>
                    <w:rPr>
                      <w:color w:val="auto"/>
                      <w:szCs w:val="21"/>
                    </w:rPr>
                    <w:t>原有</w:t>
                  </w:r>
                </w:p>
              </w:tc>
            </w:tr>
            <w:tr>
              <w:tblPrEx>
                <w:tblCellMar>
                  <w:top w:w="0" w:type="dxa"/>
                  <w:left w:w="108" w:type="dxa"/>
                  <w:bottom w:w="0" w:type="dxa"/>
                  <w:right w:w="108" w:type="dxa"/>
                </w:tblCellMar>
              </w:tblPrEx>
              <w:trPr>
                <w:trHeight w:val="284" w:hRule="atLeast"/>
              </w:trPr>
              <w:tc>
                <w:tcPr>
                  <w:tcW w:w="379"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9</w:t>
                  </w:r>
                </w:p>
              </w:tc>
              <w:tc>
                <w:tcPr>
                  <w:tcW w:w="807" w:type="pct"/>
                  <w:vMerge w:val="continue"/>
                  <w:tcBorders>
                    <w:left w:val="single" w:color="auto" w:sz="4" w:space="0"/>
                    <w:right w:val="single" w:color="000000" w:sz="4" w:space="0"/>
                  </w:tcBorders>
                  <w:noWrap/>
                  <w:vAlign w:val="center"/>
                </w:tcPr>
                <w:p>
                  <w:pPr>
                    <w:jc w:val="center"/>
                    <w:textAlignment w:val="center"/>
                    <w:rPr>
                      <w:color w:val="auto"/>
                      <w:szCs w:val="21"/>
                    </w:rPr>
                  </w:pPr>
                </w:p>
              </w:tc>
              <w:tc>
                <w:tcPr>
                  <w:tcW w:w="75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双辊破碎机</w:t>
                  </w:r>
                </w:p>
              </w:tc>
              <w:tc>
                <w:tcPr>
                  <w:tcW w:w="9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auto"/>
                      <w:szCs w:val="21"/>
                    </w:rPr>
                  </w:pPr>
                  <w:r>
                    <w:rPr>
                      <w:rFonts w:hint="eastAsia"/>
                      <w:color w:val="auto"/>
                      <w:szCs w:val="21"/>
                    </w:rPr>
                    <w:t>2PC</w:t>
                  </w:r>
                </w:p>
              </w:tc>
              <w:tc>
                <w:tcPr>
                  <w:tcW w:w="630" w:type="pct"/>
                  <w:vMerge w:val="continue"/>
                  <w:tcBorders>
                    <w:left w:val="single" w:color="auto" w:sz="4" w:space="0"/>
                    <w:right w:val="single" w:color="000000" w:sz="4" w:space="0"/>
                  </w:tcBorders>
                  <w:noWrap/>
                  <w:vAlign w:val="center"/>
                </w:tcPr>
                <w:p>
                  <w:pPr>
                    <w:jc w:val="center"/>
                    <w:textAlignment w:val="center"/>
                    <w:rPr>
                      <w:color w:val="auto"/>
                      <w:szCs w:val="21"/>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Cs w:val="21"/>
                    </w:rPr>
                  </w:pPr>
                  <w:r>
                    <w:rPr>
                      <w:rFonts w:hint="eastAsia"/>
                      <w:color w:val="auto"/>
                      <w:szCs w:val="21"/>
                    </w:rPr>
                    <w:t>6台</w:t>
                  </w:r>
                </w:p>
              </w:tc>
              <w:tc>
                <w:tcPr>
                  <w:tcW w:w="66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15</w:t>
                  </w:r>
                </w:p>
              </w:tc>
              <w:tc>
                <w:tcPr>
                  <w:tcW w:w="413"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auto"/>
                      <w:szCs w:val="21"/>
                    </w:rPr>
                  </w:pPr>
                  <w:r>
                    <w:rPr>
                      <w:color w:val="auto"/>
                      <w:szCs w:val="21"/>
                    </w:rPr>
                    <w:t>原有</w:t>
                  </w:r>
                </w:p>
              </w:tc>
            </w:tr>
            <w:tr>
              <w:tblPrEx>
                <w:tblCellMar>
                  <w:top w:w="0" w:type="dxa"/>
                  <w:left w:w="108" w:type="dxa"/>
                  <w:bottom w:w="0" w:type="dxa"/>
                  <w:right w:w="108" w:type="dxa"/>
                </w:tblCellMar>
              </w:tblPrEx>
              <w:trPr>
                <w:trHeight w:val="284" w:hRule="atLeast"/>
              </w:trPr>
              <w:tc>
                <w:tcPr>
                  <w:tcW w:w="379"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10</w:t>
                  </w:r>
                </w:p>
              </w:tc>
              <w:tc>
                <w:tcPr>
                  <w:tcW w:w="807" w:type="pct"/>
                  <w:vMerge w:val="continue"/>
                  <w:tcBorders>
                    <w:left w:val="single" w:color="auto" w:sz="4" w:space="0"/>
                    <w:right w:val="single" w:color="000000" w:sz="4" w:space="0"/>
                  </w:tcBorders>
                  <w:noWrap/>
                  <w:vAlign w:val="center"/>
                </w:tcPr>
                <w:p>
                  <w:pPr>
                    <w:widowControl/>
                    <w:jc w:val="center"/>
                    <w:textAlignment w:val="center"/>
                    <w:rPr>
                      <w:color w:val="auto"/>
                      <w:szCs w:val="21"/>
                    </w:rPr>
                  </w:pPr>
                </w:p>
              </w:tc>
              <w:tc>
                <w:tcPr>
                  <w:tcW w:w="75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提升机</w:t>
                  </w:r>
                </w:p>
              </w:tc>
              <w:tc>
                <w:tcPr>
                  <w:tcW w:w="9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auto"/>
                      <w:szCs w:val="21"/>
                    </w:rPr>
                  </w:pPr>
                  <w:r>
                    <w:rPr>
                      <w:rFonts w:hint="eastAsia"/>
                      <w:color w:val="auto"/>
                      <w:szCs w:val="21"/>
                    </w:rPr>
                    <w:t>LS159</w:t>
                  </w:r>
                </w:p>
              </w:tc>
              <w:tc>
                <w:tcPr>
                  <w:tcW w:w="630" w:type="pct"/>
                  <w:vMerge w:val="continue"/>
                  <w:tcBorders>
                    <w:left w:val="single" w:color="auto" w:sz="4" w:space="0"/>
                    <w:right w:val="single" w:color="000000" w:sz="4" w:space="0"/>
                  </w:tcBorders>
                  <w:noWrap/>
                  <w:vAlign w:val="center"/>
                </w:tcPr>
                <w:p>
                  <w:pPr>
                    <w:widowControl/>
                    <w:jc w:val="center"/>
                    <w:textAlignment w:val="center"/>
                    <w:rPr>
                      <w:color w:val="auto"/>
                      <w:szCs w:val="21"/>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Cs w:val="21"/>
                    </w:rPr>
                  </w:pPr>
                  <w:r>
                    <w:rPr>
                      <w:color w:val="auto"/>
                      <w:szCs w:val="21"/>
                    </w:rPr>
                    <w:t>6台</w:t>
                  </w:r>
                </w:p>
              </w:tc>
              <w:tc>
                <w:tcPr>
                  <w:tcW w:w="66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15</w:t>
                  </w:r>
                </w:p>
              </w:tc>
              <w:tc>
                <w:tcPr>
                  <w:tcW w:w="413"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auto"/>
                      <w:szCs w:val="21"/>
                    </w:rPr>
                  </w:pPr>
                  <w:r>
                    <w:rPr>
                      <w:color w:val="auto"/>
                      <w:szCs w:val="21"/>
                    </w:rPr>
                    <w:t>新增</w:t>
                  </w:r>
                </w:p>
              </w:tc>
            </w:tr>
            <w:tr>
              <w:tblPrEx>
                <w:tblCellMar>
                  <w:top w:w="0" w:type="dxa"/>
                  <w:left w:w="108" w:type="dxa"/>
                  <w:bottom w:w="0" w:type="dxa"/>
                  <w:right w:w="108" w:type="dxa"/>
                </w:tblCellMar>
              </w:tblPrEx>
              <w:trPr>
                <w:trHeight w:val="284" w:hRule="atLeast"/>
              </w:trPr>
              <w:tc>
                <w:tcPr>
                  <w:tcW w:w="379"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11</w:t>
                  </w:r>
                </w:p>
              </w:tc>
              <w:tc>
                <w:tcPr>
                  <w:tcW w:w="807" w:type="pct"/>
                  <w:vMerge w:val="continue"/>
                  <w:tcBorders>
                    <w:left w:val="single" w:color="auto" w:sz="4" w:space="0"/>
                    <w:right w:val="single" w:color="000000" w:sz="4" w:space="0"/>
                  </w:tcBorders>
                  <w:noWrap/>
                  <w:vAlign w:val="center"/>
                </w:tcPr>
                <w:p>
                  <w:pPr>
                    <w:widowControl/>
                    <w:jc w:val="center"/>
                    <w:textAlignment w:val="center"/>
                    <w:rPr>
                      <w:color w:val="auto"/>
                      <w:szCs w:val="21"/>
                    </w:rPr>
                  </w:pPr>
                </w:p>
              </w:tc>
              <w:tc>
                <w:tcPr>
                  <w:tcW w:w="75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颚式破碎机</w:t>
                  </w:r>
                </w:p>
              </w:tc>
              <w:tc>
                <w:tcPr>
                  <w:tcW w:w="966"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Cs w:val="21"/>
                    </w:rPr>
                  </w:pPr>
                  <w:r>
                    <w:rPr>
                      <w:color w:val="auto"/>
                      <w:kern w:val="0"/>
                      <w:szCs w:val="21"/>
                      <w:lang w:bidi="ar"/>
                    </w:rPr>
                    <w:t>250-400</w:t>
                  </w:r>
                </w:p>
              </w:tc>
              <w:tc>
                <w:tcPr>
                  <w:tcW w:w="630" w:type="pct"/>
                  <w:vMerge w:val="continue"/>
                  <w:tcBorders>
                    <w:left w:val="single" w:color="auto" w:sz="4" w:space="0"/>
                    <w:right w:val="single" w:color="000000" w:sz="4" w:space="0"/>
                  </w:tcBorders>
                  <w:noWrap/>
                  <w:vAlign w:val="center"/>
                </w:tcPr>
                <w:p>
                  <w:pPr>
                    <w:widowControl/>
                    <w:jc w:val="center"/>
                    <w:textAlignment w:val="center"/>
                    <w:rPr>
                      <w:color w:val="auto"/>
                      <w:szCs w:val="21"/>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Cs w:val="21"/>
                    </w:rPr>
                  </w:pPr>
                  <w:r>
                    <w:rPr>
                      <w:color w:val="auto"/>
                      <w:szCs w:val="21"/>
                    </w:rPr>
                    <w:t>2台</w:t>
                  </w:r>
                </w:p>
              </w:tc>
              <w:tc>
                <w:tcPr>
                  <w:tcW w:w="66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75</w:t>
                  </w:r>
                </w:p>
              </w:tc>
              <w:tc>
                <w:tcPr>
                  <w:tcW w:w="413"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auto"/>
                      <w:szCs w:val="21"/>
                    </w:rPr>
                  </w:pPr>
                  <w:r>
                    <w:rPr>
                      <w:color w:val="auto"/>
                      <w:szCs w:val="21"/>
                    </w:rPr>
                    <w:t>新增</w:t>
                  </w:r>
                </w:p>
              </w:tc>
            </w:tr>
            <w:tr>
              <w:tblPrEx>
                <w:tblCellMar>
                  <w:top w:w="0" w:type="dxa"/>
                  <w:left w:w="108" w:type="dxa"/>
                  <w:bottom w:w="0" w:type="dxa"/>
                  <w:right w:w="108" w:type="dxa"/>
                </w:tblCellMar>
              </w:tblPrEx>
              <w:trPr>
                <w:trHeight w:val="284" w:hRule="atLeast"/>
              </w:trPr>
              <w:tc>
                <w:tcPr>
                  <w:tcW w:w="379"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12</w:t>
                  </w:r>
                </w:p>
              </w:tc>
              <w:tc>
                <w:tcPr>
                  <w:tcW w:w="807" w:type="pct"/>
                  <w:vMerge w:val="continue"/>
                  <w:tcBorders>
                    <w:left w:val="single" w:color="auto" w:sz="4" w:space="0"/>
                    <w:right w:val="single" w:color="000000" w:sz="4" w:space="0"/>
                  </w:tcBorders>
                  <w:noWrap/>
                  <w:vAlign w:val="center"/>
                </w:tcPr>
                <w:p>
                  <w:pPr>
                    <w:widowControl/>
                    <w:jc w:val="center"/>
                    <w:textAlignment w:val="center"/>
                    <w:rPr>
                      <w:color w:val="auto"/>
                      <w:szCs w:val="21"/>
                    </w:rPr>
                  </w:pPr>
                </w:p>
              </w:tc>
              <w:tc>
                <w:tcPr>
                  <w:tcW w:w="75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高压磨粉机</w:t>
                  </w:r>
                </w:p>
              </w:tc>
              <w:tc>
                <w:tcPr>
                  <w:tcW w:w="9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auto"/>
                      <w:szCs w:val="21"/>
                    </w:rPr>
                  </w:pPr>
                  <w:r>
                    <w:rPr>
                      <w:rFonts w:hint="eastAsia"/>
                      <w:color w:val="auto"/>
                      <w:szCs w:val="21"/>
                    </w:rPr>
                    <w:t>9548</w:t>
                  </w:r>
                </w:p>
              </w:tc>
              <w:tc>
                <w:tcPr>
                  <w:tcW w:w="630" w:type="pct"/>
                  <w:vMerge w:val="continue"/>
                  <w:tcBorders>
                    <w:left w:val="single" w:color="auto" w:sz="4" w:space="0"/>
                    <w:right w:val="single" w:color="000000" w:sz="4" w:space="0"/>
                  </w:tcBorders>
                  <w:noWrap/>
                  <w:vAlign w:val="center"/>
                </w:tcPr>
                <w:p>
                  <w:pPr>
                    <w:widowControl/>
                    <w:jc w:val="center"/>
                    <w:textAlignment w:val="center"/>
                    <w:rPr>
                      <w:color w:val="auto"/>
                      <w:szCs w:val="21"/>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Cs w:val="21"/>
                    </w:rPr>
                  </w:pPr>
                  <w:r>
                    <w:rPr>
                      <w:color w:val="auto"/>
                      <w:szCs w:val="21"/>
                    </w:rPr>
                    <w:t>1台</w:t>
                  </w:r>
                </w:p>
              </w:tc>
              <w:tc>
                <w:tcPr>
                  <w:tcW w:w="66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33</w:t>
                  </w:r>
                </w:p>
              </w:tc>
              <w:tc>
                <w:tcPr>
                  <w:tcW w:w="413"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auto"/>
                      <w:szCs w:val="21"/>
                    </w:rPr>
                  </w:pPr>
                  <w:r>
                    <w:rPr>
                      <w:color w:val="auto"/>
                      <w:szCs w:val="21"/>
                    </w:rPr>
                    <w:t>新增</w:t>
                  </w:r>
                </w:p>
              </w:tc>
            </w:tr>
            <w:tr>
              <w:tblPrEx>
                <w:tblCellMar>
                  <w:top w:w="0" w:type="dxa"/>
                  <w:left w:w="108" w:type="dxa"/>
                  <w:bottom w:w="0" w:type="dxa"/>
                  <w:right w:w="108" w:type="dxa"/>
                </w:tblCellMar>
              </w:tblPrEx>
              <w:trPr>
                <w:trHeight w:val="284" w:hRule="atLeast"/>
              </w:trPr>
              <w:tc>
                <w:tcPr>
                  <w:tcW w:w="379"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13</w:t>
                  </w:r>
                </w:p>
              </w:tc>
              <w:tc>
                <w:tcPr>
                  <w:tcW w:w="807" w:type="pct"/>
                  <w:vMerge w:val="continue"/>
                  <w:tcBorders>
                    <w:left w:val="single" w:color="auto" w:sz="4" w:space="0"/>
                    <w:right w:val="single" w:color="000000" w:sz="4" w:space="0"/>
                  </w:tcBorders>
                  <w:noWrap/>
                  <w:vAlign w:val="center"/>
                </w:tcPr>
                <w:p>
                  <w:pPr>
                    <w:widowControl/>
                    <w:jc w:val="center"/>
                    <w:textAlignment w:val="center"/>
                    <w:rPr>
                      <w:color w:val="auto"/>
                      <w:szCs w:val="21"/>
                    </w:rPr>
                  </w:pPr>
                </w:p>
              </w:tc>
              <w:tc>
                <w:tcPr>
                  <w:tcW w:w="75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双辊破碎机</w:t>
                  </w:r>
                </w:p>
              </w:tc>
              <w:tc>
                <w:tcPr>
                  <w:tcW w:w="9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auto"/>
                      <w:szCs w:val="21"/>
                    </w:rPr>
                  </w:pPr>
                  <w:r>
                    <w:rPr>
                      <w:rFonts w:hint="eastAsia"/>
                      <w:color w:val="auto"/>
                      <w:szCs w:val="21"/>
                    </w:rPr>
                    <w:t>2PC</w:t>
                  </w:r>
                </w:p>
              </w:tc>
              <w:tc>
                <w:tcPr>
                  <w:tcW w:w="630" w:type="pct"/>
                  <w:vMerge w:val="continue"/>
                  <w:tcBorders>
                    <w:left w:val="single" w:color="auto" w:sz="4" w:space="0"/>
                    <w:right w:val="single" w:color="000000" w:sz="4" w:space="0"/>
                  </w:tcBorders>
                  <w:noWrap/>
                  <w:vAlign w:val="center"/>
                </w:tcPr>
                <w:p>
                  <w:pPr>
                    <w:widowControl/>
                    <w:jc w:val="center"/>
                    <w:textAlignment w:val="center"/>
                    <w:rPr>
                      <w:color w:val="auto"/>
                      <w:szCs w:val="21"/>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Cs w:val="21"/>
                    </w:rPr>
                  </w:pPr>
                  <w:r>
                    <w:rPr>
                      <w:color w:val="auto"/>
                      <w:szCs w:val="21"/>
                    </w:rPr>
                    <w:t>1台</w:t>
                  </w:r>
                </w:p>
              </w:tc>
              <w:tc>
                <w:tcPr>
                  <w:tcW w:w="66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25</w:t>
                  </w:r>
                </w:p>
              </w:tc>
              <w:tc>
                <w:tcPr>
                  <w:tcW w:w="413"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auto"/>
                      <w:szCs w:val="21"/>
                    </w:rPr>
                  </w:pPr>
                  <w:r>
                    <w:rPr>
                      <w:color w:val="auto"/>
                      <w:szCs w:val="21"/>
                    </w:rPr>
                    <w:t>新增</w:t>
                  </w:r>
                </w:p>
              </w:tc>
            </w:tr>
            <w:tr>
              <w:tblPrEx>
                <w:tblCellMar>
                  <w:top w:w="0" w:type="dxa"/>
                  <w:left w:w="108" w:type="dxa"/>
                  <w:bottom w:w="0" w:type="dxa"/>
                  <w:right w:w="108" w:type="dxa"/>
                </w:tblCellMar>
              </w:tblPrEx>
              <w:trPr>
                <w:trHeight w:val="284" w:hRule="atLeast"/>
              </w:trPr>
              <w:tc>
                <w:tcPr>
                  <w:tcW w:w="379"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14</w:t>
                  </w:r>
                </w:p>
              </w:tc>
              <w:tc>
                <w:tcPr>
                  <w:tcW w:w="807" w:type="pct"/>
                  <w:vMerge w:val="continue"/>
                  <w:tcBorders>
                    <w:left w:val="single" w:color="auto" w:sz="4" w:space="0"/>
                    <w:bottom w:val="single" w:color="000000" w:sz="4" w:space="0"/>
                    <w:right w:val="single" w:color="000000" w:sz="4" w:space="0"/>
                  </w:tcBorders>
                  <w:noWrap/>
                  <w:vAlign w:val="center"/>
                </w:tcPr>
                <w:p>
                  <w:pPr>
                    <w:widowControl/>
                    <w:jc w:val="center"/>
                    <w:textAlignment w:val="center"/>
                    <w:rPr>
                      <w:color w:val="auto"/>
                      <w:szCs w:val="21"/>
                    </w:rPr>
                  </w:pPr>
                </w:p>
              </w:tc>
              <w:tc>
                <w:tcPr>
                  <w:tcW w:w="75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石碾机</w:t>
                  </w:r>
                </w:p>
              </w:tc>
              <w:tc>
                <w:tcPr>
                  <w:tcW w:w="9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auto"/>
                      <w:szCs w:val="21"/>
                    </w:rPr>
                  </w:pPr>
                  <w:r>
                    <w:rPr>
                      <w:rFonts w:hint="eastAsia"/>
                      <w:color w:val="auto"/>
                      <w:szCs w:val="21"/>
                    </w:rPr>
                    <w:t>S1110</w:t>
                  </w:r>
                </w:p>
              </w:tc>
              <w:tc>
                <w:tcPr>
                  <w:tcW w:w="630" w:type="pct"/>
                  <w:vMerge w:val="continue"/>
                  <w:tcBorders>
                    <w:left w:val="single" w:color="auto" w:sz="4" w:space="0"/>
                    <w:bottom w:val="single" w:color="000000" w:sz="4" w:space="0"/>
                    <w:right w:val="single" w:color="000000" w:sz="4" w:space="0"/>
                  </w:tcBorders>
                  <w:noWrap/>
                  <w:vAlign w:val="center"/>
                </w:tcPr>
                <w:p>
                  <w:pPr>
                    <w:widowControl/>
                    <w:jc w:val="center"/>
                    <w:textAlignment w:val="center"/>
                    <w:rPr>
                      <w:color w:val="auto"/>
                      <w:szCs w:val="21"/>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Cs w:val="21"/>
                    </w:rPr>
                  </w:pPr>
                  <w:r>
                    <w:rPr>
                      <w:color w:val="auto"/>
                      <w:szCs w:val="21"/>
                    </w:rPr>
                    <w:t>2台</w:t>
                  </w:r>
                </w:p>
              </w:tc>
              <w:tc>
                <w:tcPr>
                  <w:tcW w:w="66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15</w:t>
                  </w:r>
                </w:p>
              </w:tc>
              <w:tc>
                <w:tcPr>
                  <w:tcW w:w="413"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auto"/>
                      <w:szCs w:val="21"/>
                    </w:rPr>
                  </w:pPr>
                  <w:r>
                    <w:rPr>
                      <w:color w:val="auto"/>
                      <w:szCs w:val="21"/>
                    </w:rPr>
                    <w:t>新增</w:t>
                  </w:r>
                </w:p>
              </w:tc>
            </w:tr>
            <w:tr>
              <w:tblPrEx>
                <w:tblCellMar>
                  <w:top w:w="0" w:type="dxa"/>
                  <w:left w:w="108" w:type="dxa"/>
                  <w:bottom w:w="0" w:type="dxa"/>
                  <w:right w:w="108" w:type="dxa"/>
                </w:tblCellMar>
              </w:tblPrEx>
              <w:trPr>
                <w:trHeight w:val="284" w:hRule="atLeast"/>
              </w:trPr>
              <w:tc>
                <w:tcPr>
                  <w:tcW w:w="379"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15</w:t>
                  </w:r>
                </w:p>
              </w:tc>
              <w:tc>
                <w:tcPr>
                  <w:tcW w:w="807" w:type="pct"/>
                  <w:vMerge w:val="restart"/>
                  <w:tcBorders>
                    <w:top w:val="single" w:color="000000" w:sz="4" w:space="0"/>
                    <w:left w:val="single" w:color="auto" w:sz="4" w:space="0"/>
                    <w:right w:val="single" w:color="000000" w:sz="4" w:space="0"/>
                  </w:tcBorders>
                  <w:noWrap/>
                  <w:vAlign w:val="center"/>
                </w:tcPr>
                <w:p>
                  <w:pPr>
                    <w:widowControl/>
                    <w:jc w:val="center"/>
                    <w:textAlignment w:val="center"/>
                    <w:rPr>
                      <w:color w:val="auto"/>
                      <w:szCs w:val="21"/>
                    </w:rPr>
                  </w:pPr>
                  <w:r>
                    <w:rPr>
                      <w:rFonts w:hint="eastAsia"/>
                      <w:color w:val="auto"/>
                      <w:szCs w:val="21"/>
                    </w:rPr>
                    <w:t>成型车间</w:t>
                  </w:r>
                </w:p>
              </w:tc>
              <w:tc>
                <w:tcPr>
                  <w:tcW w:w="75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强制混合机</w:t>
                  </w:r>
                </w:p>
              </w:tc>
              <w:tc>
                <w:tcPr>
                  <w:tcW w:w="9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auto"/>
                      <w:szCs w:val="21"/>
                    </w:rPr>
                  </w:pPr>
                  <w:r>
                    <w:rPr>
                      <w:rFonts w:hint="eastAsia"/>
                      <w:color w:val="auto"/>
                      <w:szCs w:val="21"/>
                    </w:rPr>
                    <w:t>HN-750</w:t>
                  </w:r>
                </w:p>
              </w:tc>
              <w:tc>
                <w:tcPr>
                  <w:tcW w:w="630" w:type="pct"/>
                  <w:vMerge w:val="restart"/>
                  <w:tcBorders>
                    <w:top w:val="single" w:color="000000" w:sz="4" w:space="0"/>
                    <w:left w:val="single" w:color="auto" w:sz="4" w:space="0"/>
                    <w:right w:val="single" w:color="000000" w:sz="4" w:space="0"/>
                  </w:tcBorders>
                  <w:noWrap/>
                  <w:vAlign w:val="center"/>
                </w:tcPr>
                <w:p>
                  <w:pPr>
                    <w:widowControl/>
                    <w:jc w:val="center"/>
                    <w:textAlignment w:val="center"/>
                    <w:rPr>
                      <w:color w:val="auto"/>
                      <w:szCs w:val="21"/>
                    </w:rPr>
                  </w:pPr>
                  <w:r>
                    <w:rPr>
                      <w:rFonts w:hint="eastAsia"/>
                      <w:color w:val="auto"/>
                      <w:szCs w:val="21"/>
                    </w:rPr>
                    <w:t>压力</w:t>
                  </w:r>
                </w:p>
                <w:p>
                  <w:pPr>
                    <w:jc w:val="center"/>
                    <w:textAlignment w:val="center"/>
                    <w:rPr>
                      <w:color w:val="auto"/>
                      <w:szCs w:val="21"/>
                    </w:rPr>
                  </w:pPr>
                  <w:r>
                    <w:rPr>
                      <w:rFonts w:hint="eastAsia"/>
                      <w:color w:val="auto"/>
                      <w:szCs w:val="21"/>
                    </w:rPr>
                    <w:t>成型</w:t>
                  </w:r>
                </w:p>
              </w:tc>
              <w:tc>
                <w:tcPr>
                  <w:tcW w:w="3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Cs w:val="21"/>
                    </w:rPr>
                  </w:pPr>
                  <w:r>
                    <w:rPr>
                      <w:rFonts w:hint="eastAsia"/>
                      <w:color w:val="auto"/>
                      <w:szCs w:val="21"/>
                    </w:rPr>
                    <w:t>6台</w:t>
                  </w:r>
                </w:p>
              </w:tc>
              <w:tc>
                <w:tcPr>
                  <w:tcW w:w="66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15</w:t>
                  </w:r>
                </w:p>
              </w:tc>
              <w:tc>
                <w:tcPr>
                  <w:tcW w:w="413"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auto"/>
                      <w:szCs w:val="21"/>
                    </w:rPr>
                  </w:pPr>
                  <w:r>
                    <w:rPr>
                      <w:color w:val="auto"/>
                      <w:szCs w:val="21"/>
                    </w:rPr>
                    <w:t>原有</w:t>
                  </w:r>
                </w:p>
              </w:tc>
            </w:tr>
            <w:tr>
              <w:tblPrEx>
                <w:tblCellMar>
                  <w:top w:w="0" w:type="dxa"/>
                  <w:left w:w="108" w:type="dxa"/>
                  <w:bottom w:w="0" w:type="dxa"/>
                  <w:right w:w="108" w:type="dxa"/>
                </w:tblCellMar>
              </w:tblPrEx>
              <w:trPr>
                <w:trHeight w:val="284" w:hRule="atLeast"/>
              </w:trPr>
              <w:tc>
                <w:tcPr>
                  <w:tcW w:w="379"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16</w:t>
                  </w:r>
                </w:p>
              </w:tc>
              <w:tc>
                <w:tcPr>
                  <w:tcW w:w="807" w:type="pct"/>
                  <w:vMerge w:val="continue"/>
                  <w:tcBorders>
                    <w:left w:val="single" w:color="auto" w:sz="4" w:space="0"/>
                    <w:right w:val="single" w:color="000000" w:sz="4" w:space="0"/>
                  </w:tcBorders>
                  <w:noWrap/>
                  <w:vAlign w:val="center"/>
                </w:tcPr>
                <w:p>
                  <w:pPr>
                    <w:widowControl/>
                    <w:jc w:val="center"/>
                    <w:textAlignment w:val="center"/>
                    <w:rPr>
                      <w:color w:val="auto"/>
                      <w:szCs w:val="21"/>
                    </w:rPr>
                  </w:pPr>
                </w:p>
              </w:tc>
              <w:tc>
                <w:tcPr>
                  <w:tcW w:w="75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螺旋压力机</w:t>
                  </w:r>
                </w:p>
              </w:tc>
              <w:tc>
                <w:tcPr>
                  <w:tcW w:w="9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auto"/>
                      <w:szCs w:val="21"/>
                    </w:rPr>
                  </w:pPr>
                  <w:r>
                    <w:rPr>
                      <w:rFonts w:hint="eastAsia"/>
                      <w:color w:val="auto"/>
                      <w:szCs w:val="21"/>
                    </w:rPr>
                    <w:t>J67-160</w:t>
                  </w:r>
                </w:p>
              </w:tc>
              <w:tc>
                <w:tcPr>
                  <w:tcW w:w="630" w:type="pct"/>
                  <w:vMerge w:val="continue"/>
                  <w:tcBorders>
                    <w:left w:val="single" w:color="auto" w:sz="4" w:space="0"/>
                    <w:right w:val="single" w:color="000000" w:sz="4" w:space="0"/>
                  </w:tcBorders>
                  <w:noWrap/>
                  <w:vAlign w:val="center"/>
                </w:tcPr>
                <w:p>
                  <w:pPr>
                    <w:jc w:val="center"/>
                    <w:textAlignment w:val="center"/>
                    <w:rPr>
                      <w:color w:val="auto"/>
                      <w:szCs w:val="21"/>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Cs w:val="21"/>
                    </w:rPr>
                  </w:pPr>
                  <w:r>
                    <w:rPr>
                      <w:rFonts w:hint="eastAsia"/>
                      <w:color w:val="auto"/>
                      <w:szCs w:val="21"/>
                    </w:rPr>
                    <w:t>7台</w:t>
                  </w:r>
                </w:p>
              </w:tc>
              <w:tc>
                <w:tcPr>
                  <w:tcW w:w="66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22</w:t>
                  </w:r>
                </w:p>
              </w:tc>
              <w:tc>
                <w:tcPr>
                  <w:tcW w:w="413"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auto"/>
                      <w:szCs w:val="21"/>
                    </w:rPr>
                  </w:pPr>
                  <w:r>
                    <w:rPr>
                      <w:color w:val="auto"/>
                      <w:szCs w:val="21"/>
                    </w:rPr>
                    <w:t>原有</w:t>
                  </w:r>
                </w:p>
              </w:tc>
            </w:tr>
            <w:tr>
              <w:tblPrEx>
                <w:tblCellMar>
                  <w:top w:w="0" w:type="dxa"/>
                  <w:left w:w="108" w:type="dxa"/>
                  <w:bottom w:w="0" w:type="dxa"/>
                  <w:right w:w="108" w:type="dxa"/>
                </w:tblCellMar>
              </w:tblPrEx>
              <w:trPr>
                <w:trHeight w:val="284" w:hRule="atLeast"/>
              </w:trPr>
              <w:tc>
                <w:tcPr>
                  <w:tcW w:w="379"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17</w:t>
                  </w:r>
                </w:p>
              </w:tc>
              <w:tc>
                <w:tcPr>
                  <w:tcW w:w="807" w:type="pct"/>
                  <w:vMerge w:val="continue"/>
                  <w:tcBorders>
                    <w:left w:val="single" w:color="auto" w:sz="4" w:space="0"/>
                    <w:right w:val="single" w:color="000000" w:sz="4" w:space="0"/>
                  </w:tcBorders>
                  <w:noWrap/>
                  <w:vAlign w:val="center"/>
                </w:tcPr>
                <w:p>
                  <w:pPr>
                    <w:widowControl/>
                    <w:jc w:val="center"/>
                    <w:textAlignment w:val="center"/>
                    <w:rPr>
                      <w:color w:val="auto"/>
                      <w:szCs w:val="21"/>
                    </w:rPr>
                  </w:pPr>
                </w:p>
              </w:tc>
              <w:tc>
                <w:tcPr>
                  <w:tcW w:w="75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螺旋压力机</w:t>
                  </w:r>
                </w:p>
              </w:tc>
              <w:tc>
                <w:tcPr>
                  <w:tcW w:w="9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auto"/>
                      <w:szCs w:val="21"/>
                    </w:rPr>
                  </w:pPr>
                  <w:r>
                    <w:rPr>
                      <w:rFonts w:hint="eastAsia"/>
                      <w:color w:val="auto"/>
                      <w:szCs w:val="21"/>
                    </w:rPr>
                    <w:t>J67-315</w:t>
                  </w:r>
                </w:p>
              </w:tc>
              <w:tc>
                <w:tcPr>
                  <w:tcW w:w="630" w:type="pct"/>
                  <w:vMerge w:val="continue"/>
                  <w:tcBorders>
                    <w:left w:val="single" w:color="auto" w:sz="4" w:space="0"/>
                    <w:right w:val="single" w:color="000000" w:sz="4" w:space="0"/>
                  </w:tcBorders>
                  <w:noWrap/>
                  <w:vAlign w:val="center"/>
                </w:tcPr>
                <w:p>
                  <w:pPr>
                    <w:jc w:val="center"/>
                    <w:textAlignment w:val="center"/>
                    <w:rPr>
                      <w:color w:val="auto"/>
                      <w:szCs w:val="21"/>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Cs w:val="21"/>
                    </w:rPr>
                  </w:pPr>
                  <w:r>
                    <w:rPr>
                      <w:rFonts w:hint="eastAsia"/>
                      <w:color w:val="auto"/>
                      <w:szCs w:val="21"/>
                    </w:rPr>
                    <w:t>3台</w:t>
                  </w:r>
                </w:p>
              </w:tc>
              <w:tc>
                <w:tcPr>
                  <w:tcW w:w="66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37</w:t>
                  </w:r>
                </w:p>
              </w:tc>
              <w:tc>
                <w:tcPr>
                  <w:tcW w:w="413"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auto"/>
                      <w:szCs w:val="21"/>
                    </w:rPr>
                  </w:pPr>
                  <w:r>
                    <w:rPr>
                      <w:color w:val="auto"/>
                      <w:szCs w:val="21"/>
                    </w:rPr>
                    <w:t>原有</w:t>
                  </w:r>
                </w:p>
              </w:tc>
            </w:tr>
            <w:tr>
              <w:tblPrEx>
                <w:tblCellMar>
                  <w:top w:w="0" w:type="dxa"/>
                  <w:left w:w="108" w:type="dxa"/>
                  <w:bottom w:w="0" w:type="dxa"/>
                  <w:right w:w="108" w:type="dxa"/>
                </w:tblCellMar>
              </w:tblPrEx>
              <w:trPr>
                <w:trHeight w:val="284" w:hRule="atLeast"/>
              </w:trPr>
              <w:tc>
                <w:tcPr>
                  <w:tcW w:w="379"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18</w:t>
                  </w:r>
                </w:p>
              </w:tc>
              <w:tc>
                <w:tcPr>
                  <w:tcW w:w="807" w:type="pct"/>
                  <w:vMerge w:val="continue"/>
                  <w:tcBorders>
                    <w:left w:val="single" w:color="auto" w:sz="4" w:space="0"/>
                    <w:right w:val="single" w:color="000000" w:sz="4" w:space="0"/>
                  </w:tcBorders>
                  <w:noWrap/>
                  <w:vAlign w:val="center"/>
                </w:tcPr>
                <w:p>
                  <w:pPr>
                    <w:widowControl/>
                    <w:jc w:val="center"/>
                    <w:textAlignment w:val="center"/>
                    <w:rPr>
                      <w:color w:val="auto"/>
                      <w:szCs w:val="21"/>
                    </w:rPr>
                  </w:pPr>
                </w:p>
              </w:tc>
              <w:tc>
                <w:tcPr>
                  <w:tcW w:w="75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螺旋压力机</w:t>
                  </w:r>
                </w:p>
              </w:tc>
              <w:tc>
                <w:tcPr>
                  <w:tcW w:w="9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auto"/>
                      <w:szCs w:val="21"/>
                    </w:rPr>
                  </w:pPr>
                  <w:r>
                    <w:rPr>
                      <w:rFonts w:hint="eastAsia"/>
                      <w:color w:val="auto"/>
                      <w:szCs w:val="21"/>
                    </w:rPr>
                    <w:t>J67-400</w:t>
                  </w:r>
                </w:p>
              </w:tc>
              <w:tc>
                <w:tcPr>
                  <w:tcW w:w="630" w:type="pct"/>
                  <w:vMerge w:val="continue"/>
                  <w:tcBorders>
                    <w:left w:val="single" w:color="auto" w:sz="4" w:space="0"/>
                    <w:right w:val="single" w:color="000000" w:sz="4" w:space="0"/>
                  </w:tcBorders>
                  <w:noWrap/>
                  <w:vAlign w:val="center"/>
                </w:tcPr>
                <w:p>
                  <w:pPr>
                    <w:jc w:val="center"/>
                    <w:textAlignment w:val="center"/>
                    <w:rPr>
                      <w:color w:val="auto"/>
                      <w:szCs w:val="21"/>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Cs w:val="21"/>
                    </w:rPr>
                  </w:pPr>
                  <w:r>
                    <w:rPr>
                      <w:rFonts w:hint="eastAsia"/>
                      <w:color w:val="auto"/>
                      <w:szCs w:val="21"/>
                    </w:rPr>
                    <w:t>6台</w:t>
                  </w:r>
                </w:p>
              </w:tc>
              <w:tc>
                <w:tcPr>
                  <w:tcW w:w="66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48</w:t>
                  </w:r>
                </w:p>
              </w:tc>
              <w:tc>
                <w:tcPr>
                  <w:tcW w:w="413"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auto"/>
                      <w:szCs w:val="21"/>
                    </w:rPr>
                  </w:pPr>
                  <w:r>
                    <w:rPr>
                      <w:color w:val="auto"/>
                      <w:szCs w:val="21"/>
                    </w:rPr>
                    <w:t>原有</w:t>
                  </w:r>
                </w:p>
              </w:tc>
            </w:tr>
            <w:tr>
              <w:tblPrEx>
                <w:tblCellMar>
                  <w:top w:w="0" w:type="dxa"/>
                  <w:left w:w="108" w:type="dxa"/>
                  <w:bottom w:w="0" w:type="dxa"/>
                  <w:right w:w="108" w:type="dxa"/>
                </w:tblCellMar>
              </w:tblPrEx>
              <w:trPr>
                <w:trHeight w:val="284" w:hRule="atLeast"/>
              </w:trPr>
              <w:tc>
                <w:tcPr>
                  <w:tcW w:w="379"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19</w:t>
                  </w:r>
                </w:p>
              </w:tc>
              <w:tc>
                <w:tcPr>
                  <w:tcW w:w="807" w:type="pct"/>
                  <w:vMerge w:val="continue"/>
                  <w:tcBorders>
                    <w:left w:val="single" w:color="auto" w:sz="4" w:space="0"/>
                    <w:right w:val="single" w:color="000000" w:sz="4" w:space="0"/>
                  </w:tcBorders>
                  <w:noWrap/>
                  <w:vAlign w:val="center"/>
                </w:tcPr>
                <w:p>
                  <w:pPr>
                    <w:widowControl/>
                    <w:jc w:val="center"/>
                    <w:textAlignment w:val="center"/>
                    <w:rPr>
                      <w:color w:val="auto"/>
                      <w:szCs w:val="21"/>
                    </w:rPr>
                  </w:pPr>
                </w:p>
              </w:tc>
              <w:tc>
                <w:tcPr>
                  <w:tcW w:w="75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配料机</w:t>
                  </w:r>
                </w:p>
              </w:tc>
              <w:tc>
                <w:tcPr>
                  <w:tcW w:w="9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auto"/>
                      <w:szCs w:val="21"/>
                    </w:rPr>
                  </w:pPr>
                  <w:r>
                    <w:rPr>
                      <w:rFonts w:hint="eastAsia"/>
                      <w:color w:val="auto"/>
                      <w:szCs w:val="21"/>
                    </w:rPr>
                    <w:t>PLD600</w:t>
                  </w:r>
                </w:p>
              </w:tc>
              <w:tc>
                <w:tcPr>
                  <w:tcW w:w="630" w:type="pct"/>
                  <w:vMerge w:val="continue"/>
                  <w:tcBorders>
                    <w:left w:val="single" w:color="auto" w:sz="4" w:space="0"/>
                    <w:right w:val="single" w:color="000000" w:sz="4" w:space="0"/>
                  </w:tcBorders>
                  <w:noWrap/>
                  <w:vAlign w:val="center"/>
                </w:tcPr>
                <w:p>
                  <w:pPr>
                    <w:widowControl/>
                    <w:jc w:val="center"/>
                    <w:textAlignment w:val="center"/>
                    <w:rPr>
                      <w:color w:val="auto"/>
                      <w:szCs w:val="21"/>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Cs w:val="21"/>
                    </w:rPr>
                  </w:pPr>
                  <w:r>
                    <w:rPr>
                      <w:color w:val="auto"/>
                      <w:szCs w:val="21"/>
                    </w:rPr>
                    <w:t>4台</w:t>
                  </w:r>
                </w:p>
              </w:tc>
              <w:tc>
                <w:tcPr>
                  <w:tcW w:w="66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10</w:t>
                  </w:r>
                </w:p>
              </w:tc>
              <w:tc>
                <w:tcPr>
                  <w:tcW w:w="413"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color w:val="auto"/>
                      <w:szCs w:val="21"/>
                    </w:rPr>
                  </w:pPr>
                  <w:r>
                    <w:rPr>
                      <w:color w:val="auto"/>
                      <w:szCs w:val="21"/>
                    </w:rPr>
                    <w:t>新增</w:t>
                  </w:r>
                </w:p>
              </w:tc>
            </w:tr>
            <w:tr>
              <w:tblPrEx>
                <w:tblCellMar>
                  <w:top w:w="0" w:type="dxa"/>
                  <w:left w:w="108" w:type="dxa"/>
                  <w:bottom w:w="0" w:type="dxa"/>
                  <w:right w:w="108" w:type="dxa"/>
                </w:tblCellMar>
              </w:tblPrEx>
              <w:trPr>
                <w:trHeight w:val="284" w:hRule="atLeast"/>
              </w:trPr>
              <w:tc>
                <w:tcPr>
                  <w:tcW w:w="379"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20</w:t>
                  </w:r>
                </w:p>
              </w:tc>
              <w:tc>
                <w:tcPr>
                  <w:tcW w:w="807" w:type="pct"/>
                  <w:vMerge w:val="continue"/>
                  <w:tcBorders>
                    <w:left w:val="single" w:color="auto" w:sz="4" w:space="0"/>
                    <w:right w:val="single" w:color="000000" w:sz="4" w:space="0"/>
                  </w:tcBorders>
                  <w:noWrap/>
                  <w:vAlign w:val="center"/>
                </w:tcPr>
                <w:p>
                  <w:pPr>
                    <w:widowControl/>
                    <w:jc w:val="center"/>
                    <w:textAlignment w:val="center"/>
                    <w:rPr>
                      <w:color w:val="auto"/>
                      <w:szCs w:val="21"/>
                    </w:rPr>
                  </w:pPr>
                </w:p>
              </w:tc>
              <w:tc>
                <w:tcPr>
                  <w:tcW w:w="75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给料机</w:t>
                  </w:r>
                </w:p>
              </w:tc>
              <w:tc>
                <w:tcPr>
                  <w:tcW w:w="9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auto"/>
                      <w:szCs w:val="21"/>
                    </w:rPr>
                  </w:pPr>
                  <w:r>
                    <w:rPr>
                      <w:rFonts w:hint="eastAsia"/>
                      <w:color w:val="auto"/>
                      <w:szCs w:val="21"/>
                    </w:rPr>
                    <w:t>WLS400-Z</w:t>
                  </w:r>
                </w:p>
              </w:tc>
              <w:tc>
                <w:tcPr>
                  <w:tcW w:w="630" w:type="pct"/>
                  <w:vMerge w:val="continue"/>
                  <w:tcBorders>
                    <w:left w:val="single" w:color="auto" w:sz="4" w:space="0"/>
                    <w:right w:val="single" w:color="000000" w:sz="4" w:space="0"/>
                  </w:tcBorders>
                  <w:noWrap/>
                  <w:vAlign w:val="center"/>
                </w:tcPr>
                <w:p>
                  <w:pPr>
                    <w:widowControl/>
                    <w:jc w:val="center"/>
                    <w:textAlignment w:val="center"/>
                    <w:rPr>
                      <w:color w:val="auto"/>
                      <w:szCs w:val="21"/>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Cs w:val="21"/>
                    </w:rPr>
                  </w:pPr>
                  <w:r>
                    <w:rPr>
                      <w:color w:val="auto"/>
                      <w:szCs w:val="21"/>
                    </w:rPr>
                    <w:t>4台</w:t>
                  </w:r>
                </w:p>
              </w:tc>
              <w:tc>
                <w:tcPr>
                  <w:tcW w:w="66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10</w:t>
                  </w:r>
                </w:p>
              </w:tc>
              <w:tc>
                <w:tcPr>
                  <w:tcW w:w="413" w:type="pct"/>
                  <w:tcBorders>
                    <w:top w:val="single" w:color="000000" w:sz="4" w:space="0"/>
                    <w:left w:val="single" w:color="auto" w:sz="4" w:space="0"/>
                    <w:bottom w:val="single" w:color="000000" w:sz="4" w:space="0"/>
                    <w:right w:val="single" w:color="000000" w:sz="4" w:space="0"/>
                  </w:tcBorders>
                  <w:vAlign w:val="center"/>
                </w:tcPr>
                <w:p>
                  <w:pPr>
                    <w:jc w:val="center"/>
                    <w:rPr>
                      <w:color w:val="auto"/>
                    </w:rPr>
                  </w:pPr>
                  <w:r>
                    <w:rPr>
                      <w:color w:val="auto"/>
                      <w:szCs w:val="21"/>
                    </w:rPr>
                    <w:t>新增</w:t>
                  </w:r>
                </w:p>
              </w:tc>
            </w:tr>
            <w:tr>
              <w:tblPrEx>
                <w:tblCellMar>
                  <w:top w:w="0" w:type="dxa"/>
                  <w:left w:w="108" w:type="dxa"/>
                  <w:bottom w:w="0" w:type="dxa"/>
                  <w:right w:w="108" w:type="dxa"/>
                </w:tblCellMar>
              </w:tblPrEx>
              <w:trPr>
                <w:trHeight w:val="284" w:hRule="atLeast"/>
              </w:trPr>
              <w:tc>
                <w:tcPr>
                  <w:tcW w:w="379"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21</w:t>
                  </w:r>
                </w:p>
              </w:tc>
              <w:tc>
                <w:tcPr>
                  <w:tcW w:w="807" w:type="pct"/>
                  <w:vMerge w:val="continue"/>
                  <w:tcBorders>
                    <w:left w:val="single" w:color="auto" w:sz="4" w:space="0"/>
                    <w:right w:val="single" w:color="000000" w:sz="4" w:space="0"/>
                  </w:tcBorders>
                  <w:noWrap/>
                  <w:vAlign w:val="center"/>
                </w:tcPr>
                <w:p>
                  <w:pPr>
                    <w:widowControl/>
                    <w:jc w:val="center"/>
                    <w:textAlignment w:val="center"/>
                    <w:rPr>
                      <w:color w:val="auto"/>
                      <w:szCs w:val="21"/>
                    </w:rPr>
                  </w:pPr>
                </w:p>
              </w:tc>
              <w:tc>
                <w:tcPr>
                  <w:tcW w:w="75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空压机</w:t>
                  </w:r>
                </w:p>
              </w:tc>
              <w:tc>
                <w:tcPr>
                  <w:tcW w:w="9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auto"/>
                      <w:szCs w:val="21"/>
                    </w:rPr>
                  </w:pPr>
                  <w:r>
                    <w:rPr>
                      <w:rFonts w:hint="eastAsia"/>
                      <w:color w:val="auto"/>
                      <w:szCs w:val="21"/>
                    </w:rPr>
                    <w:t>SA55-200</w:t>
                  </w:r>
                </w:p>
              </w:tc>
              <w:tc>
                <w:tcPr>
                  <w:tcW w:w="630" w:type="pct"/>
                  <w:vMerge w:val="continue"/>
                  <w:tcBorders>
                    <w:left w:val="single" w:color="auto" w:sz="4" w:space="0"/>
                    <w:right w:val="single" w:color="000000" w:sz="4" w:space="0"/>
                  </w:tcBorders>
                  <w:noWrap/>
                  <w:vAlign w:val="center"/>
                </w:tcPr>
                <w:p>
                  <w:pPr>
                    <w:widowControl/>
                    <w:jc w:val="center"/>
                    <w:textAlignment w:val="center"/>
                    <w:rPr>
                      <w:color w:val="auto"/>
                      <w:szCs w:val="21"/>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Cs w:val="21"/>
                    </w:rPr>
                  </w:pPr>
                  <w:r>
                    <w:rPr>
                      <w:color w:val="auto"/>
                      <w:szCs w:val="21"/>
                    </w:rPr>
                    <w:t>2台</w:t>
                  </w:r>
                </w:p>
              </w:tc>
              <w:tc>
                <w:tcPr>
                  <w:tcW w:w="66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45</w:t>
                  </w:r>
                </w:p>
              </w:tc>
              <w:tc>
                <w:tcPr>
                  <w:tcW w:w="413" w:type="pct"/>
                  <w:tcBorders>
                    <w:top w:val="single" w:color="000000" w:sz="4" w:space="0"/>
                    <w:left w:val="single" w:color="auto" w:sz="4" w:space="0"/>
                    <w:bottom w:val="single" w:color="000000" w:sz="4" w:space="0"/>
                    <w:right w:val="single" w:color="000000" w:sz="4" w:space="0"/>
                  </w:tcBorders>
                  <w:vAlign w:val="center"/>
                </w:tcPr>
                <w:p>
                  <w:pPr>
                    <w:jc w:val="center"/>
                    <w:rPr>
                      <w:color w:val="auto"/>
                    </w:rPr>
                  </w:pPr>
                  <w:r>
                    <w:rPr>
                      <w:color w:val="auto"/>
                      <w:szCs w:val="21"/>
                    </w:rPr>
                    <w:t>新增</w:t>
                  </w:r>
                </w:p>
              </w:tc>
            </w:tr>
            <w:tr>
              <w:tblPrEx>
                <w:tblCellMar>
                  <w:top w:w="0" w:type="dxa"/>
                  <w:left w:w="108" w:type="dxa"/>
                  <w:bottom w:w="0" w:type="dxa"/>
                  <w:right w:w="108" w:type="dxa"/>
                </w:tblCellMar>
              </w:tblPrEx>
              <w:trPr>
                <w:trHeight w:val="284" w:hRule="atLeast"/>
              </w:trPr>
              <w:tc>
                <w:tcPr>
                  <w:tcW w:w="379"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rFonts w:hint="eastAsia"/>
                      <w:color w:val="auto"/>
                      <w:szCs w:val="21"/>
                    </w:rPr>
                    <w:t>22</w:t>
                  </w:r>
                </w:p>
              </w:tc>
              <w:tc>
                <w:tcPr>
                  <w:tcW w:w="807" w:type="pct"/>
                  <w:vMerge w:val="continue"/>
                  <w:tcBorders>
                    <w:left w:val="single" w:color="auto" w:sz="4" w:space="0"/>
                    <w:bottom w:val="single" w:color="000000" w:sz="4" w:space="0"/>
                    <w:right w:val="single" w:color="000000" w:sz="4" w:space="0"/>
                  </w:tcBorders>
                  <w:noWrap/>
                  <w:vAlign w:val="center"/>
                </w:tcPr>
                <w:p>
                  <w:pPr>
                    <w:widowControl/>
                    <w:jc w:val="center"/>
                    <w:textAlignment w:val="center"/>
                    <w:rPr>
                      <w:color w:val="auto"/>
                      <w:szCs w:val="21"/>
                    </w:rPr>
                  </w:pPr>
                </w:p>
              </w:tc>
              <w:tc>
                <w:tcPr>
                  <w:tcW w:w="75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压力机</w:t>
                  </w:r>
                </w:p>
              </w:tc>
              <w:tc>
                <w:tcPr>
                  <w:tcW w:w="96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color w:val="auto"/>
                      <w:szCs w:val="21"/>
                    </w:rPr>
                  </w:pPr>
                  <w:r>
                    <w:rPr>
                      <w:rFonts w:hint="eastAsia"/>
                      <w:color w:val="auto"/>
                      <w:szCs w:val="21"/>
                    </w:rPr>
                    <w:t>J67-400</w:t>
                  </w:r>
                </w:p>
              </w:tc>
              <w:tc>
                <w:tcPr>
                  <w:tcW w:w="630" w:type="pct"/>
                  <w:vMerge w:val="continue"/>
                  <w:tcBorders>
                    <w:left w:val="single" w:color="auto" w:sz="4" w:space="0"/>
                    <w:bottom w:val="single" w:color="000000" w:sz="4" w:space="0"/>
                    <w:right w:val="single" w:color="000000" w:sz="4" w:space="0"/>
                  </w:tcBorders>
                  <w:noWrap/>
                  <w:vAlign w:val="center"/>
                </w:tcPr>
                <w:p>
                  <w:pPr>
                    <w:widowControl/>
                    <w:jc w:val="center"/>
                    <w:textAlignment w:val="center"/>
                    <w:rPr>
                      <w:color w:val="auto"/>
                      <w:szCs w:val="21"/>
                    </w:rPr>
                  </w:pPr>
                </w:p>
              </w:tc>
              <w:tc>
                <w:tcPr>
                  <w:tcW w:w="37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auto"/>
                      <w:szCs w:val="21"/>
                    </w:rPr>
                  </w:pPr>
                  <w:r>
                    <w:rPr>
                      <w:color w:val="auto"/>
                      <w:szCs w:val="21"/>
                    </w:rPr>
                    <w:t>6台</w:t>
                  </w:r>
                </w:p>
              </w:tc>
              <w:tc>
                <w:tcPr>
                  <w:tcW w:w="66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color w:val="auto"/>
                      <w:szCs w:val="21"/>
                    </w:rPr>
                  </w:pPr>
                  <w:r>
                    <w:rPr>
                      <w:color w:val="auto"/>
                      <w:szCs w:val="21"/>
                    </w:rPr>
                    <w:t>45</w:t>
                  </w:r>
                </w:p>
              </w:tc>
              <w:tc>
                <w:tcPr>
                  <w:tcW w:w="413" w:type="pct"/>
                  <w:tcBorders>
                    <w:top w:val="single" w:color="000000" w:sz="4" w:space="0"/>
                    <w:left w:val="single" w:color="auto" w:sz="4" w:space="0"/>
                    <w:bottom w:val="single" w:color="000000" w:sz="4" w:space="0"/>
                    <w:right w:val="single" w:color="000000" w:sz="4" w:space="0"/>
                  </w:tcBorders>
                  <w:vAlign w:val="center"/>
                </w:tcPr>
                <w:p>
                  <w:pPr>
                    <w:jc w:val="center"/>
                    <w:rPr>
                      <w:color w:val="auto"/>
                    </w:rPr>
                  </w:pPr>
                  <w:r>
                    <w:rPr>
                      <w:color w:val="auto"/>
                      <w:szCs w:val="21"/>
                    </w:rPr>
                    <w:t>新增</w:t>
                  </w:r>
                </w:p>
              </w:tc>
            </w:tr>
          </w:tbl>
          <w:p>
            <w:pPr>
              <w:pStyle w:val="47"/>
              <w:adjustRightInd w:val="0"/>
              <w:snapToGrid w:val="0"/>
              <w:spacing w:line="240" w:lineRule="auto"/>
              <w:ind w:firstLine="0"/>
              <w:outlineLvl w:val="2"/>
              <w:rPr>
                <w:b/>
                <w:color w:val="auto"/>
                <w:sz w:val="21"/>
                <w:szCs w:val="24"/>
              </w:rPr>
            </w:pPr>
          </w:p>
          <w:p>
            <w:pPr>
              <w:pStyle w:val="47"/>
              <w:adjustRightInd w:val="0"/>
              <w:snapToGrid w:val="0"/>
              <w:ind w:firstLine="0"/>
              <w:outlineLvl w:val="2"/>
              <w:rPr>
                <w:b/>
                <w:color w:val="auto"/>
                <w:szCs w:val="24"/>
              </w:rPr>
            </w:pPr>
            <w:r>
              <w:rPr>
                <w:rFonts w:hint="eastAsia"/>
                <w:b/>
                <w:color w:val="auto"/>
                <w:szCs w:val="24"/>
              </w:rPr>
              <w:t>2.5</w:t>
            </w:r>
            <w:r>
              <w:rPr>
                <w:b/>
                <w:color w:val="auto"/>
                <w:szCs w:val="24"/>
              </w:rPr>
              <w:t>原辅材料及</w:t>
            </w:r>
            <w:r>
              <w:rPr>
                <w:rFonts w:hint="eastAsia"/>
                <w:b/>
                <w:color w:val="auto"/>
                <w:szCs w:val="24"/>
              </w:rPr>
              <w:t>能源消耗</w:t>
            </w:r>
          </w:p>
          <w:p>
            <w:pPr>
              <w:pStyle w:val="47"/>
              <w:adjustRightInd w:val="0"/>
              <w:snapToGrid w:val="0"/>
              <w:ind w:firstLine="480" w:firstLineChars="200"/>
              <w:outlineLvl w:val="2"/>
              <w:rPr>
                <w:color w:val="auto"/>
                <w:szCs w:val="24"/>
              </w:rPr>
            </w:pPr>
            <w:r>
              <w:rPr>
                <w:rFonts w:hint="eastAsia"/>
                <w:color w:val="auto"/>
                <w:szCs w:val="24"/>
              </w:rPr>
              <w:t>本项目原辅材料及能源消耗情况见表2-4。</w:t>
            </w:r>
          </w:p>
          <w:p>
            <w:pPr>
              <w:adjustRightInd w:val="0"/>
              <w:snapToGrid w:val="0"/>
              <w:jc w:val="center"/>
              <w:rPr>
                <w:b/>
                <w:bCs/>
                <w:color w:val="auto"/>
                <w:szCs w:val="21"/>
              </w:rPr>
            </w:pPr>
            <w:r>
              <w:rPr>
                <w:b/>
                <w:bCs/>
                <w:color w:val="auto"/>
                <w:szCs w:val="21"/>
              </w:rPr>
              <w:t>表</w:t>
            </w:r>
            <w:r>
              <w:rPr>
                <w:rFonts w:hint="eastAsia"/>
                <w:b/>
                <w:bCs/>
                <w:color w:val="auto"/>
                <w:szCs w:val="21"/>
              </w:rPr>
              <w:t>2-4</w:t>
            </w:r>
            <w:r>
              <w:rPr>
                <w:b/>
                <w:bCs/>
                <w:color w:val="auto"/>
                <w:szCs w:val="21"/>
              </w:rPr>
              <w:t xml:space="preserve">   原辅材料及能源消耗一览表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1046"/>
              <w:gridCol w:w="1047"/>
              <w:gridCol w:w="1047"/>
              <w:gridCol w:w="1047"/>
              <w:gridCol w:w="1047"/>
              <w:gridCol w:w="1198"/>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6" w:type="dxa"/>
                  <w:vMerge w:val="restart"/>
                  <w:vAlign w:val="center"/>
                </w:tcPr>
                <w:p>
                  <w:pPr>
                    <w:widowControl/>
                    <w:adjustRightInd w:val="0"/>
                    <w:snapToGrid w:val="0"/>
                    <w:jc w:val="center"/>
                    <w:rPr>
                      <w:color w:val="auto"/>
                      <w:kern w:val="0"/>
                      <w:szCs w:val="18"/>
                    </w:rPr>
                  </w:pPr>
                  <w:r>
                    <w:rPr>
                      <w:color w:val="auto"/>
                      <w:kern w:val="0"/>
                      <w:szCs w:val="18"/>
                    </w:rPr>
                    <w:t>名称</w:t>
                  </w:r>
                </w:p>
              </w:tc>
              <w:tc>
                <w:tcPr>
                  <w:tcW w:w="1046" w:type="dxa"/>
                  <w:vMerge w:val="restart"/>
                  <w:vAlign w:val="center"/>
                </w:tcPr>
                <w:p>
                  <w:pPr>
                    <w:widowControl/>
                    <w:adjustRightInd w:val="0"/>
                    <w:snapToGrid w:val="0"/>
                    <w:jc w:val="center"/>
                    <w:rPr>
                      <w:color w:val="auto"/>
                      <w:kern w:val="0"/>
                      <w:szCs w:val="18"/>
                    </w:rPr>
                  </w:pPr>
                  <w:r>
                    <w:rPr>
                      <w:color w:val="auto"/>
                      <w:kern w:val="0"/>
                      <w:szCs w:val="18"/>
                    </w:rPr>
                    <w:t>单位</w:t>
                  </w:r>
                </w:p>
              </w:tc>
              <w:tc>
                <w:tcPr>
                  <w:tcW w:w="3141" w:type="dxa"/>
                  <w:gridSpan w:val="3"/>
                </w:tcPr>
                <w:p>
                  <w:pPr>
                    <w:adjustRightInd w:val="0"/>
                    <w:snapToGrid w:val="0"/>
                    <w:jc w:val="center"/>
                    <w:rPr>
                      <w:b/>
                      <w:bCs/>
                      <w:color w:val="auto"/>
                      <w:szCs w:val="21"/>
                    </w:rPr>
                  </w:pPr>
                  <w:r>
                    <w:rPr>
                      <w:color w:val="auto"/>
                      <w:kern w:val="0"/>
                      <w:szCs w:val="18"/>
                    </w:rPr>
                    <w:t>消耗量</w:t>
                  </w:r>
                </w:p>
              </w:tc>
              <w:tc>
                <w:tcPr>
                  <w:tcW w:w="1047" w:type="dxa"/>
                  <w:vMerge w:val="restart"/>
                  <w:vAlign w:val="center"/>
                </w:tcPr>
                <w:p>
                  <w:pPr>
                    <w:widowControl/>
                    <w:adjustRightInd w:val="0"/>
                    <w:snapToGrid w:val="0"/>
                    <w:jc w:val="center"/>
                    <w:rPr>
                      <w:color w:val="auto"/>
                      <w:kern w:val="0"/>
                      <w:szCs w:val="18"/>
                    </w:rPr>
                  </w:pPr>
                  <w:r>
                    <w:rPr>
                      <w:color w:val="auto"/>
                      <w:kern w:val="0"/>
                      <w:szCs w:val="18"/>
                    </w:rPr>
                    <w:t>厂区内</w:t>
                  </w:r>
                </w:p>
                <w:p>
                  <w:pPr>
                    <w:widowControl/>
                    <w:adjustRightInd w:val="0"/>
                    <w:snapToGrid w:val="0"/>
                    <w:jc w:val="center"/>
                    <w:rPr>
                      <w:b/>
                      <w:bCs/>
                      <w:color w:val="auto"/>
                      <w:kern w:val="0"/>
                      <w:szCs w:val="18"/>
                    </w:rPr>
                  </w:pPr>
                  <w:r>
                    <w:rPr>
                      <w:color w:val="auto"/>
                      <w:kern w:val="0"/>
                      <w:szCs w:val="18"/>
                    </w:rPr>
                    <w:t>最大暂存量</w:t>
                  </w:r>
                </w:p>
              </w:tc>
              <w:tc>
                <w:tcPr>
                  <w:tcW w:w="1198" w:type="dxa"/>
                  <w:vMerge w:val="restart"/>
                  <w:vAlign w:val="center"/>
                </w:tcPr>
                <w:p>
                  <w:pPr>
                    <w:widowControl/>
                    <w:adjustRightInd w:val="0"/>
                    <w:snapToGrid w:val="0"/>
                    <w:jc w:val="center"/>
                    <w:rPr>
                      <w:color w:val="auto"/>
                      <w:kern w:val="0"/>
                      <w:szCs w:val="18"/>
                    </w:rPr>
                  </w:pPr>
                  <w:r>
                    <w:rPr>
                      <w:rFonts w:hint="eastAsia"/>
                      <w:color w:val="auto"/>
                      <w:kern w:val="0"/>
                      <w:szCs w:val="18"/>
                    </w:rPr>
                    <w:t>来源</w:t>
                  </w:r>
                </w:p>
              </w:tc>
              <w:tc>
                <w:tcPr>
                  <w:tcW w:w="896" w:type="dxa"/>
                  <w:vMerge w:val="restart"/>
                  <w:vAlign w:val="center"/>
                </w:tcPr>
                <w:p>
                  <w:pPr>
                    <w:adjustRightInd w:val="0"/>
                    <w:snapToGrid w:val="0"/>
                    <w:jc w:val="center"/>
                    <w:rPr>
                      <w:bCs/>
                      <w:color w:val="auto"/>
                      <w:szCs w:val="21"/>
                    </w:rPr>
                  </w:pPr>
                  <w:r>
                    <w:rPr>
                      <w:rFonts w:hint="eastAsia"/>
                      <w:bCs/>
                      <w:color w:val="auto"/>
                      <w:szCs w:val="21"/>
                    </w:rPr>
                    <w:t>储存</w:t>
                  </w:r>
                </w:p>
                <w:p>
                  <w:pPr>
                    <w:adjustRightInd w:val="0"/>
                    <w:snapToGrid w:val="0"/>
                    <w:jc w:val="center"/>
                    <w:rPr>
                      <w:bCs/>
                      <w:color w:val="auto"/>
                      <w:szCs w:val="21"/>
                    </w:rPr>
                  </w:pPr>
                  <w:r>
                    <w:rPr>
                      <w:rFonts w:hint="eastAsia"/>
                      <w:bCs/>
                      <w:color w:val="auto"/>
                      <w:szCs w:val="21"/>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6" w:type="dxa"/>
                  <w:vMerge w:val="continue"/>
                  <w:vAlign w:val="center"/>
                </w:tcPr>
                <w:p>
                  <w:pPr>
                    <w:widowControl/>
                    <w:snapToGrid w:val="0"/>
                    <w:jc w:val="center"/>
                    <w:rPr>
                      <w:color w:val="auto"/>
                      <w:kern w:val="0"/>
                      <w:szCs w:val="21"/>
                    </w:rPr>
                  </w:pPr>
                </w:p>
              </w:tc>
              <w:tc>
                <w:tcPr>
                  <w:tcW w:w="1046" w:type="dxa"/>
                  <w:vMerge w:val="continue"/>
                  <w:vAlign w:val="center"/>
                </w:tcPr>
                <w:p>
                  <w:pPr>
                    <w:widowControl/>
                    <w:snapToGrid w:val="0"/>
                    <w:jc w:val="center"/>
                    <w:rPr>
                      <w:color w:val="auto"/>
                      <w:kern w:val="0"/>
                      <w:szCs w:val="21"/>
                    </w:rPr>
                  </w:pPr>
                </w:p>
              </w:tc>
              <w:tc>
                <w:tcPr>
                  <w:tcW w:w="1047" w:type="dxa"/>
                  <w:vAlign w:val="center"/>
                </w:tcPr>
                <w:p>
                  <w:pPr>
                    <w:widowControl/>
                    <w:snapToGrid w:val="0"/>
                    <w:jc w:val="center"/>
                    <w:rPr>
                      <w:color w:val="auto"/>
                      <w:kern w:val="0"/>
                      <w:szCs w:val="21"/>
                    </w:rPr>
                  </w:pPr>
                  <w:r>
                    <w:rPr>
                      <w:rFonts w:hint="eastAsia"/>
                      <w:color w:val="auto"/>
                      <w:kern w:val="0"/>
                      <w:szCs w:val="21"/>
                    </w:rPr>
                    <w:t>原有</w:t>
                  </w:r>
                </w:p>
              </w:tc>
              <w:tc>
                <w:tcPr>
                  <w:tcW w:w="1047" w:type="dxa"/>
                  <w:vAlign w:val="center"/>
                </w:tcPr>
                <w:p>
                  <w:pPr>
                    <w:widowControl/>
                    <w:snapToGrid w:val="0"/>
                    <w:jc w:val="center"/>
                    <w:rPr>
                      <w:color w:val="auto"/>
                      <w:kern w:val="0"/>
                      <w:szCs w:val="21"/>
                    </w:rPr>
                  </w:pPr>
                  <w:r>
                    <w:rPr>
                      <w:color w:val="auto"/>
                      <w:kern w:val="0"/>
                      <w:szCs w:val="21"/>
                    </w:rPr>
                    <w:t>本次改扩建</w:t>
                  </w:r>
                </w:p>
              </w:tc>
              <w:tc>
                <w:tcPr>
                  <w:tcW w:w="1047" w:type="dxa"/>
                  <w:vAlign w:val="center"/>
                </w:tcPr>
                <w:p>
                  <w:pPr>
                    <w:widowControl/>
                    <w:snapToGrid w:val="0"/>
                    <w:jc w:val="center"/>
                    <w:rPr>
                      <w:color w:val="auto"/>
                      <w:kern w:val="0"/>
                      <w:szCs w:val="21"/>
                    </w:rPr>
                  </w:pPr>
                  <w:r>
                    <w:rPr>
                      <w:color w:val="auto"/>
                      <w:kern w:val="0"/>
                      <w:szCs w:val="21"/>
                    </w:rPr>
                    <w:t>全厂</w:t>
                  </w:r>
                </w:p>
              </w:tc>
              <w:tc>
                <w:tcPr>
                  <w:tcW w:w="1047" w:type="dxa"/>
                  <w:vMerge w:val="continue"/>
                </w:tcPr>
                <w:p>
                  <w:pPr>
                    <w:adjustRightInd w:val="0"/>
                    <w:snapToGrid w:val="0"/>
                    <w:jc w:val="center"/>
                    <w:rPr>
                      <w:b/>
                      <w:bCs/>
                      <w:color w:val="auto"/>
                      <w:szCs w:val="21"/>
                    </w:rPr>
                  </w:pPr>
                </w:p>
              </w:tc>
              <w:tc>
                <w:tcPr>
                  <w:tcW w:w="1198" w:type="dxa"/>
                  <w:vMerge w:val="continue"/>
                </w:tcPr>
                <w:p>
                  <w:pPr>
                    <w:adjustRightInd w:val="0"/>
                    <w:snapToGrid w:val="0"/>
                    <w:jc w:val="center"/>
                    <w:rPr>
                      <w:b/>
                      <w:bCs/>
                      <w:color w:val="auto"/>
                      <w:szCs w:val="21"/>
                    </w:rPr>
                  </w:pPr>
                </w:p>
              </w:tc>
              <w:tc>
                <w:tcPr>
                  <w:tcW w:w="896" w:type="dxa"/>
                  <w:vMerge w:val="continue"/>
                  <w:vAlign w:val="center"/>
                </w:tcPr>
                <w:p>
                  <w:pPr>
                    <w:adjustRightInd w:val="0"/>
                    <w:snapToGrid w:val="0"/>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6" w:type="dxa"/>
                  <w:vAlign w:val="center"/>
                </w:tcPr>
                <w:p>
                  <w:pPr>
                    <w:widowControl/>
                    <w:snapToGrid w:val="0"/>
                    <w:jc w:val="center"/>
                    <w:rPr>
                      <w:color w:val="auto"/>
                      <w:kern w:val="0"/>
                      <w:szCs w:val="21"/>
                      <w:lang w:bidi="ar"/>
                    </w:rPr>
                  </w:pPr>
                  <w:r>
                    <w:rPr>
                      <w:color w:val="auto"/>
                      <w:kern w:val="0"/>
                      <w:szCs w:val="21"/>
                      <w:lang w:bidi="ar"/>
                    </w:rPr>
                    <w:t>粘土矿</w:t>
                  </w:r>
                </w:p>
              </w:tc>
              <w:tc>
                <w:tcPr>
                  <w:tcW w:w="1046" w:type="dxa"/>
                  <w:vAlign w:val="center"/>
                </w:tcPr>
                <w:p>
                  <w:pPr>
                    <w:widowControl/>
                    <w:snapToGrid w:val="0"/>
                    <w:jc w:val="center"/>
                    <w:rPr>
                      <w:color w:val="auto"/>
                      <w:kern w:val="0"/>
                      <w:szCs w:val="21"/>
                      <w:lang w:bidi="ar"/>
                    </w:rPr>
                  </w:pPr>
                  <w:r>
                    <w:rPr>
                      <w:color w:val="auto"/>
                      <w:kern w:val="0"/>
                      <w:szCs w:val="21"/>
                      <w:lang w:bidi="ar"/>
                    </w:rPr>
                    <w:t>吨/年</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28000</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42000</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70000</w:t>
                  </w:r>
                </w:p>
              </w:tc>
              <w:tc>
                <w:tcPr>
                  <w:tcW w:w="1047" w:type="dxa"/>
                  <w:vAlign w:val="center"/>
                </w:tcPr>
                <w:p>
                  <w:pPr>
                    <w:widowControl/>
                    <w:snapToGrid w:val="0"/>
                    <w:jc w:val="center"/>
                    <w:rPr>
                      <w:color w:val="auto"/>
                      <w:kern w:val="0"/>
                      <w:szCs w:val="21"/>
                      <w:lang w:bidi="ar"/>
                    </w:rPr>
                  </w:pPr>
                  <w:r>
                    <w:rPr>
                      <w:color w:val="auto"/>
                      <w:kern w:val="0"/>
                      <w:szCs w:val="21"/>
                      <w:lang w:bidi="ar"/>
                    </w:rPr>
                    <w:t>5000</w:t>
                  </w:r>
                </w:p>
              </w:tc>
              <w:tc>
                <w:tcPr>
                  <w:tcW w:w="1198" w:type="dxa"/>
                  <w:vAlign w:val="center"/>
                </w:tcPr>
                <w:p>
                  <w:pPr>
                    <w:widowControl/>
                    <w:snapToGrid w:val="0"/>
                    <w:jc w:val="center"/>
                    <w:rPr>
                      <w:color w:val="auto"/>
                      <w:kern w:val="0"/>
                      <w:szCs w:val="21"/>
                      <w:lang w:bidi="ar"/>
                    </w:rPr>
                  </w:pPr>
                  <w:r>
                    <w:rPr>
                      <w:rFonts w:hint="eastAsia"/>
                      <w:color w:val="auto"/>
                      <w:kern w:val="0"/>
                      <w:szCs w:val="21"/>
                      <w:lang w:bidi="ar"/>
                    </w:rPr>
                    <w:t>外购</w:t>
                  </w:r>
                </w:p>
              </w:tc>
              <w:tc>
                <w:tcPr>
                  <w:tcW w:w="896" w:type="dxa"/>
                  <w:vMerge w:val="restart"/>
                  <w:vAlign w:val="center"/>
                </w:tcPr>
                <w:p>
                  <w:pPr>
                    <w:adjustRightInd w:val="0"/>
                    <w:snapToGrid w:val="0"/>
                    <w:jc w:val="center"/>
                    <w:rPr>
                      <w:bCs/>
                      <w:color w:val="auto"/>
                      <w:szCs w:val="21"/>
                    </w:rPr>
                  </w:pPr>
                  <w:r>
                    <w:rPr>
                      <w:rFonts w:hint="eastAsia"/>
                      <w:bCs/>
                      <w:color w:val="auto"/>
                      <w:szCs w:val="21"/>
                    </w:rPr>
                    <w:t>原料</w:t>
                  </w:r>
                </w:p>
                <w:p>
                  <w:pPr>
                    <w:adjustRightInd w:val="0"/>
                    <w:snapToGrid w:val="0"/>
                    <w:jc w:val="center"/>
                    <w:rPr>
                      <w:bCs/>
                      <w:color w:val="auto"/>
                      <w:szCs w:val="21"/>
                    </w:rPr>
                  </w:pPr>
                  <w:r>
                    <w:rPr>
                      <w:rFonts w:hint="eastAsia"/>
                      <w:bCs/>
                      <w:color w:val="auto"/>
                      <w:szCs w:val="21"/>
                    </w:rPr>
                    <w:t>堆棚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6" w:type="dxa"/>
                  <w:vAlign w:val="center"/>
                </w:tcPr>
                <w:p>
                  <w:pPr>
                    <w:widowControl/>
                    <w:snapToGrid w:val="0"/>
                    <w:jc w:val="center"/>
                    <w:rPr>
                      <w:color w:val="auto"/>
                      <w:kern w:val="0"/>
                      <w:szCs w:val="21"/>
                      <w:lang w:bidi="ar"/>
                    </w:rPr>
                  </w:pPr>
                  <w:r>
                    <w:rPr>
                      <w:color w:val="auto"/>
                      <w:kern w:val="0"/>
                      <w:szCs w:val="21"/>
                      <w:lang w:bidi="ar"/>
                    </w:rPr>
                    <w:t>高铝矿</w:t>
                  </w:r>
                </w:p>
              </w:tc>
              <w:tc>
                <w:tcPr>
                  <w:tcW w:w="1046" w:type="dxa"/>
                  <w:vAlign w:val="center"/>
                </w:tcPr>
                <w:p>
                  <w:pPr>
                    <w:widowControl/>
                    <w:snapToGrid w:val="0"/>
                    <w:jc w:val="center"/>
                    <w:rPr>
                      <w:color w:val="auto"/>
                      <w:kern w:val="0"/>
                      <w:szCs w:val="21"/>
                      <w:lang w:bidi="ar"/>
                    </w:rPr>
                  </w:pPr>
                  <w:r>
                    <w:rPr>
                      <w:color w:val="auto"/>
                      <w:kern w:val="0"/>
                      <w:szCs w:val="21"/>
                      <w:lang w:bidi="ar"/>
                    </w:rPr>
                    <w:t>吨/年</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9600</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14400</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24000</w:t>
                  </w:r>
                </w:p>
              </w:tc>
              <w:tc>
                <w:tcPr>
                  <w:tcW w:w="1047" w:type="dxa"/>
                  <w:vAlign w:val="center"/>
                </w:tcPr>
                <w:p>
                  <w:pPr>
                    <w:widowControl/>
                    <w:snapToGrid w:val="0"/>
                    <w:jc w:val="center"/>
                    <w:rPr>
                      <w:color w:val="auto"/>
                      <w:kern w:val="0"/>
                      <w:szCs w:val="21"/>
                      <w:lang w:bidi="ar"/>
                    </w:rPr>
                  </w:pPr>
                  <w:r>
                    <w:rPr>
                      <w:color w:val="auto"/>
                      <w:kern w:val="0"/>
                      <w:szCs w:val="21"/>
                      <w:lang w:bidi="ar"/>
                    </w:rPr>
                    <w:t>1000</w:t>
                  </w:r>
                </w:p>
              </w:tc>
              <w:tc>
                <w:tcPr>
                  <w:tcW w:w="1198" w:type="dxa"/>
                  <w:vAlign w:val="center"/>
                </w:tcPr>
                <w:p>
                  <w:pPr>
                    <w:widowControl/>
                    <w:snapToGrid w:val="0"/>
                    <w:jc w:val="center"/>
                    <w:rPr>
                      <w:color w:val="auto"/>
                      <w:kern w:val="0"/>
                      <w:szCs w:val="21"/>
                      <w:lang w:bidi="ar"/>
                    </w:rPr>
                  </w:pPr>
                  <w:r>
                    <w:rPr>
                      <w:rFonts w:hint="eastAsia"/>
                      <w:color w:val="auto"/>
                      <w:kern w:val="0"/>
                      <w:szCs w:val="21"/>
                      <w:lang w:bidi="ar"/>
                    </w:rPr>
                    <w:t>外购</w:t>
                  </w:r>
                </w:p>
              </w:tc>
              <w:tc>
                <w:tcPr>
                  <w:tcW w:w="896" w:type="dxa"/>
                  <w:vMerge w:val="continue"/>
                  <w:vAlign w:val="center"/>
                </w:tcPr>
                <w:p>
                  <w:pPr>
                    <w:adjustRightInd w:val="0"/>
                    <w:snapToGrid w:val="0"/>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6" w:type="dxa"/>
                  <w:vAlign w:val="center"/>
                </w:tcPr>
                <w:p>
                  <w:pPr>
                    <w:widowControl/>
                    <w:snapToGrid w:val="0"/>
                    <w:jc w:val="center"/>
                    <w:rPr>
                      <w:color w:val="auto"/>
                      <w:kern w:val="0"/>
                      <w:szCs w:val="21"/>
                      <w:lang w:bidi="ar"/>
                    </w:rPr>
                  </w:pPr>
                  <w:r>
                    <w:rPr>
                      <w:color w:val="auto"/>
                      <w:kern w:val="0"/>
                      <w:szCs w:val="21"/>
                      <w:lang w:bidi="ar"/>
                    </w:rPr>
                    <w:t>白泥</w:t>
                  </w:r>
                </w:p>
              </w:tc>
              <w:tc>
                <w:tcPr>
                  <w:tcW w:w="1046" w:type="dxa"/>
                  <w:vAlign w:val="center"/>
                </w:tcPr>
                <w:p>
                  <w:pPr>
                    <w:widowControl/>
                    <w:snapToGrid w:val="0"/>
                    <w:jc w:val="center"/>
                    <w:rPr>
                      <w:color w:val="auto"/>
                      <w:kern w:val="0"/>
                      <w:szCs w:val="21"/>
                      <w:lang w:bidi="ar"/>
                    </w:rPr>
                  </w:pPr>
                  <w:r>
                    <w:rPr>
                      <w:color w:val="auto"/>
                      <w:kern w:val="0"/>
                      <w:szCs w:val="21"/>
                      <w:lang w:bidi="ar"/>
                    </w:rPr>
                    <w:t>吨/年</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2400</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3600</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6000</w:t>
                  </w:r>
                </w:p>
              </w:tc>
              <w:tc>
                <w:tcPr>
                  <w:tcW w:w="1047" w:type="dxa"/>
                  <w:vAlign w:val="center"/>
                </w:tcPr>
                <w:p>
                  <w:pPr>
                    <w:widowControl/>
                    <w:snapToGrid w:val="0"/>
                    <w:jc w:val="center"/>
                    <w:rPr>
                      <w:color w:val="auto"/>
                      <w:kern w:val="0"/>
                      <w:szCs w:val="21"/>
                      <w:lang w:bidi="ar"/>
                    </w:rPr>
                  </w:pPr>
                  <w:r>
                    <w:rPr>
                      <w:color w:val="auto"/>
                      <w:kern w:val="0"/>
                      <w:szCs w:val="21"/>
                      <w:lang w:bidi="ar"/>
                    </w:rPr>
                    <w:t>100</w:t>
                  </w:r>
                </w:p>
              </w:tc>
              <w:tc>
                <w:tcPr>
                  <w:tcW w:w="1198" w:type="dxa"/>
                  <w:vAlign w:val="center"/>
                </w:tcPr>
                <w:p>
                  <w:pPr>
                    <w:widowControl/>
                    <w:snapToGrid w:val="0"/>
                    <w:jc w:val="center"/>
                    <w:rPr>
                      <w:color w:val="auto"/>
                      <w:kern w:val="0"/>
                      <w:szCs w:val="21"/>
                      <w:lang w:bidi="ar"/>
                    </w:rPr>
                  </w:pPr>
                  <w:r>
                    <w:rPr>
                      <w:rFonts w:hint="eastAsia"/>
                      <w:color w:val="auto"/>
                      <w:kern w:val="0"/>
                      <w:szCs w:val="21"/>
                      <w:lang w:bidi="ar"/>
                    </w:rPr>
                    <w:t>外购</w:t>
                  </w:r>
                </w:p>
              </w:tc>
              <w:tc>
                <w:tcPr>
                  <w:tcW w:w="896" w:type="dxa"/>
                  <w:vMerge w:val="continue"/>
                  <w:vAlign w:val="center"/>
                </w:tcPr>
                <w:p>
                  <w:pPr>
                    <w:adjustRightInd w:val="0"/>
                    <w:snapToGrid w:val="0"/>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6" w:type="dxa"/>
                  <w:vAlign w:val="center"/>
                </w:tcPr>
                <w:p>
                  <w:pPr>
                    <w:widowControl/>
                    <w:snapToGrid w:val="0"/>
                    <w:jc w:val="center"/>
                    <w:rPr>
                      <w:color w:val="auto"/>
                      <w:kern w:val="0"/>
                      <w:szCs w:val="21"/>
                      <w:lang w:bidi="ar"/>
                    </w:rPr>
                  </w:pPr>
                  <w:r>
                    <w:rPr>
                      <w:color w:val="auto"/>
                      <w:kern w:val="0"/>
                      <w:szCs w:val="21"/>
                      <w:lang w:bidi="ar"/>
                    </w:rPr>
                    <w:t>天然气</w:t>
                  </w:r>
                </w:p>
              </w:tc>
              <w:tc>
                <w:tcPr>
                  <w:tcW w:w="1046" w:type="dxa"/>
                  <w:vAlign w:val="center"/>
                </w:tcPr>
                <w:p>
                  <w:pPr>
                    <w:widowControl/>
                    <w:snapToGrid w:val="0"/>
                    <w:jc w:val="center"/>
                    <w:rPr>
                      <w:color w:val="auto"/>
                      <w:kern w:val="0"/>
                      <w:szCs w:val="21"/>
                      <w:lang w:bidi="ar"/>
                    </w:rPr>
                  </w:pPr>
                  <w:r>
                    <w:rPr>
                      <w:color w:val="auto"/>
                      <w:kern w:val="0"/>
                      <w:szCs w:val="21"/>
                      <w:lang w:bidi="ar"/>
                    </w:rPr>
                    <w:t>m</w:t>
                  </w:r>
                  <w:r>
                    <w:rPr>
                      <w:color w:val="auto"/>
                      <w:kern w:val="0"/>
                      <w:szCs w:val="21"/>
                      <w:vertAlign w:val="superscript"/>
                      <w:lang w:bidi="ar"/>
                    </w:rPr>
                    <w:t>3</w:t>
                  </w:r>
                  <w:r>
                    <w:rPr>
                      <w:color w:val="auto"/>
                      <w:kern w:val="0"/>
                      <w:szCs w:val="21"/>
                      <w:lang w:bidi="ar"/>
                    </w:rPr>
                    <w:t>/年</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0</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4500000</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4500000</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0.45</w:t>
                  </w:r>
                </w:p>
              </w:tc>
              <w:tc>
                <w:tcPr>
                  <w:tcW w:w="1198" w:type="dxa"/>
                  <w:vAlign w:val="center"/>
                </w:tcPr>
                <w:p>
                  <w:pPr>
                    <w:widowControl/>
                    <w:snapToGrid w:val="0"/>
                    <w:jc w:val="center"/>
                    <w:rPr>
                      <w:color w:val="auto"/>
                      <w:kern w:val="0"/>
                      <w:szCs w:val="21"/>
                      <w:lang w:bidi="ar"/>
                    </w:rPr>
                  </w:pPr>
                  <w:r>
                    <w:rPr>
                      <w:rFonts w:hint="eastAsia"/>
                      <w:color w:val="auto"/>
                      <w:kern w:val="0"/>
                      <w:szCs w:val="21"/>
                      <w:lang w:bidi="ar"/>
                    </w:rPr>
                    <w:t>管网供给</w:t>
                  </w:r>
                </w:p>
              </w:tc>
              <w:tc>
                <w:tcPr>
                  <w:tcW w:w="896" w:type="dxa"/>
                  <w:vAlign w:val="center"/>
                </w:tcPr>
                <w:p>
                  <w:pPr>
                    <w:adjustRightInd w:val="0"/>
                    <w:snapToGrid w:val="0"/>
                    <w:jc w:val="center"/>
                    <w:rPr>
                      <w:bCs/>
                      <w:color w:val="auto"/>
                      <w:szCs w:val="21"/>
                    </w:rPr>
                  </w:pPr>
                  <w:r>
                    <w:rPr>
                      <w:rFonts w:hint="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6" w:type="dxa"/>
                  <w:vAlign w:val="center"/>
                </w:tcPr>
                <w:p>
                  <w:pPr>
                    <w:widowControl/>
                    <w:snapToGrid w:val="0"/>
                    <w:jc w:val="center"/>
                    <w:rPr>
                      <w:color w:val="auto"/>
                      <w:kern w:val="0"/>
                      <w:szCs w:val="21"/>
                      <w:lang w:bidi="ar"/>
                    </w:rPr>
                  </w:pPr>
                  <w:r>
                    <w:rPr>
                      <w:color w:val="auto"/>
                      <w:kern w:val="0"/>
                      <w:szCs w:val="21"/>
                      <w:lang w:bidi="ar"/>
                    </w:rPr>
                    <w:t>精煤</w:t>
                  </w:r>
                </w:p>
              </w:tc>
              <w:tc>
                <w:tcPr>
                  <w:tcW w:w="1046" w:type="dxa"/>
                  <w:vAlign w:val="center"/>
                </w:tcPr>
                <w:p>
                  <w:pPr>
                    <w:widowControl/>
                    <w:snapToGrid w:val="0"/>
                    <w:jc w:val="center"/>
                    <w:rPr>
                      <w:color w:val="auto"/>
                      <w:kern w:val="0"/>
                      <w:szCs w:val="21"/>
                      <w:lang w:bidi="ar"/>
                    </w:rPr>
                  </w:pPr>
                  <w:r>
                    <w:rPr>
                      <w:color w:val="auto"/>
                      <w:kern w:val="0"/>
                      <w:szCs w:val="21"/>
                      <w:lang w:bidi="ar"/>
                    </w:rPr>
                    <w:t>吨/年</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6315.8</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0</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0</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0</w:t>
                  </w:r>
                </w:p>
              </w:tc>
              <w:tc>
                <w:tcPr>
                  <w:tcW w:w="1198" w:type="dxa"/>
                  <w:vAlign w:val="center"/>
                </w:tcPr>
                <w:p>
                  <w:pPr>
                    <w:widowControl/>
                    <w:snapToGrid w:val="0"/>
                    <w:jc w:val="center"/>
                    <w:rPr>
                      <w:color w:val="auto"/>
                      <w:kern w:val="0"/>
                      <w:szCs w:val="21"/>
                      <w:lang w:bidi="ar"/>
                    </w:rPr>
                  </w:pPr>
                  <w:r>
                    <w:rPr>
                      <w:rFonts w:hint="eastAsia"/>
                      <w:color w:val="auto"/>
                      <w:kern w:val="0"/>
                      <w:szCs w:val="21"/>
                      <w:lang w:bidi="ar"/>
                    </w:rPr>
                    <w:t>外购</w:t>
                  </w:r>
                </w:p>
              </w:tc>
              <w:tc>
                <w:tcPr>
                  <w:tcW w:w="896" w:type="dxa"/>
                  <w:vAlign w:val="center"/>
                </w:tcPr>
                <w:p>
                  <w:pPr>
                    <w:adjustRightInd w:val="0"/>
                    <w:snapToGrid w:val="0"/>
                    <w:jc w:val="center"/>
                    <w:rPr>
                      <w:bCs/>
                      <w:color w:val="auto"/>
                      <w:szCs w:val="21"/>
                    </w:rPr>
                  </w:pPr>
                  <w:r>
                    <w:rPr>
                      <w:rFonts w:hint="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6" w:type="dxa"/>
                  <w:vAlign w:val="center"/>
                </w:tcPr>
                <w:p>
                  <w:pPr>
                    <w:widowControl/>
                    <w:snapToGrid w:val="0"/>
                    <w:jc w:val="center"/>
                    <w:rPr>
                      <w:color w:val="auto"/>
                      <w:kern w:val="0"/>
                      <w:szCs w:val="21"/>
                      <w:lang w:bidi="ar"/>
                    </w:rPr>
                  </w:pPr>
                  <w:r>
                    <w:rPr>
                      <w:rFonts w:hint="eastAsia"/>
                      <w:color w:val="auto"/>
                      <w:kern w:val="0"/>
                      <w:szCs w:val="21"/>
                      <w:lang w:bidi="ar"/>
                    </w:rPr>
                    <w:t>水</w:t>
                  </w:r>
                </w:p>
              </w:tc>
              <w:tc>
                <w:tcPr>
                  <w:tcW w:w="1046" w:type="dxa"/>
                  <w:vAlign w:val="center"/>
                </w:tcPr>
                <w:p>
                  <w:pPr>
                    <w:widowControl/>
                    <w:snapToGrid w:val="0"/>
                    <w:jc w:val="center"/>
                    <w:rPr>
                      <w:color w:val="auto"/>
                      <w:kern w:val="0"/>
                      <w:szCs w:val="21"/>
                      <w:lang w:bidi="ar"/>
                    </w:rPr>
                  </w:pPr>
                  <w:r>
                    <w:rPr>
                      <w:rFonts w:hint="eastAsia"/>
                      <w:color w:val="auto"/>
                      <w:kern w:val="0"/>
                      <w:szCs w:val="21"/>
                      <w:lang w:bidi="ar"/>
                    </w:rPr>
                    <w:t>m</w:t>
                  </w:r>
                  <w:r>
                    <w:rPr>
                      <w:rFonts w:hint="eastAsia"/>
                      <w:color w:val="auto"/>
                      <w:kern w:val="0"/>
                      <w:szCs w:val="21"/>
                      <w:vertAlign w:val="superscript"/>
                      <w:lang w:bidi="ar"/>
                    </w:rPr>
                    <w:t>3</w:t>
                  </w:r>
                  <w:r>
                    <w:rPr>
                      <w:rFonts w:hint="eastAsia"/>
                      <w:color w:val="auto"/>
                      <w:kern w:val="0"/>
                      <w:szCs w:val="21"/>
                      <w:lang w:bidi="ar"/>
                    </w:rPr>
                    <w:t>/a</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7136.48</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6696</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6696</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w:t>
                  </w:r>
                </w:p>
              </w:tc>
              <w:tc>
                <w:tcPr>
                  <w:tcW w:w="1198" w:type="dxa"/>
                  <w:vAlign w:val="center"/>
                </w:tcPr>
                <w:p>
                  <w:pPr>
                    <w:widowControl/>
                    <w:snapToGrid w:val="0"/>
                    <w:jc w:val="center"/>
                    <w:rPr>
                      <w:color w:val="auto"/>
                      <w:kern w:val="0"/>
                      <w:szCs w:val="21"/>
                      <w:lang w:bidi="ar"/>
                    </w:rPr>
                  </w:pPr>
                  <w:r>
                    <w:rPr>
                      <w:rFonts w:hint="eastAsia"/>
                      <w:color w:val="auto"/>
                      <w:kern w:val="0"/>
                      <w:szCs w:val="21"/>
                      <w:lang w:bidi="ar"/>
                    </w:rPr>
                    <w:t>市政管网供给</w:t>
                  </w:r>
                </w:p>
              </w:tc>
              <w:tc>
                <w:tcPr>
                  <w:tcW w:w="896" w:type="dxa"/>
                  <w:vAlign w:val="center"/>
                </w:tcPr>
                <w:p>
                  <w:pPr>
                    <w:adjustRightInd w:val="0"/>
                    <w:snapToGrid w:val="0"/>
                    <w:jc w:val="center"/>
                    <w:rPr>
                      <w:bCs/>
                      <w:color w:val="auto"/>
                      <w:szCs w:val="21"/>
                    </w:rPr>
                  </w:pPr>
                  <w:r>
                    <w:rPr>
                      <w:rFonts w:hint="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6" w:type="dxa"/>
                  <w:vAlign w:val="center"/>
                </w:tcPr>
                <w:p>
                  <w:pPr>
                    <w:widowControl/>
                    <w:snapToGrid w:val="0"/>
                    <w:jc w:val="center"/>
                    <w:rPr>
                      <w:color w:val="auto"/>
                      <w:kern w:val="0"/>
                      <w:szCs w:val="21"/>
                      <w:lang w:bidi="ar"/>
                    </w:rPr>
                  </w:pPr>
                  <w:r>
                    <w:rPr>
                      <w:rFonts w:hint="eastAsia"/>
                      <w:color w:val="auto"/>
                      <w:kern w:val="0"/>
                      <w:szCs w:val="21"/>
                      <w:lang w:bidi="ar"/>
                    </w:rPr>
                    <w:t>电</w:t>
                  </w:r>
                </w:p>
              </w:tc>
              <w:tc>
                <w:tcPr>
                  <w:tcW w:w="1046" w:type="dxa"/>
                  <w:vAlign w:val="center"/>
                </w:tcPr>
                <w:p>
                  <w:pPr>
                    <w:widowControl/>
                    <w:snapToGrid w:val="0"/>
                    <w:jc w:val="center"/>
                    <w:rPr>
                      <w:color w:val="auto"/>
                      <w:kern w:val="0"/>
                      <w:szCs w:val="21"/>
                      <w:lang w:bidi="ar"/>
                    </w:rPr>
                  </w:pPr>
                  <w:r>
                    <w:rPr>
                      <w:rFonts w:hint="eastAsia"/>
                      <w:color w:val="auto"/>
                      <w:kern w:val="0"/>
                      <w:szCs w:val="21"/>
                      <w:lang w:bidi="ar"/>
                    </w:rPr>
                    <w:t>万kW·h/a</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188.08</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199.08</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387.63</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w:t>
                  </w:r>
                </w:p>
              </w:tc>
              <w:tc>
                <w:tcPr>
                  <w:tcW w:w="1198" w:type="dxa"/>
                  <w:vAlign w:val="center"/>
                </w:tcPr>
                <w:p>
                  <w:pPr>
                    <w:widowControl/>
                    <w:snapToGrid w:val="0"/>
                    <w:jc w:val="center"/>
                    <w:rPr>
                      <w:color w:val="auto"/>
                      <w:kern w:val="0"/>
                      <w:szCs w:val="21"/>
                      <w:lang w:bidi="ar"/>
                    </w:rPr>
                  </w:pPr>
                  <w:r>
                    <w:rPr>
                      <w:rFonts w:hint="eastAsia"/>
                      <w:color w:val="auto"/>
                      <w:kern w:val="0"/>
                      <w:szCs w:val="21"/>
                      <w:lang w:bidi="ar"/>
                    </w:rPr>
                    <w:t>市政电网供给</w:t>
                  </w:r>
                </w:p>
              </w:tc>
              <w:tc>
                <w:tcPr>
                  <w:tcW w:w="896" w:type="dxa"/>
                  <w:vAlign w:val="center"/>
                </w:tcPr>
                <w:p>
                  <w:pPr>
                    <w:adjustRightInd w:val="0"/>
                    <w:snapToGrid w:val="0"/>
                    <w:jc w:val="center"/>
                    <w:rPr>
                      <w:bCs/>
                      <w:color w:val="auto"/>
                      <w:szCs w:val="21"/>
                    </w:rPr>
                  </w:pPr>
                  <w:r>
                    <w:rPr>
                      <w:rFonts w:hint="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6" w:type="dxa"/>
                  <w:vAlign w:val="center"/>
                </w:tcPr>
                <w:p>
                  <w:pPr>
                    <w:widowControl/>
                    <w:snapToGrid w:val="0"/>
                    <w:jc w:val="center"/>
                    <w:rPr>
                      <w:color w:val="auto"/>
                      <w:kern w:val="0"/>
                      <w:szCs w:val="21"/>
                      <w:lang w:bidi="ar"/>
                    </w:rPr>
                  </w:pPr>
                  <w:r>
                    <w:rPr>
                      <w:rFonts w:hint="eastAsia"/>
                      <w:color w:val="auto"/>
                      <w:kern w:val="0"/>
                      <w:szCs w:val="21"/>
                      <w:lang w:bidi="ar"/>
                    </w:rPr>
                    <w:t>柴油</w:t>
                  </w:r>
                </w:p>
              </w:tc>
              <w:tc>
                <w:tcPr>
                  <w:tcW w:w="1046" w:type="dxa"/>
                  <w:vAlign w:val="center"/>
                </w:tcPr>
                <w:p>
                  <w:pPr>
                    <w:widowControl/>
                    <w:snapToGrid w:val="0"/>
                    <w:jc w:val="center"/>
                    <w:rPr>
                      <w:color w:val="auto"/>
                      <w:kern w:val="0"/>
                      <w:szCs w:val="21"/>
                      <w:lang w:bidi="ar"/>
                    </w:rPr>
                  </w:pPr>
                  <w:r>
                    <w:rPr>
                      <w:rFonts w:hint="eastAsia"/>
                      <w:color w:val="auto"/>
                      <w:kern w:val="0"/>
                      <w:szCs w:val="21"/>
                      <w:lang w:bidi="ar"/>
                    </w:rPr>
                    <w:t>t/a</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35</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30</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65</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3</w:t>
                  </w:r>
                </w:p>
              </w:tc>
              <w:tc>
                <w:tcPr>
                  <w:tcW w:w="1198" w:type="dxa"/>
                  <w:vAlign w:val="center"/>
                </w:tcPr>
                <w:p>
                  <w:pPr>
                    <w:widowControl/>
                    <w:snapToGrid w:val="0"/>
                    <w:jc w:val="center"/>
                    <w:rPr>
                      <w:color w:val="auto"/>
                      <w:kern w:val="0"/>
                      <w:szCs w:val="21"/>
                      <w:lang w:bidi="ar"/>
                    </w:rPr>
                  </w:pPr>
                  <w:r>
                    <w:rPr>
                      <w:rFonts w:hint="eastAsia"/>
                      <w:color w:val="auto"/>
                      <w:kern w:val="0"/>
                      <w:szCs w:val="21"/>
                      <w:lang w:bidi="ar"/>
                    </w:rPr>
                    <w:t>外购</w:t>
                  </w:r>
                </w:p>
              </w:tc>
              <w:tc>
                <w:tcPr>
                  <w:tcW w:w="896" w:type="dxa"/>
                  <w:vMerge w:val="restart"/>
                  <w:vAlign w:val="center"/>
                </w:tcPr>
                <w:p>
                  <w:pPr>
                    <w:adjustRightInd w:val="0"/>
                    <w:snapToGrid w:val="0"/>
                    <w:jc w:val="center"/>
                    <w:rPr>
                      <w:bCs/>
                      <w:color w:val="auto"/>
                      <w:szCs w:val="21"/>
                    </w:rPr>
                  </w:pPr>
                  <w:r>
                    <w:rPr>
                      <w:rFonts w:hint="eastAsia"/>
                      <w:bCs/>
                      <w:color w:val="auto"/>
                      <w:szCs w:val="21"/>
                    </w:rPr>
                    <w:t>管理</w:t>
                  </w:r>
                </w:p>
                <w:p>
                  <w:pPr>
                    <w:adjustRightInd w:val="0"/>
                    <w:snapToGrid w:val="0"/>
                    <w:jc w:val="center"/>
                    <w:rPr>
                      <w:bCs/>
                      <w:color w:val="auto"/>
                      <w:szCs w:val="21"/>
                    </w:rPr>
                  </w:pPr>
                  <w:r>
                    <w:rPr>
                      <w:rFonts w:hint="eastAsia"/>
                      <w:bCs/>
                      <w:color w:val="auto"/>
                      <w:szCs w:val="21"/>
                    </w:rPr>
                    <w:t>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6" w:type="dxa"/>
                  <w:vAlign w:val="center"/>
                </w:tcPr>
                <w:p>
                  <w:pPr>
                    <w:widowControl/>
                    <w:snapToGrid w:val="0"/>
                    <w:jc w:val="center"/>
                    <w:rPr>
                      <w:color w:val="auto"/>
                      <w:kern w:val="0"/>
                      <w:szCs w:val="21"/>
                      <w:lang w:bidi="ar"/>
                    </w:rPr>
                  </w:pPr>
                  <w:r>
                    <w:rPr>
                      <w:rFonts w:hint="eastAsia"/>
                      <w:color w:val="auto"/>
                      <w:kern w:val="0"/>
                      <w:szCs w:val="21"/>
                      <w:lang w:bidi="ar"/>
                    </w:rPr>
                    <w:t>CaCO</w:t>
                  </w:r>
                  <w:r>
                    <w:rPr>
                      <w:rFonts w:hint="eastAsia"/>
                      <w:color w:val="auto"/>
                      <w:kern w:val="0"/>
                      <w:szCs w:val="21"/>
                      <w:vertAlign w:val="subscript"/>
                      <w:lang w:bidi="ar"/>
                    </w:rPr>
                    <w:t>3</w:t>
                  </w:r>
                </w:p>
              </w:tc>
              <w:tc>
                <w:tcPr>
                  <w:tcW w:w="1046" w:type="dxa"/>
                  <w:vAlign w:val="center"/>
                </w:tcPr>
                <w:p>
                  <w:pPr>
                    <w:widowControl/>
                    <w:snapToGrid w:val="0"/>
                    <w:jc w:val="center"/>
                    <w:rPr>
                      <w:color w:val="auto"/>
                      <w:kern w:val="0"/>
                      <w:szCs w:val="21"/>
                      <w:lang w:bidi="ar"/>
                    </w:rPr>
                  </w:pPr>
                  <w:r>
                    <w:rPr>
                      <w:color w:val="auto"/>
                      <w:kern w:val="0"/>
                      <w:szCs w:val="21"/>
                      <w:lang w:bidi="ar"/>
                    </w:rPr>
                    <w:t>吨/年</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159.35</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9.42</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9.42</w:t>
                  </w:r>
                </w:p>
              </w:tc>
              <w:tc>
                <w:tcPr>
                  <w:tcW w:w="1047" w:type="dxa"/>
                  <w:vAlign w:val="center"/>
                </w:tcPr>
                <w:p>
                  <w:pPr>
                    <w:widowControl/>
                    <w:snapToGrid w:val="0"/>
                    <w:jc w:val="center"/>
                    <w:rPr>
                      <w:color w:val="auto"/>
                      <w:kern w:val="0"/>
                      <w:szCs w:val="21"/>
                      <w:lang w:bidi="ar"/>
                    </w:rPr>
                  </w:pPr>
                  <w:r>
                    <w:rPr>
                      <w:rFonts w:hint="eastAsia"/>
                      <w:color w:val="auto"/>
                      <w:kern w:val="0"/>
                      <w:szCs w:val="21"/>
                      <w:lang w:bidi="ar"/>
                    </w:rPr>
                    <w:t>1</w:t>
                  </w:r>
                </w:p>
              </w:tc>
              <w:tc>
                <w:tcPr>
                  <w:tcW w:w="1198" w:type="dxa"/>
                  <w:vAlign w:val="center"/>
                </w:tcPr>
                <w:p>
                  <w:pPr>
                    <w:widowControl/>
                    <w:snapToGrid w:val="0"/>
                    <w:jc w:val="center"/>
                    <w:rPr>
                      <w:color w:val="auto"/>
                      <w:kern w:val="0"/>
                      <w:szCs w:val="21"/>
                      <w:lang w:bidi="ar"/>
                    </w:rPr>
                  </w:pPr>
                  <w:r>
                    <w:rPr>
                      <w:rFonts w:hint="eastAsia"/>
                      <w:color w:val="auto"/>
                      <w:kern w:val="0"/>
                      <w:szCs w:val="21"/>
                      <w:lang w:bidi="ar"/>
                    </w:rPr>
                    <w:t>外购</w:t>
                  </w:r>
                </w:p>
              </w:tc>
              <w:tc>
                <w:tcPr>
                  <w:tcW w:w="896" w:type="dxa"/>
                  <w:vMerge w:val="continue"/>
                  <w:vAlign w:val="center"/>
                </w:tcPr>
                <w:p>
                  <w:pPr>
                    <w:adjustRightInd w:val="0"/>
                    <w:snapToGrid w:val="0"/>
                    <w:jc w:val="center"/>
                    <w:rPr>
                      <w:bCs/>
                      <w:color w:val="auto"/>
                      <w:szCs w:val="21"/>
                    </w:rPr>
                  </w:pPr>
                </w:p>
              </w:tc>
            </w:tr>
          </w:tbl>
          <w:p>
            <w:pPr>
              <w:adjustRightInd w:val="0"/>
              <w:snapToGrid w:val="0"/>
              <w:jc w:val="center"/>
              <w:rPr>
                <w:b/>
                <w:bCs/>
                <w:color w:val="auto"/>
                <w:szCs w:val="21"/>
              </w:rPr>
            </w:pPr>
            <w:r>
              <w:rPr>
                <w:rFonts w:hint="eastAsia"/>
                <w:b/>
                <w:bCs/>
                <w:color w:val="auto"/>
                <w:szCs w:val="21"/>
              </w:rPr>
              <w:t>表2-5  主要成分一览表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7" w:type="pct"/>
                  <w:vAlign w:val="center"/>
                </w:tcPr>
                <w:p>
                  <w:pPr>
                    <w:adjustRightInd w:val="0"/>
                    <w:snapToGrid w:val="0"/>
                    <w:jc w:val="center"/>
                    <w:rPr>
                      <w:color w:val="auto"/>
                      <w:szCs w:val="21"/>
                    </w:rPr>
                  </w:pPr>
                  <w:r>
                    <w:rPr>
                      <w:rFonts w:hint="eastAsia"/>
                      <w:color w:val="auto"/>
                      <w:szCs w:val="21"/>
                    </w:rPr>
                    <w:t>名称</w:t>
                  </w:r>
                </w:p>
              </w:tc>
              <w:tc>
                <w:tcPr>
                  <w:tcW w:w="3992" w:type="pct"/>
                  <w:vAlign w:val="center"/>
                </w:tcPr>
                <w:p>
                  <w:pPr>
                    <w:adjustRightInd w:val="0"/>
                    <w:snapToGrid w:val="0"/>
                    <w:jc w:val="center"/>
                    <w:rPr>
                      <w:color w:val="auto"/>
                      <w:szCs w:val="21"/>
                    </w:rPr>
                  </w:pPr>
                  <w:r>
                    <w:rPr>
                      <w:rFonts w:hint="eastAsia"/>
                      <w:color w:val="auto"/>
                      <w:szCs w:val="21"/>
                    </w:rPr>
                    <w:t>主要成分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7" w:type="pct"/>
                  <w:vAlign w:val="center"/>
                </w:tcPr>
                <w:p>
                  <w:pPr>
                    <w:adjustRightInd w:val="0"/>
                    <w:snapToGrid w:val="0"/>
                    <w:jc w:val="center"/>
                    <w:rPr>
                      <w:color w:val="auto"/>
                      <w:szCs w:val="21"/>
                    </w:rPr>
                  </w:pPr>
                  <w:r>
                    <w:rPr>
                      <w:rFonts w:hint="eastAsia"/>
                      <w:color w:val="auto"/>
                      <w:szCs w:val="21"/>
                    </w:rPr>
                    <w:t>高铝矿</w:t>
                  </w:r>
                </w:p>
              </w:tc>
              <w:tc>
                <w:tcPr>
                  <w:tcW w:w="3992" w:type="pct"/>
                  <w:vAlign w:val="center"/>
                </w:tcPr>
                <w:p>
                  <w:pPr>
                    <w:widowControl/>
                    <w:jc w:val="center"/>
                    <w:rPr>
                      <w:rFonts w:hint="default" w:eastAsia="宋体"/>
                      <w:color w:val="auto"/>
                      <w:szCs w:val="21"/>
                      <w:lang w:val="en-US" w:eastAsia="zh-CN"/>
                    </w:rPr>
                  </w:pPr>
                  <w:r>
                    <w:rPr>
                      <w:color w:val="auto"/>
                      <w:kern w:val="0"/>
                      <w:szCs w:val="21"/>
                      <w:lang w:bidi="ar"/>
                    </w:rPr>
                    <w:t>Al</w:t>
                  </w:r>
                  <w:r>
                    <w:rPr>
                      <w:color w:val="auto"/>
                      <w:kern w:val="0"/>
                      <w:sz w:val="13"/>
                      <w:szCs w:val="13"/>
                      <w:lang w:bidi="ar"/>
                    </w:rPr>
                    <w:t>2</w:t>
                  </w:r>
                  <w:r>
                    <w:rPr>
                      <w:color w:val="auto"/>
                      <w:kern w:val="0"/>
                      <w:szCs w:val="21"/>
                      <w:lang w:bidi="ar"/>
                    </w:rPr>
                    <w:t>O</w:t>
                  </w:r>
                  <w:r>
                    <w:rPr>
                      <w:color w:val="auto"/>
                      <w:kern w:val="0"/>
                      <w:sz w:val="13"/>
                      <w:szCs w:val="13"/>
                      <w:lang w:bidi="ar"/>
                    </w:rPr>
                    <w:t>3</w:t>
                  </w:r>
                  <w:r>
                    <w:rPr>
                      <w:color w:val="auto"/>
                      <w:kern w:val="0"/>
                      <w:szCs w:val="21"/>
                      <w:lang w:bidi="ar"/>
                    </w:rPr>
                    <w:t>87.3%</w:t>
                  </w:r>
                  <w:r>
                    <w:rPr>
                      <w:rFonts w:hint="eastAsia" w:ascii="宋体" w:hAnsi="宋体" w:cs="宋体"/>
                      <w:color w:val="auto"/>
                      <w:kern w:val="0"/>
                      <w:szCs w:val="21"/>
                      <w:lang w:bidi="ar"/>
                    </w:rPr>
                    <w:t>、</w:t>
                  </w:r>
                  <w:r>
                    <w:rPr>
                      <w:color w:val="auto"/>
                      <w:kern w:val="0"/>
                      <w:szCs w:val="21"/>
                      <w:lang w:bidi="ar"/>
                    </w:rPr>
                    <w:t>SiO</w:t>
                  </w:r>
                  <w:r>
                    <w:rPr>
                      <w:color w:val="auto"/>
                      <w:kern w:val="0"/>
                      <w:sz w:val="13"/>
                      <w:szCs w:val="13"/>
                      <w:lang w:bidi="ar"/>
                    </w:rPr>
                    <w:t>2</w:t>
                  </w:r>
                  <w:r>
                    <w:rPr>
                      <w:color w:val="auto"/>
                      <w:kern w:val="0"/>
                      <w:szCs w:val="21"/>
                      <w:lang w:bidi="ar"/>
                    </w:rPr>
                    <w:t>2.5%</w:t>
                  </w:r>
                  <w:r>
                    <w:rPr>
                      <w:rFonts w:hint="eastAsia" w:ascii="宋体" w:hAnsi="宋体" w:cs="宋体"/>
                      <w:color w:val="auto"/>
                      <w:kern w:val="0"/>
                      <w:szCs w:val="21"/>
                      <w:lang w:bidi="ar"/>
                    </w:rPr>
                    <w:t>、</w:t>
                  </w:r>
                  <w:r>
                    <w:rPr>
                      <w:color w:val="auto"/>
                      <w:kern w:val="0"/>
                      <w:szCs w:val="21"/>
                      <w:lang w:bidi="ar"/>
                    </w:rPr>
                    <w:t>Fe</w:t>
                  </w:r>
                  <w:r>
                    <w:rPr>
                      <w:color w:val="auto"/>
                      <w:kern w:val="0"/>
                      <w:sz w:val="13"/>
                      <w:szCs w:val="13"/>
                      <w:lang w:bidi="ar"/>
                    </w:rPr>
                    <w:t>2</w:t>
                  </w:r>
                  <w:r>
                    <w:rPr>
                      <w:color w:val="auto"/>
                      <w:kern w:val="0"/>
                      <w:szCs w:val="21"/>
                      <w:lang w:bidi="ar"/>
                    </w:rPr>
                    <w:t>O</w:t>
                  </w:r>
                  <w:r>
                    <w:rPr>
                      <w:color w:val="auto"/>
                      <w:kern w:val="0"/>
                      <w:sz w:val="13"/>
                      <w:szCs w:val="13"/>
                      <w:lang w:bidi="ar"/>
                    </w:rPr>
                    <w:t>3</w:t>
                  </w:r>
                  <w:r>
                    <w:rPr>
                      <w:color w:val="auto"/>
                      <w:kern w:val="0"/>
                      <w:szCs w:val="21"/>
                      <w:lang w:bidi="ar"/>
                    </w:rPr>
                    <w:t>2.3%</w:t>
                  </w:r>
                  <w:r>
                    <w:rPr>
                      <w:rFonts w:hint="eastAsia" w:ascii="宋体" w:hAnsi="宋体" w:cs="宋体"/>
                      <w:color w:val="auto"/>
                      <w:kern w:val="0"/>
                      <w:szCs w:val="21"/>
                      <w:lang w:bidi="ar"/>
                    </w:rPr>
                    <w:t>、</w:t>
                  </w:r>
                  <w:r>
                    <w:rPr>
                      <w:rFonts w:hint="eastAsia" w:ascii="宋体" w:hAnsi="宋体" w:cs="宋体"/>
                      <w:color w:val="auto"/>
                      <w:kern w:val="0"/>
                      <w:szCs w:val="21"/>
                      <w:lang w:eastAsia="zh-CN" w:bidi="ar"/>
                    </w:rPr>
                    <w:t>氟及其化合物（以F计）</w:t>
                  </w:r>
                  <w:r>
                    <w:rPr>
                      <w:rFonts w:hint="eastAsia" w:ascii="宋体" w:hAnsi="宋体" w:cs="宋体"/>
                      <w:color w:val="auto"/>
                      <w:kern w:val="0"/>
                      <w:szCs w:val="21"/>
                      <w:lang w:bidi="ar"/>
                    </w:rPr>
                    <w:t xml:space="preserve"> </w:t>
                  </w:r>
                  <w:r>
                    <w:rPr>
                      <w:color w:val="auto"/>
                      <w:kern w:val="0"/>
                      <w:szCs w:val="21"/>
                      <w:lang w:bidi="ar"/>
                    </w:rPr>
                    <w:t>0.002</w:t>
                  </w:r>
                  <w:r>
                    <w:rPr>
                      <w:rFonts w:hint="eastAsia"/>
                      <w:color w:val="auto"/>
                      <w:kern w:val="0"/>
                      <w:szCs w:val="21"/>
                      <w:lang w:val="en-US" w:eastAsia="zh-CN" w:bidi="ar"/>
                    </w:rPr>
                    <w:t>%</w:t>
                  </w:r>
                  <w:r>
                    <w:rPr>
                      <w:rFonts w:hint="eastAsia"/>
                      <w:color w:val="auto"/>
                      <w:kern w:val="0"/>
                      <w:szCs w:val="21"/>
                      <w:lang w:bidi="ar"/>
                    </w:rPr>
                    <w:t>、灰分：7.</w:t>
                  </w:r>
                  <w:r>
                    <w:rPr>
                      <w:rFonts w:hint="eastAsia"/>
                      <w:color w:val="auto"/>
                      <w:kern w:val="0"/>
                      <w:szCs w:val="21"/>
                      <w:lang w:val="en-US" w:eastAsia="zh-CN" w:bidi="ar"/>
                    </w:rPr>
                    <w:t>67</w:t>
                  </w:r>
                  <w:r>
                    <w:rPr>
                      <w:rFonts w:hint="eastAsia"/>
                      <w:color w:val="auto"/>
                      <w:kern w:val="0"/>
                      <w:szCs w:val="21"/>
                      <w:lang w:bidi="ar"/>
                    </w:rPr>
                    <w:t>%</w:t>
                  </w:r>
                  <w:r>
                    <w:rPr>
                      <w:rFonts w:hint="eastAsia"/>
                      <w:color w:val="auto"/>
                      <w:kern w:val="0"/>
                      <w:szCs w:val="21"/>
                      <w:lang w:eastAsia="zh-CN" w:bidi="ar"/>
                    </w:rPr>
                    <w:t>、</w:t>
                  </w:r>
                  <w:r>
                    <w:rPr>
                      <w:rFonts w:hint="eastAsia"/>
                      <w:color w:val="auto"/>
                      <w:kern w:val="0"/>
                      <w:szCs w:val="21"/>
                      <w:lang w:val="en-US" w:eastAsia="zh-CN" w:bidi="ar"/>
                    </w:rPr>
                    <w:t>硫0.027%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7" w:type="pct"/>
                  <w:vAlign w:val="center"/>
                </w:tcPr>
                <w:p>
                  <w:pPr>
                    <w:adjustRightInd w:val="0"/>
                    <w:snapToGrid w:val="0"/>
                    <w:jc w:val="center"/>
                    <w:rPr>
                      <w:color w:val="auto"/>
                      <w:szCs w:val="21"/>
                    </w:rPr>
                  </w:pPr>
                  <w:r>
                    <w:rPr>
                      <w:rFonts w:hint="eastAsia"/>
                      <w:color w:val="auto"/>
                      <w:szCs w:val="21"/>
                    </w:rPr>
                    <w:t>黏土矿</w:t>
                  </w:r>
                </w:p>
              </w:tc>
              <w:tc>
                <w:tcPr>
                  <w:tcW w:w="3992" w:type="pct"/>
                  <w:vAlign w:val="center"/>
                </w:tcPr>
                <w:p>
                  <w:pPr>
                    <w:widowControl/>
                    <w:jc w:val="center"/>
                    <w:rPr>
                      <w:color w:val="auto"/>
                      <w:kern w:val="0"/>
                      <w:szCs w:val="21"/>
                      <w:lang w:bidi="ar"/>
                    </w:rPr>
                  </w:pPr>
                  <w:r>
                    <w:rPr>
                      <w:color w:val="auto"/>
                      <w:kern w:val="0"/>
                      <w:szCs w:val="21"/>
                      <w:lang w:bidi="ar"/>
                    </w:rPr>
                    <w:t>Al</w:t>
                  </w:r>
                  <w:r>
                    <w:rPr>
                      <w:color w:val="auto"/>
                      <w:kern w:val="0"/>
                      <w:sz w:val="13"/>
                      <w:szCs w:val="13"/>
                      <w:lang w:bidi="ar"/>
                    </w:rPr>
                    <w:t>2</w:t>
                  </w:r>
                  <w:r>
                    <w:rPr>
                      <w:color w:val="auto"/>
                      <w:kern w:val="0"/>
                      <w:szCs w:val="21"/>
                      <w:lang w:bidi="ar"/>
                    </w:rPr>
                    <w:t>O</w:t>
                  </w:r>
                  <w:r>
                    <w:rPr>
                      <w:color w:val="auto"/>
                      <w:kern w:val="0"/>
                      <w:sz w:val="13"/>
                      <w:szCs w:val="13"/>
                      <w:lang w:bidi="ar"/>
                    </w:rPr>
                    <w:t>3</w:t>
                  </w:r>
                  <w:r>
                    <w:rPr>
                      <w:rFonts w:hint="eastAsia"/>
                      <w:color w:val="auto"/>
                      <w:kern w:val="0"/>
                      <w:szCs w:val="21"/>
                      <w:lang w:bidi="ar"/>
                    </w:rPr>
                    <w:t>42.5</w:t>
                  </w:r>
                  <w:r>
                    <w:rPr>
                      <w:color w:val="auto"/>
                      <w:kern w:val="0"/>
                      <w:szCs w:val="21"/>
                      <w:lang w:bidi="ar"/>
                    </w:rPr>
                    <w:t>%</w:t>
                  </w:r>
                  <w:r>
                    <w:rPr>
                      <w:rFonts w:hint="eastAsia" w:ascii="宋体" w:hAnsi="宋体" w:cs="宋体"/>
                      <w:color w:val="auto"/>
                      <w:kern w:val="0"/>
                      <w:szCs w:val="21"/>
                      <w:lang w:bidi="ar"/>
                    </w:rPr>
                    <w:t>、</w:t>
                  </w:r>
                  <w:r>
                    <w:rPr>
                      <w:color w:val="auto"/>
                      <w:kern w:val="0"/>
                      <w:szCs w:val="21"/>
                      <w:lang w:bidi="ar"/>
                    </w:rPr>
                    <w:t>SiO</w:t>
                  </w:r>
                  <w:r>
                    <w:rPr>
                      <w:color w:val="auto"/>
                      <w:kern w:val="0"/>
                      <w:sz w:val="13"/>
                      <w:szCs w:val="13"/>
                      <w:lang w:bidi="ar"/>
                    </w:rPr>
                    <w:t>2</w:t>
                  </w:r>
                  <w:r>
                    <w:rPr>
                      <w:rFonts w:hint="eastAsia"/>
                      <w:color w:val="auto"/>
                      <w:kern w:val="0"/>
                      <w:szCs w:val="21"/>
                      <w:lang w:bidi="ar"/>
                    </w:rPr>
                    <w:t>32.5</w:t>
                  </w:r>
                  <w:r>
                    <w:rPr>
                      <w:color w:val="auto"/>
                      <w:kern w:val="0"/>
                      <w:szCs w:val="21"/>
                      <w:lang w:bidi="ar"/>
                    </w:rPr>
                    <w:t>%</w:t>
                  </w:r>
                  <w:r>
                    <w:rPr>
                      <w:rFonts w:hint="eastAsia" w:ascii="宋体" w:hAnsi="宋体" w:cs="宋体"/>
                      <w:color w:val="auto"/>
                      <w:kern w:val="0"/>
                      <w:szCs w:val="21"/>
                      <w:lang w:bidi="ar"/>
                    </w:rPr>
                    <w:t>、</w:t>
                  </w:r>
                  <w:r>
                    <w:rPr>
                      <w:color w:val="auto"/>
                      <w:kern w:val="0"/>
                      <w:szCs w:val="21"/>
                      <w:lang w:bidi="ar"/>
                    </w:rPr>
                    <w:t>Fe</w:t>
                  </w:r>
                  <w:r>
                    <w:rPr>
                      <w:color w:val="auto"/>
                      <w:kern w:val="0"/>
                      <w:sz w:val="13"/>
                      <w:szCs w:val="13"/>
                      <w:lang w:bidi="ar"/>
                    </w:rPr>
                    <w:t>2</w:t>
                  </w:r>
                  <w:r>
                    <w:rPr>
                      <w:color w:val="auto"/>
                      <w:kern w:val="0"/>
                      <w:szCs w:val="21"/>
                      <w:lang w:bidi="ar"/>
                    </w:rPr>
                    <w:t>O</w:t>
                  </w:r>
                  <w:r>
                    <w:rPr>
                      <w:color w:val="auto"/>
                      <w:kern w:val="0"/>
                      <w:sz w:val="13"/>
                      <w:szCs w:val="13"/>
                      <w:lang w:bidi="ar"/>
                    </w:rPr>
                    <w:t>3</w:t>
                  </w:r>
                  <w:r>
                    <w:rPr>
                      <w:rFonts w:hint="eastAsia"/>
                      <w:color w:val="auto"/>
                      <w:kern w:val="0"/>
                      <w:szCs w:val="21"/>
                      <w:lang w:bidi="ar"/>
                    </w:rPr>
                    <w:t>3.2</w:t>
                  </w:r>
                  <w:r>
                    <w:rPr>
                      <w:color w:val="auto"/>
                      <w:kern w:val="0"/>
                      <w:szCs w:val="21"/>
                      <w:lang w:bidi="ar"/>
                    </w:rPr>
                    <w:t>%</w:t>
                  </w:r>
                  <w:r>
                    <w:rPr>
                      <w:rFonts w:hint="eastAsia" w:ascii="宋体" w:hAnsi="宋体" w:cs="宋体"/>
                      <w:color w:val="auto"/>
                      <w:kern w:val="0"/>
                      <w:szCs w:val="21"/>
                      <w:lang w:bidi="ar"/>
                    </w:rPr>
                    <w:t>、</w:t>
                  </w:r>
                  <w:r>
                    <w:rPr>
                      <w:rFonts w:hint="eastAsia" w:ascii="宋体" w:hAnsi="宋体" w:cs="宋体"/>
                      <w:color w:val="auto"/>
                      <w:kern w:val="0"/>
                      <w:szCs w:val="21"/>
                      <w:lang w:eastAsia="zh-CN" w:bidi="ar"/>
                    </w:rPr>
                    <w:t>氟及其化合物（以F计）</w:t>
                  </w:r>
                  <w:r>
                    <w:rPr>
                      <w:rFonts w:hint="eastAsia" w:ascii="宋体" w:hAnsi="宋体" w:cs="宋体"/>
                      <w:color w:val="auto"/>
                      <w:kern w:val="0"/>
                      <w:szCs w:val="21"/>
                      <w:lang w:bidi="ar"/>
                    </w:rPr>
                    <w:t xml:space="preserve"> </w:t>
                  </w:r>
                  <w:r>
                    <w:rPr>
                      <w:color w:val="auto"/>
                      <w:kern w:val="0"/>
                      <w:szCs w:val="21"/>
                      <w:lang w:bidi="ar"/>
                    </w:rPr>
                    <w:t>0.002</w:t>
                  </w:r>
                  <w:r>
                    <w:rPr>
                      <w:rFonts w:hint="eastAsia"/>
                      <w:color w:val="auto"/>
                      <w:kern w:val="0"/>
                      <w:szCs w:val="21"/>
                      <w:lang w:val="en-US" w:eastAsia="zh-CN" w:bidi="ar"/>
                    </w:rPr>
                    <w:t>%</w:t>
                  </w:r>
                  <w:r>
                    <w:rPr>
                      <w:rFonts w:hint="eastAsia"/>
                      <w:color w:val="auto"/>
                      <w:kern w:val="0"/>
                      <w:szCs w:val="21"/>
                      <w:lang w:bidi="ar"/>
                    </w:rPr>
                    <w:t>、灰分：</w:t>
                  </w:r>
                  <w:r>
                    <w:rPr>
                      <w:rFonts w:hint="eastAsia"/>
                      <w:color w:val="auto"/>
                      <w:kern w:val="0"/>
                      <w:szCs w:val="21"/>
                      <w:lang w:val="en-US" w:eastAsia="zh-CN" w:bidi="ar"/>
                    </w:rPr>
                    <w:t>17.66</w:t>
                  </w:r>
                  <w:r>
                    <w:rPr>
                      <w:rFonts w:hint="eastAsia"/>
                      <w:color w:val="auto"/>
                      <w:kern w:val="0"/>
                      <w:szCs w:val="21"/>
                      <w:lang w:bidi="ar"/>
                    </w:rPr>
                    <w:t>%</w:t>
                  </w:r>
                  <w:r>
                    <w:rPr>
                      <w:rFonts w:hint="eastAsia"/>
                      <w:color w:val="auto"/>
                      <w:kern w:val="0"/>
                      <w:szCs w:val="21"/>
                      <w:lang w:eastAsia="zh-CN" w:bidi="ar"/>
                    </w:rPr>
                    <w:t>、</w:t>
                  </w:r>
                  <w:r>
                    <w:rPr>
                      <w:rFonts w:hint="eastAsia"/>
                      <w:color w:val="auto"/>
                      <w:kern w:val="0"/>
                      <w:szCs w:val="21"/>
                      <w:lang w:val="en-US" w:eastAsia="zh-CN" w:bidi="ar"/>
                    </w:rPr>
                    <w:t>硫3.94%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7" w:type="pct"/>
                  <w:vAlign w:val="center"/>
                </w:tcPr>
                <w:p>
                  <w:pPr>
                    <w:adjustRightInd w:val="0"/>
                    <w:snapToGrid w:val="0"/>
                    <w:jc w:val="center"/>
                    <w:rPr>
                      <w:color w:val="auto"/>
                      <w:szCs w:val="21"/>
                    </w:rPr>
                  </w:pPr>
                  <w:r>
                    <w:rPr>
                      <w:rFonts w:hint="eastAsia"/>
                      <w:color w:val="auto"/>
                      <w:szCs w:val="21"/>
                    </w:rPr>
                    <w:t>白泥</w:t>
                  </w:r>
                </w:p>
              </w:tc>
              <w:tc>
                <w:tcPr>
                  <w:tcW w:w="3992" w:type="pct"/>
                  <w:vAlign w:val="center"/>
                </w:tcPr>
                <w:p>
                  <w:pPr>
                    <w:widowControl/>
                    <w:jc w:val="center"/>
                    <w:rPr>
                      <w:color w:val="auto"/>
                      <w:kern w:val="0"/>
                      <w:szCs w:val="21"/>
                      <w:lang w:bidi="ar"/>
                    </w:rPr>
                  </w:pPr>
                  <w:r>
                    <w:rPr>
                      <w:color w:val="auto"/>
                      <w:kern w:val="0"/>
                      <w:szCs w:val="21"/>
                      <w:lang w:bidi="ar"/>
                    </w:rPr>
                    <w:t>Al</w:t>
                  </w:r>
                  <w:r>
                    <w:rPr>
                      <w:color w:val="auto"/>
                      <w:kern w:val="0"/>
                      <w:sz w:val="13"/>
                      <w:szCs w:val="13"/>
                      <w:lang w:bidi="ar"/>
                    </w:rPr>
                    <w:t>2</w:t>
                  </w:r>
                  <w:r>
                    <w:rPr>
                      <w:color w:val="auto"/>
                      <w:kern w:val="0"/>
                      <w:szCs w:val="21"/>
                      <w:lang w:bidi="ar"/>
                    </w:rPr>
                    <w:t>O</w:t>
                  </w:r>
                  <w:r>
                    <w:rPr>
                      <w:color w:val="auto"/>
                      <w:kern w:val="0"/>
                      <w:sz w:val="13"/>
                      <w:szCs w:val="13"/>
                      <w:lang w:bidi="ar"/>
                    </w:rPr>
                    <w:t>3</w:t>
                  </w:r>
                  <w:r>
                    <w:rPr>
                      <w:rFonts w:hint="eastAsia"/>
                      <w:color w:val="auto"/>
                      <w:kern w:val="0"/>
                      <w:szCs w:val="21"/>
                      <w:lang w:bidi="ar"/>
                    </w:rPr>
                    <w:t>36.8</w:t>
                  </w:r>
                  <w:r>
                    <w:rPr>
                      <w:color w:val="auto"/>
                      <w:kern w:val="0"/>
                      <w:szCs w:val="21"/>
                      <w:lang w:bidi="ar"/>
                    </w:rPr>
                    <w:t>%</w:t>
                  </w:r>
                  <w:r>
                    <w:rPr>
                      <w:rFonts w:hint="eastAsia" w:ascii="宋体" w:hAnsi="宋体" w:cs="宋体"/>
                      <w:color w:val="auto"/>
                      <w:kern w:val="0"/>
                      <w:szCs w:val="21"/>
                      <w:lang w:bidi="ar"/>
                    </w:rPr>
                    <w:t>、</w:t>
                  </w:r>
                  <w:r>
                    <w:rPr>
                      <w:color w:val="auto"/>
                      <w:kern w:val="0"/>
                      <w:szCs w:val="21"/>
                      <w:lang w:bidi="ar"/>
                    </w:rPr>
                    <w:t>SiO</w:t>
                  </w:r>
                  <w:r>
                    <w:rPr>
                      <w:color w:val="auto"/>
                      <w:kern w:val="0"/>
                      <w:sz w:val="13"/>
                      <w:szCs w:val="13"/>
                      <w:lang w:bidi="ar"/>
                    </w:rPr>
                    <w:t>2</w:t>
                  </w:r>
                  <w:r>
                    <w:rPr>
                      <w:rFonts w:hint="eastAsia"/>
                      <w:color w:val="auto"/>
                      <w:kern w:val="0"/>
                      <w:szCs w:val="21"/>
                      <w:lang w:bidi="ar"/>
                    </w:rPr>
                    <w:t>51.6</w:t>
                  </w:r>
                  <w:r>
                    <w:rPr>
                      <w:color w:val="auto"/>
                      <w:kern w:val="0"/>
                      <w:szCs w:val="21"/>
                      <w:lang w:bidi="ar"/>
                    </w:rPr>
                    <w:t>%</w:t>
                  </w:r>
                  <w:r>
                    <w:rPr>
                      <w:rFonts w:hint="eastAsia" w:ascii="宋体" w:hAnsi="宋体" w:cs="宋体"/>
                      <w:color w:val="auto"/>
                      <w:kern w:val="0"/>
                      <w:szCs w:val="21"/>
                      <w:lang w:bidi="ar"/>
                    </w:rPr>
                    <w:t>、</w:t>
                  </w:r>
                  <w:r>
                    <w:rPr>
                      <w:color w:val="auto"/>
                      <w:kern w:val="0"/>
                      <w:szCs w:val="21"/>
                      <w:lang w:bidi="ar"/>
                    </w:rPr>
                    <w:t>Fe</w:t>
                  </w:r>
                  <w:r>
                    <w:rPr>
                      <w:color w:val="auto"/>
                      <w:kern w:val="0"/>
                      <w:sz w:val="13"/>
                      <w:szCs w:val="13"/>
                      <w:lang w:bidi="ar"/>
                    </w:rPr>
                    <w:t>2</w:t>
                  </w:r>
                  <w:r>
                    <w:rPr>
                      <w:color w:val="auto"/>
                      <w:kern w:val="0"/>
                      <w:szCs w:val="21"/>
                      <w:lang w:bidi="ar"/>
                    </w:rPr>
                    <w:t>O</w:t>
                  </w:r>
                  <w:r>
                    <w:rPr>
                      <w:color w:val="auto"/>
                      <w:kern w:val="0"/>
                      <w:sz w:val="13"/>
                      <w:szCs w:val="13"/>
                      <w:lang w:bidi="ar"/>
                    </w:rPr>
                    <w:t>3</w:t>
                  </w:r>
                  <w:r>
                    <w:rPr>
                      <w:rFonts w:hint="eastAsia"/>
                      <w:color w:val="auto"/>
                      <w:kern w:val="0"/>
                      <w:szCs w:val="21"/>
                      <w:lang w:bidi="ar"/>
                    </w:rPr>
                    <w:t>2.2</w:t>
                  </w:r>
                  <w:r>
                    <w:rPr>
                      <w:color w:val="auto"/>
                      <w:kern w:val="0"/>
                      <w:szCs w:val="21"/>
                      <w:lang w:bidi="ar"/>
                    </w:rPr>
                    <w:t>%</w:t>
                  </w:r>
                  <w:r>
                    <w:rPr>
                      <w:rFonts w:hint="eastAsia" w:ascii="宋体" w:hAnsi="宋体" w:cs="宋体"/>
                      <w:color w:val="auto"/>
                      <w:kern w:val="0"/>
                      <w:szCs w:val="21"/>
                      <w:lang w:bidi="ar"/>
                    </w:rPr>
                    <w:t>、</w:t>
                  </w:r>
                  <w:r>
                    <w:rPr>
                      <w:rFonts w:hint="eastAsia" w:ascii="宋体" w:hAnsi="宋体" w:cs="宋体"/>
                      <w:color w:val="auto"/>
                      <w:kern w:val="0"/>
                      <w:szCs w:val="21"/>
                      <w:lang w:eastAsia="zh-CN" w:bidi="ar"/>
                    </w:rPr>
                    <w:t>氟及其化合物（以F计）</w:t>
                  </w:r>
                  <w:r>
                    <w:rPr>
                      <w:rFonts w:hint="eastAsia" w:ascii="宋体" w:hAnsi="宋体" w:cs="宋体"/>
                      <w:color w:val="auto"/>
                      <w:kern w:val="0"/>
                      <w:szCs w:val="21"/>
                      <w:lang w:bidi="ar"/>
                    </w:rPr>
                    <w:t xml:space="preserve"> </w:t>
                  </w:r>
                  <w:r>
                    <w:rPr>
                      <w:color w:val="auto"/>
                      <w:kern w:val="0"/>
                      <w:szCs w:val="21"/>
                      <w:lang w:bidi="ar"/>
                    </w:rPr>
                    <w:t>0.002</w:t>
                  </w:r>
                  <w:r>
                    <w:rPr>
                      <w:rFonts w:hint="eastAsia"/>
                      <w:color w:val="auto"/>
                      <w:kern w:val="0"/>
                      <w:szCs w:val="21"/>
                      <w:lang w:val="en-US" w:eastAsia="zh-CN" w:bidi="ar"/>
                    </w:rPr>
                    <w:t>%</w:t>
                  </w:r>
                  <w:r>
                    <w:rPr>
                      <w:rFonts w:hint="eastAsia"/>
                      <w:color w:val="auto"/>
                      <w:kern w:val="0"/>
                      <w:szCs w:val="21"/>
                      <w:lang w:bidi="ar"/>
                    </w:rPr>
                    <w:t>、灰分：</w:t>
                  </w:r>
                  <w:r>
                    <w:rPr>
                      <w:rFonts w:hint="eastAsia"/>
                      <w:color w:val="auto"/>
                      <w:kern w:val="0"/>
                      <w:szCs w:val="21"/>
                      <w:lang w:val="en-US" w:eastAsia="zh-CN" w:bidi="ar"/>
                    </w:rPr>
                    <w:t>10.97</w:t>
                  </w:r>
                  <w:r>
                    <w:rPr>
                      <w:rFonts w:hint="eastAsia"/>
                      <w:color w:val="auto"/>
                      <w:kern w:val="0"/>
                      <w:szCs w:val="21"/>
                      <w:lang w:bidi="ar"/>
                    </w:rPr>
                    <w:t>%</w:t>
                  </w:r>
                  <w:r>
                    <w:rPr>
                      <w:rFonts w:hint="eastAsia"/>
                      <w:color w:val="auto"/>
                      <w:kern w:val="0"/>
                      <w:szCs w:val="21"/>
                      <w:lang w:eastAsia="zh-CN" w:bidi="ar"/>
                    </w:rPr>
                    <w:t>、</w:t>
                  </w:r>
                  <w:r>
                    <w:rPr>
                      <w:rFonts w:hint="eastAsia"/>
                      <w:color w:val="auto"/>
                      <w:kern w:val="0"/>
                      <w:szCs w:val="21"/>
                      <w:lang w:val="en-US" w:eastAsia="zh-CN" w:bidi="ar"/>
                    </w:rPr>
                    <w:t>硫0.63%</w:t>
                  </w:r>
                </w:p>
              </w:tc>
            </w:tr>
          </w:tbl>
          <w:p>
            <w:pPr>
              <w:pStyle w:val="47"/>
              <w:adjustRightInd w:val="0"/>
              <w:snapToGrid w:val="0"/>
              <w:spacing w:line="240" w:lineRule="auto"/>
              <w:ind w:firstLine="0"/>
              <w:outlineLvl w:val="2"/>
              <w:rPr>
                <w:b/>
                <w:color w:val="auto"/>
                <w:sz w:val="21"/>
                <w:szCs w:val="24"/>
              </w:rPr>
            </w:pPr>
          </w:p>
          <w:p>
            <w:pPr>
              <w:pStyle w:val="47"/>
              <w:adjustRightInd w:val="0"/>
              <w:snapToGrid w:val="0"/>
              <w:ind w:firstLine="0"/>
              <w:outlineLvl w:val="2"/>
              <w:rPr>
                <w:b/>
                <w:color w:val="auto"/>
                <w:szCs w:val="24"/>
              </w:rPr>
            </w:pPr>
            <w:r>
              <w:rPr>
                <w:rFonts w:hint="eastAsia"/>
                <w:b/>
                <w:color w:val="auto"/>
                <w:szCs w:val="24"/>
              </w:rPr>
              <w:t>2.6水平衡分析</w:t>
            </w:r>
          </w:p>
          <w:p>
            <w:pPr>
              <w:pStyle w:val="47"/>
              <w:adjustRightInd w:val="0"/>
              <w:snapToGrid w:val="0"/>
              <w:ind w:firstLine="480" w:firstLineChars="200"/>
              <w:outlineLvl w:val="2"/>
              <w:rPr>
                <w:color w:val="auto"/>
                <w:szCs w:val="24"/>
              </w:rPr>
            </w:pPr>
            <w:r>
              <w:rPr>
                <w:rFonts w:hint="eastAsia"/>
                <w:color w:val="auto"/>
                <w:szCs w:val="24"/>
              </w:rPr>
              <w:t>（1）原料搅拌用水</w:t>
            </w:r>
          </w:p>
          <w:p>
            <w:pPr>
              <w:pStyle w:val="47"/>
              <w:adjustRightInd w:val="0"/>
              <w:snapToGrid w:val="0"/>
              <w:ind w:firstLine="480" w:firstLineChars="200"/>
              <w:outlineLvl w:val="2"/>
              <w:rPr>
                <w:color w:val="auto"/>
                <w:szCs w:val="24"/>
              </w:rPr>
            </w:pPr>
            <w:r>
              <w:rPr>
                <w:rFonts w:hint="eastAsia"/>
                <w:color w:val="auto"/>
                <w:szCs w:val="24"/>
              </w:rPr>
              <w:t>项目原料进入搅拌机后须加水搅拌，根据业主提供资料，本次改扩建原料年消耗量新增6万</w:t>
            </w:r>
            <w:r>
              <w:rPr>
                <w:color w:val="auto"/>
                <w:szCs w:val="24"/>
              </w:rPr>
              <w:t>t</w:t>
            </w:r>
            <w:r>
              <w:rPr>
                <w:rFonts w:hint="eastAsia"/>
                <w:color w:val="auto"/>
                <w:szCs w:val="24"/>
              </w:rPr>
              <w:t>，原有项目原料年消耗量为4万t。搅拌后混合粉料含水率按照</w:t>
            </w:r>
            <w:r>
              <w:rPr>
                <w:color w:val="auto"/>
                <w:szCs w:val="24"/>
              </w:rPr>
              <w:t>5%</w:t>
            </w:r>
            <w:r>
              <w:rPr>
                <w:rFonts w:hint="eastAsia"/>
                <w:color w:val="auto"/>
                <w:szCs w:val="24"/>
              </w:rPr>
              <w:t>计算，则原有项目搅拌用水量为6.67m</w:t>
            </w:r>
            <w:r>
              <w:rPr>
                <w:rFonts w:hint="eastAsia"/>
                <w:color w:val="auto"/>
                <w:szCs w:val="24"/>
                <w:vertAlign w:val="superscript"/>
              </w:rPr>
              <w:t>3</w:t>
            </w:r>
            <w:r>
              <w:rPr>
                <w:rFonts w:hint="eastAsia"/>
                <w:color w:val="auto"/>
                <w:szCs w:val="24"/>
              </w:rPr>
              <w:t>/d、2000m</w:t>
            </w:r>
            <w:r>
              <w:rPr>
                <w:rFonts w:hint="eastAsia"/>
                <w:color w:val="auto"/>
                <w:szCs w:val="24"/>
                <w:vertAlign w:val="superscript"/>
              </w:rPr>
              <w:t>3</w:t>
            </w:r>
            <w:r>
              <w:rPr>
                <w:rFonts w:hint="eastAsia"/>
                <w:color w:val="auto"/>
                <w:szCs w:val="24"/>
              </w:rPr>
              <w:t>/a，本次改扩建搅拌用水量为10</w:t>
            </w:r>
            <w:r>
              <w:rPr>
                <w:color w:val="auto"/>
                <w:szCs w:val="24"/>
              </w:rPr>
              <w:t>m</w:t>
            </w:r>
            <w:r>
              <w:rPr>
                <w:color w:val="auto"/>
                <w:szCs w:val="24"/>
                <w:vertAlign w:val="superscript"/>
              </w:rPr>
              <w:t>3</w:t>
            </w:r>
            <w:r>
              <w:rPr>
                <w:color w:val="auto"/>
                <w:szCs w:val="24"/>
              </w:rPr>
              <w:t>/d</w:t>
            </w:r>
            <w:r>
              <w:rPr>
                <w:rFonts w:hint="eastAsia"/>
                <w:color w:val="auto"/>
                <w:szCs w:val="24"/>
              </w:rPr>
              <w:t>，3000</w:t>
            </w:r>
            <w:r>
              <w:rPr>
                <w:color w:val="auto"/>
                <w:szCs w:val="24"/>
              </w:rPr>
              <w:t>m</w:t>
            </w:r>
            <w:r>
              <w:rPr>
                <w:color w:val="auto"/>
                <w:szCs w:val="24"/>
                <w:vertAlign w:val="superscript"/>
              </w:rPr>
              <w:t>3</w:t>
            </w:r>
            <w:r>
              <w:rPr>
                <w:color w:val="auto"/>
                <w:szCs w:val="24"/>
              </w:rPr>
              <w:t>/a</w:t>
            </w:r>
            <w:r>
              <w:rPr>
                <w:rFonts w:hint="eastAsia"/>
                <w:color w:val="auto"/>
                <w:szCs w:val="24"/>
              </w:rPr>
              <w:t>。搅拌用水随砖坯进入隧道窑烧结时全部蒸发消散，不外排。</w:t>
            </w:r>
          </w:p>
          <w:p>
            <w:pPr>
              <w:pStyle w:val="47"/>
              <w:adjustRightInd w:val="0"/>
              <w:snapToGrid w:val="0"/>
              <w:ind w:firstLine="480" w:firstLineChars="200"/>
              <w:outlineLvl w:val="2"/>
              <w:rPr>
                <w:color w:val="auto"/>
                <w:szCs w:val="24"/>
              </w:rPr>
            </w:pPr>
            <w:r>
              <w:rPr>
                <w:rFonts w:hint="eastAsia"/>
                <w:color w:val="auto"/>
                <w:szCs w:val="24"/>
              </w:rPr>
              <w:t>（2）烟气处理用水</w:t>
            </w:r>
          </w:p>
          <w:p>
            <w:pPr>
              <w:widowControl/>
              <w:spacing w:line="360" w:lineRule="auto"/>
              <w:ind w:firstLine="480" w:firstLineChars="200"/>
              <w:rPr>
                <w:color w:val="auto"/>
                <w:sz w:val="24"/>
              </w:rPr>
            </w:pPr>
            <w:r>
              <w:rPr>
                <w:rFonts w:hint="eastAsia"/>
                <w:color w:val="auto"/>
                <w:sz w:val="24"/>
              </w:rPr>
              <w:t>窑烧烟气全部用管道汇总至一座石灰石膏法脱硫塔中处置，除尘脱硫后通过一根高50m的烟囱排放。本次改扩建后全厂总烟气量为21600万Nm</w:t>
            </w:r>
            <w:r>
              <w:rPr>
                <w:rFonts w:hint="eastAsia"/>
                <w:color w:val="auto"/>
                <w:sz w:val="24"/>
                <w:vertAlign w:val="superscript"/>
              </w:rPr>
              <w:t>3</w:t>
            </w:r>
            <w:r>
              <w:rPr>
                <w:rFonts w:hint="eastAsia"/>
                <w:color w:val="auto"/>
                <w:sz w:val="24"/>
              </w:rPr>
              <w:t>/a，烟气处理总用水量为1800m</w:t>
            </w:r>
            <w:r>
              <w:rPr>
                <w:rFonts w:hint="eastAsia"/>
                <w:color w:val="auto"/>
                <w:sz w:val="24"/>
                <w:vertAlign w:val="superscript"/>
              </w:rPr>
              <w:t>3</w:t>
            </w:r>
            <w:r>
              <w:rPr>
                <w:rFonts w:hint="eastAsia"/>
                <w:color w:val="auto"/>
                <w:sz w:val="24"/>
              </w:rPr>
              <w:t>/d、54万m</w:t>
            </w:r>
            <w:r>
              <w:rPr>
                <w:rFonts w:hint="eastAsia"/>
                <w:color w:val="auto"/>
                <w:sz w:val="24"/>
                <w:vertAlign w:val="superscript"/>
              </w:rPr>
              <w:t>3</w:t>
            </w:r>
            <w:r>
              <w:rPr>
                <w:rFonts w:hint="eastAsia"/>
                <w:color w:val="auto"/>
                <w:sz w:val="24"/>
              </w:rPr>
              <w:t>/a。烟气带走的水量为3.6t</w:t>
            </w:r>
            <w:r>
              <w:rPr>
                <w:color w:val="auto"/>
                <w:sz w:val="24"/>
              </w:rPr>
              <w:t>/d</w:t>
            </w:r>
            <w:r>
              <w:rPr>
                <w:rFonts w:hint="eastAsia"/>
                <w:color w:val="auto"/>
                <w:sz w:val="24"/>
              </w:rPr>
              <w:t>、1080t/a。烟气处理废水过滤时带走水量为0.2m</w:t>
            </w:r>
            <w:r>
              <w:rPr>
                <w:rFonts w:hint="eastAsia"/>
                <w:color w:val="auto"/>
                <w:sz w:val="24"/>
                <w:vertAlign w:val="superscript"/>
              </w:rPr>
              <w:t>3</w:t>
            </w:r>
            <w:r>
              <w:rPr>
                <w:rFonts w:hint="eastAsia"/>
                <w:color w:val="auto"/>
                <w:sz w:val="24"/>
              </w:rPr>
              <w:t>/d。损耗水由新鲜水补充，其余部分进入再生池加</w:t>
            </w:r>
            <w:r>
              <w:rPr>
                <w:rFonts w:hint="eastAsia"/>
                <w:color w:val="auto"/>
                <w:sz w:val="24"/>
                <w:lang w:val="en-US" w:eastAsia="zh-CN"/>
              </w:rPr>
              <w:t>石灰</w:t>
            </w:r>
            <w:r>
              <w:rPr>
                <w:rFonts w:hint="eastAsia"/>
                <w:color w:val="auto"/>
                <w:sz w:val="24"/>
              </w:rPr>
              <w:t>再生循环使用，不外排。</w:t>
            </w:r>
          </w:p>
          <w:p>
            <w:pPr>
              <w:widowControl/>
              <w:spacing w:line="360" w:lineRule="auto"/>
              <w:ind w:firstLine="480" w:firstLineChars="200"/>
              <w:jc w:val="left"/>
              <w:rPr>
                <w:bCs/>
                <w:color w:val="auto"/>
                <w:sz w:val="24"/>
              </w:rPr>
            </w:pPr>
            <w:r>
              <w:rPr>
                <w:rFonts w:hint="eastAsia"/>
                <w:bCs/>
                <w:color w:val="auto"/>
                <w:sz w:val="24"/>
              </w:rPr>
              <w:t>（3）生活污水</w:t>
            </w:r>
          </w:p>
          <w:p>
            <w:pPr>
              <w:widowControl/>
              <w:spacing w:line="360" w:lineRule="auto"/>
              <w:ind w:firstLine="480" w:firstLineChars="200"/>
              <w:jc w:val="left"/>
              <w:rPr>
                <w:color w:val="auto"/>
                <w:kern w:val="0"/>
                <w:sz w:val="24"/>
                <w:lang w:bidi="ar"/>
              </w:rPr>
            </w:pPr>
            <w:r>
              <w:rPr>
                <w:color w:val="auto"/>
                <w:kern w:val="0"/>
                <w:sz w:val="24"/>
                <w:lang w:bidi="ar"/>
              </w:rPr>
              <w:t>本次改扩建不新增员工</w:t>
            </w:r>
            <w:r>
              <w:rPr>
                <w:rFonts w:hint="eastAsia"/>
                <w:color w:val="auto"/>
                <w:kern w:val="0"/>
                <w:sz w:val="24"/>
                <w:lang w:bidi="ar"/>
              </w:rPr>
              <w:t>，</w:t>
            </w:r>
            <w:r>
              <w:rPr>
                <w:color w:val="auto"/>
                <w:kern w:val="0"/>
                <w:sz w:val="24"/>
                <w:lang w:bidi="ar"/>
              </w:rPr>
              <w:t>故不新增生活污水</w:t>
            </w:r>
            <w:r>
              <w:rPr>
                <w:rFonts w:hint="eastAsia"/>
                <w:color w:val="auto"/>
                <w:kern w:val="0"/>
                <w:sz w:val="24"/>
                <w:lang w:bidi="ar"/>
              </w:rPr>
              <w:t>。</w:t>
            </w:r>
            <w:r>
              <w:rPr>
                <w:color w:val="auto"/>
                <w:kern w:val="0"/>
                <w:sz w:val="24"/>
                <w:lang w:bidi="ar"/>
              </w:rPr>
              <w:t>根据原有项目实际情况，厂区共有员工80人，其中10人在厂区食宿，</w:t>
            </w:r>
            <w:r>
              <w:rPr>
                <w:rFonts w:hint="eastAsia"/>
                <w:color w:val="auto"/>
                <w:kern w:val="0"/>
                <w:sz w:val="24"/>
                <w:lang w:bidi="ar"/>
              </w:rPr>
              <w:t>项目10名在厂区食宿员工用水量为110L/d，其余70人用水量为</w:t>
            </w:r>
            <w:r>
              <w:rPr>
                <w:color w:val="auto"/>
                <w:kern w:val="0"/>
                <w:sz w:val="24"/>
                <w:lang w:bidi="ar"/>
              </w:rPr>
              <w:t>10 L/d、则全厂日用水量为1.8m</w:t>
            </w:r>
            <w:r>
              <w:rPr>
                <w:color w:val="auto"/>
                <w:kern w:val="0"/>
                <w:sz w:val="24"/>
                <w:vertAlign w:val="superscript"/>
                <w:lang w:bidi="ar"/>
              </w:rPr>
              <w:t>3</w:t>
            </w:r>
            <w:r>
              <w:rPr>
                <w:color w:val="auto"/>
                <w:kern w:val="0"/>
                <w:sz w:val="24"/>
                <w:lang w:bidi="ar"/>
              </w:rPr>
              <w:t>/d，废水产生量为1.44 m</w:t>
            </w:r>
            <w:r>
              <w:rPr>
                <w:color w:val="auto"/>
                <w:kern w:val="0"/>
                <w:sz w:val="24"/>
                <w:vertAlign w:val="superscript"/>
                <w:lang w:bidi="ar"/>
              </w:rPr>
              <w:t>3</w:t>
            </w:r>
            <w:r>
              <w:rPr>
                <w:color w:val="auto"/>
                <w:kern w:val="0"/>
                <w:sz w:val="24"/>
                <w:lang w:bidi="ar"/>
              </w:rPr>
              <w:t>/d。</w:t>
            </w:r>
            <w:r>
              <w:rPr>
                <w:rFonts w:hint="eastAsia"/>
                <w:color w:val="auto"/>
                <w:kern w:val="0"/>
                <w:sz w:val="24"/>
                <w:lang w:bidi="ar"/>
              </w:rPr>
              <w:t>餐饮废水经隔油池处理后，与其他生活污水一同经化粪池处理后排入园区污水管网，最终排入宜良工业园区污水处理厂处理。</w:t>
            </w:r>
          </w:p>
          <w:p>
            <w:pPr>
              <w:widowControl/>
              <w:spacing w:line="360" w:lineRule="auto"/>
              <w:ind w:firstLine="480" w:firstLineChars="200"/>
              <w:jc w:val="left"/>
              <w:rPr>
                <w:bCs/>
                <w:color w:val="auto"/>
                <w:sz w:val="24"/>
              </w:rPr>
            </w:pPr>
            <w:r>
              <w:rPr>
                <w:rFonts w:hint="eastAsia"/>
                <w:bCs/>
                <w:color w:val="auto"/>
                <w:sz w:val="24"/>
              </w:rPr>
              <w:t>（4）实验室废水</w:t>
            </w:r>
          </w:p>
          <w:p>
            <w:pPr>
              <w:widowControl/>
              <w:spacing w:line="360" w:lineRule="auto"/>
              <w:ind w:firstLine="480" w:firstLineChars="200"/>
              <w:rPr>
                <w:color w:val="auto"/>
                <w:kern w:val="0"/>
                <w:sz w:val="24"/>
                <w:lang w:bidi="ar"/>
              </w:rPr>
            </w:pPr>
            <w:r>
              <w:rPr>
                <w:rFonts w:hint="eastAsia"/>
                <w:bCs/>
                <w:color w:val="auto"/>
                <w:sz w:val="24"/>
              </w:rPr>
              <w:t>项目实验室主要进行</w:t>
            </w:r>
            <w:r>
              <w:rPr>
                <w:color w:val="auto"/>
                <w:kern w:val="0"/>
                <w:sz w:val="24"/>
                <w:lang w:bidi="ar"/>
              </w:rPr>
              <w:t>耐火砖的硬度</w:t>
            </w:r>
            <w:r>
              <w:rPr>
                <w:rFonts w:hint="eastAsia"/>
                <w:color w:val="auto"/>
                <w:kern w:val="0"/>
                <w:sz w:val="24"/>
                <w:lang w:bidi="ar"/>
              </w:rPr>
              <w:t>、</w:t>
            </w:r>
            <w:r>
              <w:rPr>
                <w:color w:val="auto"/>
                <w:kern w:val="0"/>
                <w:sz w:val="24"/>
                <w:lang w:bidi="ar"/>
              </w:rPr>
              <w:t>耐热度试验</w:t>
            </w:r>
            <w:r>
              <w:rPr>
                <w:rFonts w:hint="eastAsia"/>
                <w:color w:val="auto"/>
                <w:kern w:val="0"/>
                <w:sz w:val="24"/>
                <w:lang w:bidi="ar"/>
              </w:rPr>
              <w:t>以及</w:t>
            </w:r>
            <w:r>
              <w:rPr>
                <w:color w:val="auto"/>
                <w:kern w:val="0"/>
                <w:sz w:val="24"/>
                <w:lang w:bidi="ar"/>
              </w:rPr>
              <w:t>检验原料</w:t>
            </w:r>
            <w:r>
              <w:rPr>
                <w:rFonts w:hint="eastAsia"/>
                <w:color w:val="auto"/>
                <w:kern w:val="0"/>
                <w:sz w:val="24"/>
                <w:lang w:bidi="ar"/>
              </w:rPr>
              <w:t>、</w:t>
            </w:r>
            <w:r>
              <w:rPr>
                <w:color w:val="auto"/>
                <w:kern w:val="0"/>
                <w:sz w:val="24"/>
                <w:lang w:bidi="ar"/>
              </w:rPr>
              <w:t>成品中耐火成分含量</w:t>
            </w:r>
            <w:r>
              <w:rPr>
                <w:rFonts w:hint="eastAsia"/>
                <w:color w:val="auto"/>
                <w:kern w:val="0"/>
                <w:sz w:val="24"/>
                <w:lang w:bidi="ar"/>
              </w:rPr>
              <w:t>。</w:t>
            </w:r>
            <w:r>
              <w:rPr>
                <w:color w:val="auto"/>
                <w:kern w:val="0"/>
                <w:sz w:val="24"/>
                <w:lang w:bidi="ar"/>
              </w:rPr>
              <w:t>实验室废水主要为仪器清洗废水</w:t>
            </w:r>
            <w:r>
              <w:rPr>
                <w:rFonts w:hint="eastAsia"/>
                <w:color w:val="auto"/>
                <w:kern w:val="0"/>
                <w:sz w:val="24"/>
                <w:lang w:bidi="ar"/>
              </w:rPr>
              <w:t>，</w:t>
            </w:r>
            <w:r>
              <w:rPr>
                <w:color w:val="auto"/>
                <w:kern w:val="0"/>
                <w:sz w:val="24"/>
                <w:lang w:bidi="ar"/>
              </w:rPr>
              <w:t>主要污染</w:t>
            </w:r>
            <w:r>
              <w:rPr>
                <w:rFonts w:hint="eastAsia"/>
                <w:color w:val="auto"/>
                <w:kern w:val="0"/>
                <w:sz w:val="24"/>
                <w:lang w:bidi="ar"/>
              </w:rPr>
              <w:t>因子</w:t>
            </w:r>
            <w:r>
              <w:rPr>
                <w:color w:val="auto"/>
                <w:kern w:val="0"/>
                <w:sz w:val="24"/>
                <w:lang w:bidi="ar"/>
              </w:rPr>
              <w:t>为</w:t>
            </w:r>
            <w:r>
              <w:rPr>
                <w:rFonts w:hint="eastAsia"/>
                <w:color w:val="auto"/>
                <w:kern w:val="0"/>
                <w:sz w:val="24"/>
                <w:lang w:bidi="ar"/>
              </w:rPr>
              <w:t>SS、酸和碱等。原有项目实验室年用水量为0.1t/d、30t/a，改扩建项目实验室用水量为0.15t/d、45t/a，产污系数以0.8计，则原有项目实验废水产生量为0.08t/d、24t/a，改扩建项目实验废水产生量为0.12t/d、36t/a。</w:t>
            </w:r>
            <w:r>
              <w:rPr>
                <w:rFonts w:hint="eastAsia"/>
                <w:bCs/>
                <w:color w:val="auto"/>
                <w:sz w:val="24"/>
              </w:rPr>
              <w:t>经中和池酸碱调节为中性后排入化粪池与生活污水一并处理后再</w:t>
            </w:r>
            <w:r>
              <w:rPr>
                <w:rFonts w:hint="eastAsia"/>
                <w:color w:val="auto"/>
                <w:kern w:val="0"/>
                <w:sz w:val="24"/>
                <w:lang w:bidi="ar"/>
              </w:rPr>
              <w:t>排入园区污水管网，最终进入宜良工业园区污水处理厂处理</w:t>
            </w:r>
            <w:r>
              <w:rPr>
                <w:rFonts w:hint="eastAsia"/>
                <w:bCs/>
                <w:color w:val="auto"/>
                <w:sz w:val="24"/>
              </w:rPr>
              <w:t>。</w:t>
            </w:r>
          </w:p>
          <w:p>
            <w:pPr>
              <w:widowControl/>
              <w:spacing w:line="360" w:lineRule="auto"/>
              <w:ind w:firstLine="480" w:firstLineChars="200"/>
              <w:rPr>
                <w:color w:val="auto"/>
                <w:sz w:val="24"/>
              </w:rPr>
            </w:pPr>
            <w:r>
              <w:rPr>
                <w:rFonts w:hint="eastAsia"/>
                <w:color w:val="auto"/>
                <w:sz w:val="24"/>
              </w:rPr>
              <w:t>（5）初期雨水</w:t>
            </w:r>
          </w:p>
          <w:p>
            <w:pPr>
              <w:widowControl/>
              <w:spacing w:line="360" w:lineRule="auto"/>
              <w:ind w:firstLine="480" w:firstLineChars="200"/>
              <w:rPr>
                <w:color w:val="auto"/>
                <w:sz w:val="24"/>
              </w:rPr>
            </w:pPr>
            <w:r>
              <w:rPr>
                <w:color w:val="auto"/>
                <w:sz w:val="24"/>
              </w:rPr>
              <w:t>项目改扩建完成后全厂初期雨水量为</w:t>
            </w:r>
            <w:r>
              <w:rPr>
                <w:rFonts w:hint="eastAsia"/>
                <w:color w:val="auto"/>
                <w:sz w:val="24"/>
              </w:rPr>
              <w:t>2565m</w:t>
            </w:r>
            <w:r>
              <w:rPr>
                <w:rFonts w:hint="eastAsia"/>
                <w:color w:val="auto"/>
                <w:sz w:val="24"/>
                <w:vertAlign w:val="superscript"/>
              </w:rPr>
              <w:t>3</w:t>
            </w:r>
            <w:r>
              <w:rPr>
                <w:rFonts w:hint="eastAsia"/>
                <w:color w:val="auto"/>
                <w:sz w:val="24"/>
              </w:rPr>
              <w:t>/a，收集进入初期雨水池沉淀处理后回用于生产，不外排。</w:t>
            </w:r>
          </w:p>
          <w:p>
            <w:pPr>
              <w:widowControl/>
              <w:spacing w:line="360" w:lineRule="auto"/>
              <w:ind w:firstLine="480" w:firstLineChars="200"/>
              <w:rPr>
                <w:color w:val="auto"/>
                <w:sz w:val="24"/>
              </w:rPr>
            </w:pPr>
            <w:r>
              <w:rPr>
                <w:rFonts w:hint="eastAsia"/>
                <w:color w:val="auto"/>
                <w:sz w:val="24"/>
              </w:rPr>
              <w:t>改扩建项目水平衡图见图2-1，改扩建完成后全场水平衡图见图2-2。</w:t>
            </w:r>
          </w:p>
          <w:p>
            <w:pPr>
              <w:widowControl/>
              <w:spacing w:line="360" w:lineRule="auto"/>
              <w:rPr>
                <w:color w:val="auto"/>
                <w:kern w:val="0"/>
                <w:sz w:val="24"/>
                <w:lang w:bidi="ar"/>
              </w:rPr>
            </w:pP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959485</wp:posOffset>
                      </wp:positionV>
                      <wp:extent cx="381000" cy="546100"/>
                      <wp:effectExtent l="4445" t="4445" r="14605" b="20955"/>
                      <wp:wrapNone/>
                      <wp:docPr id="422" name="文本框 352"/>
                      <wp:cNvGraphicFramePr/>
                      <a:graphic xmlns:a="http://schemas.openxmlformats.org/drawingml/2006/main">
                        <a:graphicData uri="http://schemas.microsoft.com/office/word/2010/wordprocessingShape">
                          <wps:wsp>
                            <wps:cNvSpPr txBox="true">
                              <a:spLocks noChangeArrowheads="true"/>
                            </wps:cNvSpPr>
                            <wps:spPr bwMode="auto">
                              <a:xfrm>
                                <a:off x="0" y="0"/>
                                <a:ext cx="381000" cy="546100"/>
                              </a:xfrm>
                              <a:prstGeom prst="rect">
                                <a:avLst/>
                              </a:prstGeom>
                              <a:solidFill>
                                <a:srgbClr val="FFFFFF"/>
                              </a:solidFill>
                              <a:ln w="9525">
                                <a:solidFill>
                                  <a:srgbClr val="000000"/>
                                </a:solidFill>
                                <a:miter lim="800000"/>
                              </a:ln>
                              <a:effectLst/>
                            </wps:spPr>
                            <wps:txbx>
                              <w:txbxContent>
                                <w:p>
                                  <w:pPr>
                                    <w:jc w:val="center"/>
                                  </w:pPr>
                                  <w:r>
                                    <w:rPr>
                                      <w:rFonts w:hint="eastAsia"/>
                                    </w:rPr>
                                    <w:t>新鲜水</w:t>
                                  </w:r>
                                </w:p>
                              </w:txbxContent>
                            </wps:txbx>
                            <wps:bodyPr rot="0" vert="eaVert" wrap="square" lIns="91440" tIns="45720" rIns="91440" bIns="45720" anchor="t" anchorCtr="false" upright="true">
                              <a:noAutofit/>
                            </wps:bodyPr>
                          </wps:wsp>
                        </a:graphicData>
                      </a:graphic>
                    </wp:anchor>
                  </w:drawing>
                </mc:Choice>
                <mc:Fallback>
                  <w:pict>
                    <v:shape id="文本框 352" o:spid="_x0000_s1026" o:spt="202" type="#_x0000_t202" style="position:absolute;left:0pt;margin-left:-2.05pt;margin-top:75.55pt;height:43pt;width:30pt;z-index:251660288;mso-width-relative:page;mso-height-relative:page;" fillcolor="#FFFFFF" filled="t" stroked="t" coordsize="21600,21600" o:gfxdata="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JSgcy9cAAAAJAQAADwAAAAAA&#10;AAABACAAAAA4AAAAZHJzL2Rvd25yZXYueG1sUEsBAhQAFAAAAAgAh07iQGsVImc3AgAAWQQAAA4A&#10;AAAAAAAAAQAgAAAAPAEAAGRycy9lMm9Eb2MueG1sUEsFBgAAAAAGAAYAWQEAAOUFAAAAAA==&#10;">
                      <v:fill on="t" focussize="0,0"/>
                      <v:stroke color="#000000" miterlimit="8" joinstyle="miter"/>
                      <v:imagedata o:title=""/>
                      <o:lock v:ext="edit" aspectratio="f"/>
                      <v:textbox style="layout-flow:vertical-ideographic;">
                        <w:txbxContent>
                          <w:p>
                            <w:pPr>
                              <w:jc w:val="center"/>
                            </w:pPr>
                            <w:r>
                              <w:rPr>
                                <w:rFonts w:hint="eastAsia"/>
                              </w:rPr>
                              <w:t>新鲜水</w:t>
                            </w:r>
                          </w:p>
                        </w:txbxContent>
                      </v:textbox>
                    </v:shape>
                  </w:pict>
                </mc:Fallback>
              </mc:AlternateContent>
            </w:r>
            <w:r>
              <w:rPr>
                <w:color w:val="auto"/>
                <w:sz w:val="24"/>
              </w:rPr>
              <mc:AlternateContent>
                <mc:Choice Requires="wpc">
                  <w:drawing>
                    <wp:inline distT="0" distB="0" distL="0" distR="0">
                      <wp:extent cx="5330825" cy="2435860"/>
                      <wp:effectExtent l="0" t="0" r="3175" b="0"/>
                      <wp:docPr id="342" name="画布 342"/>
                      <wp:cNvGraphicFramePr/>
                      <a:graphic xmlns:a="http://schemas.openxmlformats.org/drawingml/2006/main">
                        <a:graphicData uri="http://schemas.microsoft.com/office/word/2010/wordprocessingCanvas">
                          <wpc:wpc>
                            <wpc:bg>
                              <a:noFill/>
                            </wpc:bg>
                            <wpc:whole>
                              <a:ln>
                                <a:noFill/>
                              </a:ln>
                            </wpc:whole>
                            <wps:wsp>
                              <wps:cNvPr id="176" name="文本框 349"/>
                              <wps:cNvSpPr txBox="true">
                                <a:spLocks noChangeArrowheads="true"/>
                              </wps:cNvSpPr>
                              <wps:spPr bwMode="auto">
                                <a:xfrm>
                                  <a:off x="2164095" y="381036"/>
                                  <a:ext cx="760730" cy="240030"/>
                                </a:xfrm>
                                <a:prstGeom prst="rect">
                                  <a:avLst/>
                                </a:prstGeom>
                                <a:solidFill>
                                  <a:srgbClr val="FFFFFF"/>
                                </a:solidFill>
                                <a:ln>
                                  <a:noFill/>
                                </a:ln>
                                <a:effectLst/>
                              </wps:spPr>
                              <wps:txbx>
                                <w:txbxContent>
                                  <w:p>
                                    <w:pPr>
                                      <w:pStyle w:val="19"/>
                                      <w:spacing w:before="0" w:beforeAutospacing="0" w:after="0" w:afterAutospacing="0"/>
                                      <w:jc w:val="center"/>
                                    </w:pPr>
                                    <w:r>
                                      <w:rPr>
                                        <w:rFonts w:hint="eastAsia" w:ascii="Times New Roman" w:hAnsi="Times New Roman"/>
                                        <w:kern w:val="2"/>
                                        <w:sz w:val="21"/>
                                        <w:szCs w:val="21"/>
                                      </w:rPr>
                                      <w:t>435</w:t>
                                    </w:r>
                                  </w:p>
                                </w:txbxContent>
                              </wps:txbx>
                              <wps:bodyPr rot="0" vert="horz" wrap="square" lIns="91440" tIns="45720" rIns="91440" bIns="45720" anchor="t" anchorCtr="false" upright="true">
                                <a:noAutofit/>
                              </wps:bodyPr>
                            </wps:wsp>
                            <wps:wsp>
                              <wps:cNvPr id="169" name="文本框 349"/>
                              <wps:cNvSpPr txBox="true">
                                <a:spLocks noChangeArrowheads="true"/>
                              </wps:cNvSpPr>
                              <wps:spPr bwMode="auto">
                                <a:xfrm>
                                  <a:off x="738954" y="141574"/>
                                  <a:ext cx="760730" cy="240030"/>
                                </a:xfrm>
                                <a:prstGeom prst="rect">
                                  <a:avLst/>
                                </a:prstGeom>
                                <a:solidFill>
                                  <a:srgbClr val="FFFFFF"/>
                                </a:solidFill>
                                <a:ln>
                                  <a:noFill/>
                                </a:ln>
                                <a:effectLst/>
                              </wps:spPr>
                              <wps:txbx>
                                <w:txbxContent>
                                  <w:p>
                                    <w:pPr>
                                      <w:pStyle w:val="19"/>
                                      <w:spacing w:before="0" w:beforeAutospacing="0" w:after="0" w:afterAutospacing="0"/>
                                      <w:jc w:val="center"/>
                                    </w:pPr>
                                    <w:r>
                                      <w:rPr>
                                        <w:rFonts w:ascii="Times New Roman" w:hAnsi="Times New Roman"/>
                                        <w:kern w:val="2"/>
                                        <w:sz w:val="21"/>
                                        <w:szCs w:val="21"/>
                                      </w:rPr>
                                      <w:t>2562</w:t>
                                    </w:r>
                                  </w:p>
                                </w:txbxContent>
                              </wps:txbx>
                              <wps:bodyPr rot="0" vert="horz" wrap="square" lIns="91440" tIns="45720" rIns="91440" bIns="45720" anchor="t" anchorCtr="false" upright="true">
                                <a:noAutofit/>
                              </wps:bodyPr>
                            </wps:wsp>
                            <wps:wsp>
                              <wps:cNvPr id="168" name="文本框 349"/>
                              <wps:cNvSpPr txBox="true">
                                <a:spLocks noChangeArrowheads="true"/>
                              </wps:cNvSpPr>
                              <wps:spPr bwMode="auto">
                                <a:xfrm>
                                  <a:off x="2163671" y="140398"/>
                                  <a:ext cx="761365" cy="240665"/>
                                </a:xfrm>
                                <a:prstGeom prst="rect">
                                  <a:avLst/>
                                </a:prstGeom>
                                <a:solidFill>
                                  <a:srgbClr val="FFFFFF"/>
                                </a:solidFill>
                                <a:ln>
                                  <a:noFill/>
                                </a:ln>
                                <a:effectLst/>
                              </wps:spPr>
                              <wps:txbx>
                                <w:txbxContent>
                                  <w:p>
                                    <w:pPr>
                                      <w:pStyle w:val="19"/>
                                      <w:spacing w:before="0" w:beforeAutospacing="0" w:after="0" w:afterAutospacing="0"/>
                                      <w:jc w:val="center"/>
                                    </w:pPr>
                                    <w:r>
                                      <w:rPr>
                                        <w:rFonts w:hint="eastAsia" w:ascii="Times New Roman" w:hAnsi="Times New Roman"/>
                                        <w:kern w:val="2"/>
                                        <w:sz w:val="21"/>
                                        <w:szCs w:val="21"/>
                                      </w:rPr>
                                      <w:t>2562</w:t>
                                    </w:r>
                                  </w:p>
                                </w:txbxContent>
                              </wps:txbx>
                              <wps:bodyPr rot="0" vert="horz" wrap="square" lIns="91440" tIns="45720" rIns="91440" bIns="45720" anchor="t" anchorCtr="false" upright="true">
                                <a:noAutofit/>
                              </wps:bodyPr>
                            </wps:wsp>
                            <wps:wsp>
                              <wps:cNvPr id="381" name="文本框 347"/>
                              <wps:cNvSpPr txBox="true">
                                <a:spLocks noChangeArrowheads="true"/>
                              </wps:cNvSpPr>
                              <wps:spPr bwMode="auto">
                                <a:xfrm>
                                  <a:off x="4446808" y="1824889"/>
                                  <a:ext cx="429895" cy="241300"/>
                                </a:xfrm>
                                <a:prstGeom prst="rect">
                                  <a:avLst/>
                                </a:prstGeom>
                                <a:solidFill>
                                  <a:srgbClr val="FFFFFF"/>
                                </a:solidFill>
                                <a:ln>
                                  <a:noFill/>
                                </a:ln>
                                <a:effectLst/>
                              </wps:spPr>
                              <wps:txbx>
                                <w:txbxContent>
                                  <w:p>
                                    <w:pPr>
                                      <w:jc w:val="center"/>
                                    </w:pPr>
                                    <w:r>
                                      <w:rPr>
                                        <w:rFonts w:hint="eastAsia"/>
                                      </w:rPr>
                                      <w:t>36</w:t>
                                    </w:r>
                                  </w:p>
                                </w:txbxContent>
                              </wps:txbx>
                              <wps:bodyPr rot="0" vert="horz" wrap="square" lIns="91440" tIns="45720" rIns="91440" bIns="45720" anchor="t" anchorCtr="false" upright="true">
                                <a:noAutofit/>
                              </wps:bodyPr>
                            </wps:wsp>
                            <wps:wsp>
                              <wps:cNvPr id="382" name="文本框 347"/>
                              <wps:cNvSpPr txBox="true">
                                <a:spLocks noChangeArrowheads="true"/>
                              </wps:cNvSpPr>
                              <wps:spPr bwMode="auto">
                                <a:xfrm>
                                  <a:off x="1995477" y="1814269"/>
                                  <a:ext cx="762000" cy="241300"/>
                                </a:xfrm>
                                <a:prstGeom prst="rect">
                                  <a:avLst/>
                                </a:prstGeom>
                                <a:solidFill>
                                  <a:srgbClr val="FFFFFF"/>
                                </a:solidFill>
                                <a:ln>
                                  <a:noFill/>
                                </a:ln>
                                <a:effectLst/>
                              </wps:spPr>
                              <wps:txbx>
                                <w:txbxContent>
                                  <w:p>
                                    <w:pPr>
                                      <w:jc w:val="center"/>
                                    </w:pPr>
                                    <w:r>
                                      <w:rPr>
                                        <w:rFonts w:hint="eastAsia"/>
                                      </w:rPr>
                                      <w:t>36</w:t>
                                    </w:r>
                                  </w:p>
                                </w:txbxContent>
                              </wps:txbx>
                              <wps:bodyPr rot="0" vert="horz" wrap="square" lIns="91440" tIns="45720" rIns="91440" bIns="45720" anchor="t" anchorCtr="false" upright="true">
                                <a:noAutofit/>
                              </wps:bodyPr>
                            </wps:wsp>
                            <wps:wsp>
                              <wps:cNvPr id="383" name="文本框 347"/>
                              <wps:cNvSpPr txBox="true">
                                <a:spLocks noChangeArrowheads="true"/>
                              </wps:cNvSpPr>
                              <wps:spPr bwMode="auto">
                                <a:xfrm>
                                  <a:off x="3104030" y="1827813"/>
                                  <a:ext cx="762000" cy="241300"/>
                                </a:xfrm>
                                <a:prstGeom prst="rect">
                                  <a:avLst/>
                                </a:prstGeom>
                                <a:solidFill>
                                  <a:srgbClr val="FFFFFF"/>
                                </a:solidFill>
                                <a:ln>
                                  <a:noFill/>
                                </a:ln>
                                <a:effectLst/>
                              </wps:spPr>
                              <wps:txbx>
                                <w:txbxContent>
                                  <w:p>
                                    <w:pPr>
                                      <w:jc w:val="center"/>
                                    </w:pPr>
                                    <w:r>
                                      <w:rPr>
                                        <w:rFonts w:hint="eastAsia"/>
                                      </w:rPr>
                                      <w:t>36</w:t>
                                    </w:r>
                                  </w:p>
                                </w:txbxContent>
                              </wps:txbx>
                              <wps:bodyPr rot="0" vert="horz" wrap="square" lIns="91440" tIns="45720" rIns="91440" bIns="45720" anchor="t" anchorCtr="false" upright="true">
                                <a:noAutofit/>
                              </wps:bodyPr>
                            </wps:wsp>
                            <wps:wsp>
                              <wps:cNvPr id="64" name="文本框 347"/>
                              <wps:cNvSpPr txBox="true">
                                <a:spLocks noChangeArrowheads="true"/>
                              </wps:cNvSpPr>
                              <wps:spPr bwMode="auto">
                                <a:xfrm>
                                  <a:off x="1852602" y="1607473"/>
                                  <a:ext cx="762000" cy="241300"/>
                                </a:xfrm>
                                <a:prstGeom prst="rect">
                                  <a:avLst/>
                                </a:prstGeom>
                                <a:solidFill>
                                  <a:srgbClr val="FFFFFF"/>
                                </a:solidFill>
                                <a:ln>
                                  <a:noFill/>
                                </a:ln>
                                <a:effectLst/>
                              </wps:spPr>
                              <wps:txbx>
                                <w:txbxContent>
                                  <w:p>
                                    <w:pPr>
                                      <w:jc w:val="center"/>
                                    </w:pPr>
                                    <w:r>
                                      <w:rPr>
                                        <w:rFonts w:hint="eastAsia"/>
                                      </w:rPr>
                                      <w:t>9</w:t>
                                    </w:r>
                                  </w:p>
                                </w:txbxContent>
                              </wps:txbx>
                              <wps:bodyPr rot="0" vert="horz" wrap="square" lIns="91440" tIns="45720" rIns="91440" bIns="45720" anchor="t" anchorCtr="false" upright="true">
                                <a:noAutofit/>
                              </wps:bodyPr>
                            </wps:wsp>
                            <wps:wsp>
                              <wps:cNvPr id="65" name="文本框 351"/>
                              <wps:cNvSpPr txBox="true">
                                <a:spLocks noChangeArrowheads="true"/>
                              </wps:cNvSpPr>
                              <wps:spPr bwMode="auto">
                                <a:xfrm>
                                  <a:off x="700196" y="1835545"/>
                                  <a:ext cx="762000" cy="241300"/>
                                </a:xfrm>
                                <a:prstGeom prst="rect">
                                  <a:avLst/>
                                </a:prstGeom>
                                <a:solidFill>
                                  <a:srgbClr val="FFFFFF"/>
                                </a:solidFill>
                                <a:ln>
                                  <a:noFill/>
                                </a:ln>
                                <a:effectLst/>
                              </wps:spPr>
                              <wps:txbx>
                                <w:txbxContent>
                                  <w:p>
                                    <w:pPr>
                                      <w:jc w:val="center"/>
                                    </w:pPr>
                                    <w:r>
                                      <w:rPr>
                                        <w:rFonts w:hint="eastAsia"/>
                                      </w:rPr>
                                      <w:t>45</w:t>
                                    </w:r>
                                  </w:p>
                                </w:txbxContent>
                              </wps:txbx>
                              <wps:bodyPr rot="0" vert="horz" wrap="square" lIns="91440" tIns="45720" rIns="91440" bIns="45720" anchor="t" anchorCtr="false" upright="true">
                                <a:noAutofit/>
                              </wps:bodyPr>
                            </wps:wsp>
                            <wps:wsp>
                              <wps:cNvPr id="67" name="文本框 344"/>
                              <wps:cNvSpPr txBox="true">
                                <a:spLocks noChangeArrowheads="true"/>
                              </wps:cNvSpPr>
                              <wps:spPr bwMode="auto">
                                <a:xfrm>
                                  <a:off x="3334863" y="794928"/>
                                  <a:ext cx="762000" cy="241300"/>
                                </a:xfrm>
                                <a:prstGeom prst="rect">
                                  <a:avLst/>
                                </a:prstGeom>
                                <a:solidFill>
                                  <a:srgbClr val="FFFFFF"/>
                                </a:solidFill>
                                <a:ln>
                                  <a:noFill/>
                                </a:ln>
                                <a:effectLst/>
                              </wps:spPr>
                              <wps:txbx>
                                <w:txbxContent>
                                  <w:p>
                                    <w:pPr>
                                      <w:jc w:val="center"/>
                                    </w:pPr>
                                    <w:r>
                                      <w:rPr>
                                        <w:rFonts w:hint="eastAsia"/>
                                      </w:rPr>
                                      <w:t>60</w:t>
                                    </w:r>
                                  </w:p>
                                </w:txbxContent>
                              </wps:txbx>
                              <wps:bodyPr rot="0" vert="horz" wrap="square" lIns="91440" tIns="45720" rIns="91440" bIns="45720" anchor="t" anchorCtr="false" upright="true">
                                <a:noAutofit/>
                              </wps:bodyPr>
                            </wps:wsp>
                            <wps:wsp>
                              <wps:cNvPr id="68" name="文本框 345"/>
                              <wps:cNvSpPr txBox="true">
                                <a:spLocks noChangeArrowheads="true"/>
                              </wps:cNvSpPr>
                              <wps:spPr bwMode="auto">
                                <a:xfrm>
                                  <a:off x="3505835" y="1027618"/>
                                  <a:ext cx="762000" cy="241300"/>
                                </a:xfrm>
                                <a:prstGeom prst="rect">
                                  <a:avLst/>
                                </a:prstGeom>
                                <a:solidFill>
                                  <a:srgbClr val="FFFFFF"/>
                                </a:solidFill>
                                <a:ln>
                                  <a:noFill/>
                                </a:ln>
                                <a:effectLst/>
                              </wps:spPr>
                              <wps:txbx>
                                <w:txbxContent>
                                  <w:p>
                                    <w:pPr>
                                      <w:jc w:val="center"/>
                                    </w:pPr>
                                    <w:r>
                                      <w:rPr>
                                        <w:rFonts w:hint="eastAsia"/>
                                      </w:rPr>
                                      <w:t>538860</w:t>
                                    </w:r>
                                  </w:p>
                                </w:txbxContent>
                              </wps:txbx>
                              <wps:bodyPr rot="0" vert="horz" wrap="square" lIns="91440" tIns="45720" rIns="91440" bIns="45720" anchor="t" anchorCtr="false" upright="true">
                                <a:noAutofit/>
                              </wps:bodyPr>
                            </wps:wsp>
                            <wps:wsp>
                              <wps:cNvPr id="69" name="文本框 346"/>
                              <wps:cNvSpPr txBox="true">
                                <a:spLocks noChangeArrowheads="true"/>
                              </wps:cNvSpPr>
                              <wps:spPr bwMode="auto">
                                <a:xfrm>
                                  <a:off x="2160270" y="1034974"/>
                                  <a:ext cx="762000" cy="241300"/>
                                </a:xfrm>
                                <a:prstGeom prst="rect">
                                  <a:avLst/>
                                </a:prstGeom>
                                <a:solidFill>
                                  <a:srgbClr val="FFFFFF"/>
                                </a:solidFill>
                                <a:ln>
                                  <a:noFill/>
                                </a:ln>
                                <a:effectLst/>
                              </wps:spPr>
                              <wps:txbx>
                                <w:txbxContent>
                                  <w:p>
                                    <w:pPr>
                                      <w:jc w:val="center"/>
                                    </w:pPr>
                                    <w:r>
                                      <w:rPr>
                                        <w:rFonts w:hint="eastAsia"/>
                                      </w:rPr>
                                      <w:t>538920</w:t>
                                    </w:r>
                                  </w:p>
                                </w:txbxContent>
                              </wps:txbx>
                              <wps:bodyPr rot="0" vert="horz" wrap="square" lIns="91440" tIns="45720" rIns="91440" bIns="45720" anchor="t" anchorCtr="false" upright="true">
                                <a:noAutofit/>
                              </wps:bodyPr>
                            </wps:wsp>
                            <wps:wsp>
                              <wps:cNvPr id="70" name="文本框 347"/>
                              <wps:cNvSpPr txBox="true">
                                <a:spLocks noChangeArrowheads="true"/>
                              </wps:cNvSpPr>
                              <wps:spPr bwMode="auto">
                                <a:xfrm>
                                  <a:off x="2000885" y="789493"/>
                                  <a:ext cx="762000" cy="241300"/>
                                </a:xfrm>
                                <a:prstGeom prst="rect">
                                  <a:avLst/>
                                </a:prstGeom>
                                <a:solidFill>
                                  <a:srgbClr val="FFFFFF"/>
                                </a:solidFill>
                                <a:ln>
                                  <a:noFill/>
                                </a:ln>
                                <a:effectLst/>
                              </wps:spPr>
                              <wps:txbx>
                                <w:txbxContent>
                                  <w:p>
                                    <w:pPr>
                                      <w:jc w:val="center"/>
                                    </w:pPr>
                                    <w:r>
                                      <w:rPr>
                                        <w:rFonts w:hint="eastAsia"/>
                                      </w:rPr>
                                      <w:t>1080</w:t>
                                    </w:r>
                                  </w:p>
                                </w:txbxContent>
                              </wps:txbx>
                              <wps:bodyPr rot="0" vert="horz" wrap="square" lIns="91440" tIns="45720" rIns="91440" bIns="45720" anchor="t" anchorCtr="false" upright="true">
                                <a:noAutofit/>
                              </wps:bodyPr>
                            </wps:wsp>
                            <wps:wsp>
                              <wps:cNvPr id="71" name="文本框 348"/>
                              <wps:cNvSpPr txBox="true">
                                <a:spLocks noChangeArrowheads="true"/>
                              </wps:cNvSpPr>
                              <wps:spPr bwMode="auto">
                                <a:xfrm>
                                  <a:off x="799408" y="1024179"/>
                                  <a:ext cx="762000" cy="241300"/>
                                </a:xfrm>
                                <a:prstGeom prst="rect">
                                  <a:avLst/>
                                </a:prstGeom>
                                <a:solidFill>
                                  <a:srgbClr val="FFFFFF"/>
                                </a:solidFill>
                                <a:ln>
                                  <a:noFill/>
                                </a:ln>
                                <a:effectLst/>
                              </wps:spPr>
                              <wps:txbx>
                                <w:txbxContent>
                                  <w:p>
                                    <w:pPr>
                                      <w:jc w:val="center"/>
                                    </w:pPr>
                                    <w:r>
                                      <w:rPr>
                                        <w:rFonts w:hint="eastAsia"/>
                                      </w:rPr>
                                      <w:t>1140</w:t>
                                    </w:r>
                                  </w:p>
                                </w:txbxContent>
                              </wps:txbx>
                              <wps:bodyPr rot="0" vert="horz" wrap="square" lIns="91440" tIns="45720" rIns="91440" bIns="45720" anchor="t" anchorCtr="false" upright="true">
                                <a:noAutofit/>
                              </wps:bodyPr>
                            </wps:wsp>
                            <wps:wsp>
                              <wps:cNvPr id="72" name="文本框 349"/>
                              <wps:cNvSpPr txBox="true">
                                <a:spLocks noChangeArrowheads="true"/>
                              </wps:cNvSpPr>
                              <wps:spPr bwMode="auto">
                                <a:xfrm>
                                  <a:off x="3390066" y="36005"/>
                                  <a:ext cx="762000" cy="241300"/>
                                </a:xfrm>
                                <a:prstGeom prst="rect">
                                  <a:avLst/>
                                </a:prstGeom>
                                <a:solidFill>
                                  <a:srgbClr val="FFFFFF"/>
                                </a:solidFill>
                                <a:ln>
                                  <a:noFill/>
                                </a:ln>
                                <a:effectLst/>
                              </wps:spPr>
                              <wps:txbx>
                                <w:txbxContent>
                                  <w:p>
                                    <w:pPr>
                                      <w:jc w:val="center"/>
                                    </w:pPr>
                                    <w:r>
                                      <w:rPr>
                                        <w:rFonts w:hint="eastAsia"/>
                                      </w:rPr>
                                      <w:t>3000</w:t>
                                    </w:r>
                                  </w:p>
                                </w:txbxContent>
                              </wps:txbx>
                              <wps:bodyPr rot="0" vert="horz" wrap="square" lIns="91440" tIns="45720" rIns="91440" bIns="45720" anchor="t" anchorCtr="false" upright="true">
                                <a:noAutofit/>
                              </wps:bodyPr>
                            </wps:wsp>
                            <wps:wsp>
                              <wps:cNvPr id="73" name="文本框 350"/>
                              <wps:cNvSpPr txBox="true">
                                <a:spLocks noChangeArrowheads="true"/>
                              </wps:cNvSpPr>
                              <wps:spPr bwMode="auto">
                                <a:xfrm>
                                  <a:off x="2893317" y="1421953"/>
                                  <a:ext cx="762000" cy="241300"/>
                                </a:xfrm>
                                <a:prstGeom prst="rect">
                                  <a:avLst/>
                                </a:prstGeom>
                                <a:solidFill>
                                  <a:srgbClr val="FFFFFF"/>
                                </a:solidFill>
                                <a:ln>
                                  <a:noFill/>
                                </a:ln>
                                <a:effectLst/>
                              </wps:spPr>
                              <wps:txbx>
                                <w:txbxContent>
                                  <w:p>
                                    <w:pPr>
                                      <w:jc w:val="center"/>
                                    </w:pPr>
                                    <w:r>
                                      <w:rPr>
                                        <w:rFonts w:hint="eastAsia"/>
                                      </w:rPr>
                                      <w:t>538860</w:t>
                                    </w:r>
                                  </w:p>
                                </w:txbxContent>
                              </wps:txbx>
                              <wps:bodyPr rot="0" vert="horz" wrap="square" lIns="91440" tIns="45720" rIns="91440" bIns="45720" anchor="t" anchorCtr="false" upright="true">
                                <a:noAutofit/>
                              </wps:bodyPr>
                            </wps:wsp>
                            <wps:wsp>
                              <wps:cNvPr id="74" name="文本框 351"/>
                              <wps:cNvSpPr txBox="true">
                                <a:spLocks noChangeArrowheads="true"/>
                              </wps:cNvSpPr>
                              <wps:spPr bwMode="auto">
                                <a:xfrm>
                                  <a:off x="201380" y="997065"/>
                                  <a:ext cx="762000" cy="241300"/>
                                </a:xfrm>
                                <a:prstGeom prst="rect">
                                  <a:avLst/>
                                </a:prstGeom>
                                <a:solidFill>
                                  <a:srgbClr val="FFFFFF"/>
                                </a:solidFill>
                                <a:ln>
                                  <a:noFill/>
                                </a:ln>
                                <a:effectLst/>
                              </wps:spPr>
                              <wps:txbx>
                                <w:txbxContent>
                                  <w:p>
                                    <w:pPr>
                                      <w:jc w:val="center"/>
                                    </w:pPr>
                                    <w:r>
                                      <w:rPr>
                                        <w:rFonts w:hint="eastAsia"/>
                                      </w:rPr>
                                      <w:t>1620</w:t>
                                    </w:r>
                                  </w:p>
                                </w:txbxContent>
                              </wps:txbx>
                              <wps:bodyPr rot="0" vert="horz" wrap="square" lIns="91440" tIns="45720" rIns="91440" bIns="45720" anchor="t" anchorCtr="false" upright="true">
                                <a:noAutofit/>
                              </wps:bodyPr>
                            </wps:wsp>
                            <wps:wsp>
                              <wps:cNvPr id="75" name="直线 353"/>
                              <wps:cNvCnPr/>
                              <wps:spPr bwMode="auto">
                                <a:xfrm flipV="true">
                                  <a:off x="267418" y="1207222"/>
                                  <a:ext cx="533423" cy="5420"/>
                                </a:xfrm>
                                <a:prstGeom prst="line">
                                  <a:avLst/>
                                </a:prstGeom>
                                <a:noFill/>
                                <a:ln w="9525">
                                  <a:solidFill>
                                    <a:srgbClr val="000000"/>
                                  </a:solidFill>
                                  <a:round/>
                                </a:ln>
                                <a:effectLst/>
                              </wps:spPr>
                              <wps:bodyPr/>
                            </wps:wsp>
                            <wps:wsp>
                              <wps:cNvPr id="77" name="直线 354"/>
                              <wps:cNvCnPr/>
                              <wps:spPr bwMode="auto">
                                <a:xfrm flipH="true">
                                  <a:off x="800942" y="556852"/>
                                  <a:ext cx="435" cy="1450734"/>
                                </a:xfrm>
                                <a:prstGeom prst="line">
                                  <a:avLst/>
                                </a:prstGeom>
                                <a:noFill/>
                                <a:ln w="9525">
                                  <a:solidFill>
                                    <a:srgbClr val="000000"/>
                                  </a:solidFill>
                                  <a:round/>
                                </a:ln>
                                <a:effectLst/>
                              </wps:spPr>
                              <wps:bodyPr/>
                            </wps:wsp>
                            <wps:wsp>
                              <wps:cNvPr id="78" name="直线 355"/>
                              <wps:cNvCnPr/>
                              <wps:spPr bwMode="auto">
                                <a:xfrm>
                                  <a:off x="801377" y="554943"/>
                                  <a:ext cx="2028855" cy="1970"/>
                                </a:xfrm>
                                <a:prstGeom prst="line">
                                  <a:avLst/>
                                </a:prstGeom>
                                <a:noFill/>
                                <a:ln w="9525">
                                  <a:solidFill>
                                    <a:srgbClr val="000000"/>
                                  </a:solidFill>
                                  <a:round/>
                                  <a:tailEnd type="arrow" w="med" len="med"/>
                                </a:ln>
                                <a:effectLst/>
                              </wps:spPr>
                              <wps:bodyPr/>
                            </wps:wsp>
                            <wps:wsp>
                              <wps:cNvPr id="79" name="直线 356"/>
                              <wps:cNvCnPr/>
                              <wps:spPr bwMode="auto">
                                <a:xfrm>
                                  <a:off x="801027" y="1205175"/>
                                  <a:ext cx="731701" cy="7620"/>
                                </a:xfrm>
                                <a:prstGeom prst="line">
                                  <a:avLst/>
                                </a:prstGeom>
                                <a:noFill/>
                                <a:ln w="9525">
                                  <a:solidFill>
                                    <a:srgbClr val="000000"/>
                                  </a:solidFill>
                                  <a:round/>
                                  <a:tailEnd type="arrow" w="med" len="med"/>
                                </a:ln>
                                <a:effectLst/>
                              </wps:spPr>
                              <wps:bodyPr/>
                            </wps:wsp>
                            <wps:wsp>
                              <wps:cNvPr id="80" name="文本框 357"/>
                              <wps:cNvSpPr txBox="true">
                                <a:spLocks noChangeArrowheads="true"/>
                              </wps:cNvSpPr>
                              <wps:spPr bwMode="auto">
                                <a:xfrm>
                                  <a:off x="2846705" y="313690"/>
                                  <a:ext cx="762000" cy="288925"/>
                                </a:xfrm>
                                <a:prstGeom prst="rect">
                                  <a:avLst/>
                                </a:prstGeom>
                                <a:solidFill>
                                  <a:srgbClr val="FFFFFF"/>
                                </a:solidFill>
                                <a:ln w="9525">
                                  <a:solidFill>
                                    <a:srgbClr val="000000"/>
                                  </a:solidFill>
                                  <a:miter lim="800000"/>
                                </a:ln>
                                <a:effectLst/>
                              </wps:spPr>
                              <wps:txbx>
                                <w:txbxContent>
                                  <w:p>
                                    <w:pPr>
                                      <w:jc w:val="center"/>
                                    </w:pPr>
                                    <w:r>
                                      <w:rPr>
                                        <w:rFonts w:hint="eastAsia"/>
                                      </w:rPr>
                                      <w:t>原料搅拌</w:t>
                                    </w:r>
                                  </w:p>
                                </w:txbxContent>
                              </wps:txbx>
                              <wps:bodyPr rot="0" vert="horz" wrap="square" lIns="91440" tIns="45720" rIns="91440" bIns="45720" anchor="t" anchorCtr="false" upright="true">
                                <a:noAutofit/>
                              </wps:bodyPr>
                            </wps:wsp>
                            <wps:wsp>
                              <wps:cNvPr id="81" name="自选图形 358"/>
                              <wps:cNvCnPr/>
                              <wps:spPr bwMode="auto">
                                <a:xfrm rot="16200000">
                                  <a:off x="3324344" y="52673"/>
                                  <a:ext cx="177800" cy="355600"/>
                                </a:xfrm>
                                <a:prstGeom prst="curvedConnector2">
                                  <a:avLst/>
                                </a:prstGeom>
                                <a:noFill/>
                                <a:ln w="9525">
                                  <a:solidFill>
                                    <a:srgbClr val="000000"/>
                                  </a:solidFill>
                                  <a:round/>
                                  <a:tailEnd type="arrow" w="med" len="med"/>
                                </a:ln>
                                <a:effectLst/>
                              </wps:spPr>
                              <wps:bodyPr/>
                            </wps:wsp>
                            <wps:wsp>
                              <wps:cNvPr id="82" name="文本框 359"/>
                              <wps:cNvSpPr txBox="true">
                                <a:spLocks noChangeArrowheads="true"/>
                              </wps:cNvSpPr>
                              <wps:spPr bwMode="auto">
                                <a:xfrm>
                                  <a:off x="1525270" y="1057275"/>
                                  <a:ext cx="762000" cy="269875"/>
                                </a:xfrm>
                                <a:prstGeom prst="rect">
                                  <a:avLst/>
                                </a:prstGeom>
                                <a:solidFill>
                                  <a:srgbClr val="FFFFFF"/>
                                </a:solidFill>
                                <a:ln w="9525">
                                  <a:solidFill>
                                    <a:srgbClr val="000000"/>
                                  </a:solidFill>
                                  <a:miter lim="800000"/>
                                </a:ln>
                                <a:effectLst/>
                              </wps:spPr>
                              <wps:txbx>
                                <w:txbxContent>
                                  <w:p>
                                    <w:pPr>
                                      <w:jc w:val="center"/>
                                    </w:pPr>
                                    <w:r>
                                      <w:rPr>
                                        <w:rFonts w:hint="eastAsia"/>
                                      </w:rPr>
                                      <w:t>烟气处理</w:t>
                                    </w:r>
                                  </w:p>
                                </w:txbxContent>
                              </wps:txbx>
                              <wps:bodyPr rot="0" vert="horz" wrap="square" lIns="91440" tIns="45720" rIns="91440" bIns="45720" anchor="t" anchorCtr="false" upright="true">
                                <a:noAutofit/>
                              </wps:bodyPr>
                            </wps:wsp>
                            <wps:wsp>
                              <wps:cNvPr id="83" name="自选图形 360"/>
                              <wps:cNvCnPr/>
                              <wps:spPr bwMode="auto">
                                <a:xfrm rot="16200000">
                                  <a:off x="1994271" y="816673"/>
                                  <a:ext cx="177800" cy="355600"/>
                                </a:xfrm>
                                <a:prstGeom prst="curvedConnector2">
                                  <a:avLst/>
                                </a:prstGeom>
                                <a:noFill/>
                                <a:ln w="9525">
                                  <a:solidFill>
                                    <a:srgbClr val="000000"/>
                                  </a:solidFill>
                                  <a:round/>
                                  <a:tailEnd type="arrow" w="med" len="med"/>
                                </a:ln>
                                <a:effectLst/>
                              </wps:spPr>
                              <wps:bodyPr/>
                            </wps:wsp>
                            <wps:wsp>
                              <wps:cNvPr id="84" name="自选图形 361"/>
                              <wps:cNvCnPr/>
                              <wps:spPr bwMode="auto">
                                <a:xfrm>
                                  <a:off x="2296531" y="1205311"/>
                                  <a:ext cx="571500" cy="635"/>
                                </a:xfrm>
                                <a:prstGeom prst="straightConnector1">
                                  <a:avLst/>
                                </a:prstGeom>
                                <a:noFill/>
                                <a:ln w="9525">
                                  <a:solidFill>
                                    <a:srgbClr val="000000"/>
                                  </a:solidFill>
                                  <a:round/>
                                  <a:tailEnd type="arrow" w="med" len="med"/>
                                </a:ln>
                                <a:effectLst/>
                              </wps:spPr>
                              <wps:bodyPr/>
                            </wps:wsp>
                            <wps:wsp>
                              <wps:cNvPr id="85" name="文本框 362"/>
                              <wps:cNvSpPr txBox="true">
                                <a:spLocks noChangeArrowheads="true"/>
                              </wps:cNvSpPr>
                              <wps:spPr bwMode="auto">
                                <a:xfrm>
                                  <a:off x="2856230" y="1070056"/>
                                  <a:ext cx="762000" cy="266700"/>
                                </a:xfrm>
                                <a:prstGeom prst="rect">
                                  <a:avLst/>
                                </a:prstGeom>
                                <a:solidFill>
                                  <a:srgbClr val="FFFFFF"/>
                                </a:solidFill>
                                <a:ln w="9525">
                                  <a:solidFill>
                                    <a:srgbClr val="000000"/>
                                  </a:solidFill>
                                  <a:miter lim="800000"/>
                                </a:ln>
                                <a:effectLst/>
                              </wps:spPr>
                              <wps:txbx>
                                <w:txbxContent>
                                  <w:p>
                                    <w:pPr>
                                      <w:jc w:val="center"/>
                                    </w:pPr>
                                    <w:r>
                                      <w:rPr>
                                        <w:rFonts w:hint="eastAsia"/>
                                      </w:rPr>
                                      <w:t>再生池</w:t>
                                    </w:r>
                                  </w:p>
                                </w:txbxContent>
                              </wps:txbx>
                              <wps:bodyPr rot="0" vert="horz" wrap="square" lIns="91440" tIns="45720" rIns="91440" bIns="45720" anchor="t" anchorCtr="false" upright="true">
                                <a:noAutofit/>
                              </wps:bodyPr>
                            </wps:wsp>
                            <wps:wsp>
                              <wps:cNvPr id="86" name="自选图形 363"/>
                              <wps:cNvCnPr/>
                              <wps:spPr bwMode="auto">
                                <a:xfrm rot="16200000">
                                  <a:off x="3322518" y="805877"/>
                                  <a:ext cx="177800" cy="355600"/>
                                </a:xfrm>
                                <a:prstGeom prst="curvedConnector2">
                                  <a:avLst/>
                                </a:prstGeom>
                                <a:noFill/>
                                <a:ln w="9525">
                                  <a:solidFill>
                                    <a:srgbClr val="000000"/>
                                  </a:solidFill>
                                  <a:round/>
                                  <a:tailEnd type="arrow" w="med" len="med"/>
                                </a:ln>
                                <a:effectLst/>
                              </wps:spPr>
                              <wps:bodyPr/>
                            </wps:wsp>
                            <wps:wsp>
                              <wps:cNvPr id="87" name="自选图形 364"/>
                              <wps:cNvCnPr/>
                              <wps:spPr bwMode="auto">
                                <a:xfrm>
                                  <a:off x="3618865" y="1205946"/>
                                  <a:ext cx="571500" cy="635"/>
                                </a:xfrm>
                                <a:prstGeom prst="straightConnector1">
                                  <a:avLst/>
                                </a:prstGeom>
                                <a:noFill/>
                                <a:ln w="9525">
                                  <a:solidFill>
                                    <a:srgbClr val="000000"/>
                                  </a:solidFill>
                                  <a:round/>
                                  <a:tailEnd type="arrow" w="med" len="med"/>
                                </a:ln>
                                <a:effectLst/>
                              </wps:spPr>
                              <wps:bodyPr/>
                            </wps:wsp>
                            <wps:wsp>
                              <wps:cNvPr id="88" name="文本框 365"/>
                              <wps:cNvSpPr txBox="true">
                                <a:spLocks noChangeArrowheads="true"/>
                              </wps:cNvSpPr>
                              <wps:spPr bwMode="auto">
                                <a:xfrm>
                                  <a:off x="4190365" y="1063461"/>
                                  <a:ext cx="762000" cy="279400"/>
                                </a:xfrm>
                                <a:prstGeom prst="rect">
                                  <a:avLst/>
                                </a:prstGeom>
                                <a:solidFill>
                                  <a:srgbClr val="FFFFFF"/>
                                </a:solidFill>
                                <a:ln w="9525">
                                  <a:solidFill>
                                    <a:srgbClr val="000000"/>
                                  </a:solidFill>
                                  <a:miter lim="800000"/>
                                </a:ln>
                                <a:effectLst/>
                              </wps:spPr>
                              <wps:txbx>
                                <w:txbxContent>
                                  <w:p>
                                    <w:pPr>
                                      <w:jc w:val="center"/>
                                    </w:pPr>
                                    <w:r>
                                      <w:rPr>
                                        <w:rFonts w:hint="eastAsia"/>
                                      </w:rPr>
                                      <w:t>循环水池</w:t>
                                    </w:r>
                                  </w:p>
                                </w:txbxContent>
                              </wps:txbx>
                              <wps:bodyPr rot="0" vert="horz" wrap="square" lIns="91440" tIns="45720" rIns="91440" bIns="45720" anchor="t" anchorCtr="false" upright="true">
                                <a:noAutofit/>
                              </wps:bodyPr>
                            </wps:wsp>
                            <wps:wsp>
                              <wps:cNvPr id="89" name="直线 366"/>
                              <wps:cNvCnPr/>
                              <wps:spPr bwMode="auto">
                                <a:xfrm>
                                  <a:off x="4592427" y="1354031"/>
                                  <a:ext cx="635" cy="254000"/>
                                </a:xfrm>
                                <a:prstGeom prst="line">
                                  <a:avLst/>
                                </a:prstGeom>
                                <a:noFill/>
                                <a:ln w="9525">
                                  <a:solidFill>
                                    <a:srgbClr val="000000"/>
                                  </a:solidFill>
                                  <a:round/>
                                </a:ln>
                                <a:effectLst/>
                              </wps:spPr>
                              <wps:bodyPr/>
                            </wps:wsp>
                            <wps:wsp>
                              <wps:cNvPr id="90" name="直线 367"/>
                              <wps:cNvCnPr/>
                              <wps:spPr bwMode="auto">
                                <a:xfrm flipH="true" flipV="true">
                                  <a:off x="1937029" y="1599533"/>
                                  <a:ext cx="2647315" cy="7620"/>
                                </a:xfrm>
                                <a:prstGeom prst="line">
                                  <a:avLst/>
                                </a:prstGeom>
                                <a:noFill/>
                                <a:ln w="9525">
                                  <a:solidFill>
                                    <a:srgbClr val="000000"/>
                                  </a:solidFill>
                                  <a:round/>
                                </a:ln>
                                <a:effectLst/>
                              </wps:spPr>
                              <wps:bodyPr/>
                            </wps:wsp>
                            <wps:wsp>
                              <wps:cNvPr id="91" name="直线 368"/>
                              <wps:cNvCnPr/>
                              <wps:spPr bwMode="auto">
                                <a:xfrm flipH="true" flipV="true">
                                  <a:off x="1928372" y="1327157"/>
                                  <a:ext cx="8890" cy="271780"/>
                                </a:xfrm>
                                <a:prstGeom prst="line">
                                  <a:avLst/>
                                </a:prstGeom>
                                <a:noFill/>
                                <a:ln w="9525">
                                  <a:solidFill>
                                    <a:srgbClr val="000000"/>
                                  </a:solidFill>
                                  <a:round/>
                                  <a:tailEnd type="arrow" w="med" len="med"/>
                                </a:ln>
                                <a:effectLst/>
                              </wps:spPr>
                              <wps:bodyPr/>
                            </wps:wsp>
                            <wps:wsp>
                              <wps:cNvPr id="92" name="文本框 369"/>
                              <wps:cNvSpPr txBox="true">
                                <a:spLocks noChangeArrowheads="true"/>
                              </wps:cNvSpPr>
                              <wps:spPr bwMode="auto">
                                <a:xfrm>
                                  <a:off x="4069715" y="84422"/>
                                  <a:ext cx="1257300" cy="241300"/>
                                </a:xfrm>
                                <a:prstGeom prst="rect">
                                  <a:avLst/>
                                </a:prstGeom>
                                <a:solidFill>
                                  <a:srgbClr val="FFFFFF"/>
                                </a:solidFill>
                                <a:ln>
                                  <a:noFill/>
                                </a:ln>
                                <a:effectLst/>
                              </wps:spPr>
                              <wps:txbx>
                                <w:txbxContent>
                                  <w:p>
                                    <w:pPr>
                                      <w:jc w:val="center"/>
                                    </w:pPr>
                                    <w:r>
                                      <w:rPr>
                                        <w:rFonts w:hint="eastAsia"/>
                                      </w:rPr>
                                      <w:t>单位：m</w:t>
                                    </w:r>
                                    <w:r>
                                      <w:rPr>
                                        <w:rFonts w:hint="eastAsia"/>
                                        <w:vertAlign w:val="superscript"/>
                                      </w:rPr>
                                      <w:t>3</w:t>
                                    </w:r>
                                    <w:r>
                                      <w:rPr>
                                        <w:rFonts w:hint="eastAsia"/>
                                      </w:rPr>
                                      <w:t>/a</w:t>
                                    </w:r>
                                  </w:p>
                                </w:txbxContent>
                              </wps:txbx>
                              <wps:bodyPr rot="0" vert="horz" wrap="square" lIns="91440" tIns="45720" rIns="91440" bIns="45720" anchor="t" anchorCtr="false" upright="true">
                                <a:noAutofit/>
                              </wps:bodyPr>
                            </wps:wsp>
                            <wps:wsp>
                              <wps:cNvPr id="93" name="直线 355"/>
                              <wps:cNvCnPr/>
                              <wps:spPr bwMode="auto">
                                <a:xfrm flipV="true">
                                  <a:off x="799425" y="2007905"/>
                                  <a:ext cx="533400" cy="635"/>
                                </a:xfrm>
                                <a:prstGeom prst="line">
                                  <a:avLst/>
                                </a:prstGeom>
                                <a:noFill/>
                                <a:ln w="9525">
                                  <a:solidFill>
                                    <a:srgbClr val="000000"/>
                                  </a:solidFill>
                                  <a:round/>
                                  <a:tailEnd type="arrow" w="med" len="med"/>
                                </a:ln>
                                <a:effectLst/>
                              </wps:spPr>
                              <wps:bodyPr/>
                            </wps:wsp>
                            <wps:wsp>
                              <wps:cNvPr id="94" name="文本框 357"/>
                              <wps:cNvSpPr txBox="true">
                                <a:spLocks noChangeArrowheads="true"/>
                              </wps:cNvSpPr>
                              <wps:spPr bwMode="auto">
                                <a:xfrm>
                                  <a:off x="1354428" y="1889144"/>
                                  <a:ext cx="762000" cy="270822"/>
                                </a:xfrm>
                                <a:prstGeom prst="rect">
                                  <a:avLst/>
                                </a:prstGeom>
                                <a:solidFill>
                                  <a:srgbClr val="FFFFFF"/>
                                </a:solidFill>
                                <a:ln w="9525">
                                  <a:solidFill>
                                    <a:srgbClr val="000000"/>
                                  </a:solidFill>
                                  <a:miter lim="800000"/>
                                </a:ln>
                                <a:effectLst/>
                              </wps:spPr>
                              <wps:txbx>
                                <w:txbxContent>
                                  <w:p>
                                    <w:pPr>
                                      <w:jc w:val="center"/>
                                    </w:pPr>
                                    <w:r>
                                      <w:rPr>
                                        <w:rFonts w:hint="eastAsia"/>
                                      </w:rPr>
                                      <w:t>实验室</w:t>
                                    </w:r>
                                  </w:p>
                                </w:txbxContent>
                              </wps:txbx>
                              <wps:bodyPr rot="0" vert="horz" wrap="square" lIns="91440" tIns="45720" rIns="91440" bIns="45720" anchor="t" anchorCtr="false" upright="true">
                                <a:noAutofit/>
                              </wps:bodyPr>
                            </wps:wsp>
                            <wps:wsp>
                              <wps:cNvPr id="95" name="直线 355"/>
                              <wps:cNvCnPr/>
                              <wps:spPr bwMode="auto">
                                <a:xfrm flipV="true">
                                  <a:off x="2115840" y="2004685"/>
                                  <a:ext cx="533400" cy="635"/>
                                </a:xfrm>
                                <a:prstGeom prst="line">
                                  <a:avLst/>
                                </a:prstGeom>
                                <a:noFill/>
                                <a:ln w="9525">
                                  <a:solidFill>
                                    <a:srgbClr val="000000"/>
                                  </a:solidFill>
                                  <a:round/>
                                  <a:tailEnd type="arrow" w="med" len="med"/>
                                </a:ln>
                                <a:effectLst/>
                              </wps:spPr>
                              <wps:bodyPr/>
                            </wps:wsp>
                            <wps:wsp>
                              <wps:cNvPr id="416" name="文本框 362"/>
                              <wps:cNvSpPr txBox="true">
                                <a:spLocks noChangeArrowheads="true"/>
                              </wps:cNvSpPr>
                              <wps:spPr bwMode="auto">
                                <a:xfrm>
                                  <a:off x="2649261" y="1871429"/>
                                  <a:ext cx="598170" cy="266700"/>
                                </a:xfrm>
                                <a:prstGeom prst="rect">
                                  <a:avLst/>
                                </a:prstGeom>
                                <a:solidFill>
                                  <a:srgbClr val="FFFFFF"/>
                                </a:solidFill>
                                <a:ln w="9525">
                                  <a:solidFill>
                                    <a:srgbClr val="000000"/>
                                  </a:solidFill>
                                  <a:miter lim="800000"/>
                                </a:ln>
                                <a:effectLst/>
                              </wps:spPr>
                              <wps:txbx>
                                <w:txbxContent>
                                  <w:p>
                                    <w:pPr>
                                      <w:jc w:val="center"/>
                                    </w:pPr>
                                    <w:r>
                                      <w:rPr>
                                        <w:rFonts w:hint="eastAsia"/>
                                      </w:rPr>
                                      <w:t>中和池</w:t>
                                    </w:r>
                                  </w:p>
                                </w:txbxContent>
                              </wps:txbx>
                              <wps:bodyPr rot="0" vert="horz" wrap="square" lIns="91440" tIns="45720" rIns="91440" bIns="45720" anchor="t" anchorCtr="false" upright="true">
                                <a:noAutofit/>
                              </wps:bodyPr>
                            </wps:wsp>
                            <wps:wsp>
                              <wps:cNvPr id="417" name="直线 355"/>
                              <wps:cNvCnPr/>
                              <wps:spPr bwMode="auto">
                                <a:xfrm flipV="true">
                                  <a:off x="3255363" y="2004226"/>
                                  <a:ext cx="533400" cy="635"/>
                                </a:xfrm>
                                <a:prstGeom prst="line">
                                  <a:avLst/>
                                </a:prstGeom>
                                <a:noFill/>
                                <a:ln w="9525">
                                  <a:solidFill>
                                    <a:srgbClr val="000000"/>
                                  </a:solidFill>
                                  <a:round/>
                                  <a:tailEnd type="arrow" w="med" len="med"/>
                                </a:ln>
                                <a:effectLst/>
                              </wps:spPr>
                              <wps:bodyPr/>
                            </wps:wsp>
                            <wps:wsp>
                              <wps:cNvPr id="418" name="自选图形 363"/>
                              <wps:cNvCnPr/>
                              <wps:spPr bwMode="auto">
                                <a:xfrm rot="16200000">
                                  <a:off x="1834470" y="1622958"/>
                                  <a:ext cx="177800" cy="355600"/>
                                </a:xfrm>
                                <a:prstGeom prst="curvedConnector2">
                                  <a:avLst/>
                                </a:prstGeom>
                                <a:noFill/>
                                <a:ln w="9525">
                                  <a:solidFill>
                                    <a:srgbClr val="000000"/>
                                  </a:solidFill>
                                  <a:round/>
                                  <a:tailEnd type="arrow" w="med" len="med"/>
                                </a:ln>
                                <a:effectLst/>
                              </wps:spPr>
                              <wps:bodyPr/>
                            </wps:wsp>
                            <wps:wsp>
                              <wps:cNvPr id="419" name="文本框 362"/>
                              <wps:cNvSpPr txBox="true">
                                <a:spLocks noChangeArrowheads="true"/>
                              </wps:cNvSpPr>
                              <wps:spPr bwMode="auto">
                                <a:xfrm>
                                  <a:off x="3793962" y="1876335"/>
                                  <a:ext cx="619125" cy="266700"/>
                                </a:xfrm>
                                <a:prstGeom prst="rect">
                                  <a:avLst/>
                                </a:prstGeom>
                                <a:solidFill>
                                  <a:srgbClr val="FFFFFF"/>
                                </a:solidFill>
                                <a:ln w="9525">
                                  <a:solidFill>
                                    <a:srgbClr val="000000"/>
                                  </a:solidFill>
                                  <a:miter lim="800000"/>
                                </a:ln>
                                <a:effectLst/>
                              </wps:spPr>
                              <wps:txbx>
                                <w:txbxContent>
                                  <w:p>
                                    <w:pPr>
                                      <w:jc w:val="center"/>
                                    </w:pPr>
                                    <w:r>
                                      <w:rPr>
                                        <w:rFonts w:hint="eastAsia"/>
                                      </w:rPr>
                                      <w:t>化粪池</w:t>
                                    </w:r>
                                  </w:p>
                                </w:txbxContent>
                              </wps:txbx>
                              <wps:bodyPr rot="0" vert="horz" wrap="square" lIns="91440" tIns="45720" rIns="91440" bIns="45720" anchor="t" anchorCtr="false" upright="true">
                                <a:noAutofit/>
                              </wps:bodyPr>
                            </wps:wsp>
                            <wps:wsp>
                              <wps:cNvPr id="420" name="直线 355"/>
                              <wps:cNvCnPr>
                                <a:stCxn id="419" idx="3"/>
                              </wps:cNvCnPr>
                              <wps:spPr bwMode="auto">
                                <a:xfrm flipV="true">
                                  <a:off x="4413087" y="2007413"/>
                                  <a:ext cx="557846" cy="2272"/>
                                </a:xfrm>
                                <a:prstGeom prst="line">
                                  <a:avLst/>
                                </a:prstGeom>
                                <a:noFill/>
                                <a:ln w="9525">
                                  <a:solidFill>
                                    <a:srgbClr val="000000"/>
                                  </a:solidFill>
                                  <a:round/>
                                  <a:tailEnd type="arrow" w="med" len="med"/>
                                </a:ln>
                                <a:effectLst/>
                              </wps:spPr>
                              <wps:bodyPr/>
                            </wps:wsp>
                            <wps:wsp>
                              <wps:cNvPr id="162" name="直线 355"/>
                              <wps:cNvCnPr/>
                              <wps:spPr bwMode="auto">
                                <a:xfrm flipV="true">
                                  <a:off x="886208" y="318720"/>
                                  <a:ext cx="532765" cy="635"/>
                                </a:xfrm>
                                <a:prstGeom prst="line">
                                  <a:avLst/>
                                </a:prstGeom>
                                <a:noFill/>
                                <a:ln w="9525">
                                  <a:solidFill>
                                    <a:srgbClr val="000000"/>
                                  </a:solidFill>
                                  <a:round/>
                                  <a:tailEnd type="arrow" w="med" len="med"/>
                                </a:ln>
                                <a:effectLst/>
                              </wps:spPr>
                              <wps:bodyPr/>
                            </wps:wsp>
                            <wps:wsp>
                              <wps:cNvPr id="163" name="文本框 359"/>
                              <wps:cNvSpPr txBox="true">
                                <a:spLocks noChangeArrowheads="true"/>
                              </wps:cNvSpPr>
                              <wps:spPr bwMode="auto">
                                <a:xfrm>
                                  <a:off x="1427480" y="194945"/>
                                  <a:ext cx="859790" cy="287655"/>
                                </a:xfrm>
                                <a:prstGeom prst="rect">
                                  <a:avLst/>
                                </a:prstGeom>
                                <a:solidFill>
                                  <a:srgbClr val="FFFFFF"/>
                                </a:solidFill>
                                <a:ln w="9525">
                                  <a:solidFill>
                                    <a:srgbClr val="000000"/>
                                  </a:solidFill>
                                  <a:miter lim="800000"/>
                                </a:ln>
                                <a:effectLst/>
                              </wps:spPr>
                              <wps:txbx>
                                <w:txbxContent>
                                  <w:p>
                                    <w:pPr>
                                      <w:pStyle w:val="19"/>
                                      <w:spacing w:before="0" w:beforeAutospacing="0" w:after="0" w:afterAutospacing="0"/>
                                      <w:jc w:val="center"/>
                                    </w:pPr>
                                    <w:r>
                                      <w:rPr>
                                        <w:rFonts w:hint="eastAsia" w:ascii="Times New Roman"/>
                                        <w:kern w:val="2"/>
                                        <w:sz w:val="21"/>
                                        <w:szCs w:val="21"/>
                                      </w:rPr>
                                      <w:t>初期雨水池</w:t>
                                    </w:r>
                                  </w:p>
                                </w:txbxContent>
                              </wps:txbx>
                              <wps:bodyPr rot="0" vert="horz" wrap="square" lIns="91440" tIns="45720" rIns="91440" bIns="45720" anchor="t" anchorCtr="false" upright="true">
                                <a:noAutofit/>
                              </wps:bodyPr>
                            </wps:wsp>
                            <wps:wsp>
                              <wps:cNvPr id="164" name="直线 355"/>
                              <wps:cNvCnPr/>
                              <wps:spPr bwMode="auto">
                                <a:xfrm flipV="true">
                                  <a:off x="2298177" y="317076"/>
                                  <a:ext cx="532130" cy="635"/>
                                </a:xfrm>
                                <a:prstGeom prst="line">
                                  <a:avLst/>
                                </a:prstGeom>
                                <a:noFill/>
                                <a:ln w="9525">
                                  <a:solidFill>
                                    <a:srgbClr val="000000"/>
                                  </a:solidFill>
                                  <a:round/>
                                  <a:tailEnd type="arrow" w="med" len="med"/>
                                </a:ln>
                                <a:effectLst/>
                              </wps:spPr>
                              <wps:bodyPr/>
                            </wps:wsp>
                            <wps:wsp>
                              <wps:cNvPr id="167" name="文本框 359"/>
                              <wps:cNvSpPr txBox="true">
                                <a:spLocks noChangeArrowheads="true"/>
                              </wps:cNvSpPr>
                              <wps:spPr bwMode="auto">
                                <a:xfrm>
                                  <a:off x="118745" y="204470"/>
                                  <a:ext cx="760730" cy="297180"/>
                                </a:xfrm>
                                <a:prstGeom prst="rect">
                                  <a:avLst/>
                                </a:prstGeom>
                                <a:solidFill>
                                  <a:srgbClr val="FFFFFF"/>
                                </a:solidFill>
                                <a:ln w="9525">
                                  <a:solidFill>
                                    <a:srgbClr val="000000"/>
                                  </a:solidFill>
                                  <a:miter lim="800000"/>
                                </a:ln>
                                <a:effectLst/>
                              </wps:spPr>
                              <wps:txbx>
                                <w:txbxContent>
                                  <w:p>
                                    <w:pPr>
                                      <w:pStyle w:val="19"/>
                                      <w:spacing w:before="0" w:beforeAutospacing="0" w:after="0" w:afterAutospacing="0"/>
                                      <w:jc w:val="center"/>
                                    </w:pPr>
                                    <w:r>
                                      <w:rPr>
                                        <w:rFonts w:hint="eastAsia" w:ascii="Times New Roman" w:hAnsi="Times New Roman"/>
                                        <w:kern w:val="2"/>
                                        <w:sz w:val="21"/>
                                        <w:szCs w:val="21"/>
                                      </w:rPr>
                                      <w:t>初期雨水</w:t>
                                    </w:r>
                                  </w:p>
                                </w:txbxContent>
                              </wps:txbx>
                              <wps:bodyPr rot="0" vert="horz" wrap="square" lIns="91440" tIns="45720" rIns="91440" bIns="45720" anchor="t" anchorCtr="false" upright="true">
                                <a:noAutofit/>
                              </wps:bodyPr>
                            </wps:wsp>
                            <wps:wsp>
                              <wps:cNvPr id="186" name="Text Box 539"/>
                              <wps:cNvSpPr txBox="true">
                                <a:spLocks noChangeArrowheads="true"/>
                              </wps:cNvSpPr>
                              <wps:spPr bwMode="auto">
                                <a:xfrm>
                                  <a:off x="4914265" y="1365250"/>
                                  <a:ext cx="354330" cy="800100"/>
                                </a:xfrm>
                                <a:prstGeom prst="rect">
                                  <a:avLst/>
                                </a:prstGeom>
                                <a:noFill/>
                                <a:ln>
                                  <a:noFill/>
                                </a:ln>
                              </wps:spPr>
                              <wps:txbx>
                                <w:txbxContent>
                                  <w:p>
                                    <w:pPr>
                                      <w:pStyle w:val="19"/>
                                      <w:spacing w:before="0" w:beforeAutospacing="0" w:after="0" w:afterAutospacing="0"/>
                                      <w:jc w:val="both"/>
                                    </w:pPr>
                                    <w:r>
                                      <w:rPr>
                                        <w:rFonts w:hint="eastAsia" w:ascii="Times New Roman"/>
                                        <w:kern w:val="2"/>
                                        <w:sz w:val="21"/>
                                        <w:szCs w:val="21"/>
                                      </w:rPr>
                                      <w:t>污水处理厂</w:t>
                                    </w:r>
                                  </w:p>
                                </w:txbxContent>
                              </wps:txbx>
                              <wps:bodyPr rot="0" vert="eaVert" wrap="square" lIns="91440" tIns="45720" rIns="91440" bIns="45720" anchor="t" anchorCtr="false" upright="true">
                                <a:noAutofit/>
                              </wps:bodyPr>
                            </wps:wsp>
                          </wpc:wpc>
                        </a:graphicData>
                      </a:graphic>
                    </wp:inline>
                  </w:drawing>
                </mc:Choice>
                <mc:Fallback>
                  <w:pict>
                    <v:group id="_x0000_s1026" o:spid="_x0000_s1026" o:spt="203" style="height:191.8pt;width:419.75pt;" coordsize="5330825,2435860" editas="canvas" o:gfxdata="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">
                      <o:lock v:ext="edit" aspectratio="f"/>
                      <v:shape id="_x0000_s1026" o:spid="_x0000_s1026" style="position:absolute;left:0;top:0;height:2435860;width:5330825;" filled="f" stroked="f" coordsize="21600,21600" o:gfxdata="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">
                        <v:fill on="f" focussize="0,0"/>
                        <v:stroke on="f"/>
                        <v:imagedata o:title=""/>
                        <o:lock v:ext="edit" aspectratio="f"/>
                      </v:shape>
                      <v:shape id="文本框 349" o:spid="_x0000_s1026" o:spt="202" type="#_x0000_t202" style="position:absolute;left:2164095;top:381036;height:240030;width:760730;" fillcolor="#FFFFFF" filled="t" stroked="f" coordsize="21600,21600" o:gfxdata="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FzpaYbVAAAABQEAAA8AAAAAAAAAAQAgAAAAOAAAAGRycy9k&#10;b3ducmV2LnhtbFBLAQIUABQAAAAIAIdO4kCpFzXEKAIAABkEAAAOAAAAAAAAAAEAIAAAADoBAABk&#10;cnMvZTJvRG9jLnhtbFBLBQYAAAAABgAGAFkBAADUBQAAAAA=&#10;">
                        <v:fill on="t" focussize="0,0"/>
                        <v:stroke on="f"/>
                        <v:imagedata o:title=""/>
                        <o:lock v:ext="edit" aspectratio="f"/>
                        <v:textbox>
                          <w:txbxContent>
                            <w:p>
                              <w:pPr>
                                <w:pStyle w:val="19"/>
                                <w:spacing w:before="0" w:beforeAutospacing="0" w:after="0" w:afterAutospacing="0"/>
                                <w:jc w:val="center"/>
                              </w:pPr>
                              <w:r>
                                <w:rPr>
                                  <w:rFonts w:hint="eastAsia" w:ascii="Times New Roman" w:hAnsi="Times New Roman"/>
                                  <w:kern w:val="2"/>
                                  <w:sz w:val="21"/>
                                  <w:szCs w:val="21"/>
                                </w:rPr>
                                <w:t>435</w:t>
                              </w:r>
                            </w:p>
                          </w:txbxContent>
                        </v:textbox>
                      </v:shape>
                      <v:shape id="文本框 349" o:spid="_x0000_s1026" o:spt="202" type="#_x0000_t202" style="position:absolute;left:738954;top:141574;height:240030;width:760730;" fillcolor="#FFFFFF" filled="t" stroked="f" coordsize="21600,21600" o:gfxdata="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c6WmG1QAAAAUBAAAPAAAAAAAAAAEAIAAAADgAAABkcnMvZG93&#10;bnJldi54bWxQSwECFAAUAAAACACHTuJAeXJQUSYCAAAYBAAADgAAAAAAAAABACAAAAA6AQAAZHJz&#10;L2Uyb0RvYy54bWxQSwUGAAAAAAYABgBZAQAA0gUAAAAA&#10;">
                        <v:fill on="t" focussize="0,0"/>
                        <v:stroke on="f"/>
                        <v:imagedata o:title=""/>
                        <o:lock v:ext="edit" aspectratio="f"/>
                        <v:textbox>
                          <w:txbxContent>
                            <w:p>
                              <w:pPr>
                                <w:pStyle w:val="19"/>
                                <w:spacing w:before="0" w:beforeAutospacing="0" w:after="0" w:afterAutospacing="0"/>
                                <w:jc w:val="center"/>
                              </w:pPr>
                              <w:r>
                                <w:rPr>
                                  <w:rFonts w:ascii="Times New Roman" w:hAnsi="Times New Roman"/>
                                  <w:kern w:val="2"/>
                                  <w:sz w:val="21"/>
                                  <w:szCs w:val="21"/>
                                </w:rPr>
                                <w:t>2562</w:t>
                              </w:r>
                            </w:p>
                          </w:txbxContent>
                        </v:textbox>
                      </v:shape>
                      <v:shape id="文本框 349" o:spid="_x0000_s1026" o:spt="202" type="#_x0000_t202" style="position:absolute;left:2163671;top:140398;height:240665;width:761365;" fillcolor="#FFFFFF" filled="t" stroked="f" coordsize="21600,21600" o:gfxdata="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XOlphtUAAAAFAQAADwAAAAAAAAABACAAAAA4AAAAZHJzL2Rv&#10;d25yZXYueG1sUEsBAhQAFAAAAAgAh07iQCGzGlUnAgAAGQQAAA4AAAAAAAAAAQAgAAAAOgEAAGRy&#10;cy9lMm9Eb2MueG1sUEsFBgAAAAAGAAYAWQEAANMFAAAAAA==&#10;">
                        <v:fill on="t" focussize="0,0"/>
                        <v:stroke on="f"/>
                        <v:imagedata o:title=""/>
                        <o:lock v:ext="edit" aspectratio="f"/>
                        <v:textbox>
                          <w:txbxContent>
                            <w:p>
                              <w:pPr>
                                <w:pStyle w:val="19"/>
                                <w:spacing w:before="0" w:beforeAutospacing="0" w:after="0" w:afterAutospacing="0"/>
                                <w:jc w:val="center"/>
                              </w:pPr>
                              <w:r>
                                <w:rPr>
                                  <w:rFonts w:hint="eastAsia" w:ascii="Times New Roman" w:hAnsi="Times New Roman"/>
                                  <w:kern w:val="2"/>
                                  <w:sz w:val="21"/>
                                  <w:szCs w:val="21"/>
                                </w:rPr>
                                <w:t>2562</w:t>
                              </w:r>
                            </w:p>
                          </w:txbxContent>
                        </v:textbox>
                      </v:shape>
                      <v:shape id="文本框 347" o:spid="_x0000_s1026" o:spt="202" type="#_x0000_t202" style="position:absolute;left:4446808;top:1824889;height:241300;width:429895;" fillcolor="#FFFFFF" filled="t" stroked="f" coordsize="21600,21600" o:gfxdata="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XOlphtUAAAAFAQAADwAAAAAAAAABACAAAAA4AAAAZHJz&#10;L2Rvd25yZXYueG1sUEsBAhQAFAAAAAgAh07iQBRR2JUqAgAAGgQAAA4AAAAAAAAAAQAgAAAAOgEA&#10;AGRycy9lMm9Eb2MueG1sUEsFBgAAAAAGAAYAWQEAANYFAAAAAA==&#10;">
                        <v:fill on="t" focussize="0,0"/>
                        <v:stroke on="f"/>
                        <v:imagedata o:title=""/>
                        <o:lock v:ext="edit" aspectratio="f"/>
                        <v:textbox>
                          <w:txbxContent>
                            <w:p>
                              <w:pPr>
                                <w:jc w:val="center"/>
                              </w:pPr>
                              <w:r>
                                <w:rPr>
                                  <w:rFonts w:hint="eastAsia"/>
                                </w:rPr>
                                <w:t>36</w:t>
                              </w:r>
                            </w:p>
                          </w:txbxContent>
                        </v:textbox>
                      </v:shape>
                      <v:shape id="文本框 347" o:spid="_x0000_s1026" o:spt="202" type="#_x0000_t202" style="position:absolute;left:1995477;top:1814269;height:241300;width:762000;" fillcolor="#FFFFFF" filled="t" stroked="f" coordsize="21600,21600" o:gfxdata="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XOlphtUAAAAFAQAADwAAAAAAAAABACAAAAA4AAAAZHJzL2Rv&#10;d25yZXYueG1sUEsBAhQAFAAAAAgAh07iQMrDmuEnAgAAGgQAAA4AAAAAAAAAAQAgAAAAOgEAAGRy&#10;cy9lMm9Eb2MueG1sUEsFBgAAAAAGAAYAWQEAANMFAAAAAA==&#10;">
                        <v:fill on="t" focussize="0,0"/>
                        <v:stroke on="f"/>
                        <v:imagedata o:title=""/>
                        <o:lock v:ext="edit" aspectratio="f"/>
                        <v:textbox>
                          <w:txbxContent>
                            <w:p>
                              <w:pPr>
                                <w:jc w:val="center"/>
                              </w:pPr>
                              <w:r>
                                <w:rPr>
                                  <w:rFonts w:hint="eastAsia"/>
                                </w:rPr>
                                <w:t>36</w:t>
                              </w:r>
                            </w:p>
                          </w:txbxContent>
                        </v:textbox>
                      </v:shape>
                      <v:shape id="文本框 347" o:spid="_x0000_s1026" o:spt="202" type="#_x0000_t202" style="position:absolute;left:3104030;top:1827813;height:241300;width:762000;" fillcolor="#FFFFFF" filled="t" stroked="f" coordsize="21600,21600" o:gfxdata="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c6WmG1QAAAAUBAAAPAAAAAAAAAAEAIAAAADgAAABkcnMvZG93&#10;bnJldi54bWxQSwECFAAUAAAACACHTuJA46wk7iYCAAAaBAAADgAAAAAAAAABACAAAAA6AQAAZHJz&#10;L2Uyb0RvYy54bWxQSwUGAAAAAAYABgBZAQAA0gUAAAAA&#10;">
                        <v:fill on="t" focussize="0,0"/>
                        <v:stroke on="f"/>
                        <v:imagedata o:title=""/>
                        <o:lock v:ext="edit" aspectratio="f"/>
                        <v:textbox>
                          <w:txbxContent>
                            <w:p>
                              <w:pPr>
                                <w:jc w:val="center"/>
                              </w:pPr>
                              <w:r>
                                <w:rPr>
                                  <w:rFonts w:hint="eastAsia"/>
                                </w:rPr>
                                <w:t>36</w:t>
                              </w:r>
                            </w:p>
                          </w:txbxContent>
                        </v:textbox>
                      </v:shape>
                      <v:shape id="文本框 347" o:spid="_x0000_s1026" o:spt="202" type="#_x0000_t202" style="position:absolute;left:1852602;top:1607473;height:241300;width:762000;" fillcolor="#FFFFFF" filled="t" stroked="f" coordsize="21600,21600" o:gfxdata="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c6WmG1QAAAAUBAAAPAAAAAAAAAAEAIAAAADgAAABkcnMvZG93&#10;bnJldi54bWxQSwECFAAUAAAACACHTuJAEeW5JCYCAAAZBAAADgAAAAAAAAABACAAAAA6AQAAZHJz&#10;L2Uyb0RvYy54bWxQSwUGAAAAAAYABgBZAQAA0gUAAAAA&#10;">
                        <v:fill on="t" focussize="0,0"/>
                        <v:stroke on="f"/>
                        <v:imagedata o:title=""/>
                        <o:lock v:ext="edit" aspectratio="f"/>
                        <v:textbox>
                          <w:txbxContent>
                            <w:p>
                              <w:pPr>
                                <w:jc w:val="center"/>
                              </w:pPr>
                              <w:r>
                                <w:rPr>
                                  <w:rFonts w:hint="eastAsia"/>
                                </w:rPr>
                                <w:t>9</w:t>
                              </w:r>
                            </w:p>
                          </w:txbxContent>
                        </v:textbox>
                      </v:shape>
                      <v:shape id="文本框 351" o:spid="_x0000_s1026" o:spt="202" type="#_x0000_t202" style="position:absolute;left:700196;top:1835545;height:241300;width:762000;" fillcolor="#FFFFFF" filled="t" stroked="f" coordsize="21600,21600" o:gfxdata="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XOlphtUAAAAFAQAADwAAAAAAAAABACAAAAA4AAAAZHJzL2Rvd25y&#10;ZXYueG1sUEsBAhQAFAAAAAgAh07iQB/yfxQkAgAAGAQAAA4AAAAAAAAAAQAgAAAAOgEAAGRycy9l&#10;Mm9Eb2MueG1sUEsFBgAAAAAGAAYAWQEAANAFAAAAAA==&#10;">
                        <v:fill on="t" focussize="0,0"/>
                        <v:stroke on="f"/>
                        <v:imagedata o:title=""/>
                        <o:lock v:ext="edit" aspectratio="f"/>
                        <v:textbox>
                          <w:txbxContent>
                            <w:p>
                              <w:pPr>
                                <w:jc w:val="center"/>
                              </w:pPr>
                              <w:r>
                                <w:rPr>
                                  <w:rFonts w:hint="eastAsia"/>
                                </w:rPr>
                                <w:t>45</w:t>
                              </w:r>
                            </w:p>
                          </w:txbxContent>
                        </v:textbox>
                      </v:shape>
                      <v:shape id="文本框 344" o:spid="_x0000_s1026" o:spt="202" type="#_x0000_t202" style="position:absolute;left:3334863;top:794928;height:241300;width:762000;" fillcolor="#FFFFFF" filled="t" stroked="f" coordsize="21600,21600" o:gfxdata="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FzpaYbVAAAABQEAAA8AAAAAAAAAAQAgAAAAOAAAAGRycy9kb3du&#10;cmV2LnhtbFBLAQIUABQAAAAIAIdO4kBpfTxeJQIAABgEAAAOAAAAAAAAAAEAIAAAADoBAABkcnMv&#10;ZTJvRG9jLnhtbFBLBQYAAAAABgAGAFkBAADRBQAAAAA=&#10;">
                        <v:fill on="t" focussize="0,0"/>
                        <v:stroke on="f"/>
                        <v:imagedata o:title=""/>
                        <o:lock v:ext="edit" aspectratio="f"/>
                        <v:textbox>
                          <w:txbxContent>
                            <w:p>
                              <w:pPr>
                                <w:jc w:val="center"/>
                              </w:pPr>
                              <w:r>
                                <w:rPr>
                                  <w:rFonts w:hint="eastAsia"/>
                                </w:rPr>
                                <w:t>60</w:t>
                              </w:r>
                            </w:p>
                          </w:txbxContent>
                        </v:textbox>
                      </v:shape>
                      <v:shape id="文本框 345" o:spid="_x0000_s1026" o:spt="202" type="#_x0000_t202" style="position:absolute;left:3505835;top:1027618;height:241300;width:762000;" fillcolor="#FFFFFF" filled="t" stroked="f" coordsize="21600,21600" o:gfxdata="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FzpaYbVAAAABQEAAA8AAAAAAAAAAQAgAAAAOAAAAGRycy9kb3du&#10;cmV2LnhtbFBLAQIUABQAAAAIAIdO4kDgGfSqJQIAABkEAAAOAAAAAAAAAAEAIAAAADoBAABkcnMv&#10;ZTJvRG9jLnhtbFBLBQYAAAAABgAGAFkBAADRBQAAAAA=&#10;">
                        <v:fill on="t" focussize="0,0"/>
                        <v:stroke on="f"/>
                        <v:imagedata o:title=""/>
                        <o:lock v:ext="edit" aspectratio="f"/>
                        <v:textbox>
                          <w:txbxContent>
                            <w:p>
                              <w:pPr>
                                <w:jc w:val="center"/>
                              </w:pPr>
                              <w:r>
                                <w:rPr>
                                  <w:rFonts w:hint="eastAsia"/>
                                </w:rPr>
                                <w:t>538860</w:t>
                              </w:r>
                            </w:p>
                          </w:txbxContent>
                        </v:textbox>
                      </v:shape>
                      <v:shape id="文本框 346" o:spid="_x0000_s1026" o:spt="202" type="#_x0000_t202" style="position:absolute;left:2160270;top:1034974;height:241300;width:762000;" fillcolor="#FFFFFF" filled="t" stroked="f" coordsize="21600,21600" o:gfxdata="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FzpaYbVAAAABQEAAA8AAAAAAAAAAQAgAAAAOAAAAGRycy9kb3du&#10;cmV2LnhtbFBLAQIUABQAAAAIAIdO4kATxR6QJQIAABkEAAAOAAAAAAAAAAEAIAAAADoBAABkcnMv&#10;ZTJvRG9jLnhtbFBLBQYAAAAABgAGAFkBAADRBQAAAAA=&#10;">
                        <v:fill on="t" focussize="0,0"/>
                        <v:stroke on="f"/>
                        <v:imagedata o:title=""/>
                        <o:lock v:ext="edit" aspectratio="f"/>
                        <v:textbox>
                          <w:txbxContent>
                            <w:p>
                              <w:pPr>
                                <w:jc w:val="center"/>
                              </w:pPr>
                              <w:r>
                                <w:rPr>
                                  <w:rFonts w:hint="eastAsia"/>
                                </w:rPr>
                                <w:t>538920</w:t>
                              </w:r>
                            </w:p>
                          </w:txbxContent>
                        </v:textbox>
                      </v:shape>
                      <v:shape id="文本框 347" o:spid="_x0000_s1026" o:spt="202" type="#_x0000_t202" style="position:absolute;left:2000885;top:789493;height:241300;width:762000;" fillcolor="#FFFFFF" filled="t" stroked="f" coordsize="21600,21600" o:gfxdata="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XOlphtUAAAAFAQAADwAAAAAAAAABACAAAAA4AAAAZHJzL2Rvd25y&#10;ZXYueG1sUEsBAhQAFAAAAAgAh07iQPfThxIkAgAAGAQAAA4AAAAAAAAAAQAgAAAAOgEAAGRycy9l&#10;Mm9Eb2MueG1sUEsFBgAAAAAGAAYAWQEAANAFAAAAAA==&#10;">
                        <v:fill on="t" focussize="0,0"/>
                        <v:stroke on="f"/>
                        <v:imagedata o:title=""/>
                        <o:lock v:ext="edit" aspectratio="f"/>
                        <v:textbox>
                          <w:txbxContent>
                            <w:p>
                              <w:pPr>
                                <w:jc w:val="center"/>
                              </w:pPr>
                              <w:r>
                                <w:rPr>
                                  <w:rFonts w:hint="eastAsia"/>
                                </w:rPr>
                                <w:t>1080</w:t>
                              </w:r>
                            </w:p>
                          </w:txbxContent>
                        </v:textbox>
                      </v:shape>
                      <v:shape id="文本框 348" o:spid="_x0000_s1026" o:spt="202" type="#_x0000_t202" style="position:absolute;left:799408;top:1024179;height:241300;width:762000;" fillcolor="#FFFFFF" filled="t" stroked="f" coordsize="21600,21600" o:gfxdata="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c6WmG1QAAAAUBAAAPAAAAAAAAAAEAIAAAADgAAABkcnMvZG93bnJl&#10;di54bWxQSwECFAAUAAAACACHTuJAqf8JWSMCAAAYBAAADgAAAAAAAAABACAAAAA6AQAAZHJzL2Uy&#10;b0RvYy54bWxQSwUGAAAAAAYABgBZAQAAzwUAAAAA&#10;">
                        <v:fill on="t" focussize="0,0"/>
                        <v:stroke on="f"/>
                        <v:imagedata o:title=""/>
                        <o:lock v:ext="edit" aspectratio="f"/>
                        <v:textbox>
                          <w:txbxContent>
                            <w:p>
                              <w:pPr>
                                <w:jc w:val="center"/>
                              </w:pPr>
                              <w:r>
                                <w:rPr>
                                  <w:rFonts w:hint="eastAsia"/>
                                </w:rPr>
                                <w:t>1140</w:t>
                              </w:r>
                            </w:p>
                          </w:txbxContent>
                        </v:textbox>
                      </v:shape>
                      <v:shape id="文本框 349" o:spid="_x0000_s1026" o:spt="202" type="#_x0000_t202" style="position:absolute;left:3390066;top:36005;height:241300;width:762000;" fillcolor="#FFFFFF" filled="t" stroked="f" coordsize="21600,21600" o:gfxdata="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c6WmG1QAAAAUBAAAPAAAAAAAAAAEAIAAAADgAAABkcnMvZG93bnJl&#10;di54bWxQSwECFAAUAAAACACHTuJAgHwnCyMCAAAXBAAADgAAAAAAAAABACAAAAA6AQAAZHJzL2Uy&#10;b0RvYy54bWxQSwUGAAAAAAYABgBZAQAAzwUAAAAA&#10;">
                        <v:fill on="t" focussize="0,0"/>
                        <v:stroke on="f"/>
                        <v:imagedata o:title=""/>
                        <o:lock v:ext="edit" aspectratio="f"/>
                        <v:textbox>
                          <w:txbxContent>
                            <w:p>
                              <w:pPr>
                                <w:jc w:val="center"/>
                              </w:pPr>
                              <w:r>
                                <w:rPr>
                                  <w:rFonts w:hint="eastAsia"/>
                                </w:rPr>
                                <w:t>3000</w:t>
                              </w:r>
                            </w:p>
                          </w:txbxContent>
                        </v:textbox>
                      </v:shape>
                      <v:shape id="文本框 350" o:spid="_x0000_s1026" o:spt="202" type="#_x0000_t202" style="position:absolute;left:2893317;top:1421953;height:241300;width:762000;" fillcolor="#FFFFFF" filled="t" stroked="f" coordsize="21600,21600" o:gfxdata="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XOlphtUAAAAFAQAADwAAAAAAAAABACAAAAA4AAAAZHJzL2Rv&#10;d25yZXYueG1sUEsBAhQAFAAAAAgAh07iQDSyhvsnAgAAGQQAAA4AAAAAAAAAAQAgAAAAOgEAAGRy&#10;cy9lMm9Eb2MueG1sUEsFBgAAAAAGAAYAWQEAANMFAAAAAA==&#10;">
                        <v:fill on="t" focussize="0,0"/>
                        <v:stroke on="f"/>
                        <v:imagedata o:title=""/>
                        <o:lock v:ext="edit" aspectratio="f"/>
                        <v:textbox>
                          <w:txbxContent>
                            <w:p>
                              <w:pPr>
                                <w:jc w:val="center"/>
                              </w:pPr>
                              <w:r>
                                <w:rPr>
                                  <w:rFonts w:hint="eastAsia"/>
                                </w:rPr>
                                <w:t>538860</w:t>
                              </w:r>
                            </w:p>
                          </w:txbxContent>
                        </v:textbox>
                      </v:shape>
                      <v:shape id="文本框 351" o:spid="_x0000_s1026" o:spt="202" type="#_x0000_t202" style="position:absolute;left:201380;top:997065;height:241300;width:762000;" fillcolor="#FFFFFF" filled="t" stroked="f" coordsize="21600,21600" o:gfxdata="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XOlphtUAAAAFAQAADwAAAAAAAAABACAAAAA4AAAAZHJzL2Rvd25y&#10;ZXYueG1sUEsBAhQAFAAAAAgAh07iQE/b/oskAgAAFwQAAA4AAAAAAAAAAQAgAAAAOgEAAGRycy9l&#10;Mm9Eb2MueG1sUEsFBgAAAAAGAAYAWQEAANAFAAAAAA==&#10;">
                        <v:fill on="t" focussize="0,0"/>
                        <v:stroke on="f"/>
                        <v:imagedata o:title=""/>
                        <o:lock v:ext="edit" aspectratio="f"/>
                        <v:textbox>
                          <w:txbxContent>
                            <w:p>
                              <w:pPr>
                                <w:jc w:val="center"/>
                              </w:pPr>
                              <w:r>
                                <w:rPr>
                                  <w:rFonts w:hint="eastAsia"/>
                                </w:rPr>
                                <w:t>1620</w:t>
                              </w:r>
                            </w:p>
                          </w:txbxContent>
                        </v:textbox>
                      </v:shape>
                      <v:line id="直线 353" o:spid="_x0000_s1026" o:spt="20" style="position:absolute;left:267418;top:1207222;flip:y;height:5420;width:533423;" filled="f" stroked="t" coordsize="21600,21600" o:gfxdata="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fDof1QAAAAUBAAAPAAAAAAAAAAEA&#10;IAAAADgAAABkcnMvZG93bnJldi54bWxQSwECFAAUAAAACACHTuJAjOkT9sMBAABMAwAADgAAAAAA&#10;AAABACAAAAA6AQAAZHJzL2Uyb0RvYy54bWxQSwUGAAAAAAYABgBZAQAAbwUAAAAA&#10;">
                        <v:fill on="f" focussize="0,0"/>
                        <v:stroke color="#000000" joinstyle="round"/>
                        <v:imagedata o:title=""/>
                        <o:lock v:ext="edit" aspectratio="f"/>
                      </v:line>
                      <v:line id="直线 354" o:spid="_x0000_s1026" o:spt="20" style="position:absolute;left:800942;top:556852;flip:x;height:1450734;width:435;" filled="f" stroked="t" coordsize="21600,21600" o:gfxdata="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v3w6H9UAAAAFAQAADwAAAAAAAAAB&#10;ACAAAAA4AAAAZHJzL2Rvd25yZXYueG1sUEsBAhQAFAAAAAgAh07iQBbT1/3EAQAASwMAAA4AAAAA&#10;AAAAAQAgAAAAOgEAAGRycy9lMm9Eb2MueG1sUEsFBgAAAAAGAAYAWQEAAHAFAAAAAA==&#10;">
                        <v:fill on="f" focussize="0,0"/>
                        <v:stroke color="#000000" joinstyle="round"/>
                        <v:imagedata o:title=""/>
                        <o:lock v:ext="edit" aspectratio="f"/>
                      </v:line>
                      <v:line id="直线 355" o:spid="_x0000_s1026" o:spt="20" style="position:absolute;left:801377;top:554943;height:1970;width:2028855;" filled="f" stroked="t" coordsize="21600,21600" o:gfxdata="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64d5&#10;dNgAAAAFAQAADwAAAAAAAAABACAAAAA4AAAAZHJzL2Rvd25yZXYueG1sUEsBAhQAFAAAAAgAh07i&#10;QD/7G07TAQAAagMAAA4AAAAAAAAAAQAgAAAAPQEAAGRycy9lMm9Eb2MueG1sUEsFBgAAAAAGAAYA&#10;WQEAAIIFAAAAAA==&#10;">
                        <v:fill on="f" focussize="0,0"/>
                        <v:stroke color="#000000" joinstyle="round" endarrow="open"/>
                        <v:imagedata o:title=""/>
                        <o:lock v:ext="edit" aspectratio="f"/>
                      </v:line>
                      <v:line id="直线 356" o:spid="_x0000_s1026" o:spt="20" style="position:absolute;left:801027;top:1205175;height:7620;width:731701;" filled="f" stroked="t" coordsize="21600,21600" o:gfxdata="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rh3l0&#10;2AAAAAUBAAAPAAAAAAAAAAEAIAAAADgAAABkcnMvZG93bnJldi54bWxQSwECFAAUAAAACACHTuJA&#10;kPKOTdIBAABqAwAADgAAAAAAAAABACAAAAA9AQAAZHJzL2Uyb0RvYy54bWxQSwUGAAAAAAYABgBZ&#10;AQAAgQUAAAAA&#10;">
                        <v:fill on="f" focussize="0,0"/>
                        <v:stroke color="#000000" joinstyle="round" endarrow="open"/>
                        <v:imagedata o:title=""/>
                        <o:lock v:ext="edit" aspectratio="f"/>
                      </v:line>
                      <v:shape id="文本框 357" o:spid="_x0000_s1026" o:spt="202" type="#_x0000_t202" style="position:absolute;left:2846705;top:313690;height:288925;width:762000;" fillcolor="#FFFFFF" filled="t" stroked="t" coordsize="21600,21600" o:gfxdata="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UqIusdYAAAAFAQAA&#10;DwAAAAAAAAABACAAAAA4AAAAZHJzL2Rvd25yZXYueG1sUEsBAhQAFAAAAAgAh07iQHOeh+Y+AgAA&#10;YQQAAA4AAAAAAAAAAQAgAAAAOwEAAGRycy9lMm9Eb2MueG1sUEsFBgAAAAAGAAYAWQEAAOsFAAAA&#10;AA==&#10;">
                        <v:fill on="t" focussize="0,0"/>
                        <v:stroke color="#000000" miterlimit="8" joinstyle="miter"/>
                        <v:imagedata o:title=""/>
                        <o:lock v:ext="edit" aspectratio="f"/>
                        <v:textbox>
                          <w:txbxContent>
                            <w:p>
                              <w:pPr>
                                <w:jc w:val="center"/>
                              </w:pPr>
                              <w:r>
                                <w:rPr>
                                  <w:rFonts w:hint="eastAsia"/>
                                </w:rPr>
                                <w:t>原料搅拌</w:t>
                              </w:r>
                            </w:p>
                          </w:txbxContent>
                        </v:textbox>
                      </v:shape>
                      <v:shape id="自选图形 358" o:spid="_x0000_s1026" o:spt="37" type="#_x0000_t37" style="position:absolute;left:3324344;top:52673;height:355600;width:177800;rotation:-5898240f;" filled="f" stroked="t" coordsize="21600,21600" o:gfxdata="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3fVk/1gAAAAUBAAAPAAAAAAAAAAEAIAAAADgAAABkcnMv&#10;ZG93bnJldi54bWxQSwECFAAUAAAACACHTuJAeY92qu8BAACMAwAADgAAAAAAAAABACAAAAA7AQAA&#10;ZHJzL2Uyb0RvYy54bWxQSwUGAAAAAAYABgBZAQAAnAUAAAAA&#10;">
                        <v:fill on="f" focussize="0,0"/>
                        <v:stroke color="#000000" joinstyle="round" endarrow="open"/>
                        <v:imagedata o:title=""/>
                        <o:lock v:ext="edit" aspectratio="f"/>
                      </v:shape>
                      <v:shape id="文本框 359" o:spid="_x0000_s1026" o:spt="202" type="#_x0000_t202" style="position:absolute;left:1525270;top:1057275;height:269875;width:762000;" fillcolor="#FFFFFF" filled="t" stroked="t" coordsize="21600,21600" o:gfxdata="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UqIusdYAAAAF&#10;AQAADwAAAAAAAAABACAAAAA4AAAAZHJzL2Rvd25yZXYueG1sUEsBAhQAFAAAAAgAh07iQMykzLlB&#10;AgAAYgQAAA4AAAAAAAAAAQAgAAAAOwEAAGRycy9lMm9Eb2MueG1sUEsFBgAAAAAGAAYAWQEAAO4F&#10;AAAAAA==&#10;">
                        <v:fill on="t" focussize="0,0"/>
                        <v:stroke color="#000000" miterlimit="8" joinstyle="miter"/>
                        <v:imagedata o:title=""/>
                        <o:lock v:ext="edit" aspectratio="f"/>
                        <v:textbox>
                          <w:txbxContent>
                            <w:p>
                              <w:pPr>
                                <w:jc w:val="center"/>
                              </w:pPr>
                              <w:r>
                                <w:rPr>
                                  <w:rFonts w:hint="eastAsia"/>
                                </w:rPr>
                                <w:t>烟气处理</w:t>
                              </w:r>
                            </w:p>
                          </w:txbxContent>
                        </v:textbox>
                      </v:shape>
                      <v:shape id="自选图形 360" o:spid="_x0000_s1026" o:spt="37" type="#_x0000_t37" style="position:absolute;left:1994271;top:816673;height:355600;width:177800;rotation:-5898240f;" filled="f" stroked="t" coordsize="21600,21600" o:gfxdata="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N31ZP9YAAAAFAQAADwAAAAAAAAABACAAAAA4AAAAZHJzL2Rv&#10;d25yZXYueG1sUEsBAhQAFAAAAAgAh07iQKfikSjtAQAAjQMAAA4AAAAAAAAAAQAgAAAAOwEAAGRy&#10;cy9lMm9Eb2MueG1sUEsFBgAAAAAGAAYAWQEAAJoFAAAAAA==&#10;">
                        <v:fill on="f" focussize="0,0"/>
                        <v:stroke color="#000000" joinstyle="round" endarrow="open"/>
                        <v:imagedata o:title=""/>
                        <o:lock v:ext="edit" aspectratio="f"/>
                      </v:shape>
                      <v:shape id="自选图形 361" o:spid="_x0000_s1026" o:spt="32" type="#_x0000_t32" style="position:absolute;left:2296531;top:1205311;height:635;width:571500;" filled="f" stroked="t" coordsize="21600,21600" o:gfxdata="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Ju4KIXVAAAABQEAAA8AAAAAAAAAAQAgAAAAOAAAAGRycy9kb3ducmV2Lnht&#10;bFBLAQIUABQAAAAIAIdO4kC7HIdM5gEAAH4DAAAOAAAAAAAAAAEAIAAAADoBAABkcnMvZTJvRG9j&#10;LnhtbFBLBQYAAAAABgAGAFkBAACSBQAAAAA=&#10;">
                        <v:fill on="f" focussize="0,0"/>
                        <v:stroke color="#000000" joinstyle="round" endarrow="open"/>
                        <v:imagedata o:title=""/>
                        <o:lock v:ext="edit" aspectratio="f"/>
                      </v:shape>
                      <v:shape id="文本框 362" o:spid="_x0000_s1026" o:spt="202" type="#_x0000_t202" style="position:absolute;left:2856230;top:1070056;height:266700;width:762000;" fillcolor="#FFFFFF" filled="t" stroked="t" coordsize="21600,21600" o:gfxdata="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UqIusdYAAAAF&#10;AQAADwAAAAAAAAABACAAAAA4AAAAZHJzL2Rvd25yZXYueG1sUEsBAhQAFAAAAAgAh07iQHX9kh5B&#10;AgAAYgQAAA4AAAAAAAAAAQAgAAAAOwEAAGRycy9lMm9Eb2MueG1sUEsFBgAAAAAGAAYAWQEAAO4F&#10;AAAAAA==&#10;">
                        <v:fill on="t" focussize="0,0"/>
                        <v:stroke color="#000000" miterlimit="8" joinstyle="miter"/>
                        <v:imagedata o:title=""/>
                        <o:lock v:ext="edit" aspectratio="f"/>
                        <v:textbox>
                          <w:txbxContent>
                            <w:p>
                              <w:pPr>
                                <w:jc w:val="center"/>
                              </w:pPr>
                              <w:r>
                                <w:rPr>
                                  <w:rFonts w:hint="eastAsia"/>
                                </w:rPr>
                                <w:t>再生池</w:t>
                              </w:r>
                            </w:p>
                          </w:txbxContent>
                        </v:textbox>
                      </v:shape>
                      <v:shape id="自选图形 363" o:spid="_x0000_s1026" o:spt="37" type="#_x0000_t37" style="position:absolute;left:3322518;top:805877;height:355600;width:177800;rotation:-5898240f;" filled="f" stroked="t" coordsize="21600,21600" o:gfxdata="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3fVk/1gAAAAUBAAAPAAAAAAAAAAEAIAAAADgAAABkcnMv&#10;ZG93bnJldi54bWxQSwECFAAUAAAACACHTuJAiUPyBO8BAACNAwAADgAAAAAAAAABACAAAAA7AQAA&#10;ZHJzL2Uyb0RvYy54bWxQSwUGAAAAAAYABgBZAQAAnAUAAAAA&#10;">
                        <v:fill on="f" focussize="0,0"/>
                        <v:stroke color="#000000" joinstyle="round" endarrow="open"/>
                        <v:imagedata o:title=""/>
                        <o:lock v:ext="edit" aspectratio="f"/>
                      </v:shape>
                      <v:shape id="自选图形 364" o:spid="_x0000_s1026" o:spt="32" type="#_x0000_t32" style="position:absolute;left:3618865;top:1205946;height:635;width:571500;" filled="f" stroked="t" coordsize="21600,21600" o:gfxdata="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m7gohdUAAAAFAQAADwAAAAAAAAABACAAAAA4AAAAZHJzL2Rvd25yZXYu&#10;eG1sUEsBAhQAFAAAAAgAh07iQLD09FvoAQAAfgMAAA4AAAAAAAAAAQAgAAAAOgEAAGRycy9lMm9E&#10;b2MueG1sUEsFBgAAAAAGAAYAWQEAAJQFAAAAAA==&#10;">
                        <v:fill on="f" focussize="0,0"/>
                        <v:stroke color="#000000" joinstyle="round" endarrow="open"/>
                        <v:imagedata o:title=""/>
                        <o:lock v:ext="edit" aspectratio="f"/>
                      </v:shape>
                      <v:shape id="文本框 365" o:spid="_x0000_s1026" o:spt="202" type="#_x0000_t202" style="position:absolute;left:4190365;top:1063461;height:279400;width:762000;" fillcolor="#FFFFFF" filled="t" stroked="t" coordsize="21600,21600" o:gfxdata="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FKiLrHWAAAA&#10;BQEAAA8AAAAAAAAAAQAgAAAAOAAAAGRycy9kb3ducmV2LnhtbFBLAQIUABQAAAAIAIdO4kC3ohvb&#10;QgIAAGIEAAAOAAAAAAAAAAEAIAAAADsBAABkcnMvZTJvRG9jLnhtbFBLBQYAAAAABgAGAFkBAADv&#10;BQAAAAA=&#10;">
                        <v:fill on="t" focussize="0,0"/>
                        <v:stroke color="#000000" miterlimit="8" joinstyle="miter"/>
                        <v:imagedata o:title=""/>
                        <o:lock v:ext="edit" aspectratio="f"/>
                        <v:textbox>
                          <w:txbxContent>
                            <w:p>
                              <w:pPr>
                                <w:jc w:val="center"/>
                              </w:pPr>
                              <w:r>
                                <w:rPr>
                                  <w:rFonts w:hint="eastAsia"/>
                                </w:rPr>
                                <w:t>循环水池</w:t>
                              </w:r>
                            </w:p>
                          </w:txbxContent>
                        </v:textbox>
                      </v:shape>
                      <v:line id="直线 366" o:spid="_x0000_s1026" o:spt="20" style="position:absolute;left:4592427;top:1354031;height:254000;width:635;" filled="f" stroked="t" coordsize="21600,21600" o:gfxdata="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&#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zSjWx1QAAAAUBAAAPAAAAAAAAAAEAIAAAADgAAABk&#10;cnMvZG93bnJldi54bWxQSwECFAAUAAAACACHTuJAPJ/JDboBAAA/AwAADgAAAAAAAAABACAAAAA6&#10;AQAAZHJzL2Uyb0RvYy54bWxQSwUGAAAAAAYABgBZAQAAZgUAAAAA&#10;">
                        <v:fill on="f" focussize="0,0"/>
                        <v:stroke color="#000000" joinstyle="round"/>
                        <v:imagedata o:title=""/>
                        <o:lock v:ext="edit" aspectratio="f"/>
                      </v:line>
                      <v:line id="直线 367" o:spid="_x0000_s1026" o:spt="20" style="position:absolute;left:1937029;top:1599533;flip:x y;height:7620;width:2647315;" filled="f" stroked="t" coordsize="21600,21600" o:gfxdata="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CTTqcDSAAAABQEAAA8AAAAA&#10;AAAAAQAgAAAAOAAAAGRycy9kb3ducmV2LnhtbFBLAQIUABQAAAAIAIdO4kAoYcvjywEAAFsDAAAO&#10;AAAAAAAAAAEAIAAAADcBAABkcnMvZTJvRG9jLnhtbFBLBQYAAAAABgAGAFkBAAB0BQAAAAA=&#10;">
                        <v:fill on="f" focussize="0,0"/>
                        <v:stroke color="#000000" joinstyle="round"/>
                        <v:imagedata o:title=""/>
                        <o:lock v:ext="edit" aspectratio="f"/>
                      </v:line>
                      <v:line id="直线 368" o:spid="_x0000_s1026" o:spt="20" style="position:absolute;left:1928372;top:1327157;flip:x y;height:271780;width:8890;" filled="f" stroked="t" coordsize="21600,21600" o:gfxdata="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Cb3SQdYAAAAFAQAADwAAAAAAAAABACAAAAA4AAAAZHJzL2Rvd25yZXYueG1sUEsB&#10;AhQAFAAAAAgAh07iQJQ9a1rhAQAAhQMAAA4AAAAAAAAAAQAgAAAAOwEAAGRycy9lMm9Eb2MueG1s&#10;UEsFBgAAAAAGAAYAWQEAAI4FAAAAAA==&#10;">
                        <v:fill on="f" focussize="0,0"/>
                        <v:stroke color="#000000" joinstyle="round" endarrow="open"/>
                        <v:imagedata o:title=""/>
                        <o:lock v:ext="edit" aspectratio="f"/>
                      </v:line>
                      <v:shape id="文本框 369" o:spid="_x0000_s1026" o:spt="202" type="#_x0000_t202" style="position:absolute;left:4069715;top:84422;height:241300;width:1257300;" fillcolor="#FFFFFF" filled="t" stroked="f" coordsize="21600,21600" o:gfxdata="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c6WmG1QAAAAUBAAAPAAAAAAAAAAEAIAAAADgAAABkcnMvZG93&#10;bnJldi54bWxQSwECFAAUAAAACACHTuJA0gSc+iYCAAAYBAAADgAAAAAAAAABACAAAAA6AQAAZHJz&#10;L2Uyb0RvYy54bWxQSwUGAAAAAAYABgBZAQAA0gUAAAAA&#10;">
                        <v:fill on="t" focussize="0,0"/>
                        <v:stroke on="f"/>
                        <v:imagedata o:title=""/>
                        <o:lock v:ext="edit" aspectratio="f"/>
                        <v:textbox>
                          <w:txbxContent>
                            <w:p>
                              <w:pPr>
                                <w:jc w:val="center"/>
                              </w:pPr>
                              <w:r>
                                <w:rPr>
                                  <w:rFonts w:hint="eastAsia"/>
                                </w:rPr>
                                <w:t>单位：m</w:t>
                              </w:r>
                              <w:r>
                                <w:rPr>
                                  <w:rFonts w:hint="eastAsia"/>
                                  <w:vertAlign w:val="superscript"/>
                                </w:rPr>
                                <w:t>3</w:t>
                              </w:r>
                              <w:r>
                                <w:rPr>
                                  <w:rFonts w:hint="eastAsia"/>
                                </w:rPr>
                                <w:t>/a</w:t>
                              </w:r>
                            </w:p>
                          </w:txbxContent>
                        </v:textbox>
                      </v:shape>
                      <v:line id="直线 355" o:spid="_x0000_s1026" o:spt="20" style="position:absolute;left:799425;top:2007905;flip:y;height:635;width:533400;" filled="f" stroked="t" coordsize="21600,21600" o:gfxdata="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NE5UOrWAAAABQEAAA8AAAAAAAAAAQAgAAAAOAAAAGRycy9kb3ducmV2LnhtbFBLAQIUABQAAAAI&#10;AIdO4kC/dVOz2QEAAHYDAAAOAAAAAAAAAAEAIAAAADsBAABkcnMvZTJvRG9jLnhtbFBLBQYAAAAA&#10;BgAGAFkBAACGBQAAAAA=&#10;">
                        <v:fill on="f" focussize="0,0"/>
                        <v:stroke color="#000000" joinstyle="round" endarrow="open"/>
                        <v:imagedata o:title=""/>
                        <o:lock v:ext="edit" aspectratio="f"/>
                      </v:line>
                      <v:shape id="文本框 357" o:spid="_x0000_s1026" o:spt="202" type="#_x0000_t202" style="position:absolute;left:1354428;top:1889144;height:270822;width:762000;" fillcolor="#FFFFFF" filled="t" stroked="t" coordsize="21600,21600" o:gfxdata="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UqIusdYAAAAF&#10;AQAADwAAAAAAAAABACAAAAA4AAAAZHJzL2Rvd25yZXYueG1sUEsBAhQAFAAAAAgAh07iQHEYG3NB&#10;AgAAYgQAAA4AAAAAAAAAAQAgAAAAOwEAAGRycy9lMm9Eb2MueG1sUEsFBgAAAAAGAAYAWQEAAO4F&#10;AAAAAA==&#10;">
                        <v:fill on="t" focussize="0,0"/>
                        <v:stroke color="#000000" miterlimit="8" joinstyle="miter"/>
                        <v:imagedata o:title=""/>
                        <o:lock v:ext="edit" aspectratio="f"/>
                        <v:textbox>
                          <w:txbxContent>
                            <w:p>
                              <w:pPr>
                                <w:jc w:val="center"/>
                              </w:pPr>
                              <w:r>
                                <w:rPr>
                                  <w:rFonts w:hint="eastAsia"/>
                                </w:rPr>
                                <w:t>实验室</w:t>
                              </w:r>
                            </w:p>
                          </w:txbxContent>
                        </v:textbox>
                      </v:shape>
                      <v:line id="直线 355" o:spid="_x0000_s1026" o:spt="20" style="position:absolute;left:2115840;top:2004685;flip:y;height:635;width:533400;" filled="f" stroked="t" coordsize="21600,21600" o:gfxdata="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0TlQ6tYAAAAFAQAADwAAAAAAAAABACAAAAA4AAAAZHJzL2Rvd25yZXYueG1sUEsBAhQAFAAAAAgA&#10;h07iQOvIUfTYAQAAdwMAAA4AAAAAAAAAAQAgAAAAOwEAAGRycy9lMm9Eb2MueG1sUEsFBgAAAAAG&#10;AAYAWQEAAIUFAAAAAA==&#10;">
                        <v:fill on="f" focussize="0,0"/>
                        <v:stroke color="#000000" joinstyle="round" endarrow="open"/>
                        <v:imagedata o:title=""/>
                        <o:lock v:ext="edit" aspectratio="f"/>
                      </v:line>
                      <v:shape id="文本框 362" o:spid="_x0000_s1026" o:spt="202" type="#_x0000_t202" style="position:absolute;left:2649261;top:1871429;height:266700;width:598170;" fillcolor="#FFFFFF" filled="t" stroked="t" coordsize="21600,21600" o:gfxdata="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BSoi6x&#10;1gAAAAUBAAAPAAAAAAAAAAEAIAAAADgAAABkcnMvZG93bnJldi54bWxQSwECFAAUAAAACACHTuJA&#10;O0eOtEYCAABjBAAADgAAAAAAAAABACAAAAA7AQAAZHJzL2Uyb0RvYy54bWxQSwUGAAAAAAYABgBZ&#10;AQAA8wUAAAAA&#10;">
                        <v:fill on="t" focussize="0,0"/>
                        <v:stroke color="#000000" miterlimit="8" joinstyle="miter"/>
                        <v:imagedata o:title=""/>
                        <o:lock v:ext="edit" aspectratio="f"/>
                        <v:textbox>
                          <w:txbxContent>
                            <w:p>
                              <w:pPr>
                                <w:jc w:val="center"/>
                              </w:pPr>
                              <w:r>
                                <w:rPr>
                                  <w:rFonts w:hint="eastAsia"/>
                                </w:rPr>
                                <w:t>中和池</w:t>
                              </w:r>
                            </w:p>
                          </w:txbxContent>
                        </v:textbox>
                      </v:shape>
                      <v:line id="直线 355" o:spid="_x0000_s1026" o:spt="20" style="position:absolute;left:3255363;top:2004226;flip:y;height:635;width:533400;" filled="f" stroked="t" coordsize="21600,21600" o:gfxdata="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0TlQ6tYAAAAFAQAADwAAAAAAAAABACAAAAA4AAAAZHJzL2Rvd25yZXYueG1sUEsBAhQAFAAA&#10;AAgAh07iQJhQ9CzbAQAAeAMAAA4AAAAAAAAAAQAgAAAAOwEAAGRycy9lMm9Eb2MueG1sUEsFBgAA&#10;AAAGAAYAWQEAAIgFAAAAAA==&#10;">
                        <v:fill on="f" focussize="0,0"/>
                        <v:stroke color="#000000" joinstyle="round" endarrow="open"/>
                        <v:imagedata o:title=""/>
                        <o:lock v:ext="edit" aspectratio="f"/>
                      </v:line>
                      <v:shape id="自选图形 363" o:spid="_x0000_s1026" o:spt="37" type="#_x0000_t37" style="position:absolute;left:1834470;top:1622958;height:355600;width:177800;rotation:-5898240f;" filled="f" stroked="t" coordsize="21600,21600" o:gfxdata="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3fVk/1gAAAAUBAAAPAAAAAAAAAAEAIAAAADgAAABkcnMvZG93&#10;bnJldi54bWxQSwECFAAUAAAACACHTuJAhvEJuuwBAACPAwAADgAAAAAAAAABACAAAAA7AQAAZHJz&#10;L2Uyb0RvYy54bWxQSwUGAAAAAAYABgBZAQAAmQUAAAAA&#10;">
                        <v:fill on="f" focussize="0,0"/>
                        <v:stroke color="#000000" joinstyle="round" endarrow="open"/>
                        <v:imagedata o:title=""/>
                        <o:lock v:ext="edit" aspectratio="f"/>
                      </v:shape>
                      <v:shape id="文本框 362" o:spid="_x0000_s1026" o:spt="202" type="#_x0000_t202" style="position:absolute;left:3793962;top:1876335;height:266700;width:619125;" fillcolor="#FFFFFF" filled="t" stroked="t" coordsize="21600,21600" o:gfxdata="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UqIusdYAAAAF&#10;AQAADwAAAAAAAAABACAAAAA4AAAAZHJzL2Rvd25yZXYueG1sUEsBAhQAFAAAAAgAh07iQHalnqRB&#10;AgAAYwQAAA4AAAAAAAAAAQAgAAAAOwEAAGRycy9lMm9Eb2MueG1sUEsFBgAAAAAGAAYAWQEAAO4F&#10;AAAAAA==&#10;">
                        <v:fill on="t" focussize="0,0"/>
                        <v:stroke color="#000000" miterlimit="8" joinstyle="miter"/>
                        <v:imagedata o:title=""/>
                        <o:lock v:ext="edit" aspectratio="f"/>
                        <v:textbox>
                          <w:txbxContent>
                            <w:p>
                              <w:pPr>
                                <w:jc w:val="center"/>
                              </w:pPr>
                              <w:r>
                                <w:rPr>
                                  <w:rFonts w:hint="eastAsia"/>
                                </w:rPr>
                                <w:t>化粪池</w:t>
                              </w:r>
                            </w:p>
                          </w:txbxContent>
                        </v:textbox>
                      </v:shape>
                      <v:line id="直线 355" o:spid="_x0000_s1026" o:spt="20" style="position:absolute;left:4413087;top:2007413;flip:y;height:2272;width:557846;" filled="f" stroked="t" coordsize="21600,21600" o:gfxdata="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ROVDq1gAAAAUBAAAPAAAAAAAAAAEAIAAAADgAAABkcnMvZG93bnJl&#10;di54bWxQSwECFAAUAAAACACHTuJATPK2QukBAAChAwAADgAAAAAAAAABACAAAAA7AQAAZHJzL2Uy&#10;b0RvYy54bWxQSwUGAAAAAAYABgBZAQAAlgUAAAAA&#10;">
                        <v:fill on="f" focussize="0,0"/>
                        <v:stroke color="#000000" joinstyle="round" endarrow="open"/>
                        <v:imagedata o:title=""/>
                        <o:lock v:ext="edit" aspectratio="f"/>
                      </v:line>
                      <v:line id="直线 355" o:spid="_x0000_s1026" o:spt="20" style="position:absolute;left:886208;top:318720;flip:y;height:635;width:532765;" filled="f" stroked="t" coordsize="21600,21600" o:gfxdata="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ROVDq1gAAAAUBAAAPAAAAAAAAAAEAIAAAADgAAABkcnMvZG93bnJldi54bWxQSwECFAAUAAAA&#10;CACHTuJAT2TXbNoBAAB2AwAADgAAAAAAAAABACAAAAA7AQAAZHJzL2Uyb0RvYy54bWxQSwUGAAAA&#10;AAYABgBZAQAAhwUAAAAA&#10;">
                        <v:fill on="f" focussize="0,0"/>
                        <v:stroke color="#000000" joinstyle="round" endarrow="open"/>
                        <v:imagedata o:title=""/>
                        <o:lock v:ext="edit" aspectratio="f"/>
                      </v:line>
                      <v:shape id="文本框 359" o:spid="_x0000_s1026" o:spt="202" type="#_x0000_t202" style="position:absolute;left:1427480;top:194945;height:287655;width:859790;" fillcolor="#FFFFFF" filled="t" stroked="t" coordsize="21600,21600" o:gfxdata="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FKiLrHWAAAA&#10;BQEAAA8AAAAAAAAAAQAgAAAAOAAAAGRycy9kb3ducmV2LnhtbFBLAQIUABQAAAAIAIdO4kDugv3Y&#10;QgIAAGIEAAAOAAAAAAAAAAEAIAAAADsBAABkcnMvZTJvRG9jLnhtbFBLBQYAAAAABgAGAFkBAADv&#10;BQAAAAA=&#10;">
                        <v:fill on="t" focussize="0,0"/>
                        <v:stroke color="#000000" miterlimit="8" joinstyle="miter"/>
                        <v:imagedata o:title=""/>
                        <o:lock v:ext="edit" aspectratio="f"/>
                        <v:textbox>
                          <w:txbxContent>
                            <w:p>
                              <w:pPr>
                                <w:pStyle w:val="19"/>
                                <w:spacing w:before="0" w:beforeAutospacing="0" w:after="0" w:afterAutospacing="0"/>
                                <w:jc w:val="center"/>
                              </w:pPr>
                              <w:r>
                                <w:rPr>
                                  <w:rFonts w:hint="eastAsia" w:ascii="Times New Roman"/>
                                  <w:kern w:val="2"/>
                                  <w:sz w:val="21"/>
                                  <w:szCs w:val="21"/>
                                </w:rPr>
                                <w:t>初期雨水池</w:t>
                              </w:r>
                            </w:p>
                          </w:txbxContent>
                        </v:textbox>
                      </v:shape>
                      <v:line id="直线 355" o:spid="_x0000_s1026" o:spt="20" style="position:absolute;left:2298177;top:317076;flip:y;height:635;width:532130;" filled="f" stroked="t" coordsize="21600,21600" o:gfxdata="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NE5UOrWAAAABQEAAA8AAAAAAAAAAQAgAAAAOAAAAGRycy9kb3ducmV2LnhtbFBLAQIUABQA&#10;AAAIAIdO4kBJ8VzR3AEAAHcDAAAOAAAAAAAAAAEAIAAAADsBAABkcnMvZTJvRG9jLnhtbFBLBQYA&#10;AAAABgAGAFkBAACJBQAAAAA=&#10;">
                        <v:fill on="f" focussize="0,0"/>
                        <v:stroke color="#000000" joinstyle="round" endarrow="open"/>
                        <v:imagedata o:title=""/>
                        <o:lock v:ext="edit" aspectratio="f"/>
                      </v:line>
                      <v:shape id="文本框 359" o:spid="_x0000_s1026" o:spt="202" type="#_x0000_t202" style="position:absolute;left:118745;top:204470;height:297180;width:760730;" fillcolor="#FFFFFF" filled="t" stroked="t" coordsize="21600,21600" o:gfxdata="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FKiLrHWAAAA&#10;BQEAAA8AAAAAAAAAAQAgAAAAOAAAAGRycy9kb3ducmV2LnhtbFBLAQIUABQAAAAIAIdO4kAtIc5c&#10;QgIAAGEEAAAOAAAAAAAAAAEAIAAAADsBAABkcnMvZTJvRG9jLnhtbFBLBQYAAAAABgAGAFkBAADv&#10;BQAAAAA=&#10;">
                        <v:fill on="t" focussize="0,0"/>
                        <v:stroke color="#000000" miterlimit="8" joinstyle="miter"/>
                        <v:imagedata o:title=""/>
                        <o:lock v:ext="edit" aspectratio="f"/>
                        <v:textbox>
                          <w:txbxContent>
                            <w:p>
                              <w:pPr>
                                <w:pStyle w:val="19"/>
                                <w:spacing w:before="0" w:beforeAutospacing="0" w:after="0" w:afterAutospacing="0"/>
                                <w:jc w:val="center"/>
                              </w:pPr>
                              <w:r>
                                <w:rPr>
                                  <w:rFonts w:hint="eastAsia" w:ascii="Times New Roman" w:hAnsi="Times New Roman"/>
                                  <w:kern w:val="2"/>
                                  <w:sz w:val="21"/>
                                  <w:szCs w:val="21"/>
                                </w:rPr>
                                <w:t>初期雨水</w:t>
                              </w:r>
                            </w:p>
                          </w:txbxContent>
                        </v:textbox>
                      </v:shape>
                      <v:shape id="Text Box 539" o:spid="_x0000_s1026" o:spt="202" type="#_x0000_t202" style="position:absolute;left:4914265;top:1365250;height:800100;width:354330;" filled="f" stroked="f" coordsize="21600,21600" o:gfxdata="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5z+ad2AAAAAUBAAAPAAAA&#10;AAAAAAEAIAAAADgAAABkcnMvZG93bnJldi54bWxQSwECFAAUAAAACACHTuJAhvXQLv8BAADkAwAA&#10;DgAAAAAAAAABACAAAAA9AQAAZHJzL2Uyb0RvYy54bWxQSwUGAAAAAAYABgBZAQAArgUAAAAA&#10;">
                        <v:fill on="f" focussize="0,0"/>
                        <v:stroke on="f"/>
                        <v:imagedata o:title=""/>
                        <o:lock v:ext="edit" aspectratio="f"/>
                        <v:textbox style="layout-flow:vertical-ideographic;">
                          <w:txbxContent>
                            <w:p>
                              <w:pPr>
                                <w:pStyle w:val="19"/>
                                <w:spacing w:before="0" w:beforeAutospacing="0" w:after="0" w:afterAutospacing="0"/>
                                <w:jc w:val="both"/>
                              </w:pPr>
                              <w:r>
                                <w:rPr>
                                  <w:rFonts w:hint="eastAsia" w:ascii="Times New Roman"/>
                                  <w:kern w:val="2"/>
                                  <w:sz w:val="21"/>
                                  <w:szCs w:val="21"/>
                                </w:rPr>
                                <w:t>污水处理厂</w:t>
                              </w:r>
                            </w:p>
                          </w:txbxContent>
                        </v:textbox>
                      </v:shape>
                      <w10:wrap type="none"/>
                      <w10:anchorlock/>
                    </v:group>
                  </w:pict>
                </mc:Fallback>
              </mc:AlternateContent>
            </w:r>
          </w:p>
          <w:p>
            <w:pPr>
              <w:widowControl/>
              <w:ind w:firstLine="421" w:firstLineChars="200"/>
              <w:jc w:val="center"/>
              <w:rPr>
                <w:b/>
                <w:color w:val="auto"/>
                <w:szCs w:val="21"/>
              </w:rPr>
            </w:pPr>
            <w:r>
              <w:rPr>
                <w:rFonts w:hint="eastAsia"/>
                <w:b/>
                <w:color w:val="auto"/>
                <w:szCs w:val="21"/>
              </w:rPr>
              <w:t>图2-1  改扩建项目水平衡图</w:t>
            </w:r>
          </w:p>
          <w:p>
            <w:pPr>
              <w:pStyle w:val="17"/>
              <w:rPr>
                <w:color w:val="auto"/>
              </w:rPr>
            </w:pPr>
          </w:p>
          <w:p>
            <w:pPr>
              <w:widowControl/>
              <w:spacing w:line="360" w:lineRule="auto"/>
              <w:rPr>
                <w:color w:val="auto"/>
                <w:kern w:val="0"/>
                <w:sz w:val="24"/>
                <w:lang w:bidi="ar"/>
              </w:rPr>
            </w:pPr>
            <w:r>
              <w:rPr>
                <w:color w:val="auto"/>
              </w:rPr>
              <mc:AlternateContent>
                <mc:Choice Requires="wpc">
                  <w:drawing>
                    <wp:inline distT="0" distB="0" distL="0" distR="0">
                      <wp:extent cx="5330825" cy="2943225"/>
                      <wp:effectExtent l="0" t="0" r="3175" b="0"/>
                      <wp:docPr id="76" name="画布 76"/>
                      <wp:cNvGraphicFramePr/>
                      <a:graphic xmlns:a="http://schemas.openxmlformats.org/drawingml/2006/main">
                        <a:graphicData uri="http://schemas.microsoft.com/office/word/2010/wordprocessingCanvas">
                          <wpc:wpc>
                            <wpc:bg>
                              <a:noFill/>
                            </wpc:bg>
                            <wpc:whole>
                              <a:ln>
                                <a:noFill/>
                              </a:ln>
                            </wpc:whole>
                            <wps:wsp>
                              <wps:cNvPr id="185" name="文本框 349"/>
                              <wps:cNvSpPr txBox="true">
                                <a:spLocks noChangeArrowheads="true"/>
                              </wps:cNvSpPr>
                              <wps:spPr bwMode="auto">
                                <a:xfrm>
                                  <a:off x="2277199" y="245161"/>
                                  <a:ext cx="760095" cy="239395"/>
                                </a:xfrm>
                                <a:prstGeom prst="rect">
                                  <a:avLst/>
                                </a:prstGeom>
                                <a:solidFill>
                                  <a:srgbClr val="FFFFFF"/>
                                </a:solidFill>
                                <a:ln>
                                  <a:noFill/>
                                </a:ln>
                                <a:effectLst/>
                              </wps:spPr>
                              <wps:txbx>
                                <w:txbxContent>
                                  <w:p>
                                    <w:pPr>
                                      <w:pStyle w:val="19"/>
                                      <w:spacing w:before="0" w:beforeAutospacing="0" w:after="0" w:afterAutospacing="0"/>
                                      <w:jc w:val="center"/>
                                    </w:pPr>
                                    <w:r>
                                      <w:rPr>
                                        <w:rFonts w:ascii="Times New Roman" w:hAnsi="Times New Roman"/>
                                        <w:kern w:val="2"/>
                                        <w:sz w:val="21"/>
                                        <w:szCs w:val="21"/>
                                      </w:rPr>
                                      <w:t>2562</w:t>
                                    </w:r>
                                  </w:p>
                                </w:txbxContent>
                              </wps:txbx>
                              <wps:bodyPr rot="0" vert="horz" wrap="square" lIns="91440" tIns="45720" rIns="91440" bIns="45720" anchor="t" anchorCtr="false" upright="true">
                                <a:noAutofit/>
                              </wps:bodyPr>
                            </wps:wsp>
                            <wps:wsp>
                              <wps:cNvPr id="184" name="文本框 349"/>
                              <wps:cNvSpPr txBox="true">
                                <a:spLocks noChangeArrowheads="true"/>
                              </wps:cNvSpPr>
                              <wps:spPr bwMode="auto">
                                <a:xfrm>
                                  <a:off x="851620" y="240140"/>
                                  <a:ext cx="760730" cy="240030"/>
                                </a:xfrm>
                                <a:prstGeom prst="rect">
                                  <a:avLst/>
                                </a:prstGeom>
                                <a:solidFill>
                                  <a:srgbClr val="FFFFFF"/>
                                </a:solidFill>
                                <a:ln>
                                  <a:noFill/>
                                </a:ln>
                                <a:effectLst/>
                              </wps:spPr>
                              <wps:txbx>
                                <w:txbxContent>
                                  <w:p>
                                    <w:pPr>
                                      <w:pStyle w:val="19"/>
                                      <w:spacing w:before="0" w:beforeAutospacing="0" w:after="0" w:afterAutospacing="0"/>
                                      <w:jc w:val="center"/>
                                    </w:pPr>
                                    <w:r>
                                      <w:rPr>
                                        <w:rFonts w:ascii="Times New Roman" w:hAnsi="Times New Roman"/>
                                        <w:kern w:val="2"/>
                                        <w:sz w:val="21"/>
                                        <w:szCs w:val="21"/>
                                      </w:rPr>
                                      <w:t>2562</w:t>
                                    </w:r>
                                  </w:p>
                                </w:txbxContent>
                              </wps:txbx>
                              <wps:bodyPr rot="0" vert="horz" wrap="square" lIns="91440" tIns="45720" rIns="91440" bIns="45720" anchor="t" anchorCtr="false" upright="true">
                                <a:noAutofit/>
                              </wps:bodyPr>
                            </wps:wsp>
                            <wps:wsp>
                              <wps:cNvPr id="399" name="文本框 373"/>
                              <wps:cNvSpPr txBox="true">
                                <a:spLocks noChangeArrowheads="true"/>
                              </wps:cNvSpPr>
                              <wps:spPr bwMode="auto">
                                <a:xfrm>
                                  <a:off x="2981960" y="1423620"/>
                                  <a:ext cx="762000" cy="241300"/>
                                </a:xfrm>
                                <a:prstGeom prst="rect">
                                  <a:avLst/>
                                </a:prstGeom>
                                <a:solidFill>
                                  <a:srgbClr val="FFFFFF"/>
                                </a:solidFill>
                                <a:ln>
                                  <a:noFill/>
                                </a:ln>
                                <a:effectLst/>
                              </wps:spPr>
                              <wps:txbx>
                                <w:txbxContent>
                                  <w:p>
                                    <w:pPr>
                                      <w:jc w:val="center"/>
                                    </w:pPr>
                                    <w:r>
                                      <w:rPr>
                                        <w:rFonts w:hint="eastAsia"/>
                                      </w:rPr>
                                      <w:t>538860</w:t>
                                    </w:r>
                                  </w:p>
                                </w:txbxContent>
                              </wps:txbx>
                              <wps:bodyPr rot="0" vert="horz" wrap="square" lIns="91440" tIns="45720" rIns="91440" bIns="45720" anchor="t" anchorCtr="false" upright="true">
                                <a:noAutofit/>
                              </wps:bodyPr>
                            </wps:wsp>
                            <wps:wsp>
                              <wps:cNvPr id="400" name="文本框 372"/>
                              <wps:cNvSpPr txBox="true">
                                <a:spLocks noChangeArrowheads="true"/>
                              </wps:cNvSpPr>
                              <wps:spPr bwMode="auto">
                                <a:xfrm>
                                  <a:off x="3650615" y="999490"/>
                                  <a:ext cx="762000" cy="241300"/>
                                </a:xfrm>
                                <a:prstGeom prst="rect">
                                  <a:avLst/>
                                </a:prstGeom>
                                <a:solidFill>
                                  <a:srgbClr val="FFFFFF"/>
                                </a:solidFill>
                                <a:ln>
                                  <a:noFill/>
                                </a:ln>
                                <a:effectLst/>
                              </wps:spPr>
                              <wps:txbx>
                                <w:txbxContent>
                                  <w:p>
                                    <w:pPr>
                                      <w:jc w:val="center"/>
                                    </w:pPr>
                                    <w:r>
                                      <w:rPr>
                                        <w:rFonts w:hint="eastAsia"/>
                                      </w:rPr>
                                      <w:t>538860</w:t>
                                    </w:r>
                                  </w:p>
                                </w:txbxContent>
                              </wps:txbx>
                              <wps:bodyPr rot="0" vert="horz" wrap="square" lIns="91440" tIns="45720" rIns="91440" bIns="45720" anchor="t" anchorCtr="false" upright="true">
                                <a:noAutofit/>
                              </wps:bodyPr>
                            </wps:wsp>
                            <wps:wsp>
                              <wps:cNvPr id="401" name="文本框 371"/>
                              <wps:cNvSpPr txBox="true">
                                <a:spLocks noChangeArrowheads="true"/>
                              </wps:cNvSpPr>
                              <wps:spPr bwMode="auto">
                                <a:xfrm>
                                  <a:off x="2329815" y="1018540"/>
                                  <a:ext cx="762000" cy="241300"/>
                                </a:xfrm>
                                <a:prstGeom prst="rect">
                                  <a:avLst/>
                                </a:prstGeom>
                                <a:solidFill>
                                  <a:srgbClr val="FFFFFF"/>
                                </a:solidFill>
                                <a:ln>
                                  <a:noFill/>
                                </a:ln>
                                <a:effectLst/>
                              </wps:spPr>
                              <wps:txbx>
                                <w:txbxContent>
                                  <w:p>
                                    <w:pPr>
                                      <w:jc w:val="center"/>
                                    </w:pPr>
                                    <w:r>
                                      <w:rPr>
                                        <w:rFonts w:hint="eastAsia"/>
                                      </w:rPr>
                                      <w:t>538920</w:t>
                                    </w:r>
                                  </w:p>
                                </w:txbxContent>
                              </wps:txbx>
                              <wps:bodyPr rot="0" vert="horz" wrap="square" lIns="91440" tIns="45720" rIns="91440" bIns="45720" anchor="t" anchorCtr="false" upright="true">
                                <a:noAutofit/>
                              </wps:bodyPr>
                            </wps:wsp>
                            <wps:wsp>
                              <wps:cNvPr id="402" name="文本框 78"/>
                              <wps:cNvSpPr txBox="true">
                                <a:spLocks noChangeArrowheads="true"/>
                              </wps:cNvSpPr>
                              <wps:spPr bwMode="auto">
                                <a:xfrm>
                                  <a:off x="3682440" y="2474479"/>
                                  <a:ext cx="762000" cy="241300"/>
                                </a:xfrm>
                                <a:prstGeom prst="rect">
                                  <a:avLst/>
                                </a:prstGeom>
                                <a:solidFill>
                                  <a:srgbClr val="FFFFFF"/>
                                </a:solidFill>
                                <a:ln>
                                  <a:noFill/>
                                </a:ln>
                                <a:effectLst/>
                              </wps:spPr>
                              <wps:txbx>
                                <w:txbxContent>
                                  <w:p>
                                    <w:pPr>
                                      <w:jc w:val="center"/>
                                    </w:pPr>
                                    <w:r>
                                      <w:rPr>
                                        <w:rFonts w:hint="eastAsia"/>
                                      </w:rPr>
                                      <w:t>456</w:t>
                                    </w:r>
                                  </w:p>
                                </w:txbxContent>
                              </wps:txbx>
                              <wps:bodyPr rot="0" vert="horz" wrap="square" lIns="91440" tIns="45720" rIns="91440" bIns="45720" anchor="t" anchorCtr="false" upright="true">
                                <a:noAutofit/>
                              </wps:bodyPr>
                            </wps:wsp>
                            <wps:wsp>
                              <wps:cNvPr id="403" name="文本框 79"/>
                              <wps:cNvSpPr txBox="true">
                                <a:spLocks noChangeArrowheads="true"/>
                              </wps:cNvSpPr>
                              <wps:spPr bwMode="auto">
                                <a:xfrm>
                                  <a:off x="2005595" y="2236615"/>
                                  <a:ext cx="762000" cy="241300"/>
                                </a:xfrm>
                                <a:prstGeom prst="rect">
                                  <a:avLst/>
                                </a:prstGeom>
                                <a:solidFill>
                                  <a:srgbClr val="FFFFFF"/>
                                </a:solidFill>
                                <a:ln>
                                  <a:noFill/>
                                </a:ln>
                                <a:effectLst/>
                              </wps:spPr>
                              <wps:txbx>
                                <w:txbxContent>
                                  <w:p>
                                    <w:pPr>
                                      <w:jc w:val="center"/>
                                    </w:pPr>
                                    <w:r>
                                      <w:rPr>
                                        <w:rFonts w:hint="eastAsia"/>
                                      </w:rPr>
                                      <w:t>108</w:t>
                                    </w:r>
                                  </w:p>
                                </w:txbxContent>
                              </wps:txbx>
                              <wps:bodyPr rot="0" vert="horz" wrap="square" lIns="91440" tIns="45720" rIns="91440" bIns="45720" anchor="t" anchorCtr="false" upright="true">
                                <a:noAutofit/>
                              </wps:bodyPr>
                            </wps:wsp>
                            <wps:wsp>
                              <wps:cNvPr id="404" name="文本框 80"/>
                              <wps:cNvSpPr txBox="true">
                                <a:spLocks noChangeArrowheads="true"/>
                              </wps:cNvSpPr>
                              <wps:spPr bwMode="auto">
                                <a:xfrm>
                                  <a:off x="2298700" y="2475765"/>
                                  <a:ext cx="762000" cy="241300"/>
                                </a:xfrm>
                                <a:prstGeom prst="rect">
                                  <a:avLst/>
                                </a:prstGeom>
                                <a:solidFill>
                                  <a:srgbClr val="FFFFFF"/>
                                </a:solidFill>
                                <a:ln>
                                  <a:noFill/>
                                </a:ln>
                                <a:effectLst/>
                              </wps:spPr>
                              <wps:txbx>
                                <w:txbxContent>
                                  <w:p>
                                    <w:pPr>
                                      <w:jc w:val="center"/>
                                    </w:pPr>
                                    <w:r>
                                      <w:rPr>
                                        <w:rFonts w:hint="eastAsia"/>
                                      </w:rPr>
                                      <w:t>4</w:t>
                                    </w:r>
                                  </w:p>
                                </w:txbxContent>
                              </wps:txbx>
                              <wps:bodyPr rot="0" vert="horz" wrap="square" lIns="91440" tIns="45720" rIns="91440" bIns="45720" anchor="t" anchorCtr="false" upright="true">
                                <a:noAutofit/>
                              </wps:bodyPr>
                            </wps:wsp>
                            <wps:wsp>
                              <wps:cNvPr id="405" name="文本框 81"/>
                              <wps:cNvSpPr txBox="true">
                                <a:spLocks noChangeArrowheads="true"/>
                              </wps:cNvSpPr>
                              <wps:spPr bwMode="auto">
                                <a:xfrm>
                                  <a:off x="991870" y="2483385"/>
                                  <a:ext cx="762000" cy="241300"/>
                                </a:xfrm>
                                <a:prstGeom prst="rect">
                                  <a:avLst/>
                                </a:prstGeom>
                                <a:solidFill>
                                  <a:srgbClr val="FFFFFF"/>
                                </a:solidFill>
                                <a:ln>
                                  <a:noFill/>
                                </a:ln>
                                <a:effectLst/>
                              </wps:spPr>
                              <wps:txbx>
                                <w:txbxContent>
                                  <w:p>
                                    <w:pPr>
                                      <w:jc w:val="center"/>
                                    </w:pPr>
                                    <w:r>
                                      <w:rPr>
                                        <w:rFonts w:hint="eastAsia"/>
                                      </w:rPr>
                                      <w:t>540</w:t>
                                    </w:r>
                                  </w:p>
                                </w:txbxContent>
                              </wps:txbx>
                              <wps:bodyPr rot="0" vert="horz" wrap="square" lIns="91440" tIns="45720" rIns="91440" bIns="45720" anchor="t" anchorCtr="false" upright="true">
                                <a:noAutofit/>
                              </wps:bodyPr>
                            </wps:wsp>
                            <wps:wsp>
                              <wps:cNvPr id="406" name="文本框 83"/>
                              <wps:cNvSpPr txBox="true">
                                <a:spLocks noChangeArrowheads="true"/>
                              </wps:cNvSpPr>
                              <wps:spPr bwMode="auto">
                                <a:xfrm>
                                  <a:off x="2146744" y="1681049"/>
                                  <a:ext cx="762000" cy="241300"/>
                                </a:xfrm>
                                <a:prstGeom prst="rect">
                                  <a:avLst/>
                                </a:prstGeom>
                                <a:solidFill>
                                  <a:srgbClr val="FFFFFF"/>
                                </a:solidFill>
                                <a:ln>
                                  <a:noFill/>
                                </a:ln>
                                <a:effectLst/>
                              </wps:spPr>
                              <wps:txbx>
                                <w:txbxContent>
                                  <w:p>
                                    <w:pPr>
                                      <w:jc w:val="center"/>
                                    </w:pPr>
                                    <w:r>
                                      <w:rPr>
                                        <w:rFonts w:hint="eastAsia"/>
                                      </w:rPr>
                                      <w:t>24</w:t>
                                    </w:r>
                                  </w:p>
                                </w:txbxContent>
                              </wps:txbx>
                              <wps:bodyPr rot="0" vert="horz" wrap="square" lIns="91440" tIns="45720" rIns="91440" bIns="45720" anchor="t" anchorCtr="false" upright="true">
                                <a:noAutofit/>
                              </wps:bodyPr>
                            </wps:wsp>
                            <wps:wsp>
                              <wps:cNvPr id="407" name="文本框 84"/>
                              <wps:cNvSpPr txBox="true">
                                <a:spLocks noChangeArrowheads="true"/>
                              </wps:cNvSpPr>
                              <wps:spPr bwMode="auto">
                                <a:xfrm>
                                  <a:off x="3197671" y="2252378"/>
                                  <a:ext cx="762000" cy="241300"/>
                                </a:xfrm>
                                <a:prstGeom prst="rect">
                                  <a:avLst/>
                                </a:prstGeom>
                                <a:solidFill>
                                  <a:srgbClr val="FFFFFF"/>
                                </a:solidFill>
                                <a:ln>
                                  <a:noFill/>
                                </a:ln>
                                <a:effectLst/>
                              </wps:spPr>
                              <wps:txbx>
                                <w:txbxContent>
                                  <w:p>
                                    <w:pPr>
                                      <w:jc w:val="center"/>
                                    </w:pPr>
                                    <w:r>
                                      <w:rPr>
                                        <w:rFonts w:hint="eastAsia"/>
                                      </w:rPr>
                                      <w:t>6</w:t>
                                    </w:r>
                                  </w:p>
                                </w:txbxContent>
                              </wps:txbx>
                              <wps:bodyPr rot="0" vert="horz" wrap="square" lIns="91440" tIns="45720" rIns="91440" bIns="45720" anchor="t" anchorCtr="false" upright="true">
                                <a:noAutofit/>
                              </wps:bodyPr>
                            </wps:wsp>
                            <wps:wsp>
                              <wps:cNvPr id="408" name="文本框 85"/>
                              <wps:cNvSpPr txBox="true">
                                <a:spLocks noChangeArrowheads="true"/>
                              </wps:cNvSpPr>
                              <wps:spPr bwMode="auto">
                                <a:xfrm>
                                  <a:off x="972606" y="1922837"/>
                                  <a:ext cx="762000" cy="241300"/>
                                </a:xfrm>
                                <a:prstGeom prst="rect">
                                  <a:avLst/>
                                </a:prstGeom>
                                <a:solidFill>
                                  <a:srgbClr val="FFFFFF"/>
                                </a:solidFill>
                                <a:ln>
                                  <a:noFill/>
                                </a:ln>
                                <a:effectLst/>
                              </wps:spPr>
                              <wps:txbx>
                                <w:txbxContent>
                                  <w:p>
                                    <w:pPr>
                                      <w:jc w:val="center"/>
                                    </w:pPr>
                                    <w:r>
                                      <w:rPr>
                                        <w:rFonts w:hint="eastAsia"/>
                                      </w:rPr>
                                      <w:t>30</w:t>
                                    </w:r>
                                  </w:p>
                                </w:txbxContent>
                              </wps:txbx>
                              <wps:bodyPr rot="0" vert="horz" wrap="square" lIns="91440" tIns="45720" rIns="91440" bIns="45720" anchor="t" anchorCtr="false" upright="true">
                                <a:noAutofit/>
                              </wps:bodyPr>
                            </wps:wsp>
                            <wps:wsp>
                              <wps:cNvPr id="409" name="文本框 87"/>
                              <wps:cNvSpPr txBox="true">
                                <a:spLocks noChangeArrowheads="true"/>
                              </wps:cNvSpPr>
                              <wps:spPr bwMode="auto">
                                <a:xfrm>
                                  <a:off x="411658" y="1459583"/>
                                  <a:ext cx="762000" cy="241300"/>
                                </a:xfrm>
                                <a:prstGeom prst="rect">
                                  <a:avLst/>
                                </a:prstGeom>
                                <a:solidFill>
                                  <a:srgbClr val="FFFFFF"/>
                                </a:solidFill>
                                <a:ln>
                                  <a:noFill/>
                                </a:ln>
                                <a:effectLst/>
                              </wps:spPr>
                              <wps:txbx>
                                <w:txbxContent>
                                  <w:p>
                                    <w:pPr>
                                      <w:jc w:val="center"/>
                                    </w:pPr>
                                    <w:r>
                                      <w:rPr>
                                        <w:rFonts w:hint="eastAsia"/>
                                      </w:rPr>
                                      <w:t>1665</w:t>
                                    </w:r>
                                  </w:p>
                                </w:txbxContent>
                              </wps:txbx>
                              <wps:bodyPr rot="0" vert="horz" wrap="square" lIns="91440" tIns="45720" rIns="91440" bIns="45720" anchor="t" anchorCtr="false" upright="true">
                                <a:noAutofit/>
                              </wps:bodyPr>
                            </wps:wsp>
                            <wps:wsp>
                              <wps:cNvPr id="410" name="文本框 88"/>
                              <wps:cNvSpPr txBox="true">
                                <a:spLocks noChangeArrowheads="true"/>
                              </wps:cNvSpPr>
                              <wps:spPr bwMode="auto">
                                <a:xfrm>
                                  <a:off x="981075" y="996950"/>
                                  <a:ext cx="762000" cy="241300"/>
                                </a:xfrm>
                                <a:prstGeom prst="rect">
                                  <a:avLst/>
                                </a:prstGeom>
                                <a:solidFill>
                                  <a:srgbClr val="FFFFFF"/>
                                </a:solidFill>
                                <a:ln>
                                  <a:noFill/>
                                </a:ln>
                                <a:effectLst/>
                              </wps:spPr>
                              <wps:txbx>
                                <w:txbxContent>
                                  <w:p>
                                    <w:pPr>
                                      <w:jc w:val="center"/>
                                    </w:pPr>
                                    <w:r>
                                      <w:rPr>
                                        <w:rFonts w:hint="eastAsia"/>
                                      </w:rPr>
                                      <w:t>1095</w:t>
                                    </w:r>
                                  </w:p>
                                </w:txbxContent>
                              </wps:txbx>
                              <wps:bodyPr rot="0" vert="horz" wrap="square" lIns="91440" tIns="45720" rIns="91440" bIns="45720" anchor="t" anchorCtr="false" upright="true">
                                <a:noAutofit/>
                              </wps:bodyPr>
                            </wps:wsp>
                            <wps:wsp>
                              <wps:cNvPr id="411" name="文本框 89"/>
                              <wps:cNvSpPr txBox="true">
                                <a:spLocks noChangeArrowheads="true"/>
                              </wps:cNvSpPr>
                              <wps:spPr bwMode="auto">
                                <a:xfrm>
                                  <a:off x="2279857" y="510436"/>
                                  <a:ext cx="762000" cy="241300"/>
                                </a:xfrm>
                                <a:prstGeom prst="rect">
                                  <a:avLst/>
                                </a:prstGeom>
                                <a:solidFill>
                                  <a:srgbClr val="FFFFFF"/>
                                </a:solidFill>
                                <a:ln>
                                  <a:noFill/>
                                </a:ln>
                                <a:effectLst/>
                              </wps:spPr>
                              <wps:txbx>
                                <w:txbxContent>
                                  <w:p>
                                    <w:pPr>
                                      <w:jc w:val="center"/>
                                    </w:pPr>
                                    <w:r>
                                      <w:rPr>
                                        <w:rFonts w:hint="eastAsia"/>
                                      </w:rPr>
                                      <w:t>2418</w:t>
                                    </w:r>
                                  </w:p>
                                </w:txbxContent>
                              </wps:txbx>
                              <wps:bodyPr rot="0" vert="horz" wrap="square" lIns="91440" tIns="45720" rIns="91440" bIns="45720" anchor="t" anchorCtr="false" upright="true">
                                <a:noAutofit/>
                              </wps:bodyPr>
                            </wps:wsp>
                            <wps:wsp>
                              <wps:cNvPr id="412" name="文本框 91"/>
                              <wps:cNvSpPr txBox="true">
                                <a:spLocks noChangeArrowheads="true"/>
                              </wps:cNvSpPr>
                              <wps:spPr bwMode="auto">
                                <a:xfrm>
                                  <a:off x="3519170" y="777240"/>
                                  <a:ext cx="762000" cy="241300"/>
                                </a:xfrm>
                                <a:prstGeom prst="rect">
                                  <a:avLst/>
                                </a:prstGeom>
                                <a:solidFill>
                                  <a:srgbClr val="FFFFFF"/>
                                </a:solidFill>
                                <a:ln>
                                  <a:noFill/>
                                </a:ln>
                                <a:effectLst/>
                              </wps:spPr>
                              <wps:txbx>
                                <w:txbxContent>
                                  <w:p>
                                    <w:pPr>
                                      <w:jc w:val="center"/>
                                    </w:pPr>
                                    <w:r>
                                      <w:rPr>
                                        <w:rFonts w:hint="eastAsia"/>
                                      </w:rPr>
                                      <w:t>60</w:t>
                                    </w:r>
                                  </w:p>
                                </w:txbxContent>
                              </wps:txbx>
                              <wps:bodyPr rot="0" vert="horz" wrap="square" lIns="91440" tIns="45720" rIns="91440" bIns="45720" anchor="t" anchorCtr="false" upright="true">
                                <a:noAutofit/>
                              </wps:bodyPr>
                            </wps:wsp>
                            <wps:wsp>
                              <wps:cNvPr id="413" name="文本框 92"/>
                              <wps:cNvSpPr txBox="true">
                                <a:spLocks noChangeArrowheads="true"/>
                              </wps:cNvSpPr>
                              <wps:spPr bwMode="auto">
                                <a:xfrm>
                                  <a:off x="2129098" y="811109"/>
                                  <a:ext cx="762000" cy="241300"/>
                                </a:xfrm>
                                <a:prstGeom prst="rect">
                                  <a:avLst/>
                                </a:prstGeom>
                                <a:solidFill>
                                  <a:srgbClr val="FFFFFF"/>
                                </a:solidFill>
                                <a:ln>
                                  <a:noFill/>
                                </a:ln>
                                <a:effectLst/>
                              </wps:spPr>
                              <wps:txbx>
                                <w:txbxContent>
                                  <w:p>
                                    <w:pPr>
                                      <w:jc w:val="center"/>
                                    </w:pPr>
                                    <w:r>
                                      <w:rPr>
                                        <w:rFonts w:hint="eastAsia"/>
                                      </w:rPr>
                                      <w:t>1080</w:t>
                                    </w:r>
                                  </w:p>
                                </w:txbxContent>
                              </wps:txbx>
                              <wps:bodyPr rot="0" vert="horz" wrap="square" lIns="91440" tIns="45720" rIns="91440" bIns="45720" anchor="t" anchorCtr="false" upright="true">
                                <a:noAutofit/>
                              </wps:bodyPr>
                            </wps:wsp>
                            <wps:wsp>
                              <wps:cNvPr id="414" name="文本框 93"/>
                              <wps:cNvSpPr txBox="true">
                                <a:spLocks noChangeArrowheads="true"/>
                              </wps:cNvSpPr>
                              <wps:spPr bwMode="auto">
                                <a:xfrm>
                                  <a:off x="3588959" y="104775"/>
                                  <a:ext cx="762000" cy="241300"/>
                                </a:xfrm>
                                <a:prstGeom prst="rect">
                                  <a:avLst/>
                                </a:prstGeom>
                                <a:solidFill>
                                  <a:srgbClr val="FFFFFF"/>
                                </a:solidFill>
                                <a:ln>
                                  <a:noFill/>
                                </a:ln>
                                <a:effectLst/>
                              </wps:spPr>
                              <wps:txbx>
                                <w:txbxContent>
                                  <w:p>
                                    <w:pPr>
                                      <w:jc w:val="center"/>
                                    </w:pPr>
                                    <w:r>
                                      <w:rPr>
                                        <w:rFonts w:hint="eastAsia"/>
                                      </w:rPr>
                                      <w:t>4980</w:t>
                                    </w:r>
                                  </w:p>
                                </w:txbxContent>
                              </wps:txbx>
                              <wps:bodyPr rot="0" vert="horz" wrap="square" lIns="91440" tIns="45720" rIns="91440" bIns="45720" anchor="t" anchorCtr="false" upright="true">
                                <a:noAutofit/>
                              </wps:bodyPr>
                            </wps:wsp>
                            <wps:wsp>
                              <wps:cNvPr id="415" name="文本框 94"/>
                              <wps:cNvSpPr txBox="true">
                                <a:spLocks noChangeArrowheads="true"/>
                              </wps:cNvSpPr>
                              <wps:spPr bwMode="auto">
                                <a:xfrm>
                                  <a:off x="69215" y="1385570"/>
                                  <a:ext cx="382270" cy="548005"/>
                                </a:xfrm>
                                <a:prstGeom prst="rect">
                                  <a:avLst/>
                                </a:prstGeom>
                                <a:solidFill>
                                  <a:srgbClr val="FFFFFF"/>
                                </a:solidFill>
                                <a:ln w="9525">
                                  <a:solidFill>
                                    <a:srgbClr val="000000"/>
                                  </a:solidFill>
                                  <a:miter lim="800000"/>
                                </a:ln>
                                <a:effectLst/>
                              </wps:spPr>
                              <wps:txbx>
                                <w:txbxContent>
                                  <w:p>
                                    <w:pPr>
                                      <w:jc w:val="center"/>
                                    </w:pPr>
                                    <w:r>
                                      <w:rPr>
                                        <w:rFonts w:hint="eastAsia"/>
                                      </w:rPr>
                                      <w:t>新鲜水</w:t>
                                    </w:r>
                                  </w:p>
                                </w:txbxContent>
                              </wps:txbx>
                              <wps:bodyPr rot="0" vert="eaVert" wrap="square" lIns="91440" tIns="45720" rIns="91440" bIns="45720" anchor="t" anchorCtr="false" upright="true">
                                <a:noAutofit/>
                              </wps:bodyPr>
                            </wps:wsp>
                            <wps:wsp>
                              <wps:cNvPr id="352" name="直线 95"/>
                              <wps:cNvCnPr/>
                              <wps:spPr bwMode="auto">
                                <a:xfrm>
                                  <a:off x="423545" y="1655212"/>
                                  <a:ext cx="683260" cy="8255"/>
                                </a:xfrm>
                                <a:prstGeom prst="line">
                                  <a:avLst/>
                                </a:prstGeom>
                                <a:noFill/>
                                <a:ln w="9525">
                                  <a:solidFill>
                                    <a:srgbClr val="000000"/>
                                  </a:solidFill>
                                  <a:round/>
                                </a:ln>
                                <a:effectLst/>
                              </wps:spPr>
                              <wps:bodyPr/>
                            </wps:wsp>
                            <wps:wsp>
                              <wps:cNvPr id="353" name="直线 96"/>
                              <wps:cNvCnPr/>
                              <wps:spPr bwMode="auto">
                                <a:xfrm flipH="true">
                                  <a:off x="1106681" y="677344"/>
                                  <a:ext cx="3376" cy="1983683"/>
                                </a:xfrm>
                                <a:prstGeom prst="line">
                                  <a:avLst/>
                                </a:prstGeom>
                                <a:noFill/>
                                <a:ln w="9525">
                                  <a:solidFill>
                                    <a:srgbClr val="000000"/>
                                  </a:solidFill>
                                  <a:round/>
                                </a:ln>
                                <a:effectLst/>
                              </wps:spPr>
                              <wps:bodyPr/>
                            </wps:wsp>
                            <wps:wsp>
                              <wps:cNvPr id="354" name="直线 97"/>
                              <wps:cNvCnPr/>
                              <wps:spPr bwMode="auto">
                                <a:xfrm>
                                  <a:off x="1116205" y="677211"/>
                                  <a:ext cx="1865341" cy="241"/>
                                </a:xfrm>
                                <a:prstGeom prst="line">
                                  <a:avLst/>
                                </a:prstGeom>
                                <a:noFill/>
                                <a:ln w="9525">
                                  <a:solidFill>
                                    <a:srgbClr val="000000"/>
                                  </a:solidFill>
                                  <a:round/>
                                  <a:tailEnd type="arrow" w="med" len="med"/>
                                </a:ln>
                                <a:effectLst/>
                              </wps:spPr>
                              <wps:bodyPr/>
                            </wps:wsp>
                            <wps:wsp>
                              <wps:cNvPr id="355" name="直线 98"/>
                              <wps:cNvCnPr/>
                              <wps:spPr bwMode="auto">
                                <a:xfrm flipV="true">
                                  <a:off x="1108075" y="1212850"/>
                                  <a:ext cx="533400" cy="0"/>
                                </a:xfrm>
                                <a:prstGeom prst="line">
                                  <a:avLst/>
                                </a:prstGeom>
                                <a:noFill/>
                                <a:ln w="9525">
                                  <a:solidFill>
                                    <a:srgbClr val="000000"/>
                                  </a:solidFill>
                                  <a:round/>
                                  <a:tailEnd type="arrow" w="med" len="med"/>
                                </a:ln>
                                <a:effectLst/>
                              </wps:spPr>
                              <wps:bodyPr/>
                            </wps:wsp>
                            <wps:wsp>
                              <wps:cNvPr id="356" name="文本框 99"/>
                              <wps:cNvSpPr txBox="true">
                                <a:spLocks noChangeArrowheads="true"/>
                              </wps:cNvSpPr>
                              <wps:spPr bwMode="auto">
                                <a:xfrm>
                                  <a:off x="2969268" y="424494"/>
                                  <a:ext cx="767080" cy="252730"/>
                                </a:xfrm>
                                <a:prstGeom prst="rect">
                                  <a:avLst/>
                                </a:prstGeom>
                                <a:solidFill>
                                  <a:srgbClr val="FFFFFF"/>
                                </a:solidFill>
                                <a:ln w="9525">
                                  <a:solidFill>
                                    <a:srgbClr val="000000"/>
                                  </a:solidFill>
                                  <a:miter lim="800000"/>
                                </a:ln>
                                <a:effectLst/>
                              </wps:spPr>
                              <wps:txbx>
                                <w:txbxContent>
                                  <w:p>
                                    <w:pPr>
                                      <w:jc w:val="center"/>
                                    </w:pPr>
                                    <w:r>
                                      <w:rPr>
                                        <w:rFonts w:hint="eastAsia"/>
                                      </w:rPr>
                                      <w:t>原料搅拌</w:t>
                                    </w:r>
                                  </w:p>
                                </w:txbxContent>
                              </wps:txbx>
                              <wps:bodyPr rot="0" vert="horz" wrap="square" lIns="91440" tIns="45720" rIns="91440" bIns="45720" anchor="t" anchorCtr="false" upright="true">
                                <a:noAutofit/>
                              </wps:bodyPr>
                            </wps:wsp>
                            <wps:wsp>
                              <wps:cNvPr id="357" name="文本框 100"/>
                              <wps:cNvSpPr txBox="true">
                                <a:spLocks noChangeArrowheads="true"/>
                              </wps:cNvSpPr>
                              <wps:spPr bwMode="auto">
                                <a:xfrm>
                                  <a:off x="1646555" y="1102995"/>
                                  <a:ext cx="762000" cy="250190"/>
                                </a:xfrm>
                                <a:prstGeom prst="rect">
                                  <a:avLst/>
                                </a:prstGeom>
                                <a:solidFill>
                                  <a:srgbClr val="FFFFFF"/>
                                </a:solidFill>
                                <a:ln w="9525">
                                  <a:solidFill>
                                    <a:srgbClr val="000000"/>
                                  </a:solidFill>
                                  <a:miter lim="800000"/>
                                </a:ln>
                                <a:effectLst/>
                              </wps:spPr>
                              <wps:txbx>
                                <w:txbxContent>
                                  <w:p>
                                    <w:pPr>
                                      <w:jc w:val="center"/>
                                    </w:pPr>
                                    <w:r>
                                      <w:rPr>
                                        <w:rFonts w:hint="eastAsia"/>
                                      </w:rPr>
                                      <w:t>烟气处理</w:t>
                                    </w:r>
                                  </w:p>
                                </w:txbxContent>
                              </wps:txbx>
                              <wps:bodyPr rot="0" vert="horz" wrap="square" lIns="91440" tIns="45720" rIns="91440" bIns="45720" anchor="t" anchorCtr="false" upright="true">
                                <a:noAutofit/>
                              </wps:bodyPr>
                            </wps:wsp>
                            <wps:wsp>
                              <wps:cNvPr id="358" name="自选图形 101"/>
                              <wps:cNvCnPr/>
                              <wps:spPr bwMode="auto">
                                <a:xfrm rot="16200000">
                                  <a:off x="3452543" y="143453"/>
                                  <a:ext cx="187960" cy="366395"/>
                                </a:xfrm>
                                <a:prstGeom prst="curvedConnector2">
                                  <a:avLst/>
                                </a:prstGeom>
                                <a:noFill/>
                                <a:ln w="9525">
                                  <a:solidFill>
                                    <a:srgbClr val="000000"/>
                                  </a:solidFill>
                                  <a:round/>
                                  <a:tailEnd type="arrow" w="med" len="med"/>
                                </a:ln>
                                <a:effectLst/>
                              </wps:spPr>
                              <wps:bodyPr/>
                            </wps:wsp>
                            <wps:wsp>
                              <wps:cNvPr id="359" name="自选图形 102"/>
                              <wps:cNvCnPr/>
                              <wps:spPr bwMode="auto">
                                <a:xfrm rot="16200000">
                                  <a:off x="2126615" y="836205"/>
                                  <a:ext cx="177800" cy="355600"/>
                                </a:xfrm>
                                <a:prstGeom prst="curvedConnector2">
                                  <a:avLst/>
                                </a:prstGeom>
                                <a:noFill/>
                                <a:ln w="9525">
                                  <a:solidFill>
                                    <a:srgbClr val="000000"/>
                                  </a:solidFill>
                                  <a:round/>
                                  <a:tailEnd type="arrow" w="med" len="med"/>
                                </a:ln>
                                <a:effectLst/>
                              </wps:spPr>
                              <wps:bodyPr/>
                            </wps:wsp>
                            <wps:wsp>
                              <wps:cNvPr id="360" name="自选图形 103"/>
                              <wps:cNvCnPr/>
                              <wps:spPr bwMode="auto">
                                <a:xfrm>
                                  <a:off x="2416810" y="1204595"/>
                                  <a:ext cx="582295" cy="5715"/>
                                </a:xfrm>
                                <a:prstGeom prst="straightConnector1">
                                  <a:avLst/>
                                </a:prstGeom>
                                <a:noFill/>
                                <a:ln w="9525">
                                  <a:solidFill>
                                    <a:srgbClr val="000000"/>
                                  </a:solidFill>
                                  <a:round/>
                                  <a:tailEnd type="arrow" w="med" len="med"/>
                                </a:ln>
                                <a:effectLst/>
                              </wps:spPr>
                              <wps:bodyPr/>
                            </wps:wsp>
                            <wps:wsp>
                              <wps:cNvPr id="361" name="文本框 104"/>
                              <wps:cNvSpPr txBox="true">
                                <a:spLocks noChangeArrowheads="true"/>
                              </wps:cNvSpPr>
                              <wps:spPr bwMode="auto">
                                <a:xfrm>
                                  <a:off x="3000396" y="1073801"/>
                                  <a:ext cx="762000" cy="278130"/>
                                </a:xfrm>
                                <a:prstGeom prst="rect">
                                  <a:avLst/>
                                </a:prstGeom>
                                <a:solidFill>
                                  <a:srgbClr val="FFFFFF"/>
                                </a:solidFill>
                                <a:ln w="9525">
                                  <a:solidFill>
                                    <a:srgbClr val="000000"/>
                                  </a:solidFill>
                                  <a:miter lim="800000"/>
                                </a:ln>
                                <a:effectLst/>
                              </wps:spPr>
                              <wps:txbx>
                                <w:txbxContent>
                                  <w:p>
                                    <w:pPr>
                                      <w:jc w:val="center"/>
                                    </w:pPr>
                                    <w:r>
                                      <w:rPr>
                                        <w:rFonts w:hint="eastAsia"/>
                                      </w:rPr>
                                      <w:t>再生池</w:t>
                                    </w:r>
                                  </w:p>
                                </w:txbxContent>
                              </wps:txbx>
                              <wps:bodyPr rot="0" vert="horz" wrap="square" lIns="91440" tIns="45720" rIns="91440" bIns="45720" anchor="t" anchorCtr="false" upright="true">
                                <a:noAutofit/>
                              </wps:bodyPr>
                            </wps:wsp>
                            <wps:wsp>
                              <wps:cNvPr id="362" name="自选图形 105"/>
                              <wps:cNvCnPr/>
                              <wps:spPr bwMode="auto">
                                <a:xfrm>
                                  <a:off x="3762375" y="1200150"/>
                                  <a:ext cx="571500" cy="0"/>
                                </a:xfrm>
                                <a:prstGeom prst="straightConnector1">
                                  <a:avLst/>
                                </a:prstGeom>
                                <a:noFill/>
                                <a:ln w="9525">
                                  <a:solidFill>
                                    <a:srgbClr val="000000"/>
                                  </a:solidFill>
                                  <a:round/>
                                  <a:tailEnd type="arrow" w="med" len="med"/>
                                </a:ln>
                                <a:effectLst/>
                              </wps:spPr>
                              <wps:bodyPr/>
                            </wps:wsp>
                            <wps:wsp>
                              <wps:cNvPr id="363" name="文本框 106"/>
                              <wps:cNvSpPr txBox="true">
                                <a:spLocks noChangeArrowheads="true"/>
                              </wps:cNvSpPr>
                              <wps:spPr bwMode="auto">
                                <a:xfrm>
                                  <a:off x="4343400" y="1073785"/>
                                  <a:ext cx="762000" cy="287655"/>
                                </a:xfrm>
                                <a:prstGeom prst="rect">
                                  <a:avLst/>
                                </a:prstGeom>
                                <a:solidFill>
                                  <a:srgbClr val="FFFFFF"/>
                                </a:solidFill>
                                <a:ln w="9525">
                                  <a:solidFill>
                                    <a:srgbClr val="000000"/>
                                  </a:solidFill>
                                  <a:miter lim="800000"/>
                                </a:ln>
                                <a:effectLst/>
                              </wps:spPr>
                              <wps:txbx>
                                <w:txbxContent>
                                  <w:p>
                                    <w:pPr>
                                      <w:jc w:val="center"/>
                                    </w:pPr>
                                    <w:r>
                                      <w:rPr>
                                        <w:rFonts w:hint="eastAsia"/>
                                      </w:rPr>
                                      <w:t>循环水池</w:t>
                                    </w:r>
                                  </w:p>
                                </w:txbxContent>
                              </wps:txbx>
                              <wps:bodyPr rot="0" vert="horz" wrap="square" lIns="91440" tIns="45720" rIns="91440" bIns="45720" anchor="t" anchorCtr="false" upright="true">
                                <a:noAutofit/>
                              </wps:bodyPr>
                            </wps:wsp>
                            <wps:wsp>
                              <wps:cNvPr id="364" name="自选图形 107"/>
                              <wps:cNvCnPr/>
                              <wps:spPr bwMode="auto">
                                <a:xfrm rot="16200000">
                                  <a:off x="3458845" y="811530"/>
                                  <a:ext cx="177800" cy="355600"/>
                                </a:xfrm>
                                <a:prstGeom prst="curvedConnector2">
                                  <a:avLst/>
                                </a:prstGeom>
                                <a:noFill/>
                                <a:ln w="9525">
                                  <a:solidFill>
                                    <a:srgbClr val="000000"/>
                                  </a:solidFill>
                                  <a:round/>
                                  <a:tailEnd type="arrow" w="med" len="med"/>
                                </a:ln>
                                <a:effectLst/>
                              </wps:spPr>
                              <wps:bodyPr/>
                            </wps:wsp>
                            <wps:wsp>
                              <wps:cNvPr id="365" name="文本框 108"/>
                              <wps:cNvSpPr txBox="true">
                                <a:spLocks noChangeArrowheads="true"/>
                              </wps:cNvSpPr>
                              <wps:spPr bwMode="auto">
                                <a:xfrm>
                                  <a:off x="4412621" y="0"/>
                                  <a:ext cx="897586" cy="241300"/>
                                </a:xfrm>
                                <a:prstGeom prst="rect">
                                  <a:avLst/>
                                </a:prstGeom>
                                <a:solidFill>
                                  <a:srgbClr val="FFFFFF"/>
                                </a:solidFill>
                                <a:ln>
                                  <a:noFill/>
                                </a:ln>
                                <a:effectLst/>
                              </wps:spPr>
                              <wps:txbx>
                                <w:txbxContent>
                                  <w:p>
                                    <w:pPr>
                                      <w:jc w:val="center"/>
                                    </w:pPr>
                                    <w:r>
                                      <w:rPr>
                                        <w:rFonts w:hint="eastAsia"/>
                                      </w:rPr>
                                      <w:t>单位：m</w:t>
                                    </w:r>
                                    <w:r>
                                      <w:rPr>
                                        <w:rFonts w:hint="eastAsia"/>
                                        <w:vertAlign w:val="superscript"/>
                                      </w:rPr>
                                      <w:t>3</w:t>
                                    </w:r>
                                    <w:r>
                                      <w:rPr>
                                        <w:rFonts w:hint="eastAsia"/>
                                      </w:rPr>
                                      <w:t>/a</w:t>
                                    </w:r>
                                  </w:p>
                                </w:txbxContent>
                              </wps:txbx>
                              <wps:bodyPr rot="0" vert="horz" wrap="square" lIns="91440" tIns="45720" rIns="91440" bIns="45720" anchor="t" anchorCtr="false" upright="true">
                                <a:noAutofit/>
                              </wps:bodyPr>
                            </wps:wsp>
                            <wps:wsp>
                              <wps:cNvPr id="366" name="自选图形 109"/>
                              <wps:cNvCnPr/>
                              <wps:spPr bwMode="auto">
                                <a:xfrm rot="16200000" flipV="true">
                                  <a:off x="3349827" y="9384"/>
                                  <a:ext cx="44450" cy="2696845"/>
                                </a:xfrm>
                                <a:prstGeom prst="bentConnector3">
                                  <a:avLst>
                                    <a:gd name="adj1" fmla="val -512856"/>
                                  </a:avLst>
                                </a:prstGeom>
                                <a:noFill/>
                                <a:ln w="9525">
                                  <a:solidFill>
                                    <a:srgbClr val="000000"/>
                                  </a:solidFill>
                                  <a:prstDash val="solid"/>
                                  <a:miter lim="800000"/>
                                  <a:tailEnd type="triangle" w="med" len="med"/>
                                </a:ln>
                                <a:effectLst/>
                              </wps:spPr>
                              <wps:bodyPr/>
                            </wps:wsp>
                            <wps:wsp>
                              <wps:cNvPr id="367" name="直线 110"/>
                              <wps:cNvCnPr>
                                <a:endCxn id="370" idx="1"/>
                              </wps:cNvCnPr>
                              <wps:spPr bwMode="auto">
                                <a:xfrm>
                                  <a:off x="2420496" y="2103731"/>
                                  <a:ext cx="605713" cy="2584"/>
                                </a:xfrm>
                                <a:prstGeom prst="line">
                                  <a:avLst/>
                                </a:prstGeom>
                                <a:noFill/>
                                <a:ln w="9525">
                                  <a:solidFill>
                                    <a:srgbClr val="000000"/>
                                  </a:solidFill>
                                  <a:round/>
                                  <a:tailEnd type="arrow" w="med" len="med"/>
                                </a:ln>
                                <a:effectLst/>
                              </wps:spPr>
                              <wps:bodyPr/>
                            </wps:wsp>
                            <wps:wsp>
                              <wps:cNvPr id="368" name="文本框 111"/>
                              <wps:cNvSpPr txBox="true">
                                <a:spLocks noChangeArrowheads="true"/>
                              </wps:cNvSpPr>
                              <wps:spPr bwMode="auto">
                                <a:xfrm>
                                  <a:off x="1651000" y="1941830"/>
                                  <a:ext cx="762000" cy="278765"/>
                                </a:xfrm>
                                <a:prstGeom prst="rect">
                                  <a:avLst/>
                                </a:prstGeom>
                                <a:solidFill>
                                  <a:srgbClr val="FFFFFF"/>
                                </a:solidFill>
                                <a:ln w="9525">
                                  <a:solidFill>
                                    <a:srgbClr val="000000"/>
                                  </a:solidFill>
                                  <a:miter lim="800000"/>
                                </a:ln>
                                <a:effectLst/>
                              </wps:spPr>
                              <wps:txbx>
                                <w:txbxContent>
                                  <w:p>
                                    <w:pPr>
                                      <w:jc w:val="center"/>
                                    </w:pPr>
                                    <w:r>
                                      <w:rPr>
                                        <w:rFonts w:hint="eastAsia"/>
                                      </w:rPr>
                                      <w:t>实验室</w:t>
                                    </w:r>
                                  </w:p>
                                </w:txbxContent>
                              </wps:txbx>
                              <wps:bodyPr rot="0" vert="horz" wrap="square" lIns="91440" tIns="45720" rIns="91440" bIns="45720" anchor="t" anchorCtr="false" upright="true">
                                <a:noAutofit/>
                              </wps:bodyPr>
                            </wps:wsp>
                            <wps:wsp>
                              <wps:cNvPr id="369" name="自选图形 112"/>
                              <wps:cNvCnPr/>
                              <wps:spPr bwMode="auto">
                                <a:xfrm>
                                  <a:off x="1107579" y="2669701"/>
                                  <a:ext cx="571500" cy="0"/>
                                </a:xfrm>
                                <a:prstGeom prst="straightConnector1">
                                  <a:avLst/>
                                </a:prstGeom>
                                <a:noFill/>
                                <a:ln w="9525">
                                  <a:solidFill>
                                    <a:srgbClr val="000000"/>
                                  </a:solidFill>
                                  <a:round/>
                                  <a:tailEnd type="arrow" w="med" len="med"/>
                                </a:ln>
                                <a:effectLst/>
                              </wps:spPr>
                              <wps:bodyPr/>
                            </wps:wsp>
                            <wps:wsp>
                              <wps:cNvPr id="370" name="文本框 113"/>
                              <wps:cNvSpPr txBox="true">
                                <a:spLocks noChangeArrowheads="true"/>
                              </wps:cNvSpPr>
                              <wps:spPr bwMode="auto">
                                <a:xfrm>
                                  <a:off x="3026209" y="1972965"/>
                                  <a:ext cx="762000" cy="266700"/>
                                </a:xfrm>
                                <a:prstGeom prst="rect">
                                  <a:avLst/>
                                </a:prstGeom>
                                <a:solidFill>
                                  <a:srgbClr val="FFFFFF"/>
                                </a:solidFill>
                                <a:ln w="9525">
                                  <a:solidFill>
                                    <a:srgbClr val="000000"/>
                                  </a:solidFill>
                                  <a:miter lim="800000"/>
                                </a:ln>
                                <a:effectLst/>
                              </wps:spPr>
                              <wps:txbx>
                                <w:txbxContent>
                                  <w:p>
                                    <w:pPr>
                                      <w:jc w:val="center"/>
                                    </w:pPr>
                                    <w:r>
                                      <w:rPr>
                                        <w:rFonts w:hint="eastAsia"/>
                                      </w:rPr>
                                      <w:t>中和池</w:t>
                                    </w:r>
                                  </w:p>
                                </w:txbxContent>
                              </wps:txbx>
                              <wps:bodyPr rot="0" vert="horz" wrap="square" lIns="91440" tIns="45720" rIns="91440" bIns="45720" anchor="t" anchorCtr="false" upright="true">
                                <a:noAutofit/>
                              </wps:bodyPr>
                            </wps:wsp>
                            <wps:wsp>
                              <wps:cNvPr id="371" name="自选图形 115"/>
                              <wps:cNvCnPr/>
                              <wps:spPr bwMode="auto">
                                <a:xfrm rot="16200000">
                                  <a:off x="1977473" y="2261853"/>
                                  <a:ext cx="177800" cy="355600"/>
                                </a:xfrm>
                                <a:prstGeom prst="curvedConnector2">
                                  <a:avLst/>
                                </a:prstGeom>
                                <a:noFill/>
                                <a:ln w="9525">
                                  <a:solidFill>
                                    <a:srgbClr val="000000"/>
                                  </a:solidFill>
                                  <a:round/>
                                  <a:tailEnd type="arrow" w="med" len="med"/>
                                </a:ln>
                                <a:effectLst/>
                              </wps:spPr>
                              <wps:bodyPr/>
                            </wps:wsp>
                            <wps:wsp>
                              <wps:cNvPr id="372" name="直线 116"/>
                              <wps:cNvCnPr/>
                              <wps:spPr bwMode="auto">
                                <a:xfrm flipV="true">
                                  <a:off x="1116204" y="2103771"/>
                                  <a:ext cx="533400" cy="0"/>
                                </a:xfrm>
                                <a:prstGeom prst="line">
                                  <a:avLst/>
                                </a:prstGeom>
                                <a:noFill/>
                                <a:ln w="9525">
                                  <a:solidFill>
                                    <a:srgbClr val="000000"/>
                                  </a:solidFill>
                                  <a:round/>
                                  <a:tailEnd type="arrow" w="med" len="med"/>
                                </a:ln>
                                <a:effectLst/>
                              </wps:spPr>
                              <wps:bodyPr/>
                            </wps:wsp>
                            <wps:wsp>
                              <wps:cNvPr id="373" name="文本框 117"/>
                              <wps:cNvSpPr txBox="true">
                                <a:spLocks noChangeArrowheads="true"/>
                              </wps:cNvSpPr>
                              <wps:spPr bwMode="auto">
                                <a:xfrm>
                                  <a:off x="1671955" y="2540635"/>
                                  <a:ext cx="762000" cy="288925"/>
                                </a:xfrm>
                                <a:prstGeom prst="rect">
                                  <a:avLst/>
                                </a:prstGeom>
                                <a:solidFill>
                                  <a:srgbClr val="FFFFFF"/>
                                </a:solidFill>
                                <a:ln w="9525">
                                  <a:solidFill>
                                    <a:srgbClr val="000000"/>
                                  </a:solidFill>
                                  <a:miter lim="800000"/>
                                </a:ln>
                                <a:effectLst/>
                              </wps:spPr>
                              <wps:txbx>
                                <w:txbxContent>
                                  <w:p>
                                    <w:pPr>
                                      <w:jc w:val="center"/>
                                    </w:pPr>
                                    <w:r>
                                      <w:rPr>
                                        <w:rFonts w:hint="eastAsia"/>
                                      </w:rPr>
                                      <w:t>生活用水</w:t>
                                    </w:r>
                                  </w:p>
                                </w:txbxContent>
                              </wps:txbx>
                              <wps:bodyPr rot="0" vert="horz" wrap="square" lIns="91440" tIns="45720" rIns="91440" bIns="45720" anchor="t" anchorCtr="false" upright="true">
                                <a:noAutofit/>
                              </wps:bodyPr>
                            </wps:wsp>
                            <wps:wsp>
                              <wps:cNvPr id="375" name="直线 118"/>
                              <wps:cNvCnPr/>
                              <wps:spPr bwMode="auto">
                                <a:xfrm flipV="true">
                                  <a:off x="2433890" y="2656762"/>
                                  <a:ext cx="589280" cy="635"/>
                                </a:xfrm>
                                <a:prstGeom prst="line">
                                  <a:avLst/>
                                </a:prstGeom>
                                <a:noFill/>
                                <a:ln w="9525">
                                  <a:solidFill>
                                    <a:srgbClr val="000000"/>
                                  </a:solidFill>
                                  <a:round/>
                                  <a:tailEnd type="arrow" w="med" len="med"/>
                                </a:ln>
                                <a:effectLst/>
                              </wps:spPr>
                              <wps:bodyPr/>
                            </wps:wsp>
                            <wps:wsp>
                              <wps:cNvPr id="376" name="文本框 119"/>
                              <wps:cNvSpPr txBox="true">
                                <a:spLocks noChangeArrowheads="true"/>
                              </wps:cNvSpPr>
                              <wps:spPr bwMode="auto">
                                <a:xfrm>
                                  <a:off x="3018628" y="2537046"/>
                                  <a:ext cx="774934" cy="266700"/>
                                </a:xfrm>
                                <a:prstGeom prst="rect">
                                  <a:avLst/>
                                </a:prstGeom>
                                <a:solidFill>
                                  <a:srgbClr val="FFFFFF"/>
                                </a:solidFill>
                                <a:ln w="9525">
                                  <a:solidFill>
                                    <a:srgbClr val="000000"/>
                                  </a:solidFill>
                                  <a:miter lim="800000"/>
                                </a:ln>
                                <a:effectLst/>
                              </wps:spPr>
                              <wps:txbx>
                                <w:txbxContent>
                                  <w:p>
                                    <w:pPr>
                                      <w:jc w:val="center"/>
                                    </w:pPr>
                                    <w:r>
                                      <w:rPr>
                                        <w:rFonts w:hint="eastAsia"/>
                                      </w:rPr>
                                      <w:t>化粪池</w:t>
                                    </w:r>
                                  </w:p>
                                </w:txbxContent>
                              </wps:txbx>
                              <wps:bodyPr rot="0" vert="horz" wrap="square" lIns="91440" tIns="45720" rIns="91440" bIns="45720" anchor="t" anchorCtr="false" upright="true">
                                <a:noAutofit/>
                              </wps:bodyPr>
                            </wps:wsp>
                            <wps:wsp>
                              <wps:cNvPr id="377" name="自选图形 121"/>
                              <wps:cNvCnPr/>
                              <wps:spPr bwMode="auto">
                                <a:xfrm rot="16200000">
                                  <a:off x="2120300" y="1708194"/>
                                  <a:ext cx="177800" cy="355600"/>
                                </a:xfrm>
                                <a:prstGeom prst="curvedConnector2">
                                  <a:avLst/>
                                </a:prstGeom>
                                <a:noFill/>
                                <a:ln w="9525">
                                  <a:solidFill>
                                    <a:srgbClr val="000000"/>
                                  </a:solidFill>
                                  <a:round/>
                                  <a:tailEnd type="arrow" w="med" len="med"/>
                                </a:ln>
                                <a:effectLst/>
                              </wps:spPr>
                              <wps:bodyPr/>
                            </wps:wsp>
                            <wps:wsp>
                              <wps:cNvPr id="378" name="文本框 86"/>
                              <wps:cNvSpPr txBox="true">
                                <a:spLocks noChangeArrowheads="true"/>
                              </wps:cNvSpPr>
                              <wps:spPr bwMode="auto">
                                <a:xfrm>
                                  <a:off x="4412613" y="2531927"/>
                                  <a:ext cx="855345" cy="266700"/>
                                </a:xfrm>
                                <a:prstGeom prst="rect">
                                  <a:avLst/>
                                </a:prstGeom>
                                <a:solidFill>
                                  <a:srgbClr val="FFFFFF"/>
                                </a:solidFill>
                                <a:ln>
                                  <a:noFill/>
                                </a:ln>
                                <a:effectLst/>
                              </wps:spPr>
                              <wps:txbx>
                                <w:txbxContent>
                                  <w:p>
                                    <w:pPr>
                                      <w:jc w:val="center"/>
                                    </w:pPr>
                                    <w:r>
                                      <w:rPr>
                                        <w:rFonts w:hint="eastAsia"/>
                                      </w:rPr>
                                      <w:t>污水处理厂</w:t>
                                    </w:r>
                                  </w:p>
                                </w:txbxContent>
                              </wps:txbx>
                              <wps:bodyPr rot="0" vert="horz" wrap="square" lIns="91440" tIns="45720" rIns="91440" bIns="45720" anchor="t" anchorCtr="false" upright="true">
                                <a:noAutofit/>
                              </wps:bodyPr>
                            </wps:wsp>
                            <wps:wsp>
                              <wps:cNvPr id="379" name="AutoShape 540"/>
                              <wps:cNvCnPr>
                                <a:cxnSpLocks noChangeShapeType="true"/>
                                <a:stCxn id="370" idx="2"/>
                                <a:endCxn id="376" idx="0"/>
                              </wps:cNvCnPr>
                              <wps:spPr bwMode="auto">
                                <a:xfrm flipH="true">
                                  <a:off x="3406095" y="2239665"/>
                                  <a:ext cx="1114" cy="297381"/>
                                </a:xfrm>
                                <a:prstGeom prst="straightConnector1">
                                  <a:avLst/>
                                </a:prstGeom>
                                <a:noFill/>
                                <a:ln w="9525">
                                  <a:solidFill>
                                    <a:srgbClr val="000000"/>
                                  </a:solidFill>
                                  <a:round/>
                                  <a:tailEnd type="triangle" w="med" len="med"/>
                                </a:ln>
                              </wps:spPr>
                              <wps:bodyPr/>
                            </wps:wsp>
                            <wps:wsp>
                              <wps:cNvPr id="380" name="直线 118"/>
                              <wps:cNvCnPr/>
                              <wps:spPr bwMode="auto">
                                <a:xfrm flipV="true">
                                  <a:off x="3796862" y="2665394"/>
                                  <a:ext cx="589280" cy="635"/>
                                </a:xfrm>
                                <a:prstGeom prst="line">
                                  <a:avLst/>
                                </a:prstGeom>
                                <a:noFill/>
                                <a:ln w="9525">
                                  <a:solidFill>
                                    <a:srgbClr val="000000"/>
                                  </a:solidFill>
                                  <a:round/>
                                  <a:tailEnd type="arrow" w="med" len="med"/>
                                </a:ln>
                                <a:effectLst/>
                              </wps:spPr>
                              <wps:bodyPr/>
                            </wps:wsp>
                            <wps:wsp>
                              <wps:cNvPr id="180" name="文本框 99"/>
                              <wps:cNvSpPr txBox="true">
                                <a:spLocks noChangeArrowheads="true"/>
                              </wps:cNvSpPr>
                              <wps:spPr bwMode="auto">
                                <a:xfrm>
                                  <a:off x="1532566" y="294716"/>
                                  <a:ext cx="888097" cy="252095"/>
                                </a:xfrm>
                                <a:prstGeom prst="rect">
                                  <a:avLst/>
                                </a:prstGeom>
                                <a:solidFill>
                                  <a:srgbClr val="FFFFFF"/>
                                </a:solidFill>
                                <a:ln w="9525">
                                  <a:solidFill>
                                    <a:srgbClr val="000000"/>
                                  </a:solidFill>
                                  <a:miter lim="800000"/>
                                </a:ln>
                                <a:effectLst/>
                              </wps:spPr>
                              <wps:txbx>
                                <w:txbxContent>
                                  <w:p>
                                    <w:pPr>
                                      <w:pStyle w:val="19"/>
                                      <w:spacing w:before="0" w:beforeAutospacing="0" w:after="0" w:afterAutospacing="0"/>
                                      <w:jc w:val="center"/>
                                    </w:pPr>
                                    <w:r>
                                      <w:rPr>
                                        <w:rFonts w:hint="eastAsia" w:ascii="Times New Roman"/>
                                        <w:kern w:val="2"/>
                                        <w:sz w:val="21"/>
                                        <w:szCs w:val="21"/>
                                      </w:rPr>
                                      <w:t>初期雨水池</w:t>
                                    </w:r>
                                  </w:p>
                                </w:txbxContent>
                              </wps:txbx>
                              <wps:bodyPr rot="0" vert="horz" wrap="square" lIns="91440" tIns="45720" rIns="91440" bIns="45720" anchor="t" anchorCtr="false" upright="true">
                                <a:noAutofit/>
                              </wps:bodyPr>
                            </wps:wsp>
                            <wps:wsp>
                              <wps:cNvPr id="181" name="直线 98"/>
                              <wps:cNvCnPr/>
                              <wps:spPr bwMode="auto">
                                <a:xfrm flipV="true">
                                  <a:off x="2436438" y="424511"/>
                                  <a:ext cx="532765" cy="0"/>
                                </a:xfrm>
                                <a:prstGeom prst="line">
                                  <a:avLst/>
                                </a:prstGeom>
                                <a:noFill/>
                                <a:ln w="9525">
                                  <a:solidFill>
                                    <a:srgbClr val="000000"/>
                                  </a:solidFill>
                                  <a:round/>
                                  <a:tailEnd type="arrow" w="med" len="med"/>
                                </a:ln>
                                <a:effectLst/>
                              </wps:spPr>
                              <wps:bodyPr/>
                            </wps:wsp>
                            <wps:wsp>
                              <wps:cNvPr id="182" name="直线 98"/>
                              <wps:cNvCnPr/>
                              <wps:spPr bwMode="auto">
                                <a:xfrm flipV="true">
                                  <a:off x="983990" y="420644"/>
                                  <a:ext cx="532765" cy="0"/>
                                </a:xfrm>
                                <a:prstGeom prst="line">
                                  <a:avLst/>
                                </a:prstGeom>
                                <a:noFill/>
                                <a:ln w="9525">
                                  <a:solidFill>
                                    <a:srgbClr val="000000"/>
                                  </a:solidFill>
                                  <a:round/>
                                  <a:tailEnd type="arrow" w="med" len="med"/>
                                </a:ln>
                                <a:effectLst/>
                              </wps:spPr>
                              <wps:bodyPr/>
                            </wps:wsp>
                            <wps:wsp>
                              <wps:cNvPr id="183" name="文本框 359"/>
                              <wps:cNvSpPr txBox="true">
                                <a:spLocks noChangeArrowheads="true"/>
                              </wps:cNvSpPr>
                              <wps:spPr bwMode="auto">
                                <a:xfrm>
                                  <a:off x="212308" y="272835"/>
                                  <a:ext cx="760095" cy="296510"/>
                                </a:xfrm>
                                <a:prstGeom prst="rect">
                                  <a:avLst/>
                                </a:prstGeom>
                                <a:solidFill>
                                  <a:srgbClr val="FFFFFF"/>
                                </a:solidFill>
                                <a:ln w="9525">
                                  <a:solidFill>
                                    <a:srgbClr val="000000"/>
                                  </a:solidFill>
                                  <a:miter lim="800000"/>
                                </a:ln>
                                <a:effectLst/>
                              </wps:spPr>
                              <wps:txbx>
                                <w:txbxContent>
                                  <w:p>
                                    <w:pPr>
                                      <w:pStyle w:val="19"/>
                                      <w:spacing w:before="0" w:beforeAutospacing="0" w:after="0" w:afterAutospacing="0"/>
                                      <w:jc w:val="center"/>
                                    </w:pPr>
                                    <w:r>
                                      <w:rPr>
                                        <w:rFonts w:ascii="Times New Roman" w:hAnsi="Times New Roman"/>
                                        <w:kern w:val="2"/>
                                        <w:sz w:val="21"/>
                                        <w:szCs w:val="21"/>
                                      </w:rPr>
                                      <w:t>初期雨水</w:t>
                                    </w:r>
                                  </w:p>
                                </w:txbxContent>
                              </wps:txbx>
                              <wps:bodyPr rot="0" vert="horz" wrap="square" lIns="91440" tIns="45720" rIns="91440" bIns="45720" anchor="t" anchorCtr="false" upright="true">
                                <a:noAutofit/>
                              </wps:bodyPr>
                            </wps:wsp>
                          </wpc:wpc>
                        </a:graphicData>
                      </a:graphic>
                    </wp:inline>
                  </w:drawing>
                </mc:Choice>
                <mc:Fallback>
                  <w:pict>
                    <v:group id="_x0000_s1026" o:spid="_x0000_s1026" o:spt="203" style="height:231.75pt;width:419.75pt;" coordsize="5330825,2943225" editas="canvas" o:gfxdata="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">
                      <o:lock v:ext="edit" aspectratio="f"/>
                      <v:shape id="_x0000_s1026" o:spid="_x0000_s1026" style="position:absolute;left:0;top:0;height:2943225;width:5330825;" filled="f" stroked="f" coordsize="21600,21600" o:gfxdata="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">
                        <v:fill on="f" focussize="0,0"/>
                        <v:stroke on="f"/>
                        <v:imagedata o:title=""/>
                        <o:lock v:ext="edit" aspectratio="f"/>
                      </v:shape>
                      <v:shape id="文本框 349" o:spid="_x0000_s1026" o:spt="202" type="#_x0000_t202" style="position:absolute;left:2277199;top:245161;height:239395;width:760095;" fillcolor="#FFFFFF" filled="t" stroked="f" coordsize="21600,21600" o:gfxdata="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BV0pk9UAAAAFAQAADwAAAAAAAAABACAAAAA4AAAAZHJzL2Rvd25y&#10;ZXYueG1sUEsBAhQAFAAAAAgAh07iQKKkgmEkAgAAGQQAAA4AAAAAAAAAAQAgAAAAOgEAAGRycy9l&#10;Mm9Eb2MueG1sUEsFBgAAAAAGAAYAWQEAANAFAAAAAA==&#10;">
                        <v:fill on="t" focussize="0,0"/>
                        <v:stroke on="f"/>
                        <v:imagedata o:title=""/>
                        <o:lock v:ext="edit" aspectratio="f"/>
                        <v:textbox>
                          <w:txbxContent>
                            <w:p>
                              <w:pPr>
                                <w:pStyle w:val="19"/>
                                <w:spacing w:before="0" w:beforeAutospacing="0" w:after="0" w:afterAutospacing="0"/>
                                <w:jc w:val="center"/>
                              </w:pPr>
                              <w:r>
                                <w:rPr>
                                  <w:rFonts w:ascii="Times New Roman" w:hAnsi="Times New Roman"/>
                                  <w:kern w:val="2"/>
                                  <w:sz w:val="21"/>
                                  <w:szCs w:val="21"/>
                                </w:rPr>
                                <w:t>2562</w:t>
                              </w:r>
                            </w:p>
                          </w:txbxContent>
                        </v:textbox>
                      </v:shape>
                      <v:shape id="文本框 349" o:spid="_x0000_s1026" o:spt="202" type="#_x0000_t202" style="position:absolute;left:851620;top:240140;height:240030;width:760730;" fillcolor="#FFFFFF" filled="t" stroked="f" coordsize="21600,21600" o:gfxdata="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FXSmT1QAAAAUBAAAPAAAAAAAAAAEAIAAAADgAAABkcnMvZG93bnJl&#10;di54bWxQSwECFAAUAAAACACHTuJAosZveSMCAAAYBAAADgAAAAAAAAABACAAAAA6AQAAZHJzL2Uy&#10;b0RvYy54bWxQSwUGAAAAAAYABgBZAQAAzwUAAAAA&#10;">
                        <v:fill on="t" focussize="0,0"/>
                        <v:stroke on="f"/>
                        <v:imagedata o:title=""/>
                        <o:lock v:ext="edit" aspectratio="f"/>
                        <v:textbox>
                          <w:txbxContent>
                            <w:p>
                              <w:pPr>
                                <w:pStyle w:val="19"/>
                                <w:spacing w:before="0" w:beforeAutospacing="0" w:after="0" w:afterAutospacing="0"/>
                                <w:jc w:val="center"/>
                              </w:pPr>
                              <w:r>
                                <w:rPr>
                                  <w:rFonts w:ascii="Times New Roman" w:hAnsi="Times New Roman"/>
                                  <w:kern w:val="2"/>
                                  <w:sz w:val="21"/>
                                  <w:szCs w:val="21"/>
                                </w:rPr>
                                <w:t>2562</w:t>
                              </w:r>
                            </w:p>
                          </w:txbxContent>
                        </v:textbox>
                      </v:shape>
                      <v:shape id="文本框 373" o:spid="_x0000_s1026" o:spt="202" type="#_x0000_t202" style="position:absolute;left:2981960;top:1423620;height:241300;width:762000;" fillcolor="#FFFFFF" filled="t" stroked="f" coordsize="21600,21600" o:gfxdata="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FXSmT1QAAAAUBAAAPAAAAAAAAAAEAIAAAADgAAABkcnMvZG93&#10;bnJldi54bWxQSwECFAAUAAAACACHTuJA5O5HLiYCAAAaBAAADgAAAAAAAAABACAAAAA6AQAAZHJz&#10;L2Uyb0RvYy54bWxQSwUGAAAAAAYABgBZAQAA0gUAAAAA&#10;">
                        <v:fill on="t" focussize="0,0"/>
                        <v:stroke on="f"/>
                        <v:imagedata o:title=""/>
                        <o:lock v:ext="edit" aspectratio="f"/>
                        <v:textbox>
                          <w:txbxContent>
                            <w:p>
                              <w:pPr>
                                <w:jc w:val="center"/>
                              </w:pPr>
                              <w:r>
                                <w:rPr>
                                  <w:rFonts w:hint="eastAsia"/>
                                </w:rPr>
                                <w:t>538860</w:t>
                              </w:r>
                            </w:p>
                          </w:txbxContent>
                        </v:textbox>
                      </v:shape>
                      <v:shape id="文本框 372" o:spid="_x0000_s1026" o:spt="202" type="#_x0000_t202" style="position:absolute;left:3650615;top:999490;height:241300;width:762000;" fillcolor="#FFFFFF" filled="t" stroked="f" coordsize="21600,21600" o:gfxdata="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BV0pk9UAAAAFAQAADwAAAAAAAAABACAAAAA4AAAAZHJzL2Rv&#10;d25yZXYueG1sUEsBAhQAFAAAAAgAh07iQLbMPYsnAgAAGQQAAA4AAAAAAAAAAQAgAAAAOgEAAGRy&#10;cy9lMm9Eb2MueG1sUEsFBgAAAAAGAAYAWQEAANMFAAAAAA==&#10;">
                        <v:fill on="t" focussize="0,0"/>
                        <v:stroke on="f"/>
                        <v:imagedata o:title=""/>
                        <o:lock v:ext="edit" aspectratio="f"/>
                        <v:textbox>
                          <w:txbxContent>
                            <w:p>
                              <w:pPr>
                                <w:jc w:val="center"/>
                              </w:pPr>
                              <w:r>
                                <w:rPr>
                                  <w:rFonts w:hint="eastAsia"/>
                                </w:rPr>
                                <w:t>538860</w:t>
                              </w:r>
                            </w:p>
                          </w:txbxContent>
                        </v:textbox>
                      </v:shape>
                      <v:shape id="文本框 371" o:spid="_x0000_s1026" o:spt="202" type="#_x0000_t202" style="position:absolute;left:2329815;top:1018540;height:241300;width:762000;" fillcolor="#FFFFFF" filled="t" stroked="f" coordsize="21600,21600" o:gfxdata="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AVdKZPVAAAABQEAAA8AAAAAAAAAAQAgAAAAOAAAAGRycy9k&#10;b3ducmV2LnhtbFBLAQIUABQAAAAIAIdO4kCIdX6LKAIAABoEAAAOAAAAAAAAAAEAIAAAADoBAABk&#10;cnMvZTJvRG9jLnhtbFBLBQYAAAAABgAGAFkBAADUBQAAAAA=&#10;">
                        <v:fill on="t" focussize="0,0"/>
                        <v:stroke on="f"/>
                        <v:imagedata o:title=""/>
                        <o:lock v:ext="edit" aspectratio="f"/>
                        <v:textbox>
                          <w:txbxContent>
                            <w:p>
                              <w:pPr>
                                <w:jc w:val="center"/>
                              </w:pPr>
                              <w:r>
                                <w:rPr>
                                  <w:rFonts w:hint="eastAsia"/>
                                </w:rPr>
                                <w:t>538920</w:t>
                              </w:r>
                            </w:p>
                          </w:txbxContent>
                        </v:textbox>
                      </v:shape>
                      <v:shape id="文本框 78" o:spid="_x0000_s1026" o:spt="202" type="#_x0000_t202" style="position:absolute;left:3682440;top:2474479;height:241300;width:762000;" fillcolor="#FFFFFF" filled="t" stroked="f" coordsize="21600,21600" o:gfxdata="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AVdKZPVAAAABQEAAA8AAAAAAAAAAQAgAAAAOAAAAGRycy9kb3du&#10;cmV2LnhtbFBLAQIUABQAAAAIAIdO4kBTlIrOJQIAABkEAAAOAAAAAAAAAAEAIAAAADoBAABkcnMv&#10;ZTJvRG9jLnhtbFBLBQYAAAAABgAGAFkBAADRBQAAAAA=&#10;">
                        <v:fill on="t" focussize="0,0"/>
                        <v:stroke on="f"/>
                        <v:imagedata o:title=""/>
                        <o:lock v:ext="edit" aspectratio="f"/>
                        <v:textbox>
                          <w:txbxContent>
                            <w:p>
                              <w:pPr>
                                <w:jc w:val="center"/>
                              </w:pPr>
                              <w:r>
                                <w:rPr>
                                  <w:rFonts w:hint="eastAsia"/>
                                </w:rPr>
                                <w:t>456</w:t>
                              </w:r>
                            </w:p>
                          </w:txbxContent>
                        </v:textbox>
                      </v:shape>
                      <v:shape id="文本框 79" o:spid="_x0000_s1026" o:spt="202" type="#_x0000_t202" style="position:absolute;left:2005595;top:2236615;height:241300;width:762000;" fillcolor="#FFFFFF" filled="t" stroked="f" coordsize="21600,21600" o:gfxdata="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BV0pk9UAAAAFAQAADwAAAAAAAAABACAAAAA4AAAAZHJzL2Rvd25y&#10;ZXYueG1sUEsBAhQAFAAAAAgAh07iQHED+3QkAgAAGQQAAA4AAAAAAAAAAQAgAAAAOgEAAGRycy9l&#10;Mm9Eb2MueG1sUEsFBgAAAAAGAAYAWQEAANAFAAAAAA==&#10;">
                        <v:fill on="t" focussize="0,0"/>
                        <v:stroke on="f"/>
                        <v:imagedata o:title=""/>
                        <o:lock v:ext="edit" aspectratio="f"/>
                        <v:textbox>
                          <w:txbxContent>
                            <w:p>
                              <w:pPr>
                                <w:jc w:val="center"/>
                              </w:pPr>
                              <w:r>
                                <w:rPr>
                                  <w:rFonts w:hint="eastAsia"/>
                                </w:rPr>
                                <w:t>108</w:t>
                              </w:r>
                            </w:p>
                          </w:txbxContent>
                        </v:textbox>
                      </v:shape>
                      <v:shape id="文本框 80" o:spid="_x0000_s1026" o:spt="202" type="#_x0000_t202" style="position:absolute;left:2298700;top:2475765;height:241300;width:762000;" fillcolor="#FFFFFF" filled="t" stroked="f" coordsize="21600,21600" o:gfxdata="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AVdKZPVAAAABQEAAA8AAAAAAAAAAQAgAAAAOAAAAGRycy9kb3ducmV2&#10;LnhtbFBLAQIUABQAAAAIAIdO4kBJyj3fIgIAABkEAAAOAAAAAAAAAAEAIAAAADoBAABkcnMvZTJv&#10;RG9jLnhtbFBLBQYAAAAABgAGAFkBAADOBQAAAAA=&#10;">
                        <v:fill on="t" focussize="0,0"/>
                        <v:stroke on="f"/>
                        <v:imagedata o:title=""/>
                        <o:lock v:ext="edit" aspectratio="f"/>
                        <v:textbox>
                          <w:txbxContent>
                            <w:p>
                              <w:pPr>
                                <w:jc w:val="center"/>
                              </w:pPr>
                              <w:r>
                                <w:rPr>
                                  <w:rFonts w:hint="eastAsia"/>
                                </w:rPr>
                                <w:t>4</w:t>
                              </w:r>
                            </w:p>
                          </w:txbxContent>
                        </v:textbox>
                      </v:shape>
                      <v:shape id="文本框 81" o:spid="_x0000_s1026" o:spt="202" type="#_x0000_t202" style="position:absolute;left:991870;top:2483385;height:241300;width:762000;" fillcolor="#FFFFFF" filled="t" stroked="f" coordsize="21600,21600" o:gfxdata="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BV0pk9UAAAAFAQAADwAAAAAAAAABACAAAAA4AAAAZHJzL2Rvd25y&#10;ZXYueG1sUEsBAhQAFAAAAAgAh07iQAp9sb0kAgAAGAQAAA4AAAAAAAAAAQAgAAAAOgEAAGRycy9l&#10;Mm9Eb2MueG1sUEsFBgAAAAAGAAYAWQEAANAFAAAAAA==&#10;">
                        <v:fill on="t" focussize="0,0"/>
                        <v:stroke on="f"/>
                        <v:imagedata o:title=""/>
                        <o:lock v:ext="edit" aspectratio="f"/>
                        <v:textbox>
                          <w:txbxContent>
                            <w:p>
                              <w:pPr>
                                <w:jc w:val="center"/>
                              </w:pPr>
                              <w:r>
                                <w:rPr>
                                  <w:rFonts w:hint="eastAsia"/>
                                </w:rPr>
                                <w:t>540</w:t>
                              </w:r>
                            </w:p>
                          </w:txbxContent>
                        </v:textbox>
                      </v:shape>
                      <v:shape id="文本框 83" o:spid="_x0000_s1026" o:spt="202" type="#_x0000_t202" style="position:absolute;left:2146744;top:1681049;height:241300;width:762000;" fillcolor="#FFFFFF" filled="t" stroked="f" coordsize="21600,21600" o:gfxdata="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FXSmT1QAAAAUBAAAPAAAAAAAAAAEAIAAAADgAAABkcnMvZG93&#10;bnJldi54bWxQSwECFAAUAAAACACHTuJAiO2EjSYCAAAZBAAADgAAAAAAAAABACAAAAA6AQAAZHJz&#10;L2Uyb0RvYy54bWxQSwUGAAAAAAYABgBZAQAA0gUAAAAA&#10;">
                        <v:fill on="t" focussize="0,0"/>
                        <v:stroke on="f"/>
                        <v:imagedata o:title=""/>
                        <o:lock v:ext="edit" aspectratio="f"/>
                        <v:textbox>
                          <w:txbxContent>
                            <w:p>
                              <w:pPr>
                                <w:jc w:val="center"/>
                              </w:pPr>
                              <w:r>
                                <w:rPr>
                                  <w:rFonts w:hint="eastAsia"/>
                                </w:rPr>
                                <w:t>24</w:t>
                              </w:r>
                            </w:p>
                          </w:txbxContent>
                        </v:textbox>
                      </v:shape>
                      <v:shape id="文本框 84" o:spid="_x0000_s1026" o:spt="202" type="#_x0000_t202" style="position:absolute;left:3197671;top:2252378;height:241300;width:762000;" fillcolor="#FFFFFF" filled="t" stroked="f" coordsize="21600,21600" o:gfxdata="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FXSmT1QAAAAUBAAAPAAAAAAAAAAEAIAAAADgAAABkcnMvZG93&#10;bnJldi54bWxQSwECFAAUAAAACACHTuJAsD/H5iYCAAAZBAAADgAAAAAAAAABACAAAAA6AQAAZHJz&#10;L2Uyb0RvYy54bWxQSwUGAAAAAAYABgBZAQAA0gUAAAAA&#10;">
                        <v:fill on="t" focussize="0,0"/>
                        <v:stroke on="f"/>
                        <v:imagedata o:title=""/>
                        <o:lock v:ext="edit" aspectratio="f"/>
                        <v:textbox>
                          <w:txbxContent>
                            <w:p>
                              <w:pPr>
                                <w:jc w:val="center"/>
                              </w:pPr>
                              <w:r>
                                <w:rPr>
                                  <w:rFonts w:hint="eastAsia"/>
                                </w:rPr>
                                <w:t>6</w:t>
                              </w:r>
                            </w:p>
                          </w:txbxContent>
                        </v:textbox>
                      </v:shape>
                      <v:shape id="文本框 85" o:spid="_x0000_s1026" o:spt="202" type="#_x0000_t202" style="position:absolute;left:972606;top:1922837;height:241300;width:762000;" fillcolor="#FFFFFF" filled="t" stroked="f" coordsize="21600,21600" o:gfxdata="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AVdKZPVAAAABQEAAA8AAAAAAAAAAQAgAAAAOAAAAGRycy9kb3du&#10;cmV2LnhtbFBLAQIUABQAAAAIAIdO4kBZW9LHJQIAABgEAAAOAAAAAAAAAAEAIAAAADoBAABkcnMv&#10;ZTJvRG9jLnhtbFBLBQYAAAAABgAGAFkBAADRBQAAAAA=&#10;">
                        <v:fill on="t" focussize="0,0"/>
                        <v:stroke on="f"/>
                        <v:imagedata o:title=""/>
                        <o:lock v:ext="edit" aspectratio="f"/>
                        <v:textbox>
                          <w:txbxContent>
                            <w:p>
                              <w:pPr>
                                <w:jc w:val="center"/>
                              </w:pPr>
                              <w:r>
                                <w:rPr>
                                  <w:rFonts w:hint="eastAsia"/>
                                </w:rPr>
                                <w:t>30</w:t>
                              </w:r>
                            </w:p>
                          </w:txbxContent>
                        </v:textbox>
                      </v:shape>
                      <v:shape id="文本框 87" o:spid="_x0000_s1026" o:spt="202" type="#_x0000_t202" style="position:absolute;left:411658;top:1459583;height:241300;width:762000;" fillcolor="#FFFFFF" filled="t" stroked="f" coordsize="21600,21600" o:gfxdata="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AVdKZPVAAAABQEAAA8AAAAAAAAAAQAgAAAAOAAAAGRycy9kb3du&#10;cmV2LnhtbFBLAQIUABQAAAAIAIdO4kBrHYQbJQIAABgEAAAOAAAAAAAAAAEAIAAAADoBAABkcnMv&#10;ZTJvRG9jLnhtbFBLBQYAAAAABgAGAFkBAADRBQAAAAA=&#10;">
                        <v:fill on="t" focussize="0,0"/>
                        <v:stroke on="f"/>
                        <v:imagedata o:title=""/>
                        <o:lock v:ext="edit" aspectratio="f"/>
                        <v:textbox>
                          <w:txbxContent>
                            <w:p>
                              <w:pPr>
                                <w:jc w:val="center"/>
                              </w:pPr>
                              <w:r>
                                <w:rPr>
                                  <w:rFonts w:hint="eastAsia"/>
                                </w:rPr>
                                <w:t>1665</w:t>
                              </w:r>
                            </w:p>
                          </w:txbxContent>
                        </v:textbox>
                      </v:shape>
                      <v:shape id="文本框 88" o:spid="_x0000_s1026" o:spt="202" type="#_x0000_t202" style="position:absolute;left:981075;top:996950;height:241300;width:762000;" fillcolor="#FFFFFF" filled="t" stroked="f" coordsize="21600,21600" o:gfxdata="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BV0pk9UAAAAFAQAADwAAAAAAAAABACAAAAA4AAAAZHJzL2Rvd25y&#10;ZXYueG1sUEsBAhQAFAAAAAgAh07iQBngrWYkAgAAFwQAAA4AAAAAAAAAAQAgAAAAOgEAAGRycy9l&#10;Mm9Eb2MueG1sUEsFBgAAAAAGAAYAWQEAANAFAAAAAA==&#10;">
                        <v:fill on="t" focussize="0,0"/>
                        <v:stroke on="f"/>
                        <v:imagedata o:title=""/>
                        <o:lock v:ext="edit" aspectratio="f"/>
                        <v:textbox>
                          <w:txbxContent>
                            <w:p>
                              <w:pPr>
                                <w:jc w:val="center"/>
                              </w:pPr>
                              <w:r>
                                <w:rPr>
                                  <w:rFonts w:hint="eastAsia"/>
                                </w:rPr>
                                <w:t>1095</w:t>
                              </w:r>
                            </w:p>
                          </w:txbxContent>
                        </v:textbox>
                      </v:shape>
                      <v:shape id="文本框 89" o:spid="_x0000_s1026" o:spt="202" type="#_x0000_t202" style="position:absolute;left:2279857;top:510436;height:241300;width:762000;" fillcolor="#FFFFFF" filled="t" stroked="f" coordsize="21600,21600" o:gfxdata="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AVdKZPVAAAABQEAAA8AAAAAAAAAAQAgAAAAOAAAAGRycy9kb3du&#10;cmV2LnhtbFBLAQIUABQAAAAIAIdO4kAu3rcfJQIAABgEAAAOAAAAAAAAAAEAIAAAADoBAABkcnMv&#10;ZTJvRG9jLnhtbFBLBQYAAAAABgAGAFkBAADRBQAAAAA=&#10;">
                        <v:fill on="t" focussize="0,0"/>
                        <v:stroke on="f"/>
                        <v:imagedata o:title=""/>
                        <o:lock v:ext="edit" aspectratio="f"/>
                        <v:textbox>
                          <w:txbxContent>
                            <w:p>
                              <w:pPr>
                                <w:jc w:val="center"/>
                              </w:pPr>
                              <w:r>
                                <w:rPr>
                                  <w:rFonts w:hint="eastAsia"/>
                                </w:rPr>
                                <w:t>2418</w:t>
                              </w:r>
                            </w:p>
                          </w:txbxContent>
                        </v:textbox>
                      </v:shape>
                      <v:shape id="文本框 91" o:spid="_x0000_s1026" o:spt="202" type="#_x0000_t202" style="position:absolute;left:3519170;top:777240;height:241300;width:762000;" fillcolor="#FFFFFF" filled="t" stroked="f" coordsize="21600,21600" o:gfxdata="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AVdKZPVAAAABQEAAA8AAAAAAAAAAQAgAAAAOAAAAGRycy9kb3du&#10;cmV2LnhtbFBLAQIUABQAAAAIAIdO4kC+u1SFJQIAABgEAAAOAAAAAAAAAAEAIAAAADoBAABkcnMv&#10;ZTJvRG9jLnhtbFBLBQYAAAAABgAGAFkBAADRBQAAAAA=&#10;">
                        <v:fill on="t" focussize="0,0"/>
                        <v:stroke on="f"/>
                        <v:imagedata o:title=""/>
                        <o:lock v:ext="edit" aspectratio="f"/>
                        <v:textbox>
                          <w:txbxContent>
                            <w:p>
                              <w:pPr>
                                <w:jc w:val="center"/>
                              </w:pPr>
                              <w:r>
                                <w:rPr>
                                  <w:rFonts w:hint="eastAsia"/>
                                </w:rPr>
                                <w:t>60</w:t>
                              </w:r>
                            </w:p>
                          </w:txbxContent>
                        </v:textbox>
                      </v:shape>
                      <v:shape id="文本框 92" o:spid="_x0000_s1026" o:spt="202" type="#_x0000_t202" style="position:absolute;left:2129098;top:811109;height:241300;width:762000;" fillcolor="#FFFFFF" filled="t" stroked="f" coordsize="21600,21600" o:gfxdata="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FXSmT1QAAAAUBAAAPAAAAAAAAAAEAIAAAADgAAABkcnMvZG93bnJl&#10;di54bWxQSwECFAAUAAAACACHTuJADEpD3CMCAAAYBAAADgAAAAAAAAABACAAAAA6AQAAZHJzL2Uy&#10;b0RvYy54bWxQSwUGAAAAAAYABgBZAQAAzwUAAAAA&#10;">
                        <v:fill on="t" focussize="0,0"/>
                        <v:stroke on="f"/>
                        <v:imagedata o:title=""/>
                        <o:lock v:ext="edit" aspectratio="f"/>
                        <v:textbox>
                          <w:txbxContent>
                            <w:p>
                              <w:pPr>
                                <w:jc w:val="center"/>
                              </w:pPr>
                              <w:r>
                                <w:rPr>
                                  <w:rFonts w:hint="eastAsia"/>
                                </w:rPr>
                                <w:t>1080</w:t>
                              </w:r>
                            </w:p>
                          </w:txbxContent>
                        </v:textbox>
                      </v:shape>
                      <v:shape id="文本框 93" o:spid="_x0000_s1026" o:spt="202" type="#_x0000_t202" style="position:absolute;left:3588959;top:104775;height:241300;width:762000;" fillcolor="#FFFFFF" filled="t" stroked="f" coordsize="21600,21600" o:gfxdata="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AVdKZPVAAAABQEAAA8AAAAAAAAAAQAgAAAAOAAAAGRycy9kb3du&#10;cmV2LnhtbFBLAQIUABQAAAAIAIdO4kBNOnFCJQIAABgEAAAOAAAAAAAAAAEAIAAAADoBAABkcnMv&#10;ZTJvRG9jLnhtbFBLBQYAAAAABgAGAFkBAADRBQAAAAA=&#10;">
                        <v:fill on="t" focussize="0,0"/>
                        <v:stroke on="f"/>
                        <v:imagedata o:title=""/>
                        <o:lock v:ext="edit" aspectratio="f"/>
                        <v:textbox>
                          <w:txbxContent>
                            <w:p>
                              <w:pPr>
                                <w:jc w:val="center"/>
                              </w:pPr>
                              <w:r>
                                <w:rPr>
                                  <w:rFonts w:hint="eastAsia"/>
                                </w:rPr>
                                <w:t>4980</w:t>
                              </w:r>
                            </w:p>
                          </w:txbxContent>
                        </v:textbox>
                      </v:shape>
                      <v:shape id="文本框 94" o:spid="_x0000_s1026" o:spt="202" type="#_x0000_t202" style="position:absolute;left:69215;top:1385570;height:548005;width:382270;" fillcolor="#FFFFFF" filled="t" stroked="t" coordsize="21600,21600" o:gfxdata="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Mx4VQzVAAAABQEA&#10;AA8AAAAAAAAAAQAgAAAAOAAAAGRycy9kb3ducmV2LnhtbFBLAQIUABQAAAAIAIdO4kD7wHmoQAIA&#10;AGIEAAAOAAAAAAAAAAEAIAAAADoBAABkcnMvZTJvRG9jLnhtbFBLBQYAAAAABgAGAFkBAADsBQAA&#10;AAA=&#10;">
                        <v:fill on="t" focussize="0,0"/>
                        <v:stroke color="#000000" miterlimit="8" joinstyle="miter"/>
                        <v:imagedata o:title=""/>
                        <o:lock v:ext="edit" aspectratio="f"/>
                        <v:textbox style="layout-flow:vertical-ideographic;">
                          <w:txbxContent>
                            <w:p>
                              <w:pPr>
                                <w:jc w:val="center"/>
                              </w:pPr>
                              <w:r>
                                <w:rPr>
                                  <w:rFonts w:hint="eastAsia"/>
                                </w:rPr>
                                <w:t>新鲜水</w:t>
                              </w:r>
                            </w:p>
                          </w:txbxContent>
                        </v:textbox>
                      </v:shape>
                      <v:line id="直线 95" o:spid="_x0000_s1026" o:spt="20" style="position:absolute;left:423545;top:1655212;height:8255;width:683260;" filled="f" stroked="t" coordsize="21600,21600" o:gfxdata="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Or+daTVAAAABQEAAA8AAAAAAAAAAQAgAAAAOAAAAGRy&#10;cy9kb3ducmV2LnhtbFBLAQIUABQAAAAIAIdO4kB+Ms7XuQEAAD8DAAAOAAAAAAAAAAEAIAAAADoB&#10;AABkcnMvZTJvRG9jLnhtbFBLBQYAAAAABgAGAFkBAABlBQAAAAA=&#10;">
                        <v:fill on="f" focussize="0,0"/>
                        <v:stroke color="#000000" joinstyle="round"/>
                        <v:imagedata o:title=""/>
                        <o:lock v:ext="edit" aspectratio="f"/>
                      </v:line>
                      <v:line id="直线 96" o:spid="_x0000_s1026" o:spt="20" style="position:absolute;left:1106681;top:677344;flip:x;height:1983683;width:3376;" filled="f" stroked="t" coordsize="21600,21600" o:gfxdata="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5sh6CtUAAAAFAQAADwAAAAAAAAAB&#10;ACAAAAA4AAAAZHJzL2Rvd25yZXYueG1sUEsBAhQAFAAAAAgAh07iQLO84XnEAQAATQMAAA4AAAAA&#10;AAAAAQAgAAAAOgEAAGRycy9lMm9Eb2MueG1sUEsFBgAAAAAGAAYAWQEAAHAFAAAAAA==&#10;">
                        <v:fill on="f" focussize="0,0"/>
                        <v:stroke color="#000000" joinstyle="round"/>
                        <v:imagedata o:title=""/>
                        <o:lock v:ext="edit" aspectratio="f"/>
                      </v:line>
                      <v:line id="直线 97" o:spid="_x0000_s1026" o:spt="20" style="position:absolute;left:1116205;top:677211;height:241;width:1865341;" filled="f" stroked="t" coordsize="21600,21600" o:gfxdata="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yMzlh1wAA&#10;AAUBAAAPAAAAAAAAAAEAIAAAADgAAABkcnMvZG93bnJldi54bWxQSwECFAAUAAAACACHTuJA7Rfd&#10;V9ABAABqAwAADgAAAAAAAAABACAAAAA8AQAAZHJzL2Uyb0RvYy54bWxQSwUGAAAAAAYABgBZAQAA&#10;fgUAAAAA&#10;">
                        <v:fill on="f" focussize="0,0"/>
                        <v:stroke color="#000000" joinstyle="round" endarrow="open"/>
                        <v:imagedata o:title=""/>
                        <o:lock v:ext="edit" aspectratio="f"/>
                      </v:line>
                      <v:line id="直线 98" o:spid="_x0000_s1026" o:spt="20" style="position:absolute;left:1108075;top:1212850;flip:y;height:0;width:533400;" filled="f" stroked="t" coordsize="21600,21600" o:gfxdata="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I&#10;jRD/1gAAAAUBAAAPAAAAAAAAAAEAIAAAADgAAABkcnMvZG93bnJldi54bWxQSwECFAAUAAAACACH&#10;TuJArmHY7NcBAAB1AwAADgAAAAAAAAABACAAAAA7AQAAZHJzL2Uyb0RvYy54bWxQSwUGAAAAAAYA&#10;BgBZAQAAhAUAAAAA&#10;">
                        <v:fill on="f" focussize="0,0"/>
                        <v:stroke color="#000000" joinstyle="round" endarrow="open"/>
                        <v:imagedata o:title=""/>
                        <o:lock v:ext="edit" aspectratio="f"/>
                      </v:line>
                      <v:shape id="文本框 99" o:spid="_x0000_s1026" o:spt="202" type="#_x0000_t202" style="position:absolute;left:2969268;top:424494;height:252730;width:767080;" fillcolor="#FFFFFF" filled="t" stroked="t" coordsize="21600,21600" o:gfxdata="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CxZupNYA&#10;AAAFAQAADwAAAAAAAAABACAAAAA4AAAAZHJzL2Rvd25yZXYueG1sUEsBAhQAFAAAAAgAh07iQPAe&#10;ihBEAgAAYQQAAA4AAAAAAAAAAQAgAAAAOwEAAGRycy9lMm9Eb2MueG1sUEsFBgAAAAAGAAYAWQEA&#10;APEFAAAAAA==&#10;">
                        <v:fill on="t" focussize="0,0"/>
                        <v:stroke color="#000000" miterlimit="8" joinstyle="miter"/>
                        <v:imagedata o:title=""/>
                        <o:lock v:ext="edit" aspectratio="f"/>
                        <v:textbox>
                          <w:txbxContent>
                            <w:p>
                              <w:pPr>
                                <w:jc w:val="center"/>
                              </w:pPr>
                              <w:r>
                                <w:rPr>
                                  <w:rFonts w:hint="eastAsia"/>
                                </w:rPr>
                                <w:t>原料搅拌</w:t>
                              </w:r>
                            </w:p>
                          </w:txbxContent>
                        </v:textbox>
                      </v:shape>
                      <v:shape id="文本框 100" o:spid="_x0000_s1026" o:spt="202" type="#_x0000_t202" style="position:absolute;left:1646555;top:1102995;height:250190;width:762000;" fillcolor="#FFFFFF" filled="t" stroked="t" coordsize="21600,21600" o:gfxdata="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CxZupNYA&#10;AAAFAQAADwAAAAAAAAABACAAAAA4AAAAZHJzL2Rvd25yZXYueG1sUEsBAhQAFAAAAAgAh07iQPpD&#10;lz9EAgAAYwQAAA4AAAAAAAAAAQAgAAAAOwEAAGRycy9lMm9Eb2MueG1sUEsFBgAAAAAGAAYAWQEA&#10;APEFAAAAAA==&#10;">
                        <v:fill on="t" focussize="0,0"/>
                        <v:stroke color="#000000" miterlimit="8" joinstyle="miter"/>
                        <v:imagedata o:title=""/>
                        <o:lock v:ext="edit" aspectratio="f"/>
                        <v:textbox>
                          <w:txbxContent>
                            <w:p>
                              <w:pPr>
                                <w:jc w:val="center"/>
                              </w:pPr>
                              <w:r>
                                <w:rPr>
                                  <w:rFonts w:hint="eastAsia"/>
                                </w:rPr>
                                <w:t>烟气处理</w:t>
                              </w:r>
                            </w:p>
                          </w:txbxContent>
                        </v:textbox>
                      </v:shape>
                      <v:shape id="自选图形 101" o:spid="_x0000_s1026" o:spt="37" type="#_x0000_t37" style="position:absolute;left:3452543;top:143453;height:366395;width:187960;rotation:-5898240f;" filled="f" stroked="t" coordsize="21600,21600" o:gfxdata="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G7JGSrWAAAABQEAAA8AAAAAAAAAAQAgAAAAOAAAAGRycy9k&#10;b3ducmV2LnhtbFBLAQIUABQAAAAIAIdO4kBSi/dT7gEAAI4DAAAOAAAAAAAAAAEAIAAAADsBAABk&#10;cnMvZTJvRG9jLnhtbFBLBQYAAAAABgAGAFkBAACbBQAAAAA=&#10;">
                        <v:fill on="f" focussize="0,0"/>
                        <v:stroke color="#000000" joinstyle="round" endarrow="open"/>
                        <v:imagedata o:title=""/>
                        <o:lock v:ext="edit" aspectratio="f"/>
                      </v:shape>
                      <v:shape id="自选图形 102" o:spid="_x0000_s1026" o:spt="37" type="#_x0000_t37" style="position:absolute;left:2126615;top:836205;height:355600;width:177800;rotation:-5898240f;" filled="f" stroked="t" coordsize="21600,21600" o:gfxdata="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uyRkq1gAAAAUBAAAPAAAAAAAAAAEAIAAAADgAAABkcnMv&#10;ZG93bnJldi54bWxQSwECFAAUAAAACACHTuJAPFtW7e8BAACOAwAADgAAAAAAAAABACAAAAA7AQAA&#10;ZHJzL2Uyb0RvYy54bWxQSwUGAAAAAAYABgBZAQAAnAUAAAAA&#10;">
                        <v:fill on="f" focussize="0,0"/>
                        <v:stroke color="#000000" joinstyle="round" endarrow="open"/>
                        <v:imagedata o:title=""/>
                        <o:lock v:ext="edit" aspectratio="f"/>
                      </v:shape>
                      <v:shape id="自选图形 103" o:spid="_x0000_s1026" o:spt="32" type="#_x0000_t32" style="position:absolute;left:2416810;top:1204595;height:5715;width:582295;" filled="f" stroked="t" coordsize="21600,21600" o:gfxdata="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IMaJDWAAAABQEAAA8AAAAAAAAAAQAgAAAAOAAAAGRycy9kb3ducmV2&#10;LnhtbFBLAQIUABQAAAAIAIdO4kDEYggb6AEAAIADAAAOAAAAAAAAAAEAIAAAADsBAABkcnMvZTJv&#10;RG9jLnhtbFBLBQYAAAAABgAGAFkBAACVBQAAAAA=&#10;">
                        <v:fill on="f" focussize="0,0"/>
                        <v:stroke color="#000000" joinstyle="round" endarrow="open"/>
                        <v:imagedata o:title=""/>
                        <o:lock v:ext="edit" aspectratio="f"/>
                      </v:shape>
                      <v:shape id="文本框 104" o:spid="_x0000_s1026" o:spt="202" type="#_x0000_t202" style="position:absolute;left:3000396;top:1073801;height:278130;width:762000;" fillcolor="#FFFFFF" filled="t" stroked="t" coordsize="21600,21600" o:gfxdata="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AsWbqTW&#10;AAAABQEAAA8AAAAAAAAAAQAgAAAAOAAAAGRycy9kb3ducmV2LnhtbFBLAQIUABQAAAAIAIdO4kDS&#10;6Z1eRQIAAGMEAAAOAAAAAAAAAAEAIAAAADsBAABkcnMvZTJvRG9jLnhtbFBLBQYAAAAABgAGAFkB&#10;AADyBQAAAAA=&#10;">
                        <v:fill on="t" focussize="0,0"/>
                        <v:stroke color="#000000" miterlimit="8" joinstyle="miter"/>
                        <v:imagedata o:title=""/>
                        <o:lock v:ext="edit" aspectratio="f"/>
                        <v:textbox>
                          <w:txbxContent>
                            <w:p>
                              <w:pPr>
                                <w:jc w:val="center"/>
                              </w:pPr>
                              <w:r>
                                <w:rPr>
                                  <w:rFonts w:hint="eastAsia"/>
                                </w:rPr>
                                <w:t>再生池</w:t>
                              </w:r>
                            </w:p>
                          </w:txbxContent>
                        </v:textbox>
                      </v:shape>
                      <v:shape id="自选图形 105" o:spid="_x0000_s1026" o:spt="32" type="#_x0000_t32" style="position:absolute;left:3762375;top:1200150;height:0;width:571500;" filled="f" stroked="t" coordsize="21600,21600" o:gfxdata="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CDGiQ1gAAAAUBAAAPAAAAAAAAAAEAIAAAADgAAABkcnMvZG93bnJldi54bWxQ&#10;SwECFAAUAAAACACHTuJApsjsbOMBAAB9AwAADgAAAAAAAAABACAAAAA7AQAAZHJzL2Uyb0RvYy54&#10;bWxQSwUGAAAAAAYABgBZAQAAkAUAAAAA&#10;">
                        <v:fill on="f" focussize="0,0"/>
                        <v:stroke color="#000000" joinstyle="round" endarrow="open"/>
                        <v:imagedata o:title=""/>
                        <o:lock v:ext="edit" aspectratio="f"/>
                      </v:shape>
                      <v:shape id="文本框 106" o:spid="_x0000_s1026" o:spt="202" type="#_x0000_t202" style="position:absolute;left:4343400;top:1073785;height:287655;width:762000;" fillcolor="#FFFFFF" filled="t" stroked="t" coordsize="21600,21600" o:gfxdata="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ALFm6k1gAA&#10;AAUBAAAPAAAAAAAAAAEAIAAAADgAAABkcnMvZG93bnJldi54bWxQSwECFAAUAAAACACHTuJAXb8/&#10;K0MCAABjBAAADgAAAAAAAAABACAAAAA7AQAAZHJzL2Uyb0RvYy54bWxQSwUGAAAAAAYABgBZAQAA&#10;8AUAAAAA&#10;">
                        <v:fill on="t" focussize="0,0"/>
                        <v:stroke color="#000000" miterlimit="8" joinstyle="miter"/>
                        <v:imagedata o:title=""/>
                        <o:lock v:ext="edit" aspectratio="f"/>
                        <v:textbox>
                          <w:txbxContent>
                            <w:p>
                              <w:pPr>
                                <w:jc w:val="center"/>
                              </w:pPr>
                              <w:r>
                                <w:rPr>
                                  <w:rFonts w:hint="eastAsia"/>
                                </w:rPr>
                                <w:t>循环水池</w:t>
                              </w:r>
                            </w:p>
                          </w:txbxContent>
                        </v:textbox>
                      </v:shape>
                      <v:shape id="自选图形 107" o:spid="_x0000_s1026" o:spt="37" type="#_x0000_t37" style="position:absolute;left:3458845;top:811530;height:355600;width:177800;rotation:-5898240f;" filled="f" stroked="t" coordsize="21600,21600" o:gfxdata="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bskZKtYAAAAFAQAADwAAAAAAAAABACAAAAA4AAAAZHJz&#10;L2Rvd25yZXYueG1sUEsBAhQAFAAAAAgAh07iQGTr94zwAQAAjgMAAA4AAAAAAAAAAQAgAAAAOwEA&#10;AGRycy9lMm9Eb2MueG1sUEsFBgAAAAAGAAYAWQEAAJ0FAAAAAA==&#10;">
                        <v:fill on="f" focussize="0,0"/>
                        <v:stroke color="#000000" joinstyle="round" endarrow="open"/>
                        <v:imagedata o:title=""/>
                        <o:lock v:ext="edit" aspectratio="f"/>
                      </v:shape>
                      <v:shape id="文本框 108" o:spid="_x0000_s1026" o:spt="202" type="#_x0000_t202" style="position:absolute;left:4412621;top:0;height:241300;width:897586;" fillcolor="#FFFFFF" filled="t" stroked="f" coordsize="21600,21600" o:gfxdata="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FXSmT1QAAAAUBAAAPAAAAAAAAAAEAIAAAADgAAABkcnMvZG93&#10;bnJldi54bWxQSwECFAAUAAAACACHTuJADou5lSYCAAAUBAAADgAAAAAAAAABACAAAAA6AQAAZHJz&#10;L2Uyb0RvYy54bWxQSwUGAAAAAAYABgBZAQAA0gUAAAAA&#10;">
                        <v:fill on="t" focussize="0,0"/>
                        <v:stroke on="f"/>
                        <v:imagedata o:title=""/>
                        <o:lock v:ext="edit" aspectratio="f"/>
                        <v:textbox>
                          <w:txbxContent>
                            <w:p>
                              <w:pPr>
                                <w:jc w:val="center"/>
                              </w:pPr>
                              <w:r>
                                <w:rPr>
                                  <w:rFonts w:hint="eastAsia"/>
                                </w:rPr>
                                <w:t>单位：m</w:t>
                              </w:r>
                              <w:r>
                                <w:rPr>
                                  <w:rFonts w:hint="eastAsia"/>
                                  <w:vertAlign w:val="superscript"/>
                                </w:rPr>
                                <w:t>3</w:t>
                              </w:r>
                              <w:r>
                                <w:rPr>
                                  <w:rFonts w:hint="eastAsia"/>
                                </w:rPr>
                                <w:t>/a</w:t>
                              </w:r>
                            </w:p>
                          </w:txbxContent>
                        </v:textbox>
                      </v:shape>
                      <v:shape id="自选图形 109" o:spid="_x0000_s1026" o:spt="34" type="#_x0000_t34" style="position:absolute;left:3349827;top:9384;flip:y;height:2696845;width:44450;rotation:5898240f;" filled="f" stroked="t" coordsize="21600,21600" o:gfxdata="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g61MJdUAAAAFAQAADwAAAAAAAAABACAAAAA4AAAAZHJzL2Rvd25y&#10;ZXYueG1sUEsBAhQAFAAAAAgAh07iQKKDDoEkAgAA7wMAAA4AAAAAAAAAAQAgAAAAOgEAAGRycy9l&#10;Mm9Eb2MueG1sUEsFBgAAAAAGAAYAWQEAANAFAAAAAA==&#10;" adj="-110777">
                        <v:fill on="f" focussize="0,0"/>
                        <v:stroke color="#000000" miterlimit="8" joinstyle="miter" endarrow="block"/>
                        <v:imagedata o:title=""/>
                        <o:lock v:ext="edit" aspectratio="f"/>
                      </v:shape>
                      <v:line id="直线 110" o:spid="_x0000_s1026" o:spt="20" style="position:absolute;left:2420496;top:2103731;height:2584;width:605713;" filled="f" stroked="t" coordsize="21600,21600" o:gfxdata="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sjM5YdcAAAAFAQAADwAAAAAAAAABACAAAAA4AAAAZHJzL2Rvd25yZXYueG1s&#10;UEsBAhQAFAAAAAgAh07iQM6ipnzjAQAAlQMAAA4AAAAAAAAAAQAgAAAAPAEAAGRycy9lMm9Eb2Mu&#10;eG1sUEsFBgAAAAAGAAYAWQEAAJEFAAAAAA==&#10;">
                        <v:fill on="f" focussize="0,0"/>
                        <v:stroke color="#000000" joinstyle="round" endarrow="open"/>
                        <v:imagedata o:title=""/>
                        <o:lock v:ext="edit" aspectratio="f"/>
                      </v:line>
                      <v:shape id="文本框 111" o:spid="_x0000_s1026" o:spt="202" type="#_x0000_t202" style="position:absolute;left:1651000;top:1941830;height:278765;width:762000;" fillcolor="#FFFFFF" filled="t" stroked="t" coordsize="21600,21600" o:gfxdata="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AsWbqTWAAAA&#10;BQEAAA8AAAAAAAAAAQAgAAAAOAAAAGRycy9kb3ducmV2LnhtbFBLAQIUABQAAAAIAIdO4kADbIuC&#10;QgIAAGMEAAAOAAAAAAAAAAEAIAAAADsBAABkcnMvZTJvRG9jLnhtbFBLBQYAAAAABgAGAFkBAADv&#10;BQAAAAA=&#10;">
                        <v:fill on="t" focussize="0,0"/>
                        <v:stroke color="#000000" miterlimit="8" joinstyle="miter"/>
                        <v:imagedata o:title=""/>
                        <o:lock v:ext="edit" aspectratio="f"/>
                        <v:textbox>
                          <w:txbxContent>
                            <w:p>
                              <w:pPr>
                                <w:jc w:val="center"/>
                              </w:pPr>
                              <w:r>
                                <w:rPr>
                                  <w:rFonts w:hint="eastAsia"/>
                                </w:rPr>
                                <w:t>实验室</w:t>
                              </w:r>
                            </w:p>
                          </w:txbxContent>
                        </v:textbox>
                      </v:shape>
                      <v:shape id="自选图形 112" o:spid="_x0000_s1026" o:spt="32" type="#_x0000_t32" style="position:absolute;left:1107579;top:2669701;height:0;width:571500;" filled="f" stroked="t" coordsize="21600,21600" o:gfxdata="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CDGiQ1gAAAAUBAAAPAAAAAAAAAAEAIAAAADgAAABkcnMvZG93bnJldi54&#10;bWxQSwECFAAUAAAACACHTuJAXKRaieYBAAB9AwAADgAAAAAAAAABACAAAAA7AQAAZHJzL2Uyb0Rv&#10;Yy54bWxQSwUGAAAAAAYABgBZAQAAkwUAAAAA&#10;">
                        <v:fill on="f" focussize="0,0"/>
                        <v:stroke color="#000000" joinstyle="round" endarrow="open"/>
                        <v:imagedata o:title=""/>
                        <o:lock v:ext="edit" aspectratio="f"/>
                      </v:shape>
                      <v:shape id="文本框 113" o:spid="_x0000_s1026" o:spt="202" type="#_x0000_t202" style="position:absolute;left:3026209;top:1972965;height:266700;width:762000;" fillcolor="#FFFFFF" filled="t" stroked="t" coordsize="21600,21600" o:gfxdata="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ALFm6k1gAA&#10;AAUBAAAPAAAAAAAAAAEAIAAAADgAAABkcnMvZG93bnJldi54bWxQSwECFAAUAAAACACHTuJAT4ip&#10;/EMCAABjBAAADgAAAAAAAAABACAAAAA7AQAAZHJzL2Uyb0RvYy54bWxQSwUGAAAAAAYABgBZAQAA&#10;8AUAAAAA&#10;">
                        <v:fill on="t" focussize="0,0"/>
                        <v:stroke color="#000000" miterlimit="8" joinstyle="miter"/>
                        <v:imagedata o:title=""/>
                        <o:lock v:ext="edit" aspectratio="f"/>
                        <v:textbox>
                          <w:txbxContent>
                            <w:p>
                              <w:pPr>
                                <w:jc w:val="center"/>
                              </w:pPr>
                              <w:r>
                                <w:rPr>
                                  <w:rFonts w:hint="eastAsia"/>
                                </w:rPr>
                                <w:t>中和池</w:t>
                              </w:r>
                            </w:p>
                          </w:txbxContent>
                        </v:textbox>
                      </v:shape>
                      <v:shape id="自选图形 115" o:spid="_x0000_s1026" o:spt="37" type="#_x0000_t37" style="position:absolute;left:1977473;top:2261853;height:355600;width:177800;rotation:-5898240f;" filled="f" stroked="t" coordsize="21600,21600" o:gfxdata="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G7JGSrWAAAABQEAAA8AAAAAAAAAAQAgAAAAOAAAAGRy&#10;cy9kb3ducmV2LnhtbFBLAQIUABQAAAAIAIdO4kA7zKas8QEAAI8DAAAOAAAAAAAAAAEAIAAAADsB&#10;AABkcnMvZTJvRG9jLnhtbFBLBQYAAAAABgAGAFkBAACeBQAAAAA=&#10;">
                        <v:fill on="f" focussize="0,0"/>
                        <v:stroke color="#000000" joinstyle="round" endarrow="open"/>
                        <v:imagedata o:title=""/>
                        <o:lock v:ext="edit" aspectratio="f"/>
                      </v:shape>
                      <v:line id="直线 116" o:spid="_x0000_s1026" o:spt="20" style="position:absolute;left:1116204;top:2103771;flip:y;height:0;width:533400;" filled="f" stroked="t" coordsize="21600,21600" o:gfxdata="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IiNEP/WAAAABQEAAA8AAAAAAAAAAQAgAAAAOAAAAGRycy9kb3ducmV2LnhtbFBLAQIUABQAAAAI&#10;AIdO4kCEpnz72QEAAHYDAAAOAAAAAAAAAAEAIAAAADsBAABkcnMvZTJvRG9jLnhtbFBLBQYAAAAA&#10;BgAGAFkBAACGBQAAAAA=&#10;">
                        <v:fill on="f" focussize="0,0"/>
                        <v:stroke color="#000000" joinstyle="round" endarrow="open"/>
                        <v:imagedata o:title=""/>
                        <o:lock v:ext="edit" aspectratio="f"/>
                      </v:line>
                      <v:shape id="文本框 117" o:spid="_x0000_s1026" o:spt="202" type="#_x0000_t202" style="position:absolute;left:1671955;top:2540635;height:288925;width:762000;" fillcolor="#FFFFFF" filled="t" stroked="t" coordsize="21600,21600" o:gfxdata="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xZupNYAAAAF&#10;AQAADwAAAAAAAAABACAAAAA4AAAAZHJzL2Rvd25yZXYueG1sUEsBAhQAFAAAAAgAh07iQFcEytlB&#10;AgAAYwQAAA4AAAAAAAAAAQAgAAAAOwEAAGRycy9lMm9Eb2MueG1sUEsFBgAAAAAGAAYAWQEAAO4F&#10;AAAAAA==&#10;">
                        <v:fill on="t" focussize="0,0"/>
                        <v:stroke color="#000000" miterlimit="8" joinstyle="miter"/>
                        <v:imagedata o:title=""/>
                        <o:lock v:ext="edit" aspectratio="f"/>
                        <v:textbox>
                          <w:txbxContent>
                            <w:p>
                              <w:pPr>
                                <w:jc w:val="center"/>
                              </w:pPr>
                              <w:r>
                                <w:rPr>
                                  <w:rFonts w:hint="eastAsia"/>
                                </w:rPr>
                                <w:t>生活用水</w:t>
                              </w:r>
                            </w:p>
                          </w:txbxContent>
                        </v:textbox>
                      </v:shape>
                      <v:line id="直线 118" o:spid="_x0000_s1026" o:spt="20" style="position:absolute;left:2433890;top:2656762;flip:y;height:635;width:589280;" filled="f" stroked="t" coordsize="21600,21600" o:gfxdata="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iI0Q/9YAAAAFAQAADwAAAAAAAAABACAAAAA4AAAAZHJzL2Rvd25yZXYueG1sUEsBAhQAFAAA&#10;AAgAh07iQESbjTXbAQAAeAMAAA4AAAAAAAAAAQAgAAAAOwEAAGRycy9lMm9Eb2MueG1sUEsFBgAA&#10;AAAGAAYAWQEAAIgFAAAAAA==&#10;">
                        <v:fill on="f" focussize="0,0"/>
                        <v:stroke color="#000000" joinstyle="round" endarrow="open"/>
                        <v:imagedata o:title=""/>
                        <o:lock v:ext="edit" aspectratio="f"/>
                      </v:line>
                      <v:shape id="文本框 119" o:spid="_x0000_s1026" o:spt="202" type="#_x0000_t202" style="position:absolute;left:3018628;top:2537046;height:266700;width:774934;" fillcolor="#FFFFFF" filled="t" stroked="t" coordsize="21600,21600" o:gfxdata="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CxZupNYA&#10;AAAFAQAADwAAAAAAAAABACAAAAA4AAAAZHJzL2Rvd25yZXYueG1sUEsBAhQAFAAAAAgAh07iQBk1&#10;H19EAgAAYwQAAA4AAAAAAAAAAQAgAAAAOwEAAGRycy9lMm9Eb2MueG1sUEsFBgAAAAAGAAYAWQEA&#10;APEFAAAAAA==&#10;">
                        <v:fill on="t" focussize="0,0"/>
                        <v:stroke color="#000000" miterlimit="8" joinstyle="miter"/>
                        <v:imagedata o:title=""/>
                        <o:lock v:ext="edit" aspectratio="f"/>
                        <v:textbox>
                          <w:txbxContent>
                            <w:p>
                              <w:pPr>
                                <w:jc w:val="center"/>
                              </w:pPr>
                              <w:r>
                                <w:rPr>
                                  <w:rFonts w:hint="eastAsia"/>
                                </w:rPr>
                                <w:t>化粪池</w:t>
                              </w:r>
                            </w:p>
                          </w:txbxContent>
                        </v:textbox>
                      </v:shape>
                      <v:shape id="自选图形 121" o:spid="_x0000_s1026" o:spt="37" type="#_x0000_t37" style="position:absolute;left:2120300;top:1708194;height:355600;width:177800;rotation:-5898240f;" filled="f" stroked="t" coordsize="21600,21600" o:gfxdata="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uyRkq1gAAAAUBAAAPAAAAAAAAAAEAIAAAADgAAABkcnMv&#10;ZG93bnJldi54bWxQSwECFAAUAAAACACHTuJAnDdPM+8BAACPAwAADgAAAAAAAAABACAAAAA7AQAA&#10;ZHJzL2Uyb0RvYy54bWxQSwUGAAAAAAYABgBZAQAAnAUAAAAA&#10;">
                        <v:fill on="f" focussize="0,0"/>
                        <v:stroke color="#000000" joinstyle="round" endarrow="open"/>
                        <v:imagedata o:title=""/>
                        <o:lock v:ext="edit" aspectratio="f"/>
                      </v:shape>
                      <v:shape id="文本框 86" o:spid="_x0000_s1026" o:spt="202" type="#_x0000_t202" style="position:absolute;left:4412613;top:2531927;height:266700;width:855345;" fillcolor="#FFFFFF" filled="t" stroked="f" coordsize="21600,21600" o:gfxdata="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BV0pk9UAAAAFAQAADwAAAAAAAAABACAAAAA4AAAAZHJz&#10;L2Rvd25yZXYueG1sUEsBAhQAFAAAAAgAh07iQOJc/gEqAgAAGQQAAA4AAAAAAAAAAQAgAAAAOgEA&#10;AGRycy9lMm9Eb2MueG1sUEsFBgAAAAAGAAYAWQEAANYFAAAAAA==&#10;">
                        <v:fill on="t" focussize="0,0"/>
                        <v:stroke on="f"/>
                        <v:imagedata o:title=""/>
                        <o:lock v:ext="edit" aspectratio="f"/>
                        <v:textbox>
                          <w:txbxContent>
                            <w:p>
                              <w:pPr>
                                <w:jc w:val="center"/>
                              </w:pPr>
                              <w:r>
                                <w:rPr>
                                  <w:rFonts w:hint="eastAsia"/>
                                </w:rPr>
                                <w:t>污水处理厂</w:t>
                              </w:r>
                            </w:p>
                          </w:txbxContent>
                        </v:textbox>
                      </v:shape>
                      <v:shape id="AutoShape 540" o:spid="_x0000_s1026" o:spt="32" type="#_x0000_t32" style="position:absolute;left:3406095;top:2239665;flip:x;height:297381;width:1114;" filled="f" stroked="t" coordsize="21600,21600" o:gfxdata="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BN6hMDXAAAABQEA&#10;AA8AAAAAAAAAAQAgAAAAOAAAAGRycy9kb3ducmV2LnhtbFBLAQIUABQAAAAIAIdO4kBZHvdABQIA&#10;AOsDAAAOAAAAAAAAAAEAIAAAADwBAABkcnMvZTJvRG9jLnhtbFBLBQYAAAAABgAGAFkBAACzBQAA&#10;AAA=&#10;">
                        <v:fill on="f" focussize="0,0"/>
                        <v:stroke color="#000000" joinstyle="round" endarrow="block"/>
                        <v:imagedata o:title=""/>
                        <o:lock v:ext="edit" aspectratio="f"/>
                      </v:shape>
                      <v:line id="直线 118" o:spid="_x0000_s1026" o:spt="20" style="position:absolute;left:3796862;top:2665394;flip:y;height:635;width:589280;" filled="f" stroked="t" coordsize="21600,21600" o:gfxdata="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IjRD/1gAAAAUBAAAPAAAAAAAAAAEAIAAAADgAAABkcnMvZG93bnJldi54bWxQSwECFAAUAAAA&#10;CACHTuJA40hRcdoBAAB4AwAADgAAAAAAAAABACAAAAA7AQAAZHJzL2Uyb0RvYy54bWxQSwUGAAAA&#10;AAYABgBZAQAAhwUAAAAA&#10;">
                        <v:fill on="f" focussize="0,0"/>
                        <v:stroke color="#000000" joinstyle="round" endarrow="open"/>
                        <v:imagedata o:title=""/>
                        <o:lock v:ext="edit" aspectratio="f"/>
                      </v:line>
                      <v:shape id="文本框 99" o:spid="_x0000_s1026" o:spt="202" type="#_x0000_t202" style="position:absolute;left:1532566;top:294716;height:252095;width:888097;" fillcolor="#FFFFFF" filled="t" stroked="t" coordsize="21600,21600" o:gfxdata="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ALFm6k1gAAAAUB&#10;AAAPAAAAAAAAAAEAIAAAADgAAABkcnMvZG93bnJldi54bWxQSwECFAAUAAAACACHTuJANu4MzkAC&#10;AABhBAAADgAAAAAAAAABACAAAAA7AQAAZHJzL2Uyb0RvYy54bWxQSwUGAAAAAAYABgBZAQAA7QUA&#10;AAAA&#10;">
                        <v:fill on="t" focussize="0,0"/>
                        <v:stroke color="#000000" miterlimit="8" joinstyle="miter"/>
                        <v:imagedata o:title=""/>
                        <o:lock v:ext="edit" aspectratio="f"/>
                        <v:textbox>
                          <w:txbxContent>
                            <w:p>
                              <w:pPr>
                                <w:pStyle w:val="19"/>
                                <w:spacing w:before="0" w:beforeAutospacing="0" w:after="0" w:afterAutospacing="0"/>
                                <w:jc w:val="center"/>
                              </w:pPr>
                              <w:r>
                                <w:rPr>
                                  <w:rFonts w:hint="eastAsia" w:ascii="Times New Roman"/>
                                  <w:kern w:val="2"/>
                                  <w:sz w:val="21"/>
                                  <w:szCs w:val="21"/>
                                </w:rPr>
                                <w:t>初期雨水池</w:t>
                              </w:r>
                            </w:p>
                          </w:txbxContent>
                        </v:textbox>
                      </v:shape>
                      <v:line id="直线 98" o:spid="_x0000_s1026" o:spt="20" style="position:absolute;left:2436438;top:424511;flip:y;height:0;width:532765;" filled="f" stroked="t" coordsize="21600,21600" o:gfxdata="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IjRD/1gAAAAUBAAAPAAAAAAAAAAEAIAAAADgAAABkcnMvZG93bnJldi54bWxQSwECFAAUAAAA&#10;CACHTuJAB4MZSdoBAAB0AwAADgAAAAAAAAABACAAAAA7AQAAZHJzL2Uyb0RvYy54bWxQSwUGAAAA&#10;AAYABgBZAQAAhwUAAAAA&#10;">
                        <v:fill on="f" focussize="0,0"/>
                        <v:stroke color="#000000" joinstyle="round" endarrow="open"/>
                        <v:imagedata o:title=""/>
                        <o:lock v:ext="edit" aspectratio="f"/>
                      </v:line>
                      <v:line id="直线 98" o:spid="_x0000_s1026" o:spt="20" style="position:absolute;left:983990;top:420644;flip:y;height:0;width:532765;" filled="f" stroked="t" coordsize="21600,21600" o:gfxdata="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I0Q/9YAAAAFAQAADwAAAAAAAAABACAAAAA4AAAAZHJzL2Rvd25yZXYueG1sUEsBAhQAFAAAAAgA&#10;h07iQK8q/pDYAQAAcwMAAA4AAAAAAAAAAQAgAAAAOwEAAGRycy9lMm9Eb2MueG1sUEsFBgAAAAAG&#10;AAYAWQEAAIUFAAAAAA==&#10;">
                        <v:fill on="f" focussize="0,0"/>
                        <v:stroke color="#000000" joinstyle="round" endarrow="open"/>
                        <v:imagedata o:title=""/>
                        <o:lock v:ext="edit" aspectratio="f"/>
                      </v:line>
                      <v:shape id="文本框 359" o:spid="_x0000_s1026" o:spt="202" type="#_x0000_t202" style="position:absolute;left:212308;top:272835;height:296510;width:760095;" fillcolor="#FFFFFF" filled="t" stroked="t" coordsize="21600,21600" o:gfxdata="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AsWbqTWAAAA&#10;BQEAAA8AAAAAAAAAAQAgAAAAOAAAAGRycy9kb3ducmV2LnhtbFBLAQIUABQAAAAIAIdO4kBm8dE2&#10;QgIAAGEEAAAOAAAAAAAAAAEAIAAAADsBAABkcnMvZTJvRG9jLnhtbFBLBQYAAAAABgAGAFkBAADv&#10;BQAAAAA=&#10;">
                        <v:fill on="t" focussize="0,0"/>
                        <v:stroke color="#000000" miterlimit="8" joinstyle="miter"/>
                        <v:imagedata o:title=""/>
                        <o:lock v:ext="edit" aspectratio="f"/>
                        <v:textbox>
                          <w:txbxContent>
                            <w:p>
                              <w:pPr>
                                <w:pStyle w:val="19"/>
                                <w:spacing w:before="0" w:beforeAutospacing="0" w:after="0" w:afterAutospacing="0"/>
                                <w:jc w:val="center"/>
                              </w:pPr>
                              <w:r>
                                <w:rPr>
                                  <w:rFonts w:ascii="Times New Roman" w:hAnsi="Times New Roman"/>
                                  <w:kern w:val="2"/>
                                  <w:sz w:val="21"/>
                                  <w:szCs w:val="21"/>
                                </w:rPr>
                                <w:t>初期雨水</w:t>
                              </w:r>
                            </w:p>
                          </w:txbxContent>
                        </v:textbox>
                      </v:shape>
                      <w10:wrap type="none"/>
                      <w10:anchorlock/>
                    </v:group>
                  </w:pict>
                </mc:Fallback>
              </mc:AlternateContent>
            </w:r>
          </w:p>
          <w:p>
            <w:pPr>
              <w:widowControl/>
              <w:ind w:firstLine="421" w:firstLineChars="200"/>
              <w:jc w:val="center"/>
              <w:rPr>
                <w:color w:val="auto"/>
                <w:sz w:val="24"/>
              </w:rPr>
            </w:pPr>
            <w:r>
              <w:rPr>
                <w:rFonts w:hint="eastAsia"/>
                <w:b/>
                <w:color w:val="auto"/>
                <w:szCs w:val="21"/>
              </w:rPr>
              <w:t>图2-2  改扩建后全厂项目水平衡图</w:t>
            </w:r>
          </w:p>
          <w:p>
            <w:pPr>
              <w:pStyle w:val="47"/>
              <w:adjustRightInd w:val="0"/>
              <w:snapToGrid w:val="0"/>
              <w:spacing w:line="240" w:lineRule="auto"/>
              <w:ind w:firstLine="0"/>
              <w:outlineLvl w:val="2"/>
              <w:rPr>
                <w:b/>
                <w:color w:val="auto"/>
                <w:szCs w:val="24"/>
              </w:rPr>
            </w:pPr>
          </w:p>
          <w:p>
            <w:pPr>
              <w:pStyle w:val="47"/>
              <w:adjustRightInd w:val="0"/>
              <w:snapToGrid w:val="0"/>
              <w:ind w:firstLine="0"/>
              <w:outlineLvl w:val="2"/>
              <w:rPr>
                <w:b/>
                <w:color w:val="auto"/>
                <w:szCs w:val="24"/>
              </w:rPr>
            </w:pPr>
            <w:r>
              <w:rPr>
                <w:rFonts w:hint="eastAsia"/>
                <w:b/>
                <w:color w:val="auto"/>
                <w:szCs w:val="24"/>
              </w:rPr>
              <w:t>2.7</w:t>
            </w:r>
            <w:r>
              <w:rPr>
                <w:b/>
                <w:color w:val="auto"/>
                <w:szCs w:val="24"/>
              </w:rPr>
              <w:t>劳动定员及工作制度</w:t>
            </w:r>
          </w:p>
          <w:p>
            <w:pPr>
              <w:widowControl/>
              <w:spacing w:line="360" w:lineRule="auto"/>
              <w:ind w:firstLine="481" w:firstLineChars="200"/>
              <w:jc w:val="left"/>
              <w:rPr>
                <w:color w:val="auto"/>
                <w:sz w:val="24"/>
              </w:rPr>
            </w:pPr>
            <w:r>
              <w:rPr>
                <w:b/>
                <w:color w:val="auto"/>
                <w:sz w:val="24"/>
              </w:rPr>
              <w:t>劳动定员：</w:t>
            </w:r>
            <w:r>
              <w:rPr>
                <w:rFonts w:hint="eastAsia"/>
                <w:bCs/>
                <w:color w:val="auto"/>
                <w:sz w:val="24"/>
              </w:rPr>
              <w:t>原有</w:t>
            </w:r>
            <w:r>
              <w:rPr>
                <w:rFonts w:hint="eastAsia" w:ascii="宋体" w:hAnsi="宋体" w:cs="宋体"/>
                <w:color w:val="auto"/>
                <w:kern w:val="0"/>
                <w:sz w:val="24"/>
                <w:lang w:bidi="ar"/>
              </w:rPr>
              <w:t>项目共有员工</w:t>
            </w:r>
            <w:r>
              <w:rPr>
                <w:color w:val="auto"/>
                <w:kern w:val="0"/>
                <w:sz w:val="24"/>
                <w:lang w:bidi="ar"/>
              </w:rPr>
              <w:t>80</w:t>
            </w:r>
            <w:r>
              <w:rPr>
                <w:rFonts w:hint="eastAsia" w:ascii="宋体" w:hAnsi="宋体" w:cs="宋体"/>
                <w:color w:val="auto"/>
                <w:kern w:val="0"/>
                <w:sz w:val="24"/>
                <w:lang w:bidi="ar"/>
              </w:rPr>
              <w:t>人。本次改扩建不新增劳动人员</w:t>
            </w:r>
            <w:r>
              <w:rPr>
                <w:rFonts w:hint="eastAsia"/>
                <w:color w:val="auto"/>
                <w:sz w:val="24"/>
              </w:rPr>
              <w:t>。</w:t>
            </w:r>
          </w:p>
          <w:p>
            <w:pPr>
              <w:widowControl/>
              <w:spacing w:line="360" w:lineRule="auto"/>
              <w:ind w:firstLine="481" w:firstLineChars="200"/>
              <w:jc w:val="left"/>
              <w:rPr>
                <w:b/>
                <w:color w:val="auto"/>
              </w:rPr>
            </w:pPr>
            <w:r>
              <w:rPr>
                <w:b/>
                <w:color w:val="auto"/>
                <w:sz w:val="24"/>
              </w:rPr>
              <w:t>工作制度：</w:t>
            </w:r>
            <w:r>
              <w:rPr>
                <w:rFonts w:hint="eastAsia"/>
                <w:bCs/>
                <w:color w:val="auto"/>
                <w:sz w:val="24"/>
              </w:rPr>
              <w:t>原有</w:t>
            </w:r>
            <w:r>
              <w:rPr>
                <w:rFonts w:hint="eastAsia" w:ascii="宋体" w:hAnsi="宋体" w:cs="宋体"/>
                <w:color w:val="auto"/>
                <w:kern w:val="0"/>
                <w:sz w:val="24"/>
                <w:lang w:bidi="ar"/>
              </w:rPr>
              <w:t>项目年工作</w:t>
            </w:r>
            <w:r>
              <w:rPr>
                <w:color w:val="auto"/>
                <w:kern w:val="0"/>
                <w:sz w:val="24"/>
                <w:lang w:bidi="ar"/>
              </w:rPr>
              <w:t>300d</w:t>
            </w:r>
            <w:r>
              <w:rPr>
                <w:rFonts w:hint="eastAsia" w:ascii="宋体" w:hAnsi="宋体" w:cs="宋体"/>
                <w:color w:val="auto"/>
                <w:kern w:val="0"/>
                <w:sz w:val="24"/>
                <w:lang w:bidi="ar"/>
              </w:rPr>
              <w:t>，</w:t>
            </w:r>
            <w:r>
              <w:rPr>
                <w:rFonts w:hint="eastAsia" w:ascii="宋体" w:hAnsi="宋体" w:cs="宋体"/>
                <w:color w:val="auto"/>
                <w:kern w:val="0"/>
                <w:sz w:val="24"/>
                <w:lang w:val="en-US" w:eastAsia="zh-CN" w:bidi="ar"/>
              </w:rPr>
              <w:t>每天</w:t>
            </w:r>
            <w:r>
              <w:rPr>
                <w:rFonts w:hint="eastAsia" w:ascii="宋体" w:hAnsi="宋体" w:cs="宋体"/>
                <w:color w:val="auto"/>
                <w:kern w:val="0"/>
                <w:sz w:val="24"/>
                <w:lang w:bidi="ar"/>
              </w:rPr>
              <w:t>工作</w:t>
            </w:r>
            <w:r>
              <w:rPr>
                <w:color w:val="auto"/>
                <w:kern w:val="0"/>
                <w:sz w:val="24"/>
                <w:lang w:bidi="ar"/>
              </w:rPr>
              <w:t>24</w:t>
            </w:r>
            <w:r>
              <w:rPr>
                <w:rFonts w:hint="eastAsia" w:ascii="宋体" w:hAnsi="宋体" w:cs="宋体"/>
                <w:color w:val="auto"/>
                <w:kern w:val="0"/>
                <w:sz w:val="24"/>
                <w:lang w:bidi="ar"/>
              </w:rPr>
              <w:t>小时。本次改扩建不改变工作制度。</w:t>
            </w:r>
          </w:p>
          <w:p>
            <w:pPr>
              <w:pStyle w:val="47"/>
              <w:adjustRightInd w:val="0"/>
              <w:snapToGrid w:val="0"/>
              <w:ind w:firstLine="0"/>
              <w:outlineLvl w:val="2"/>
              <w:rPr>
                <w:b/>
                <w:color w:val="auto"/>
                <w:szCs w:val="24"/>
              </w:rPr>
            </w:pPr>
            <w:r>
              <w:rPr>
                <w:rFonts w:hint="eastAsia"/>
                <w:b/>
                <w:color w:val="auto"/>
                <w:szCs w:val="24"/>
              </w:rPr>
              <w:t>2.8总平面</w:t>
            </w:r>
            <w:r>
              <w:rPr>
                <w:b/>
                <w:color w:val="auto"/>
                <w:szCs w:val="24"/>
              </w:rPr>
              <w:t>布置</w:t>
            </w:r>
          </w:p>
          <w:p>
            <w:pPr>
              <w:pStyle w:val="47"/>
              <w:adjustRightInd w:val="0"/>
              <w:snapToGrid w:val="0"/>
              <w:ind w:firstLine="480" w:firstLineChars="200"/>
              <w:outlineLvl w:val="2"/>
              <w:rPr>
                <w:color w:val="auto"/>
                <w:szCs w:val="24"/>
              </w:rPr>
            </w:pPr>
            <w:r>
              <w:rPr>
                <w:rFonts w:hint="eastAsia"/>
                <w:color w:val="auto"/>
                <w:szCs w:val="24"/>
              </w:rPr>
              <w:t>本次改扩建，新建隧道窑位于厂区东侧，新建推板窑位于已建隧道窑北侧，库房位于厂区中部，将原产品堆场用地划分一部分作为库房建设用地。焙烧窑与原料堆存区紧邻，减少了物料运输的污染产生量。生产区各职能车间分区明确，且有硬化道路连同，在集约用地的基础上做到了互不干扰。</w:t>
            </w:r>
            <w:r>
              <w:rPr>
                <w:rFonts w:hint="eastAsia"/>
                <w:b/>
                <w:color w:val="auto"/>
                <w:szCs w:val="24"/>
              </w:rPr>
              <w:br w:type="textWrapping"/>
            </w:r>
            <w:r>
              <w:rPr>
                <w:rFonts w:hint="eastAsia"/>
                <w:b/>
                <w:color w:val="auto"/>
                <w:szCs w:val="24"/>
              </w:rPr>
              <w:t>2.9项目总投资及环保投资</w:t>
            </w:r>
          </w:p>
          <w:p>
            <w:pPr>
              <w:pStyle w:val="47"/>
              <w:adjustRightInd w:val="0"/>
              <w:snapToGrid w:val="0"/>
              <w:ind w:firstLine="480" w:firstLineChars="200"/>
              <w:outlineLvl w:val="2"/>
              <w:rPr>
                <w:color w:val="auto"/>
                <w:szCs w:val="24"/>
              </w:rPr>
            </w:pPr>
            <w:r>
              <w:rPr>
                <w:rFonts w:hint="eastAsia"/>
                <w:color w:val="auto"/>
                <w:szCs w:val="24"/>
              </w:rPr>
              <w:t>本次总投资</w:t>
            </w:r>
            <w:r>
              <w:rPr>
                <w:rFonts w:hint="eastAsia"/>
                <w:color w:val="auto"/>
                <w:szCs w:val="24"/>
                <w:lang w:val="en-US" w:eastAsia="zh-CN"/>
              </w:rPr>
              <w:t>1187.79</w:t>
            </w:r>
            <w:r>
              <w:rPr>
                <w:rFonts w:hint="eastAsia"/>
                <w:color w:val="auto"/>
                <w:szCs w:val="24"/>
              </w:rPr>
              <w:t>万元，其中环保投资</w:t>
            </w:r>
            <w:r>
              <w:rPr>
                <w:rFonts w:hint="eastAsia"/>
                <w:color w:val="auto"/>
                <w:szCs w:val="24"/>
                <w:lang w:val="en-US" w:eastAsia="zh-CN"/>
              </w:rPr>
              <w:t>41.3</w:t>
            </w:r>
            <w:r>
              <w:rPr>
                <w:rFonts w:hint="eastAsia"/>
                <w:color w:val="auto"/>
                <w:szCs w:val="24"/>
              </w:rPr>
              <w:t>万元，占总投资的</w:t>
            </w:r>
            <w:r>
              <w:rPr>
                <w:rFonts w:hint="eastAsia"/>
                <w:color w:val="auto"/>
                <w:szCs w:val="24"/>
                <w:lang w:val="en-US" w:eastAsia="zh-CN"/>
              </w:rPr>
              <w:t>3.48</w:t>
            </w:r>
            <w:r>
              <w:rPr>
                <w:rFonts w:hint="eastAsia"/>
                <w:color w:val="auto"/>
                <w:szCs w:val="24"/>
              </w:rPr>
              <w:t>％。改扩建项目环保投资估算一览表见表2-</w:t>
            </w:r>
            <w:r>
              <w:rPr>
                <w:rFonts w:hint="eastAsia"/>
                <w:color w:val="auto"/>
                <w:szCs w:val="24"/>
                <w:lang w:val="en-US" w:eastAsia="zh-CN"/>
              </w:rPr>
              <w:t>6</w:t>
            </w:r>
            <w:r>
              <w:rPr>
                <w:rFonts w:hint="eastAsia"/>
                <w:color w:val="auto"/>
                <w:szCs w:val="24"/>
              </w:rPr>
              <w:t>。</w:t>
            </w:r>
          </w:p>
          <w:p>
            <w:pPr>
              <w:adjustRightInd w:val="0"/>
              <w:snapToGrid w:val="0"/>
              <w:ind w:firstLine="198"/>
              <w:jc w:val="center"/>
              <w:rPr>
                <w:b/>
                <w:color w:val="auto"/>
                <w:szCs w:val="21"/>
              </w:rPr>
            </w:pPr>
            <w:r>
              <w:rPr>
                <w:b/>
                <w:color w:val="auto"/>
                <w:szCs w:val="21"/>
              </w:rPr>
              <w:t>表</w:t>
            </w:r>
            <w:r>
              <w:rPr>
                <w:rFonts w:hint="eastAsia"/>
                <w:b/>
                <w:color w:val="auto"/>
                <w:szCs w:val="21"/>
              </w:rPr>
              <w:t>2-</w:t>
            </w:r>
            <w:r>
              <w:rPr>
                <w:rFonts w:hint="eastAsia"/>
                <w:b/>
                <w:color w:val="auto"/>
                <w:szCs w:val="21"/>
                <w:lang w:val="en-US" w:eastAsia="zh-CN"/>
              </w:rPr>
              <w:t>6</w:t>
            </w:r>
            <w:r>
              <w:rPr>
                <w:b/>
                <w:color w:val="auto"/>
                <w:szCs w:val="21"/>
              </w:rPr>
              <w:t xml:space="preserve"> </w:t>
            </w:r>
            <w:r>
              <w:rPr>
                <w:rFonts w:hint="eastAsia"/>
                <w:b/>
                <w:color w:val="auto"/>
                <w:szCs w:val="21"/>
              </w:rPr>
              <w:t>改扩建</w:t>
            </w:r>
            <w:r>
              <w:rPr>
                <w:b/>
                <w:color w:val="auto"/>
                <w:szCs w:val="21"/>
              </w:rPr>
              <w:t>项目环保投资估算一览表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108" w:type="dxa"/>
                <w:bottom w:w="0" w:type="dxa"/>
                <w:right w:w="108" w:type="dxa"/>
              </w:tblCellMar>
            </w:tblPr>
            <w:tblGrid>
              <w:gridCol w:w="427"/>
              <w:gridCol w:w="665"/>
              <w:gridCol w:w="868"/>
              <w:gridCol w:w="1087"/>
              <w:gridCol w:w="178"/>
              <w:gridCol w:w="3968"/>
              <w:gridCol w:w="1185"/>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255" w:type="pct"/>
                  <w:vAlign w:val="center"/>
                </w:tcPr>
                <w:p>
                  <w:pPr>
                    <w:pStyle w:val="42"/>
                    <w:tabs>
                      <w:tab w:val="right" w:leader="dot" w:pos="8823"/>
                    </w:tabs>
                    <w:spacing w:before="24" w:after="24" w:line="240" w:lineRule="auto"/>
                    <w:rPr>
                      <w:rFonts w:ascii="Times New Roman"/>
                      <w:bCs/>
                      <w:color w:val="auto"/>
                      <w:szCs w:val="21"/>
                    </w:rPr>
                  </w:pPr>
                  <w:r>
                    <w:rPr>
                      <w:rFonts w:ascii="Times New Roman"/>
                      <w:bCs/>
                      <w:color w:val="auto"/>
                      <w:szCs w:val="21"/>
                    </w:rPr>
                    <w:t>序号</w:t>
                  </w:r>
                </w:p>
              </w:tc>
              <w:tc>
                <w:tcPr>
                  <w:tcW w:w="397" w:type="pct"/>
                  <w:tcBorders>
                    <w:right w:val="single" w:color="auto" w:sz="4" w:space="0"/>
                  </w:tcBorders>
                  <w:vAlign w:val="center"/>
                </w:tcPr>
                <w:p>
                  <w:pPr>
                    <w:pStyle w:val="42"/>
                    <w:tabs>
                      <w:tab w:val="right" w:leader="dot" w:pos="8823"/>
                    </w:tabs>
                    <w:spacing w:before="24" w:after="24" w:line="240" w:lineRule="auto"/>
                    <w:rPr>
                      <w:rFonts w:ascii="Times New Roman"/>
                      <w:bCs/>
                      <w:color w:val="auto"/>
                      <w:szCs w:val="21"/>
                    </w:rPr>
                  </w:pPr>
                  <w:r>
                    <w:rPr>
                      <w:rFonts w:hint="eastAsia" w:ascii="Times New Roman"/>
                      <w:bCs/>
                      <w:color w:val="auto"/>
                      <w:szCs w:val="21"/>
                    </w:rPr>
                    <w:t>环境要素</w:t>
                  </w:r>
                </w:p>
              </w:tc>
              <w:tc>
                <w:tcPr>
                  <w:tcW w:w="518" w:type="pct"/>
                  <w:tcBorders>
                    <w:bottom w:val="single" w:color="auto" w:sz="4" w:space="0"/>
                    <w:right w:val="single" w:color="auto" w:sz="4" w:space="0"/>
                  </w:tcBorders>
                  <w:vAlign w:val="center"/>
                </w:tcPr>
                <w:p>
                  <w:pPr>
                    <w:pStyle w:val="42"/>
                    <w:tabs>
                      <w:tab w:val="right" w:leader="dot" w:pos="8823"/>
                    </w:tabs>
                    <w:spacing w:before="24" w:after="24" w:line="240" w:lineRule="auto"/>
                    <w:rPr>
                      <w:rFonts w:ascii="Times New Roman"/>
                      <w:bCs/>
                      <w:color w:val="auto"/>
                      <w:szCs w:val="21"/>
                    </w:rPr>
                  </w:pPr>
                  <w:r>
                    <w:rPr>
                      <w:rFonts w:hint="eastAsia" w:ascii="Times New Roman"/>
                      <w:bCs/>
                      <w:color w:val="auto"/>
                      <w:szCs w:val="21"/>
                    </w:rPr>
                    <w:t>时段</w:t>
                  </w:r>
                </w:p>
              </w:tc>
              <w:tc>
                <w:tcPr>
                  <w:tcW w:w="3123" w:type="pct"/>
                  <w:gridSpan w:val="3"/>
                  <w:tcBorders>
                    <w:bottom w:val="single" w:color="auto" w:sz="4" w:space="0"/>
                    <w:right w:val="single" w:color="auto" w:sz="4" w:space="0"/>
                  </w:tcBorders>
                  <w:vAlign w:val="center"/>
                </w:tcPr>
                <w:p>
                  <w:pPr>
                    <w:pStyle w:val="42"/>
                    <w:tabs>
                      <w:tab w:val="right" w:leader="dot" w:pos="8823"/>
                    </w:tabs>
                    <w:spacing w:before="24" w:after="24" w:line="240" w:lineRule="auto"/>
                    <w:rPr>
                      <w:rFonts w:ascii="Times New Roman"/>
                      <w:bCs/>
                      <w:color w:val="auto"/>
                      <w:szCs w:val="21"/>
                    </w:rPr>
                  </w:pPr>
                  <w:r>
                    <w:rPr>
                      <w:rFonts w:hint="eastAsia" w:ascii="Times New Roman"/>
                      <w:bCs/>
                      <w:color w:val="auto"/>
                      <w:szCs w:val="21"/>
                    </w:rPr>
                    <w:t>环保措施</w:t>
                  </w:r>
                </w:p>
              </w:tc>
              <w:tc>
                <w:tcPr>
                  <w:tcW w:w="707" w:type="pct"/>
                  <w:tcBorders>
                    <w:bottom w:val="single" w:color="auto" w:sz="4" w:space="0"/>
                    <w:right w:val="single" w:color="auto" w:sz="4" w:space="0"/>
                  </w:tcBorders>
                  <w:vAlign w:val="center"/>
                </w:tcPr>
                <w:p>
                  <w:pPr>
                    <w:pStyle w:val="42"/>
                    <w:tabs>
                      <w:tab w:val="right" w:leader="dot" w:pos="8823"/>
                    </w:tabs>
                    <w:spacing w:before="24" w:after="24" w:line="240" w:lineRule="auto"/>
                    <w:rPr>
                      <w:rFonts w:ascii="Times New Roman"/>
                      <w:bCs/>
                      <w:color w:val="auto"/>
                      <w:szCs w:val="21"/>
                    </w:rPr>
                  </w:pPr>
                  <w:r>
                    <w:rPr>
                      <w:rFonts w:ascii="Times New Roman"/>
                      <w:bCs/>
                      <w:color w:val="auto"/>
                      <w:szCs w:val="21"/>
                    </w:rPr>
                    <w:t>投</w:t>
                  </w:r>
                  <w:r>
                    <w:rPr>
                      <w:rFonts w:hint="eastAsia" w:ascii="Times New Roman"/>
                      <w:bCs/>
                      <w:color w:val="auto"/>
                      <w:szCs w:val="21"/>
                    </w:rPr>
                    <w:t>资</w:t>
                  </w:r>
                </w:p>
                <w:p>
                  <w:pPr>
                    <w:pStyle w:val="42"/>
                    <w:tabs>
                      <w:tab w:val="right" w:leader="dot" w:pos="8823"/>
                    </w:tabs>
                    <w:spacing w:before="24" w:after="24" w:line="240" w:lineRule="auto"/>
                    <w:rPr>
                      <w:rFonts w:ascii="Times New Roman"/>
                      <w:bCs/>
                      <w:color w:val="auto"/>
                      <w:szCs w:val="21"/>
                    </w:rPr>
                  </w:pPr>
                  <w:r>
                    <w:rPr>
                      <w:rFonts w:ascii="Times New Roman"/>
                      <w:bCs/>
                      <w:color w:val="auto"/>
                      <w:szCs w:val="21"/>
                    </w:rPr>
                    <w:t>（万元）</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255" w:type="pct"/>
                  <w:vMerge w:val="restart"/>
                  <w:vAlign w:val="center"/>
                </w:tcPr>
                <w:p>
                  <w:pPr>
                    <w:pStyle w:val="42"/>
                    <w:tabs>
                      <w:tab w:val="right" w:leader="dot" w:pos="8823"/>
                    </w:tabs>
                    <w:spacing w:before="24" w:after="24" w:line="240" w:lineRule="auto"/>
                    <w:rPr>
                      <w:rFonts w:ascii="Times New Roman"/>
                      <w:color w:val="auto"/>
                      <w:szCs w:val="21"/>
                    </w:rPr>
                  </w:pPr>
                  <w:r>
                    <w:rPr>
                      <w:rFonts w:ascii="Times New Roman"/>
                      <w:color w:val="auto"/>
                      <w:szCs w:val="21"/>
                    </w:rPr>
                    <w:t>1</w:t>
                  </w:r>
                </w:p>
              </w:tc>
              <w:tc>
                <w:tcPr>
                  <w:tcW w:w="397" w:type="pct"/>
                  <w:vMerge w:val="restart"/>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r>
                    <w:rPr>
                      <w:rFonts w:hint="eastAsia" w:ascii="Times New Roman"/>
                      <w:color w:val="auto"/>
                      <w:szCs w:val="21"/>
                    </w:rPr>
                    <w:t>废气</w:t>
                  </w:r>
                </w:p>
              </w:tc>
              <w:tc>
                <w:tcPr>
                  <w:tcW w:w="518" w:type="pct"/>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r>
                    <w:rPr>
                      <w:rFonts w:hint="eastAsia" w:ascii="Times New Roman"/>
                      <w:color w:val="auto"/>
                      <w:szCs w:val="21"/>
                    </w:rPr>
                    <w:t>施工期</w:t>
                  </w:r>
                </w:p>
              </w:tc>
              <w:tc>
                <w:tcPr>
                  <w:tcW w:w="3123" w:type="pct"/>
                  <w:gridSpan w:val="3"/>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r>
                    <w:rPr>
                      <w:rFonts w:hint="eastAsia" w:ascii="Times New Roman"/>
                      <w:color w:val="auto"/>
                      <w:szCs w:val="21"/>
                    </w:rPr>
                    <w:t>洒水降尘、封闭运输、覆盖</w:t>
                  </w:r>
                </w:p>
              </w:tc>
              <w:tc>
                <w:tcPr>
                  <w:tcW w:w="707" w:type="pct"/>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r>
                    <w:rPr>
                      <w:rFonts w:hint="eastAsia" w:ascii="Times New Roman"/>
                      <w:color w:val="auto"/>
                      <w:szCs w:val="21"/>
                    </w:rPr>
                    <w:t>1</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255" w:type="pct"/>
                  <w:vMerge w:val="continue"/>
                  <w:vAlign w:val="center"/>
                </w:tcPr>
                <w:p>
                  <w:pPr>
                    <w:pStyle w:val="42"/>
                    <w:tabs>
                      <w:tab w:val="right" w:leader="dot" w:pos="8823"/>
                    </w:tabs>
                    <w:spacing w:before="24" w:after="24" w:line="240" w:lineRule="auto"/>
                    <w:rPr>
                      <w:rFonts w:ascii="Times New Roman"/>
                      <w:color w:val="auto"/>
                      <w:szCs w:val="21"/>
                    </w:rPr>
                  </w:pPr>
                </w:p>
              </w:tc>
              <w:tc>
                <w:tcPr>
                  <w:tcW w:w="397"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c>
                <w:tcPr>
                  <w:tcW w:w="518" w:type="pct"/>
                  <w:vMerge w:val="restart"/>
                  <w:tcBorders>
                    <w:right w:val="single" w:color="auto" w:sz="4" w:space="0"/>
                  </w:tcBorders>
                  <w:vAlign w:val="center"/>
                </w:tcPr>
                <w:p>
                  <w:pPr>
                    <w:pStyle w:val="42"/>
                    <w:tabs>
                      <w:tab w:val="right" w:leader="dot" w:pos="8823"/>
                    </w:tabs>
                    <w:spacing w:before="24" w:after="24" w:line="240" w:lineRule="auto"/>
                    <w:rPr>
                      <w:rFonts w:hint="eastAsia" w:ascii="Times New Roman" w:eastAsia="宋体"/>
                      <w:color w:val="auto"/>
                      <w:szCs w:val="21"/>
                      <w:lang w:val="en-US" w:eastAsia="zh-CN"/>
                    </w:rPr>
                  </w:pPr>
                  <w:r>
                    <w:rPr>
                      <w:rFonts w:hint="eastAsia" w:ascii="Times New Roman"/>
                      <w:color w:val="auto"/>
                      <w:szCs w:val="21"/>
                      <w:lang w:val="en-US" w:eastAsia="zh-CN"/>
                    </w:rPr>
                    <w:t>运营期</w:t>
                  </w:r>
                </w:p>
              </w:tc>
              <w:tc>
                <w:tcPr>
                  <w:tcW w:w="649" w:type="pct"/>
                  <w:tcBorders>
                    <w:right w:val="single" w:color="auto" w:sz="4" w:space="0"/>
                  </w:tcBorders>
                  <w:vAlign w:val="center"/>
                </w:tcPr>
                <w:p>
                  <w:pPr>
                    <w:pStyle w:val="42"/>
                    <w:tabs>
                      <w:tab w:val="right" w:leader="dot" w:pos="8823"/>
                    </w:tabs>
                    <w:spacing w:beforeLines="0" w:afterLines="0" w:line="240" w:lineRule="auto"/>
                    <w:rPr>
                      <w:rFonts w:ascii="Times New Roman"/>
                      <w:color w:val="auto"/>
                      <w:szCs w:val="21"/>
                    </w:rPr>
                  </w:pPr>
                  <w:r>
                    <w:rPr>
                      <w:rFonts w:hint="eastAsia" w:ascii="Times New Roman"/>
                      <w:color w:val="auto"/>
                      <w:szCs w:val="21"/>
                    </w:rPr>
                    <w:t>脉冲布袋</w:t>
                  </w:r>
                </w:p>
                <w:p>
                  <w:pPr>
                    <w:pStyle w:val="42"/>
                    <w:tabs>
                      <w:tab w:val="right" w:leader="dot" w:pos="8823"/>
                    </w:tabs>
                    <w:spacing w:beforeLines="0" w:afterLines="0" w:line="240" w:lineRule="auto"/>
                    <w:rPr>
                      <w:rFonts w:ascii="Times New Roman"/>
                      <w:color w:val="auto"/>
                      <w:szCs w:val="21"/>
                    </w:rPr>
                  </w:pPr>
                  <w:r>
                    <w:rPr>
                      <w:rFonts w:hint="eastAsia" w:ascii="Times New Roman"/>
                      <w:color w:val="auto"/>
                      <w:szCs w:val="21"/>
                    </w:rPr>
                    <w:t>除尘器</w:t>
                  </w:r>
                </w:p>
              </w:tc>
              <w:tc>
                <w:tcPr>
                  <w:tcW w:w="2474" w:type="pct"/>
                  <w:gridSpan w:val="2"/>
                  <w:tcBorders>
                    <w:left w:val="single" w:color="auto" w:sz="4" w:space="0"/>
                    <w:right w:val="single" w:color="auto" w:sz="4" w:space="0"/>
                  </w:tcBorders>
                  <w:vAlign w:val="center"/>
                </w:tcPr>
                <w:p>
                  <w:pPr>
                    <w:pStyle w:val="42"/>
                    <w:tabs>
                      <w:tab w:val="right" w:leader="dot" w:pos="8823"/>
                    </w:tabs>
                    <w:spacing w:beforeLines="0" w:afterLines="0" w:line="240" w:lineRule="auto"/>
                    <w:jc w:val="both"/>
                    <w:rPr>
                      <w:rFonts w:ascii="Times New Roman"/>
                      <w:color w:val="auto"/>
                      <w:szCs w:val="21"/>
                    </w:rPr>
                  </w:pPr>
                  <w:r>
                    <w:rPr>
                      <w:rFonts w:hint="eastAsia" w:ascii="Times New Roman"/>
                      <w:color w:val="auto"/>
                      <w:szCs w:val="21"/>
                    </w:rPr>
                    <w:t>新增4套脉冲袋式除尘器，用于处理破碎车间粉尘</w:t>
                  </w:r>
                </w:p>
              </w:tc>
              <w:tc>
                <w:tcPr>
                  <w:tcW w:w="707" w:type="pct"/>
                  <w:tcBorders>
                    <w:bottom w:val="single" w:color="auto" w:sz="4" w:space="0"/>
                    <w:right w:val="single" w:color="auto" w:sz="4" w:space="0"/>
                  </w:tcBorders>
                  <w:vAlign w:val="center"/>
                </w:tcPr>
                <w:p>
                  <w:pPr>
                    <w:pStyle w:val="42"/>
                    <w:tabs>
                      <w:tab w:val="right" w:leader="dot" w:pos="8823"/>
                    </w:tabs>
                    <w:spacing w:before="24" w:after="24" w:line="240" w:lineRule="auto"/>
                    <w:rPr>
                      <w:rFonts w:hint="default" w:ascii="Times New Roman" w:eastAsia="宋体"/>
                      <w:color w:val="auto"/>
                      <w:szCs w:val="21"/>
                      <w:lang w:val="en-US" w:eastAsia="zh-CN"/>
                    </w:rPr>
                  </w:pPr>
                  <w:r>
                    <w:rPr>
                      <w:rFonts w:hint="eastAsia" w:ascii="Times New Roman"/>
                      <w:color w:val="auto"/>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255" w:type="pct"/>
                  <w:vMerge w:val="continue"/>
                  <w:vAlign w:val="center"/>
                </w:tcPr>
                <w:p>
                  <w:pPr>
                    <w:pStyle w:val="42"/>
                    <w:tabs>
                      <w:tab w:val="right" w:leader="dot" w:pos="8823"/>
                    </w:tabs>
                    <w:spacing w:before="24" w:after="24" w:line="240" w:lineRule="auto"/>
                    <w:rPr>
                      <w:rFonts w:ascii="Times New Roman"/>
                      <w:color w:val="auto"/>
                      <w:szCs w:val="21"/>
                    </w:rPr>
                  </w:pPr>
                </w:p>
              </w:tc>
              <w:tc>
                <w:tcPr>
                  <w:tcW w:w="397" w:type="pct"/>
                  <w:vMerge w:val="continue"/>
                  <w:tcBorders>
                    <w:bottom w:val="single" w:color="auto" w:sz="4" w:space="0"/>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c>
                <w:tcPr>
                  <w:tcW w:w="518"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c>
                <w:tcPr>
                  <w:tcW w:w="649" w:type="pct"/>
                  <w:tcBorders>
                    <w:right w:val="single" w:color="auto" w:sz="4" w:space="0"/>
                  </w:tcBorders>
                  <w:vAlign w:val="center"/>
                </w:tcPr>
                <w:p>
                  <w:pPr>
                    <w:pStyle w:val="42"/>
                    <w:tabs>
                      <w:tab w:val="right" w:leader="dot" w:pos="8823"/>
                    </w:tabs>
                    <w:spacing w:beforeLines="0" w:afterLines="0" w:line="240" w:lineRule="auto"/>
                    <w:rPr>
                      <w:rFonts w:hint="eastAsia" w:ascii="Times New Roman" w:eastAsia="宋体"/>
                      <w:color w:val="auto"/>
                      <w:szCs w:val="21"/>
                      <w:lang w:eastAsia="zh-CN"/>
                    </w:rPr>
                  </w:pPr>
                  <w:r>
                    <w:rPr>
                      <w:rFonts w:hint="eastAsia" w:ascii="Times New Roman"/>
                      <w:color w:val="auto"/>
                      <w:szCs w:val="21"/>
                      <w:lang w:eastAsia="zh-CN"/>
                    </w:rPr>
                    <w:t>石灰石膏法脱硫塔</w:t>
                  </w:r>
                </w:p>
              </w:tc>
              <w:tc>
                <w:tcPr>
                  <w:tcW w:w="2474" w:type="pct"/>
                  <w:gridSpan w:val="2"/>
                  <w:tcBorders>
                    <w:left w:val="single" w:color="auto" w:sz="4" w:space="0"/>
                    <w:right w:val="single" w:color="auto" w:sz="4" w:space="0"/>
                  </w:tcBorders>
                  <w:vAlign w:val="center"/>
                </w:tcPr>
                <w:p>
                  <w:pPr>
                    <w:pStyle w:val="42"/>
                    <w:tabs>
                      <w:tab w:val="right" w:leader="dot" w:pos="8823"/>
                    </w:tabs>
                    <w:spacing w:beforeLines="0" w:afterLines="0" w:line="240" w:lineRule="auto"/>
                    <w:jc w:val="both"/>
                    <w:rPr>
                      <w:rFonts w:ascii="Times New Roman"/>
                      <w:color w:val="auto"/>
                      <w:szCs w:val="21"/>
                    </w:rPr>
                  </w:pPr>
                  <w:r>
                    <w:rPr>
                      <w:rFonts w:hint="eastAsia" w:ascii="Times New Roman"/>
                      <w:color w:val="auto"/>
                      <w:kern w:val="2"/>
                      <w:szCs w:val="21"/>
                    </w:rPr>
                    <w:t>1座，用于处理生产过程产生的冷烟气</w:t>
                  </w:r>
                </w:p>
              </w:tc>
              <w:tc>
                <w:tcPr>
                  <w:tcW w:w="707" w:type="pct"/>
                  <w:tcBorders>
                    <w:top w:val="single" w:color="auto" w:sz="4" w:space="0"/>
                    <w:bottom w:val="single" w:color="auto" w:sz="4" w:space="0"/>
                    <w:right w:val="single" w:color="auto" w:sz="4" w:space="0"/>
                  </w:tcBorders>
                  <w:vAlign w:val="center"/>
                </w:tcPr>
                <w:p>
                  <w:pPr>
                    <w:pStyle w:val="42"/>
                    <w:tabs>
                      <w:tab w:val="right" w:leader="dot" w:pos="8823"/>
                    </w:tabs>
                    <w:spacing w:before="24" w:after="24" w:line="240" w:lineRule="auto"/>
                    <w:rPr>
                      <w:rFonts w:ascii="Times New Roman"/>
                      <w:color w:val="auto"/>
                      <w:szCs w:val="21"/>
                    </w:rPr>
                  </w:pPr>
                  <w:r>
                    <w:rPr>
                      <w:rFonts w:ascii="Times New Roman"/>
                      <w:color w:val="auto"/>
                      <w:szCs w:val="21"/>
                    </w:rPr>
                    <w:t>依托原有</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255" w:type="pct"/>
                  <w:vMerge w:val="restart"/>
                  <w:vAlign w:val="center"/>
                </w:tcPr>
                <w:p>
                  <w:pPr>
                    <w:pStyle w:val="42"/>
                    <w:tabs>
                      <w:tab w:val="right" w:leader="dot" w:pos="8823"/>
                    </w:tabs>
                    <w:spacing w:before="24" w:after="24" w:line="240" w:lineRule="auto"/>
                    <w:rPr>
                      <w:rFonts w:ascii="Times New Roman"/>
                      <w:color w:val="auto"/>
                      <w:szCs w:val="21"/>
                    </w:rPr>
                  </w:pPr>
                  <w:r>
                    <w:rPr>
                      <w:rFonts w:hint="eastAsia" w:ascii="Times New Roman"/>
                      <w:color w:val="auto"/>
                      <w:szCs w:val="21"/>
                    </w:rPr>
                    <w:t>2</w:t>
                  </w:r>
                </w:p>
              </w:tc>
              <w:tc>
                <w:tcPr>
                  <w:tcW w:w="397" w:type="pct"/>
                  <w:vMerge w:val="restart"/>
                  <w:tcBorders>
                    <w:top w:val="single" w:color="auto" w:sz="4" w:space="0"/>
                    <w:right w:val="single" w:color="auto" w:sz="4" w:space="0"/>
                  </w:tcBorders>
                  <w:vAlign w:val="center"/>
                </w:tcPr>
                <w:p>
                  <w:pPr>
                    <w:pStyle w:val="42"/>
                    <w:tabs>
                      <w:tab w:val="right" w:leader="dot" w:pos="8823"/>
                    </w:tabs>
                    <w:spacing w:before="24" w:after="24" w:line="240" w:lineRule="auto"/>
                    <w:rPr>
                      <w:rFonts w:ascii="Times New Roman"/>
                      <w:color w:val="auto"/>
                      <w:szCs w:val="21"/>
                    </w:rPr>
                  </w:pPr>
                  <w:r>
                    <w:rPr>
                      <w:rFonts w:hint="eastAsia" w:ascii="Times New Roman"/>
                      <w:color w:val="auto"/>
                      <w:szCs w:val="21"/>
                    </w:rPr>
                    <w:t>废水</w:t>
                  </w:r>
                </w:p>
              </w:tc>
              <w:tc>
                <w:tcPr>
                  <w:tcW w:w="518" w:type="pct"/>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r>
                    <w:rPr>
                      <w:rFonts w:hint="eastAsia" w:ascii="Times New Roman"/>
                      <w:color w:val="auto"/>
                      <w:szCs w:val="21"/>
                    </w:rPr>
                    <w:t>施工期</w:t>
                  </w:r>
                </w:p>
              </w:tc>
              <w:tc>
                <w:tcPr>
                  <w:tcW w:w="3123" w:type="pct"/>
                  <w:gridSpan w:val="3"/>
                  <w:tcBorders>
                    <w:right w:val="single" w:color="auto" w:sz="4" w:space="0"/>
                  </w:tcBorders>
                  <w:vAlign w:val="center"/>
                </w:tcPr>
                <w:p>
                  <w:pPr>
                    <w:widowControl/>
                    <w:jc w:val="center"/>
                    <w:rPr>
                      <w:color w:val="auto"/>
                      <w:szCs w:val="21"/>
                    </w:rPr>
                  </w:pPr>
                  <w:r>
                    <w:rPr>
                      <w:rFonts w:hint="eastAsia"/>
                      <w:color w:val="auto"/>
                      <w:szCs w:val="21"/>
                    </w:rPr>
                    <w:t>废水收集桶收集沉淀后用于洒水降尘</w:t>
                  </w:r>
                </w:p>
              </w:tc>
              <w:tc>
                <w:tcPr>
                  <w:tcW w:w="707" w:type="pct"/>
                  <w:tcBorders>
                    <w:top w:val="single" w:color="auto" w:sz="4" w:space="0"/>
                    <w:bottom w:val="single" w:color="auto" w:sz="4" w:space="0"/>
                    <w:right w:val="single" w:color="auto" w:sz="4" w:space="0"/>
                  </w:tcBorders>
                  <w:vAlign w:val="center"/>
                </w:tcPr>
                <w:p>
                  <w:pPr>
                    <w:pStyle w:val="42"/>
                    <w:tabs>
                      <w:tab w:val="right" w:leader="dot" w:pos="8823"/>
                    </w:tabs>
                    <w:spacing w:before="24" w:after="24" w:line="240" w:lineRule="auto"/>
                    <w:rPr>
                      <w:rFonts w:ascii="Times New Roman"/>
                      <w:color w:val="auto"/>
                      <w:szCs w:val="21"/>
                    </w:rPr>
                  </w:pPr>
                  <w:r>
                    <w:rPr>
                      <w:rFonts w:hint="eastAsia" w:ascii="Times New Roman"/>
                      <w:color w:val="auto"/>
                      <w:szCs w:val="21"/>
                    </w:rPr>
                    <w:t>0.2</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255" w:type="pct"/>
                  <w:vMerge w:val="continue"/>
                  <w:vAlign w:val="center"/>
                </w:tcPr>
                <w:p>
                  <w:pPr>
                    <w:pStyle w:val="42"/>
                    <w:tabs>
                      <w:tab w:val="right" w:leader="dot" w:pos="8823"/>
                    </w:tabs>
                    <w:spacing w:before="24" w:after="24" w:line="240" w:lineRule="auto"/>
                    <w:rPr>
                      <w:rFonts w:ascii="Times New Roman"/>
                      <w:color w:val="auto"/>
                      <w:szCs w:val="21"/>
                    </w:rPr>
                  </w:pPr>
                </w:p>
              </w:tc>
              <w:tc>
                <w:tcPr>
                  <w:tcW w:w="397"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c>
                <w:tcPr>
                  <w:tcW w:w="518" w:type="pct"/>
                  <w:vMerge w:val="restart"/>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r>
                    <w:rPr>
                      <w:rFonts w:hint="eastAsia" w:ascii="Times New Roman"/>
                      <w:color w:val="auto"/>
                      <w:szCs w:val="21"/>
                    </w:rPr>
                    <w:t>运营期</w:t>
                  </w:r>
                </w:p>
              </w:tc>
              <w:tc>
                <w:tcPr>
                  <w:tcW w:w="755" w:type="pct"/>
                  <w:gridSpan w:val="2"/>
                  <w:tcBorders>
                    <w:right w:val="single" w:color="auto" w:sz="4" w:space="0"/>
                  </w:tcBorders>
                  <w:vAlign w:val="center"/>
                </w:tcPr>
                <w:p>
                  <w:pPr>
                    <w:pStyle w:val="42"/>
                    <w:tabs>
                      <w:tab w:val="right" w:leader="dot" w:pos="8823"/>
                    </w:tabs>
                    <w:spacing w:beforeLines="0" w:afterLines="0" w:line="240" w:lineRule="auto"/>
                    <w:rPr>
                      <w:rFonts w:ascii="Times New Roman"/>
                      <w:color w:val="auto"/>
                      <w:szCs w:val="21"/>
                    </w:rPr>
                  </w:pPr>
                  <w:r>
                    <w:rPr>
                      <w:rFonts w:hint="eastAsia" w:ascii="Times New Roman"/>
                      <w:color w:val="auto"/>
                      <w:szCs w:val="21"/>
                    </w:rPr>
                    <w:t>再生池</w:t>
                  </w:r>
                </w:p>
              </w:tc>
              <w:tc>
                <w:tcPr>
                  <w:tcW w:w="2368" w:type="pct"/>
                  <w:tcBorders>
                    <w:left w:val="single" w:color="auto" w:sz="4" w:space="0"/>
                    <w:right w:val="single" w:color="auto" w:sz="4" w:space="0"/>
                  </w:tcBorders>
                  <w:vAlign w:val="center"/>
                </w:tcPr>
                <w:p>
                  <w:pPr>
                    <w:widowControl/>
                    <w:rPr>
                      <w:color w:val="auto"/>
                      <w:szCs w:val="21"/>
                    </w:rPr>
                  </w:pPr>
                  <w:r>
                    <w:rPr>
                      <w:rFonts w:hint="eastAsia"/>
                      <w:color w:val="auto"/>
                      <w:szCs w:val="21"/>
                    </w:rPr>
                    <w:t>1座，容积为3m</w:t>
                  </w:r>
                  <w:r>
                    <w:rPr>
                      <w:rFonts w:hint="eastAsia"/>
                      <w:color w:val="auto"/>
                      <w:szCs w:val="21"/>
                      <w:vertAlign w:val="superscript"/>
                    </w:rPr>
                    <w:t>3</w:t>
                  </w:r>
                  <w:r>
                    <w:rPr>
                      <w:rFonts w:hint="eastAsia"/>
                      <w:color w:val="auto"/>
                      <w:szCs w:val="21"/>
                    </w:rPr>
                    <w:t>，用于沉淀处理石灰石膏法脱硫塔延期处理废水</w:t>
                  </w:r>
                </w:p>
              </w:tc>
              <w:tc>
                <w:tcPr>
                  <w:tcW w:w="707" w:type="pct"/>
                  <w:vMerge w:val="restart"/>
                  <w:tcBorders>
                    <w:top w:val="single" w:color="auto" w:sz="4" w:space="0"/>
                    <w:right w:val="single" w:color="auto" w:sz="4" w:space="0"/>
                  </w:tcBorders>
                  <w:vAlign w:val="center"/>
                </w:tcPr>
                <w:p>
                  <w:pPr>
                    <w:pStyle w:val="42"/>
                    <w:tabs>
                      <w:tab w:val="right" w:leader="dot" w:pos="8823"/>
                    </w:tabs>
                    <w:spacing w:before="24" w:after="24" w:line="240" w:lineRule="auto"/>
                    <w:rPr>
                      <w:rFonts w:ascii="Times New Roman"/>
                      <w:color w:val="auto"/>
                      <w:szCs w:val="21"/>
                    </w:rPr>
                  </w:pPr>
                  <w:r>
                    <w:rPr>
                      <w:rFonts w:hint="eastAsia" w:ascii="Times New Roman"/>
                      <w:color w:val="auto"/>
                      <w:szCs w:val="21"/>
                    </w:rPr>
                    <w:t>依托原有</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255" w:type="pct"/>
                  <w:vMerge w:val="continue"/>
                  <w:vAlign w:val="center"/>
                </w:tcPr>
                <w:p>
                  <w:pPr>
                    <w:pStyle w:val="42"/>
                    <w:tabs>
                      <w:tab w:val="right" w:leader="dot" w:pos="8823"/>
                    </w:tabs>
                    <w:spacing w:before="24" w:after="24" w:line="240" w:lineRule="auto"/>
                    <w:rPr>
                      <w:rFonts w:ascii="Times New Roman"/>
                      <w:color w:val="auto"/>
                      <w:szCs w:val="21"/>
                    </w:rPr>
                  </w:pPr>
                </w:p>
              </w:tc>
              <w:tc>
                <w:tcPr>
                  <w:tcW w:w="397"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c>
                <w:tcPr>
                  <w:tcW w:w="518"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c>
                <w:tcPr>
                  <w:tcW w:w="755" w:type="pct"/>
                  <w:gridSpan w:val="2"/>
                  <w:tcBorders>
                    <w:right w:val="single" w:color="auto" w:sz="4" w:space="0"/>
                  </w:tcBorders>
                  <w:vAlign w:val="center"/>
                </w:tcPr>
                <w:p>
                  <w:pPr>
                    <w:pStyle w:val="42"/>
                    <w:tabs>
                      <w:tab w:val="right" w:leader="dot" w:pos="8823"/>
                    </w:tabs>
                    <w:spacing w:beforeLines="0" w:afterLines="0" w:line="240" w:lineRule="auto"/>
                    <w:rPr>
                      <w:rFonts w:ascii="Times New Roman"/>
                      <w:color w:val="auto"/>
                      <w:szCs w:val="21"/>
                    </w:rPr>
                  </w:pPr>
                  <w:r>
                    <w:rPr>
                      <w:rFonts w:hint="eastAsia" w:ascii="Times New Roman"/>
                      <w:color w:val="auto"/>
                      <w:szCs w:val="21"/>
                    </w:rPr>
                    <w:t>压滤机</w:t>
                  </w:r>
                </w:p>
              </w:tc>
              <w:tc>
                <w:tcPr>
                  <w:tcW w:w="2368" w:type="pct"/>
                  <w:tcBorders>
                    <w:left w:val="single" w:color="auto" w:sz="4" w:space="0"/>
                    <w:right w:val="single" w:color="auto" w:sz="4" w:space="0"/>
                  </w:tcBorders>
                  <w:vAlign w:val="center"/>
                </w:tcPr>
                <w:p>
                  <w:pPr>
                    <w:adjustRightInd w:val="0"/>
                    <w:snapToGrid w:val="0"/>
                    <w:rPr>
                      <w:color w:val="auto"/>
                      <w:szCs w:val="21"/>
                    </w:rPr>
                  </w:pPr>
                  <w:r>
                    <w:rPr>
                      <w:rFonts w:hint="eastAsia"/>
                      <w:color w:val="auto"/>
                      <w:szCs w:val="21"/>
                    </w:rPr>
                    <w:t>1台，板框式压滤机，用于去除石灰石膏法脱硫塔废水中沉淀物</w:t>
                  </w:r>
                </w:p>
              </w:tc>
              <w:tc>
                <w:tcPr>
                  <w:tcW w:w="707"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255" w:type="pct"/>
                  <w:vMerge w:val="continue"/>
                  <w:vAlign w:val="center"/>
                </w:tcPr>
                <w:p>
                  <w:pPr>
                    <w:pStyle w:val="42"/>
                    <w:tabs>
                      <w:tab w:val="right" w:leader="dot" w:pos="8823"/>
                    </w:tabs>
                    <w:spacing w:before="24" w:after="24" w:line="240" w:lineRule="auto"/>
                    <w:rPr>
                      <w:rFonts w:ascii="Times New Roman"/>
                      <w:color w:val="auto"/>
                      <w:szCs w:val="21"/>
                    </w:rPr>
                  </w:pPr>
                </w:p>
              </w:tc>
              <w:tc>
                <w:tcPr>
                  <w:tcW w:w="397"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c>
                <w:tcPr>
                  <w:tcW w:w="518"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c>
                <w:tcPr>
                  <w:tcW w:w="755" w:type="pct"/>
                  <w:gridSpan w:val="2"/>
                  <w:tcBorders>
                    <w:right w:val="single" w:color="auto" w:sz="4" w:space="0"/>
                  </w:tcBorders>
                  <w:vAlign w:val="center"/>
                </w:tcPr>
                <w:p>
                  <w:pPr>
                    <w:pStyle w:val="42"/>
                    <w:tabs>
                      <w:tab w:val="right" w:leader="dot" w:pos="8823"/>
                    </w:tabs>
                    <w:spacing w:beforeLines="0" w:afterLines="0" w:line="240" w:lineRule="auto"/>
                    <w:rPr>
                      <w:rFonts w:ascii="Times New Roman"/>
                      <w:color w:val="auto"/>
                      <w:szCs w:val="21"/>
                    </w:rPr>
                  </w:pPr>
                  <w:r>
                    <w:rPr>
                      <w:rFonts w:hint="eastAsia" w:ascii="Times New Roman"/>
                      <w:color w:val="auto"/>
                      <w:szCs w:val="21"/>
                    </w:rPr>
                    <w:t>循环池</w:t>
                  </w:r>
                </w:p>
              </w:tc>
              <w:tc>
                <w:tcPr>
                  <w:tcW w:w="2368" w:type="pct"/>
                  <w:tcBorders>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1座，容积为3m</w:t>
                  </w:r>
                  <w:r>
                    <w:rPr>
                      <w:rFonts w:hint="eastAsia"/>
                      <w:color w:val="auto"/>
                      <w:szCs w:val="21"/>
                      <w:vertAlign w:val="superscript"/>
                    </w:rPr>
                    <w:t>3</w:t>
                  </w:r>
                </w:p>
              </w:tc>
              <w:tc>
                <w:tcPr>
                  <w:tcW w:w="707"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255" w:type="pct"/>
                  <w:vMerge w:val="continue"/>
                  <w:vAlign w:val="center"/>
                </w:tcPr>
                <w:p>
                  <w:pPr>
                    <w:pStyle w:val="42"/>
                    <w:tabs>
                      <w:tab w:val="right" w:leader="dot" w:pos="8823"/>
                    </w:tabs>
                    <w:spacing w:before="24" w:after="24" w:line="240" w:lineRule="auto"/>
                    <w:rPr>
                      <w:rFonts w:ascii="Times New Roman"/>
                      <w:color w:val="auto"/>
                      <w:szCs w:val="21"/>
                    </w:rPr>
                  </w:pPr>
                </w:p>
              </w:tc>
              <w:tc>
                <w:tcPr>
                  <w:tcW w:w="397"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c>
                <w:tcPr>
                  <w:tcW w:w="518"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c>
                <w:tcPr>
                  <w:tcW w:w="755" w:type="pct"/>
                  <w:gridSpan w:val="2"/>
                  <w:tcBorders>
                    <w:right w:val="single" w:color="auto" w:sz="4" w:space="0"/>
                  </w:tcBorders>
                  <w:vAlign w:val="center"/>
                </w:tcPr>
                <w:p>
                  <w:pPr>
                    <w:pStyle w:val="42"/>
                    <w:tabs>
                      <w:tab w:val="right" w:leader="dot" w:pos="8823"/>
                    </w:tabs>
                    <w:spacing w:beforeLines="0" w:afterLines="0" w:line="240" w:lineRule="auto"/>
                    <w:rPr>
                      <w:rFonts w:ascii="Times New Roman"/>
                      <w:color w:val="auto"/>
                      <w:szCs w:val="21"/>
                    </w:rPr>
                  </w:pPr>
                  <w:r>
                    <w:rPr>
                      <w:rFonts w:hint="eastAsia" w:ascii="Times New Roman"/>
                      <w:color w:val="auto"/>
                      <w:szCs w:val="21"/>
                    </w:rPr>
                    <w:t>中和池</w:t>
                  </w:r>
                </w:p>
              </w:tc>
              <w:tc>
                <w:tcPr>
                  <w:tcW w:w="2368" w:type="pct"/>
                  <w:tcBorders>
                    <w:left w:val="single" w:color="auto" w:sz="4" w:space="0"/>
                    <w:right w:val="single" w:color="auto" w:sz="4" w:space="0"/>
                  </w:tcBorders>
                  <w:vAlign w:val="center"/>
                </w:tcPr>
                <w:p>
                  <w:pPr>
                    <w:widowControl/>
                    <w:jc w:val="center"/>
                    <w:rPr>
                      <w:color w:val="auto"/>
                      <w:szCs w:val="21"/>
                    </w:rPr>
                  </w:pPr>
                  <w:r>
                    <w:rPr>
                      <w:rFonts w:hint="eastAsia"/>
                      <w:color w:val="auto"/>
                      <w:szCs w:val="21"/>
                    </w:rPr>
                    <w:t>1座，容积1m</w:t>
                  </w:r>
                  <w:r>
                    <w:rPr>
                      <w:rFonts w:hint="eastAsia"/>
                      <w:color w:val="auto"/>
                      <w:szCs w:val="21"/>
                      <w:vertAlign w:val="superscript"/>
                    </w:rPr>
                    <w:t>3</w:t>
                  </w:r>
                </w:p>
              </w:tc>
              <w:tc>
                <w:tcPr>
                  <w:tcW w:w="707"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255" w:type="pct"/>
                  <w:vMerge w:val="continue"/>
                  <w:vAlign w:val="center"/>
                </w:tcPr>
                <w:p>
                  <w:pPr>
                    <w:pStyle w:val="42"/>
                    <w:tabs>
                      <w:tab w:val="right" w:leader="dot" w:pos="8823"/>
                    </w:tabs>
                    <w:spacing w:before="24" w:after="24" w:line="240" w:lineRule="auto"/>
                    <w:rPr>
                      <w:rFonts w:ascii="Times New Roman"/>
                      <w:color w:val="auto"/>
                      <w:szCs w:val="21"/>
                    </w:rPr>
                  </w:pPr>
                </w:p>
              </w:tc>
              <w:tc>
                <w:tcPr>
                  <w:tcW w:w="397"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c>
                <w:tcPr>
                  <w:tcW w:w="518"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c>
                <w:tcPr>
                  <w:tcW w:w="755" w:type="pct"/>
                  <w:gridSpan w:val="2"/>
                  <w:tcBorders>
                    <w:right w:val="single" w:color="auto" w:sz="4" w:space="0"/>
                  </w:tcBorders>
                  <w:vAlign w:val="center"/>
                </w:tcPr>
                <w:p>
                  <w:pPr>
                    <w:pStyle w:val="42"/>
                    <w:tabs>
                      <w:tab w:val="right" w:leader="dot" w:pos="8823"/>
                    </w:tabs>
                    <w:spacing w:beforeLines="0" w:afterLines="0" w:line="240" w:lineRule="auto"/>
                    <w:rPr>
                      <w:rFonts w:ascii="Times New Roman"/>
                      <w:color w:val="auto"/>
                      <w:szCs w:val="21"/>
                    </w:rPr>
                  </w:pPr>
                  <w:r>
                    <w:rPr>
                      <w:rFonts w:hint="eastAsia" w:ascii="Times New Roman"/>
                      <w:color w:val="auto"/>
                      <w:szCs w:val="21"/>
                    </w:rPr>
                    <w:t>化粪池</w:t>
                  </w:r>
                </w:p>
              </w:tc>
              <w:tc>
                <w:tcPr>
                  <w:tcW w:w="2368" w:type="pct"/>
                  <w:tcBorders>
                    <w:left w:val="single" w:color="auto" w:sz="4" w:space="0"/>
                    <w:right w:val="single" w:color="auto" w:sz="4" w:space="0"/>
                  </w:tcBorders>
                  <w:vAlign w:val="center"/>
                </w:tcPr>
                <w:p>
                  <w:pPr>
                    <w:widowControl/>
                    <w:jc w:val="center"/>
                    <w:rPr>
                      <w:color w:val="auto"/>
                      <w:szCs w:val="21"/>
                    </w:rPr>
                  </w:pPr>
                  <w:r>
                    <w:rPr>
                      <w:rFonts w:hint="eastAsia"/>
                      <w:color w:val="auto"/>
                      <w:szCs w:val="21"/>
                    </w:rPr>
                    <w:t>1座，容积3.5m</w:t>
                  </w:r>
                  <w:r>
                    <w:rPr>
                      <w:rFonts w:hint="eastAsia"/>
                      <w:color w:val="auto"/>
                      <w:szCs w:val="21"/>
                      <w:vertAlign w:val="superscript"/>
                    </w:rPr>
                    <w:t>3</w:t>
                  </w:r>
                </w:p>
              </w:tc>
              <w:tc>
                <w:tcPr>
                  <w:tcW w:w="707"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255" w:type="pct"/>
                  <w:vMerge w:val="continue"/>
                  <w:vAlign w:val="center"/>
                </w:tcPr>
                <w:p>
                  <w:pPr>
                    <w:pStyle w:val="42"/>
                    <w:tabs>
                      <w:tab w:val="right" w:leader="dot" w:pos="8823"/>
                    </w:tabs>
                    <w:spacing w:before="24" w:after="24" w:line="240" w:lineRule="auto"/>
                    <w:rPr>
                      <w:rFonts w:ascii="Times New Roman"/>
                      <w:color w:val="auto"/>
                      <w:szCs w:val="21"/>
                    </w:rPr>
                  </w:pPr>
                </w:p>
              </w:tc>
              <w:tc>
                <w:tcPr>
                  <w:tcW w:w="397"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c>
                <w:tcPr>
                  <w:tcW w:w="518"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c>
                <w:tcPr>
                  <w:tcW w:w="755" w:type="pct"/>
                  <w:gridSpan w:val="2"/>
                  <w:tcBorders>
                    <w:right w:val="single" w:color="auto" w:sz="4" w:space="0"/>
                  </w:tcBorders>
                  <w:vAlign w:val="center"/>
                </w:tcPr>
                <w:p>
                  <w:pPr>
                    <w:pStyle w:val="42"/>
                    <w:tabs>
                      <w:tab w:val="right" w:leader="dot" w:pos="8823"/>
                    </w:tabs>
                    <w:spacing w:beforeLines="0" w:afterLines="0" w:line="240" w:lineRule="auto"/>
                    <w:rPr>
                      <w:rFonts w:ascii="Times New Roman"/>
                      <w:color w:val="auto"/>
                      <w:szCs w:val="21"/>
                    </w:rPr>
                  </w:pPr>
                  <w:r>
                    <w:rPr>
                      <w:rFonts w:hint="eastAsia" w:ascii="Times New Roman"/>
                      <w:color w:val="auto"/>
                      <w:szCs w:val="21"/>
                    </w:rPr>
                    <w:t>隔油池</w:t>
                  </w:r>
                </w:p>
              </w:tc>
              <w:tc>
                <w:tcPr>
                  <w:tcW w:w="2368" w:type="pct"/>
                  <w:tcBorders>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位于厨房外部，容积为3m</w:t>
                  </w:r>
                  <w:r>
                    <w:rPr>
                      <w:rFonts w:hint="eastAsia"/>
                      <w:color w:val="auto"/>
                      <w:szCs w:val="21"/>
                      <w:vertAlign w:val="superscript"/>
                    </w:rPr>
                    <w:t>3</w:t>
                  </w:r>
                </w:p>
              </w:tc>
              <w:tc>
                <w:tcPr>
                  <w:tcW w:w="707"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255" w:type="pct"/>
                  <w:vMerge w:val="continue"/>
                  <w:vAlign w:val="center"/>
                </w:tcPr>
                <w:p>
                  <w:pPr>
                    <w:pStyle w:val="42"/>
                    <w:tabs>
                      <w:tab w:val="right" w:leader="dot" w:pos="8823"/>
                    </w:tabs>
                    <w:spacing w:before="24" w:after="24" w:line="240" w:lineRule="auto"/>
                    <w:rPr>
                      <w:rFonts w:ascii="Times New Roman"/>
                      <w:color w:val="auto"/>
                      <w:szCs w:val="21"/>
                    </w:rPr>
                  </w:pPr>
                </w:p>
              </w:tc>
              <w:tc>
                <w:tcPr>
                  <w:tcW w:w="397"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c>
                <w:tcPr>
                  <w:tcW w:w="518"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c>
                <w:tcPr>
                  <w:tcW w:w="755" w:type="pct"/>
                  <w:gridSpan w:val="2"/>
                  <w:tcBorders>
                    <w:right w:val="single" w:color="auto" w:sz="4" w:space="0"/>
                  </w:tcBorders>
                  <w:vAlign w:val="center"/>
                </w:tcPr>
                <w:p>
                  <w:pPr>
                    <w:pStyle w:val="42"/>
                    <w:tabs>
                      <w:tab w:val="right" w:leader="dot" w:pos="8823"/>
                    </w:tabs>
                    <w:spacing w:beforeLines="0" w:afterLines="0" w:line="240" w:lineRule="auto"/>
                    <w:rPr>
                      <w:rFonts w:ascii="Times New Roman"/>
                      <w:color w:val="auto"/>
                      <w:szCs w:val="21"/>
                    </w:rPr>
                  </w:pPr>
                  <w:r>
                    <w:rPr>
                      <w:rFonts w:hint="eastAsia" w:ascii="Times New Roman"/>
                      <w:color w:val="auto"/>
                      <w:szCs w:val="21"/>
                    </w:rPr>
                    <w:t>初期雨水池</w:t>
                  </w:r>
                </w:p>
              </w:tc>
              <w:tc>
                <w:tcPr>
                  <w:tcW w:w="2368" w:type="pct"/>
                  <w:tcBorders>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1座，容积为200m</w:t>
                  </w:r>
                  <w:r>
                    <w:rPr>
                      <w:rFonts w:hint="eastAsia"/>
                      <w:color w:val="auto"/>
                      <w:szCs w:val="21"/>
                      <w:vertAlign w:val="superscript"/>
                    </w:rPr>
                    <w:t>3</w:t>
                  </w:r>
                </w:p>
              </w:tc>
              <w:tc>
                <w:tcPr>
                  <w:tcW w:w="707" w:type="pct"/>
                  <w:tcBorders>
                    <w:right w:val="single" w:color="auto" w:sz="4" w:space="0"/>
                  </w:tcBorders>
                  <w:vAlign w:val="center"/>
                </w:tcPr>
                <w:p>
                  <w:pPr>
                    <w:pStyle w:val="42"/>
                    <w:tabs>
                      <w:tab w:val="right" w:leader="dot" w:pos="8823"/>
                    </w:tabs>
                    <w:spacing w:before="24" w:after="24" w:line="240" w:lineRule="auto"/>
                    <w:rPr>
                      <w:rFonts w:hint="default" w:ascii="Times New Roman" w:eastAsia="宋体"/>
                      <w:color w:val="auto"/>
                      <w:szCs w:val="21"/>
                      <w:lang w:val="en-US" w:eastAsia="zh-CN"/>
                    </w:rPr>
                  </w:pPr>
                  <w:r>
                    <w:rPr>
                      <w:rFonts w:hint="eastAsia" w:ascii="Times New Roman"/>
                      <w:color w:val="auto"/>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255" w:type="pct"/>
                  <w:vMerge w:val="restart"/>
                  <w:vAlign w:val="center"/>
                </w:tcPr>
                <w:p>
                  <w:pPr>
                    <w:pStyle w:val="42"/>
                    <w:tabs>
                      <w:tab w:val="right" w:leader="dot" w:pos="8823"/>
                    </w:tabs>
                    <w:spacing w:before="24" w:after="24" w:line="240" w:lineRule="auto"/>
                    <w:rPr>
                      <w:rFonts w:ascii="Times New Roman"/>
                      <w:color w:val="auto"/>
                      <w:szCs w:val="21"/>
                    </w:rPr>
                  </w:pPr>
                  <w:r>
                    <w:rPr>
                      <w:rFonts w:hint="eastAsia" w:ascii="Times New Roman"/>
                      <w:color w:val="auto"/>
                      <w:szCs w:val="21"/>
                    </w:rPr>
                    <w:t>3</w:t>
                  </w:r>
                </w:p>
              </w:tc>
              <w:tc>
                <w:tcPr>
                  <w:tcW w:w="397" w:type="pct"/>
                  <w:vMerge w:val="restart"/>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r>
                    <w:rPr>
                      <w:rFonts w:hint="eastAsia" w:ascii="Times New Roman"/>
                      <w:color w:val="auto"/>
                      <w:szCs w:val="21"/>
                    </w:rPr>
                    <w:t>噪声</w:t>
                  </w:r>
                </w:p>
              </w:tc>
              <w:tc>
                <w:tcPr>
                  <w:tcW w:w="518" w:type="pct"/>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r>
                    <w:rPr>
                      <w:rFonts w:hint="eastAsia" w:ascii="Times New Roman"/>
                      <w:color w:val="auto"/>
                      <w:szCs w:val="21"/>
                    </w:rPr>
                    <w:t>施工期</w:t>
                  </w:r>
                </w:p>
              </w:tc>
              <w:tc>
                <w:tcPr>
                  <w:tcW w:w="3123" w:type="pct"/>
                  <w:gridSpan w:val="3"/>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r>
                    <w:rPr>
                      <w:rFonts w:hint="eastAsia" w:ascii="Times New Roman"/>
                      <w:color w:val="auto"/>
                      <w:szCs w:val="21"/>
                    </w:rPr>
                    <w:t>合理安排施工布局和施工时间</w:t>
                  </w:r>
                </w:p>
              </w:tc>
              <w:tc>
                <w:tcPr>
                  <w:tcW w:w="707" w:type="pct"/>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r>
                    <w:rPr>
                      <w:rFonts w:hint="eastAsia" w:asci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255" w:type="pct"/>
                  <w:vMerge w:val="continue"/>
                  <w:vAlign w:val="center"/>
                </w:tcPr>
                <w:p>
                  <w:pPr>
                    <w:pStyle w:val="42"/>
                    <w:tabs>
                      <w:tab w:val="right" w:leader="dot" w:pos="8823"/>
                    </w:tabs>
                    <w:spacing w:before="24" w:after="24" w:line="240" w:lineRule="auto"/>
                    <w:rPr>
                      <w:rFonts w:ascii="Times New Roman"/>
                      <w:color w:val="auto"/>
                      <w:szCs w:val="21"/>
                    </w:rPr>
                  </w:pPr>
                </w:p>
              </w:tc>
              <w:tc>
                <w:tcPr>
                  <w:tcW w:w="397"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c>
                <w:tcPr>
                  <w:tcW w:w="518" w:type="pct"/>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r>
                    <w:rPr>
                      <w:rFonts w:hint="eastAsia" w:ascii="Times New Roman"/>
                      <w:color w:val="auto"/>
                      <w:szCs w:val="21"/>
                    </w:rPr>
                    <w:t>运营期</w:t>
                  </w:r>
                </w:p>
              </w:tc>
              <w:tc>
                <w:tcPr>
                  <w:tcW w:w="3123" w:type="pct"/>
                  <w:gridSpan w:val="3"/>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r>
                    <w:rPr>
                      <w:rFonts w:hint="eastAsia" w:ascii="Times New Roman"/>
                      <w:color w:val="auto"/>
                      <w:szCs w:val="21"/>
                    </w:rPr>
                    <w:t>安装减震垫</w:t>
                  </w:r>
                </w:p>
              </w:tc>
              <w:tc>
                <w:tcPr>
                  <w:tcW w:w="707" w:type="pct"/>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r>
                    <w:rPr>
                      <w:rFonts w:hint="eastAsia" w:ascii="Times New Roman"/>
                      <w:color w:val="auto"/>
                      <w:szCs w:val="21"/>
                    </w:rPr>
                    <w:t>2</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255" w:type="pct"/>
                  <w:vMerge w:val="restart"/>
                  <w:vAlign w:val="center"/>
                </w:tcPr>
                <w:p>
                  <w:pPr>
                    <w:pStyle w:val="42"/>
                    <w:tabs>
                      <w:tab w:val="right" w:leader="dot" w:pos="8823"/>
                    </w:tabs>
                    <w:spacing w:before="24" w:after="24" w:line="240" w:lineRule="auto"/>
                    <w:rPr>
                      <w:rFonts w:ascii="Times New Roman"/>
                      <w:color w:val="auto"/>
                      <w:szCs w:val="21"/>
                    </w:rPr>
                  </w:pPr>
                  <w:r>
                    <w:rPr>
                      <w:rFonts w:hint="eastAsia" w:ascii="Times New Roman"/>
                      <w:color w:val="auto"/>
                      <w:szCs w:val="21"/>
                    </w:rPr>
                    <w:t>4</w:t>
                  </w:r>
                </w:p>
              </w:tc>
              <w:tc>
                <w:tcPr>
                  <w:tcW w:w="397" w:type="pct"/>
                  <w:vMerge w:val="restart"/>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r>
                    <w:rPr>
                      <w:rFonts w:hint="eastAsia" w:ascii="Times New Roman"/>
                      <w:color w:val="auto"/>
                      <w:szCs w:val="21"/>
                    </w:rPr>
                    <w:t>固废</w:t>
                  </w:r>
                </w:p>
              </w:tc>
              <w:tc>
                <w:tcPr>
                  <w:tcW w:w="518" w:type="pct"/>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r>
                    <w:rPr>
                      <w:rFonts w:hint="eastAsia" w:ascii="Times New Roman"/>
                      <w:color w:val="auto"/>
                      <w:szCs w:val="21"/>
                    </w:rPr>
                    <w:t>施工期</w:t>
                  </w:r>
                </w:p>
              </w:tc>
              <w:tc>
                <w:tcPr>
                  <w:tcW w:w="3123" w:type="pct"/>
                  <w:gridSpan w:val="3"/>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r>
                    <w:rPr>
                      <w:rFonts w:hint="eastAsia" w:ascii="Times New Roman"/>
                      <w:color w:val="auto"/>
                      <w:szCs w:val="21"/>
                    </w:rPr>
                    <w:t>能利用的收集外售、不能利用的委托环卫部门清运</w:t>
                  </w:r>
                </w:p>
              </w:tc>
              <w:tc>
                <w:tcPr>
                  <w:tcW w:w="707" w:type="pct"/>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r>
                    <w:rPr>
                      <w:rFonts w:hint="eastAsia" w:ascii="Times New Roman"/>
                      <w:color w:val="auto"/>
                      <w:szCs w:val="21"/>
                    </w:rPr>
                    <w:t>0.1</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255" w:type="pct"/>
                  <w:vMerge w:val="continue"/>
                  <w:vAlign w:val="center"/>
                </w:tcPr>
                <w:p>
                  <w:pPr>
                    <w:pStyle w:val="42"/>
                    <w:tabs>
                      <w:tab w:val="right" w:leader="dot" w:pos="8823"/>
                    </w:tabs>
                    <w:spacing w:before="24" w:after="24" w:line="240" w:lineRule="auto"/>
                    <w:rPr>
                      <w:rFonts w:ascii="Times New Roman"/>
                      <w:color w:val="auto"/>
                      <w:szCs w:val="21"/>
                    </w:rPr>
                  </w:pPr>
                </w:p>
              </w:tc>
              <w:tc>
                <w:tcPr>
                  <w:tcW w:w="397"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c>
                <w:tcPr>
                  <w:tcW w:w="518" w:type="pct"/>
                  <w:vMerge w:val="restart"/>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r>
                    <w:rPr>
                      <w:rFonts w:hint="eastAsia" w:ascii="Times New Roman"/>
                      <w:color w:val="auto"/>
                      <w:szCs w:val="21"/>
                    </w:rPr>
                    <w:t>运营期</w:t>
                  </w:r>
                </w:p>
              </w:tc>
              <w:tc>
                <w:tcPr>
                  <w:tcW w:w="649" w:type="pct"/>
                  <w:tcBorders>
                    <w:right w:val="single" w:color="auto" w:sz="4" w:space="0"/>
                  </w:tcBorders>
                  <w:vAlign w:val="center"/>
                </w:tcPr>
                <w:p>
                  <w:pPr>
                    <w:pStyle w:val="42"/>
                    <w:tabs>
                      <w:tab w:val="right" w:leader="dot" w:pos="8823"/>
                    </w:tabs>
                    <w:spacing w:beforeLines="0" w:afterLines="0" w:line="240" w:lineRule="auto"/>
                    <w:rPr>
                      <w:rFonts w:ascii="Times New Roman"/>
                      <w:color w:val="auto"/>
                      <w:szCs w:val="21"/>
                    </w:rPr>
                  </w:pPr>
                  <w:r>
                    <w:rPr>
                      <w:rFonts w:hint="eastAsia" w:ascii="Times New Roman"/>
                      <w:color w:val="auto"/>
                      <w:szCs w:val="21"/>
                    </w:rPr>
                    <w:t>污泥池</w:t>
                  </w:r>
                </w:p>
              </w:tc>
              <w:tc>
                <w:tcPr>
                  <w:tcW w:w="2474" w:type="pct"/>
                  <w:gridSpan w:val="2"/>
                  <w:tcBorders>
                    <w:left w:val="single" w:color="auto" w:sz="4" w:space="0"/>
                    <w:right w:val="single" w:color="auto" w:sz="4" w:space="0"/>
                  </w:tcBorders>
                  <w:vAlign w:val="center"/>
                </w:tcPr>
                <w:p>
                  <w:pPr>
                    <w:adjustRightInd w:val="0"/>
                    <w:snapToGrid w:val="0"/>
                    <w:rPr>
                      <w:color w:val="auto"/>
                      <w:szCs w:val="21"/>
                    </w:rPr>
                  </w:pPr>
                  <w:r>
                    <w:rPr>
                      <w:rFonts w:hint="eastAsia"/>
                      <w:color w:val="auto"/>
                      <w:szCs w:val="21"/>
                    </w:rPr>
                    <w:t>1座，可移动钢构池体，用于收集</w:t>
                  </w:r>
                  <w:r>
                    <w:rPr>
                      <w:rFonts w:hint="eastAsia"/>
                      <w:color w:val="auto"/>
                      <w:szCs w:val="21"/>
                      <w:lang w:eastAsia="zh-CN"/>
                    </w:rPr>
                    <w:t>石灰石膏法脱硫塔</w:t>
                  </w:r>
                  <w:r>
                    <w:rPr>
                      <w:rFonts w:hint="eastAsia"/>
                      <w:color w:val="auto"/>
                      <w:szCs w:val="21"/>
                    </w:rPr>
                    <w:t>废水处理污泥</w:t>
                  </w:r>
                </w:p>
              </w:tc>
              <w:tc>
                <w:tcPr>
                  <w:tcW w:w="707" w:type="pct"/>
                  <w:vMerge w:val="restart"/>
                  <w:tcBorders>
                    <w:right w:val="single" w:color="auto" w:sz="4" w:space="0"/>
                  </w:tcBorders>
                  <w:vAlign w:val="center"/>
                </w:tcPr>
                <w:p>
                  <w:pPr>
                    <w:pStyle w:val="42"/>
                    <w:tabs>
                      <w:tab w:val="right" w:leader="dot" w:pos="8823"/>
                    </w:tabs>
                    <w:spacing w:before="24" w:after="24" w:line="240" w:lineRule="auto"/>
                    <w:jc w:val="both"/>
                    <w:rPr>
                      <w:rFonts w:ascii="Times New Roman"/>
                      <w:color w:val="auto"/>
                      <w:szCs w:val="21"/>
                    </w:rPr>
                  </w:pPr>
                  <w:r>
                    <w:rPr>
                      <w:rFonts w:hint="eastAsia" w:ascii="Times New Roman"/>
                      <w:color w:val="auto"/>
                      <w:szCs w:val="21"/>
                    </w:rPr>
                    <w:t>依托原有措施或设备，不新增投资</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255" w:type="pct"/>
                  <w:vMerge w:val="continue"/>
                  <w:vAlign w:val="center"/>
                </w:tcPr>
                <w:p>
                  <w:pPr>
                    <w:pStyle w:val="42"/>
                    <w:tabs>
                      <w:tab w:val="right" w:leader="dot" w:pos="8823"/>
                    </w:tabs>
                    <w:spacing w:before="24" w:after="24" w:line="240" w:lineRule="auto"/>
                    <w:rPr>
                      <w:rFonts w:ascii="Times New Roman"/>
                      <w:color w:val="auto"/>
                      <w:szCs w:val="21"/>
                    </w:rPr>
                  </w:pPr>
                </w:p>
              </w:tc>
              <w:tc>
                <w:tcPr>
                  <w:tcW w:w="397"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c>
                <w:tcPr>
                  <w:tcW w:w="518"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c>
                <w:tcPr>
                  <w:tcW w:w="649" w:type="pct"/>
                  <w:tcBorders>
                    <w:right w:val="single" w:color="auto" w:sz="4" w:space="0"/>
                  </w:tcBorders>
                  <w:vAlign w:val="center"/>
                </w:tcPr>
                <w:p>
                  <w:pPr>
                    <w:pStyle w:val="42"/>
                    <w:tabs>
                      <w:tab w:val="right" w:leader="dot" w:pos="8823"/>
                    </w:tabs>
                    <w:spacing w:beforeLines="0" w:afterLines="0" w:line="240" w:lineRule="auto"/>
                    <w:rPr>
                      <w:rFonts w:ascii="Times New Roman"/>
                      <w:color w:val="auto"/>
                      <w:szCs w:val="21"/>
                    </w:rPr>
                  </w:pPr>
                  <w:r>
                    <w:rPr>
                      <w:rFonts w:hint="eastAsia" w:ascii="Times New Roman"/>
                      <w:color w:val="auto"/>
                      <w:szCs w:val="21"/>
                    </w:rPr>
                    <w:t>垃圾房</w:t>
                  </w:r>
                </w:p>
              </w:tc>
              <w:tc>
                <w:tcPr>
                  <w:tcW w:w="2474" w:type="pct"/>
                  <w:gridSpan w:val="2"/>
                  <w:tcBorders>
                    <w:left w:val="single" w:color="auto" w:sz="4" w:space="0"/>
                    <w:right w:val="single" w:color="auto" w:sz="4" w:space="0"/>
                  </w:tcBorders>
                  <w:vAlign w:val="center"/>
                </w:tcPr>
                <w:p>
                  <w:pPr>
                    <w:adjustRightInd w:val="0"/>
                    <w:snapToGrid w:val="0"/>
                    <w:rPr>
                      <w:color w:val="auto"/>
                      <w:szCs w:val="21"/>
                    </w:rPr>
                  </w:pPr>
                  <w:r>
                    <w:rPr>
                      <w:rFonts w:hint="eastAsia"/>
                      <w:color w:val="auto"/>
                      <w:szCs w:val="21"/>
                    </w:rPr>
                    <w:t>位于厂区东南角，砖混结构，地面硬化，占地面积30m</w:t>
                  </w:r>
                  <w:r>
                    <w:rPr>
                      <w:rFonts w:hint="eastAsia"/>
                      <w:color w:val="auto"/>
                      <w:szCs w:val="21"/>
                      <w:vertAlign w:val="superscript"/>
                    </w:rPr>
                    <w:t>2</w:t>
                  </w:r>
                </w:p>
              </w:tc>
              <w:tc>
                <w:tcPr>
                  <w:tcW w:w="707"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255" w:type="pct"/>
                  <w:vMerge w:val="continue"/>
                  <w:vAlign w:val="center"/>
                </w:tcPr>
                <w:p>
                  <w:pPr>
                    <w:pStyle w:val="42"/>
                    <w:tabs>
                      <w:tab w:val="right" w:leader="dot" w:pos="8823"/>
                    </w:tabs>
                    <w:spacing w:before="24" w:after="24" w:line="240" w:lineRule="auto"/>
                    <w:rPr>
                      <w:rFonts w:ascii="Times New Roman"/>
                      <w:color w:val="auto"/>
                      <w:szCs w:val="21"/>
                    </w:rPr>
                  </w:pPr>
                </w:p>
              </w:tc>
              <w:tc>
                <w:tcPr>
                  <w:tcW w:w="397"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c>
                <w:tcPr>
                  <w:tcW w:w="518"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c>
                <w:tcPr>
                  <w:tcW w:w="649" w:type="pct"/>
                  <w:tcBorders>
                    <w:right w:val="single" w:color="auto" w:sz="4" w:space="0"/>
                  </w:tcBorders>
                  <w:vAlign w:val="center"/>
                </w:tcPr>
                <w:p>
                  <w:pPr>
                    <w:pStyle w:val="42"/>
                    <w:tabs>
                      <w:tab w:val="right" w:leader="dot" w:pos="8823"/>
                    </w:tabs>
                    <w:spacing w:beforeLines="0" w:afterLines="0" w:line="240" w:lineRule="auto"/>
                    <w:rPr>
                      <w:rFonts w:ascii="Times New Roman"/>
                      <w:color w:val="auto"/>
                      <w:szCs w:val="21"/>
                    </w:rPr>
                  </w:pPr>
                  <w:r>
                    <w:rPr>
                      <w:rFonts w:hint="eastAsia" w:ascii="Times New Roman"/>
                      <w:color w:val="auto"/>
                      <w:szCs w:val="21"/>
                    </w:rPr>
                    <w:t>事故油池</w:t>
                  </w:r>
                </w:p>
              </w:tc>
              <w:tc>
                <w:tcPr>
                  <w:tcW w:w="2474" w:type="pct"/>
                  <w:gridSpan w:val="2"/>
                  <w:tcBorders>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位于变压器下方，1座，容积为1.5m</w:t>
                  </w:r>
                  <w:r>
                    <w:rPr>
                      <w:rFonts w:hint="eastAsia"/>
                      <w:color w:val="auto"/>
                      <w:szCs w:val="21"/>
                      <w:vertAlign w:val="superscript"/>
                    </w:rPr>
                    <w:t>3</w:t>
                  </w:r>
                </w:p>
              </w:tc>
              <w:tc>
                <w:tcPr>
                  <w:tcW w:w="707"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255" w:type="pct"/>
                  <w:vMerge w:val="continue"/>
                  <w:vAlign w:val="center"/>
                </w:tcPr>
                <w:p>
                  <w:pPr>
                    <w:pStyle w:val="42"/>
                    <w:tabs>
                      <w:tab w:val="right" w:leader="dot" w:pos="8823"/>
                    </w:tabs>
                    <w:spacing w:before="24" w:after="24" w:line="240" w:lineRule="auto"/>
                    <w:rPr>
                      <w:rFonts w:ascii="Times New Roman"/>
                      <w:color w:val="auto"/>
                      <w:szCs w:val="21"/>
                    </w:rPr>
                  </w:pPr>
                </w:p>
              </w:tc>
              <w:tc>
                <w:tcPr>
                  <w:tcW w:w="397"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c>
                <w:tcPr>
                  <w:tcW w:w="518"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c>
                <w:tcPr>
                  <w:tcW w:w="649" w:type="pct"/>
                  <w:tcBorders>
                    <w:right w:val="single" w:color="auto" w:sz="4" w:space="0"/>
                  </w:tcBorders>
                  <w:vAlign w:val="center"/>
                </w:tcPr>
                <w:p>
                  <w:pPr>
                    <w:pStyle w:val="42"/>
                    <w:tabs>
                      <w:tab w:val="right" w:leader="dot" w:pos="8823"/>
                    </w:tabs>
                    <w:spacing w:beforeLines="0" w:afterLines="0" w:line="240" w:lineRule="auto"/>
                    <w:rPr>
                      <w:rFonts w:ascii="Times New Roman"/>
                      <w:color w:val="auto"/>
                      <w:szCs w:val="21"/>
                    </w:rPr>
                  </w:pPr>
                  <w:r>
                    <w:rPr>
                      <w:rFonts w:hint="eastAsia" w:ascii="Times New Roman"/>
                      <w:color w:val="auto"/>
                      <w:szCs w:val="21"/>
                    </w:rPr>
                    <w:t>危废</w:t>
                  </w:r>
                </w:p>
                <w:p>
                  <w:pPr>
                    <w:pStyle w:val="42"/>
                    <w:tabs>
                      <w:tab w:val="right" w:leader="dot" w:pos="8823"/>
                    </w:tabs>
                    <w:spacing w:beforeLines="0" w:afterLines="0" w:line="240" w:lineRule="auto"/>
                    <w:rPr>
                      <w:rFonts w:ascii="Times New Roman"/>
                      <w:color w:val="auto"/>
                      <w:szCs w:val="21"/>
                    </w:rPr>
                  </w:pPr>
                  <w:r>
                    <w:rPr>
                      <w:rFonts w:hint="eastAsia" w:ascii="Times New Roman"/>
                      <w:color w:val="auto"/>
                      <w:szCs w:val="21"/>
                    </w:rPr>
                    <w:t>暂存间</w:t>
                  </w:r>
                </w:p>
              </w:tc>
              <w:tc>
                <w:tcPr>
                  <w:tcW w:w="2474" w:type="pct"/>
                  <w:gridSpan w:val="2"/>
                  <w:tcBorders>
                    <w:left w:val="single" w:color="auto" w:sz="4" w:space="0"/>
                    <w:right w:val="single" w:color="auto" w:sz="4" w:space="0"/>
                  </w:tcBorders>
                  <w:vAlign w:val="center"/>
                </w:tcPr>
                <w:p>
                  <w:pPr>
                    <w:adjustRightInd w:val="0"/>
                    <w:snapToGrid w:val="0"/>
                    <w:rPr>
                      <w:color w:val="auto"/>
                      <w:szCs w:val="21"/>
                    </w:rPr>
                  </w:pPr>
                  <w:r>
                    <w:rPr>
                      <w:rFonts w:hint="eastAsia"/>
                      <w:color w:val="auto"/>
                      <w:szCs w:val="21"/>
                    </w:rPr>
                    <w:t>位于原有仓库东侧，1间，占地面积30m</w:t>
                  </w:r>
                  <w:r>
                    <w:rPr>
                      <w:rFonts w:hint="eastAsia"/>
                      <w:color w:val="auto"/>
                      <w:szCs w:val="21"/>
                      <w:vertAlign w:val="superscript"/>
                    </w:rPr>
                    <w:t>2</w:t>
                  </w:r>
                  <w:r>
                    <w:rPr>
                      <w:rFonts w:hint="eastAsia"/>
                      <w:color w:val="auto"/>
                      <w:szCs w:val="21"/>
                    </w:rPr>
                    <w:t>，</w:t>
                  </w:r>
                  <w:r>
                    <w:rPr>
                      <w:rFonts w:hint="eastAsia"/>
                      <w:color w:val="auto"/>
                      <w:kern w:val="0"/>
                    </w:rPr>
                    <w:t>按照</w:t>
                  </w:r>
                  <w:r>
                    <w:rPr>
                      <w:color w:val="auto"/>
                      <w:szCs w:val="21"/>
                    </w:rPr>
                    <w:t>《危险废物贮存污染控制标准》（GB18597-2001）</w:t>
                  </w:r>
                  <w:r>
                    <w:rPr>
                      <w:rFonts w:hint="eastAsia"/>
                      <w:color w:val="auto"/>
                      <w:szCs w:val="21"/>
                    </w:rPr>
                    <w:t>建设，要求防雨、防晒、防渗。</w:t>
                  </w:r>
                  <w:r>
                    <w:rPr>
                      <w:rFonts w:hint="eastAsia"/>
                      <w:color w:val="auto"/>
                      <w:kern w:val="0"/>
                    </w:rPr>
                    <w:t>用于暂存危险废物，</w:t>
                  </w:r>
                  <w:r>
                    <w:rPr>
                      <w:color w:val="auto"/>
                      <w:kern w:val="0"/>
                    </w:rPr>
                    <w:t>设置专业容器</w:t>
                  </w:r>
                  <w:r>
                    <w:rPr>
                      <w:rFonts w:hint="eastAsia"/>
                      <w:color w:val="auto"/>
                      <w:kern w:val="0"/>
                    </w:rPr>
                    <w:t>收集危废</w:t>
                  </w:r>
                </w:p>
              </w:tc>
              <w:tc>
                <w:tcPr>
                  <w:tcW w:w="707" w:type="pct"/>
                  <w:vMerge w:val="continue"/>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4293" w:type="pct"/>
                  <w:gridSpan w:val="6"/>
                  <w:tcBorders>
                    <w:right w:val="single" w:color="auto" w:sz="4" w:space="0"/>
                  </w:tcBorders>
                  <w:vAlign w:val="center"/>
                </w:tcPr>
                <w:p>
                  <w:pPr>
                    <w:pStyle w:val="42"/>
                    <w:tabs>
                      <w:tab w:val="right" w:leader="dot" w:pos="8823"/>
                    </w:tabs>
                    <w:spacing w:before="24" w:after="24" w:line="240" w:lineRule="auto"/>
                    <w:rPr>
                      <w:rFonts w:ascii="Times New Roman"/>
                      <w:color w:val="auto"/>
                      <w:szCs w:val="21"/>
                    </w:rPr>
                  </w:pPr>
                  <w:r>
                    <w:rPr>
                      <w:rFonts w:ascii="Times New Roman"/>
                      <w:color w:val="auto"/>
                      <w:szCs w:val="21"/>
                    </w:rPr>
                    <w:t>合计</w:t>
                  </w:r>
                </w:p>
              </w:tc>
              <w:tc>
                <w:tcPr>
                  <w:tcW w:w="707" w:type="pct"/>
                  <w:tcBorders>
                    <w:right w:val="single" w:color="auto" w:sz="4" w:space="0"/>
                  </w:tcBorders>
                  <w:vAlign w:val="center"/>
                </w:tcPr>
                <w:p>
                  <w:pPr>
                    <w:pStyle w:val="42"/>
                    <w:tabs>
                      <w:tab w:val="right" w:leader="dot" w:pos="8823"/>
                    </w:tabs>
                    <w:spacing w:before="24" w:after="24" w:line="240" w:lineRule="auto"/>
                    <w:rPr>
                      <w:rFonts w:hint="default" w:ascii="Times New Roman" w:eastAsia="宋体"/>
                      <w:color w:val="auto"/>
                      <w:szCs w:val="21"/>
                      <w:lang w:val="en-US" w:eastAsia="zh-CN"/>
                    </w:rPr>
                  </w:pPr>
                  <w:r>
                    <w:rPr>
                      <w:rFonts w:hint="eastAsia" w:ascii="Times New Roman"/>
                      <w:color w:val="auto"/>
                      <w:szCs w:val="21"/>
                      <w:lang w:val="en-US" w:eastAsia="zh-CN"/>
                    </w:rPr>
                    <w:t>41.3</w:t>
                  </w:r>
                </w:p>
              </w:tc>
            </w:tr>
          </w:tbl>
          <w:p>
            <w:pPr>
              <w:adjustRightInd w:val="0"/>
              <w:snapToGrid w:val="0"/>
              <w:rPr>
                <w:b/>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823" w:type="dxa"/>
            <w:vAlign w:val="center"/>
          </w:tcPr>
          <w:p>
            <w:pPr>
              <w:pStyle w:val="19"/>
              <w:adjustRightInd w:val="0"/>
              <w:snapToGrid w:val="0"/>
              <w:spacing w:before="0" w:beforeAutospacing="0" w:after="0" w:afterAutospacing="0"/>
              <w:jc w:val="center"/>
              <w:rPr>
                <w:rFonts w:cs="宋体"/>
                <w:color w:val="auto"/>
                <w:sz w:val="21"/>
                <w:szCs w:val="21"/>
              </w:rPr>
            </w:pPr>
            <w:r>
              <w:rPr>
                <w:rFonts w:hint="eastAsia" w:cs="宋体"/>
                <w:color w:val="auto"/>
                <w:szCs w:val="24"/>
              </w:rPr>
              <w:t>工艺流程和产排污环节</w:t>
            </w:r>
          </w:p>
        </w:tc>
        <w:tc>
          <w:tcPr>
            <w:tcW w:w="8161" w:type="dxa"/>
          </w:tcPr>
          <w:p>
            <w:pPr>
              <w:pStyle w:val="47"/>
              <w:adjustRightInd w:val="0"/>
              <w:snapToGrid w:val="0"/>
              <w:ind w:firstLine="0"/>
              <w:outlineLvl w:val="2"/>
              <w:rPr>
                <w:b/>
                <w:color w:val="auto"/>
                <w:szCs w:val="24"/>
              </w:rPr>
            </w:pPr>
            <w:r>
              <w:rPr>
                <w:rFonts w:hint="eastAsia"/>
                <w:b/>
                <w:color w:val="auto"/>
                <w:szCs w:val="24"/>
              </w:rPr>
              <w:t>2.10施工期工艺流程和产排污环节</w:t>
            </w:r>
          </w:p>
          <w:p>
            <w:pPr>
              <w:pStyle w:val="47"/>
              <w:adjustRightInd w:val="0"/>
              <w:snapToGrid w:val="0"/>
              <w:ind w:firstLine="0"/>
              <w:outlineLvl w:val="2"/>
              <w:rPr>
                <w:b/>
                <w:color w:val="auto"/>
                <w:szCs w:val="24"/>
              </w:rPr>
            </w:pPr>
            <w:r>
              <w:rPr>
                <w:rFonts w:hint="eastAsia"/>
                <w:b/>
                <w:color w:val="auto"/>
                <w:szCs w:val="24"/>
              </w:rPr>
              <w:t>2.10.1施工工艺</w:t>
            </w:r>
          </w:p>
          <w:p>
            <w:pPr>
              <w:pStyle w:val="47"/>
              <w:adjustRightInd w:val="0"/>
              <w:snapToGrid w:val="0"/>
              <w:ind w:firstLine="480" w:firstLineChars="200"/>
              <w:outlineLvl w:val="2"/>
              <w:rPr>
                <w:color w:val="auto"/>
                <w:szCs w:val="24"/>
              </w:rPr>
            </w:pPr>
            <w:r>
              <w:rPr>
                <w:rFonts w:hint="eastAsia"/>
                <w:color w:val="auto"/>
                <w:szCs w:val="24"/>
              </w:rPr>
              <w:t>本项目为改扩建项目，在昆明红枫湖耐火材料有限公司内已硬化场地内进行仓库、推板窑和隧道窑的建设，不涉及土建工程。</w:t>
            </w:r>
          </w:p>
          <w:p>
            <w:pPr>
              <w:pStyle w:val="47"/>
              <w:adjustRightInd w:val="0"/>
              <w:snapToGrid w:val="0"/>
              <w:ind w:firstLine="0"/>
              <w:outlineLvl w:val="2"/>
              <w:rPr>
                <w:color w:val="auto"/>
                <w:szCs w:val="24"/>
              </w:rPr>
            </w:pPr>
            <w:r>
              <w:rPr>
                <w:color w:val="auto"/>
              </w:rPr>
              <mc:AlternateContent>
                <mc:Choice Requires="wpc">
                  <w:drawing>
                    <wp:inline distT="0" distB="0" distL="0" distR="0">
                      <wp:extent cx="5327015" cy="982345"/>
                      <wp:effectExtent l="0" t="0" r="6985" b="8255"/>
                      <wp:docPr id="374" name="画布 317"/>
                      <wp:cNvGraphicFramePr/>
                      <a:graphic xmlns:a="http://schemas.openxmlformats.org/drawingml/2006/main">
                        <a:graphicData uri="http://schemas.microsoft.com/office/word/2010/wordprocessingCanvas">
                          <wpc:wpc>
                            <wpc:bg>
                              <a:noFill/>
                            </wpc:bg>
                            <wpc:whole>
                              <a:ln>
                                <a:noFill/>
                              </a:ln>
                            </wpc:whole>
                            <wps:wsp>
                              <wps:cNvPr id="386" name="文本框 328"/>
                              <wps:cNvSpPr txBox="true">
                                <a:spLocks noChangeArrowheads="true"/>
                              </wps:cNvSpPr>
                              <wps:spPr bwMode="auto">
                                <a:xfrm>
                                  <a:off x="4385310" y="0"/>
                                  <a:ext cx="749300" cy="241300"/>
                                </a:xfrm>
                                <a:prstGeom prst="rect">
                                  <a:avLst/>
                                </a:prstGeom>
                                <a:solidFill>
                                  <a:srgbClr val="FFFFFF"/>
                                </a:solidFill>
                                <a:ln>
                                  <a:noFill/>
                                </a:ln>
                                <a:effectLst/>
                              </wps:spPr>
                              <wps:txbx>
                                <w:txbxContent>
                                  <w:p>
                                    <w:pPr>
                                      <w:jc w:val="center"/>
                                    </w:pPr>
                                    <w:r>
                                      <w:rPr>
                                        <w:rFonts w:hint="eastAsia"/>
                                      </w:rPr>
                                      <w:t>N\S</w:t>
                                    </w:r>
                                  </w:p>
                                </w:txbxContent>
                              </wps:txbx>
                              <wps:bodyPr rot="0" vert="horz" wrap="square" lIns="91440" tIns="45720" rIns="91440" bIns="45720" anchor="t" anchorCtr="false" upright="true">
                                <a:noAutofit/>
                              </wps:bodyPr>
                            </wps:wsp>
                            <wps:wsp>
                              <wps:cNvPr id="387" name="文本框 327"/>
                              <wps:cNvSpPr txBox="true">
                                <a:spLocks noChangeArrowheads="true"/>
                              </wps:cNvSpPr>
                              <wps:spPr bwMode="auto">
                                <a:xfrm>
                                  <a:off x="2115820" y="0"/>
                                  <a:ext cx="749300" cy="241300"/>
                                </a:xfrm>
                                <a:prstGeom prst="rect">
                                  <a:avLst/>
                                </a:prstGeom>
                                <a:solidFill>
                                  <a:srgbClr val="FFFFFF"/>
                                </a:solidFill>
                                <a:ln>
                                  <a:noFill/>
                                </a:ln>
                                <a:effectLst/>
                              </wps:spPr>
                              <wps:txbx>
                                <w:txbxContent>
                                  <w:p>
                                    <w:pPr>
                                      <w:jc w:val="center"/>
                                    </w:pPr>
                                    <w:r>
                                      <w:rPr>
                                        <w:rFonts w:hint="eastAsia"/>
                                      </w:rPr>
                                      <w:t>N\G\S\W</w:t>
                                    </w:r>
                                  </w:p>
                                </w:txbxContent>
                              </wps:txbx>
                              <wps:bodyPr rot="0" vert="horz" wrap="square" lIns="91440" tIns="45720" rIns="91440" bIns="45720" anchor="t" anchorCtr="false" upright="true">
                                <a:noAutofit/>
                              </wps:bodyPr>
                            </wps:wsp>
                            <wps:wsp>
                              <wps:cNvPr id="388" name="文本框 326"/>
                              <wps:cNvSpPr txBox="true">
                                <a:spLocks noChangeArrowheads="true"/>
                              </wps:cNvSpPr>
                              <wps:spPr bwMode="auto">
                                <a:xfrm>
                                  <a:off x="53340" y="0"/>
                                  <a:ext cx="749300" cy="241300"/>
                                </a:xfrm>
                                <a:prstGeom prst="rect">
                                  <a:avLst/>
                                </a:prstGeom>
                                <a:solidFill>
                                  <a:srgbClr val="FFFFFF"/>
                                </a:solidFill>
                                <a:ln>
                                  <a:noFill/>
                                </a:ln>
                                <a:effectLst/>
                              </wps:spPr>
                              <wps:txbx>
                                <w:txbxContent>
                                  <w:p>
                                    <w:pPr>
                                      <w:jc w:val="center"/>
                                    </w:pPr>
                                    <w:r>
                                      <w:rPr>
                                        <w:rFonts w:hint="eastAsia"/>
                                      </w:rPr>
                                      <w:t>N\G\S</w:t>
                                    </w:r>
                                  </w:p>
                                </w:txbxContent>
                              </wps:txbx>
                              <wps:bodyPr rot="0" vert="horz" wrap="square" lIns="91440" tIns="45720" rIns="91440" bIns="45720" anchor="t" anchorCtr="false" upright="true">
                                <a:noAutofit/>
                              </wps:bodyPr>
                            </wps:wsp>
                            <wps:wsp>
                              <wps:cNvPr id="390" name="文本框 318"/>
                              <wps:cNvSpPr txBox="true">
                                <a:spLocks noChangeArrowheads="true"/>
                              </wps:cNvSpPr>
                              <wps:spPr bwMode="auto">
                                <a:xfrm>
                                  <a:off x="56515" y="391160"/>
                                  <a:ext cx="758825" cy="253365"/>
                                </a:xfrm>
                                <a:prstGeom prst="rect">
                                  <a:avLst/>
                                </a:prstGeom>
                                <a:solidFill>
                                  <a:srgbClr val="FFFFFF"/>
                                </a:solidFill>
                                <a:ln w="9525">
                                  <a:solidFill>
                                    <a:srgbClr val="000000"/>
                                  </a:solidFill>
                                  <a:miter lim="800000"/>
                                </a:ln>
                                <a:effectLst/>
                              </wps:spPr>
                              <wps:txbx>
                                <w:txbxContent>
                                  <w:p>
                                    <w:pPr>
                                      <w:jc w:val="center"/>
                                    </w:pPr>
                                    <w:r>
                                      <w:rPr>
                                        <w:rFonts w:hint="eastAsia"/>
                                      </w:rPr>
                                      <w:t>场地清理</w:t>
                                    </w:r>
                                  </w:p>
                                </w:txbxContent>
                              </wps:txbx>
                              <wps:bodyPr rot="0" vert="horz" wrap="square" lIns="91440" tIns="45720" rIns="91440" bIns="45720" anchor="t" anchorCtr="false" upright="true">
                                <a:noAutofit/>
                              </wps:bodyPr>
                            </wps:wsp>
                            <wps:wsp>
                              <wps:cNvPr id="391" name="文本框 319"/>
                              <wps:cNvSpPr txBox="true">
                                <a:spLocks noChangeArrowheads="true"/>
                              </wps:cNvSpPr>
                              <wps:spPr bwMode="auto">
                                <a:xfrm>
                                  <a:off x="1650365" y="385445"/>
                                  <a:ext cx="1725930" cy="250189"/>
                                </a:xfrm>
                                <a:prstGeom prst="rect">
                                  <a:avLst/>
                                </a:prstGeom>
                                <a:solidFill>
                                  <a:srgbClr val="FFFFFF"/>
                                </a:solidFill>
                                <a:ln w="9525">
                                  <a:solidFill>
                                    <a:srgbClr val="000000"/>
                                  </a:solidFill>
                                  <a:miter lim="800000"/>
                                </a:ln>
                                <a:effectLst/>
                              </wps:spPr>
                              <wps:txbx>
                                <w:txbxContent>
                                  <w:p>
                                    <w:pPr>
                                      <w:jc w:val="center"/>
                                    </w:pPr>
                                    <w:r>
                                      <w:rPr>
                                        <w:rFonts w:hint="eastAsia"/>
                                      </w:rPr>
                                      <w:t>主体工程及配套设施建设</w:t>
                                    </w:r>
                                  </w:p>
                                </w:txbxContent>
                              </wps:txbx>
                              <wps:bodyPr rot="0" vert="horz" wrap="square" lIns="91440" tIns="45720" rIns="91440" bIns="45720" anchor="t" anchorCtr="false" upright="true">
                                <a:noAutofit/>
                              </wps:bodyPr>
                            </wps:wsp>
                            <wps:wsp>
                              <wps:cNvPr id="392" name="文本框 320"/>
                              <wps:cNvSpPr txBox="true">
                                <a:spLocks noChangeArrowheads="true"/>
                              </wps:cNvSpPr>
                              <wps:spPr bwMode="auto">
                                <a:xfrm>
                                  <a:off x="4159885" y="369570"/>
                                  <a:ext cx="1111885" cy="269875"/>
                                </a:xfrm>
                                <a:prstGeom prst="rect">
                                  <a:avLst/>
                                </a:prstGeom>
                                <a:solidFill>
                                  <a:srgbClr val="FFFFFF"/>
                                </a:solidFill>
                                <a:ln w="9525">
                                  <a:solidFill>
                                    <a:srgbClr val="000000"/>
                                  </a:solidFill>
                                  <a:miter lim="800000"/>
                                </a:ln>
                                <a:effectLst/>
                              </wps:spPr>
                              <wps:txbx>
                                <w:txbxContent>
                                  <w:p>
                                    <w:pPr>
                                      <w:jc w:val="center"/>
                                    </w:pPr>
                                    <w:r>
                                      <w:rPr>
                                        <w:rFonts w:hint="eastAsia"/>
                                      </w:rPr>
                                      <w:t>设备安装调试</w:t>
                                    </w:r>
                                  </w:p>
                                </w:txbxContent>
                              </wps:txbx>
                              <wps:bodyPr rot="0" vert="horz" wrap="square" lIns="91440" tIns="45720" rIns="91440" bIns="45720" anchor="t" anchorCtr="false" upright="true">
                                <a:noAutofit/>
                              </wps:bodyPr>
                            </wps:wsp>
                            <wps:wsp>
                              <wps:cNvPr id="393" name="直线 321"/>
                              <wps:cNvCnPr/>
                              <wps:spPr bwMode="auto">
                                <a:xfrm>
                                  <a:off x="823595" y="509271"/>
                                  <a:ext cx="826135" cy="635"/>
                                </a:xfrm>
                                <a:prstGeom prst="line">
                                  <a:avLst/>
                                </a:prstGeom>
                                <a:noFill/>
                                <a:ln w="9525">
                                  <a:solidFill>
                                    <a:srgbClr val="000000"/>
                                  </a:solidFill>
                                  <a:round/>
                                  <a:tailEnd type="arrow" w="med" len="med"/>
                                </a:ln>
                                <a:effectLst/>
                              </wps:spPr>
                              <wps:bodyPr/>
                            </wps:wsp>
                            <wps:wsp>
                              <wps:cNvPr id="394" name="直线 322"/>
                              <wps:cNvCnPr/>
                              <wps:spPr bwMode="auto">
                                <a:xfrm>
                                  <a:off x="3385820" y="501016"/>
                                  <a:ext cx="783590" cy="635"/>
                                </a:xfrm>
                                <a:prstGeom prst="line">
                                  <a:avLst/>
                                </a:prstGeom>
                                <a:noFill/>
                                <a:ln w="9525">
                                  <a:solidFill>
                                    <a:srgbClr val="000000"/>
                                  </a:solidFill>
                                  <a:round/>
                                  <a:tailEnd type="arrow" w="med" len="med"/>
                                </a:ln>
                                <a:effectLst/>
                              </wps:spPr>
                              <wps:bodyPr/>
                            </wps:wsp>
                            <wps:wsp>
                              <wps:cNvPr id="395" name="直线 323"/>
                              <wps:cNvCnPr/>
                              <wps:spPr bwMode="auto">
                                <a:xfrm flipV="true">
                                  <a:off x="435610" y="189230"/>
                                  <a:ext cx="635" cy="193675"/>
                                </a:xfrm>
                                <a:prstGeom prst="line">
                                  <a:avLst/>
                                </a:prstGeom>
                                <a:noFill/>
                                <a:ln w="9525">
                                  <a:solidFill>
                                    <a:srgbClr val="000000"/>
                                  </a:solidFill>
                                  <a:prstDash val="dash"/>
                                  <a:round/>
                                  <a:tailEnd type="arrow" w="med" len="med"/>
                                </a:ln>
                                <a:effectLst/>
                              </wps:spPr>
                              <wps:bodyPr/>
                            </wps:wsp>
                            <wps:wsp>
                              <wps:cNvPr id="396" name="直线 324"/>
                              <wps:cNvCnPr/>
                              <wps:spPr bwMode="auto">
                                <a:xfrm flipV="true">
                                  <a:off x="4765675" y="183515"/>
                                  <a:ext cx="0" cy="190500"/>
                                </a:xfrm>
                                <a:prstGeom prst="line">
                                  <a:avLst/>
                                </a:prstGeom>
                                <a:noFill/>
                                <a:ln w="9525">
                                  <a:solidFill>
                                    <a:srgbClr val="000000"/>
                                  </a:solidFill>
                                  <a:prstDash val="dash"/>
                                  <a:round/>
                                  <a:tailEnd type="arrow" w="med" len="med"/>
                                </a:ln>
                                <a:effectLst/>
                              </wps:spPr>
                              <wps:bodyPr/>
                            </wps:wsp>
                            <wps:wsp>
                              <wps:cNvPr id="397" name="直线 325"/>
                              <wps:cNvCnPr/>
                              <wps:spPr bwMode="auto">
                                <a:xfrm flipV="true">
                                  <a:off x="2493645" y="184150"/>
                                  <a:ext cx="0" cy="190500"/>
                                </a:xfrm>
                                <a:prstGeom prst="line">
                                  <a:avLst/>
                                </a:prstGeom>
                                <a:noFill/>
                                <a:ln w="9525">
                                  <a:solidFill>
                                    <a:srgbClr val="000000"/>
                                  </a:solidFill>
                                  <a:prstDash val="dash"/>
                                  <a:round/>
                                  <a:tailEnd type="arrow" w="med" len="med"/>
                                </a:ln>
                                <a:effectLst/>
                              </wps:spPr>
                              <wps:bodyPr/>
                            </wps:wsp>
                            <wps:wsp>
                              <wps:cNvPr id="398" name="文本框 329"/>
                              <wps:cNvSpPr txBox="true">
                                <a:spLocks noChangeArrowheads="true"/>
                              </wps:cNvSpPr>
                              <wps:spPr bwMode="auto">
                                <a:xfrm>
                                  <a:off x="0" y="711835"/>
                                  <a:ext cx="5306695" cy="270510"/>
                                </a:xfrm>
                                <a:prstGeom prst="rect">
                                  <a:avLst/>
                                </a:prstGeom>
                                <a:solidFill>
                                  <a:srgbClr val="FFFFFF"/>
                                </a:solidFill>
                                <a:ln>
                                  <a:noFill/>
                                </a:ln>
                                <a:effectLst/>
                              </wps:spPr>
                              <wps:txbx>
                                <w:txbxContent>
                                  <w:p>
                                    <w:pPr>
                                      <w:jc w:val="center"/>
                                    </w:pPr>
                                    <w:r>
                                      <w:rPr>
                                        <w:rFonts w:hint="eastAsia"/>
                                      </w:rPr>
                                      <w:t>N：噪声   G：废气    S：固废    W：废水</w:t>
                                    </w:r>
                                  </w:p>
                                </w:txbxContent>
                              </wps:txbx>
                              <wps:bodyPr rot="0" vert="horz" wrap="square" lIns="91440" tIns="45720" rIns="91440" bIns="45720" anchor="t" anchorCtr="false" upright="true">
                                <a:noAutofit/>
                              </wps:bodyPr>
                            </wps:wsp>
                          </wpc:wpc>
                        </a:graphicData>
                      </a:graphic>
                    </wp:inline>
                  </w:drawing>
                </mc:Choice>
                <mc:Fallback>
                  <w:pict>
                    <v:group id="画布 317" o:spid="_x0000_s1026" o:spt="203" style="height:77.35pt;width:419.45pt;" coordsize="5327015,982345" editas="canvas" o:gfxdata="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">
                      <o:lock v:ext="edit" aspectratio="f"/>
                      <v:shape id="画布 317" o:spid="_x0000_s1026" style="position:absolute;left:0;top:0;height:982345;width:5327015;" filled="f" stroked="f" coordsize="21600,21600" o:gfxdata="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">
                        <v:fill on="f" focussize="0,0"/>
                        <v:stroke on="f"/>
                        <v:imagedata o:title=""/>
                        <o:lock v:ext="edit" aspectratio="f"/>
                      </v:shape>
                      <v:shape id="文本框 328" o:spid="_x0000_s1026" o:spt="202" type="#_x0000_t202" style="position:absolute;left:4385310;top:0;height:241300;width:749300;" fillcolor="#FFFFFF" filled="t" stroked="f" coordsize="21600,21600" o:gfxdata="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E0xXtQAAAAFAQAADwAAAAAAAAABACAAAAA4AAAAZHJzL2Rvd25yZXYueG1s&#10;UEsBAhQAFAAAAAgAh07iQJR9GXEfAgAAFAQAAA4AAAAAAAAAAQAgAAAAOQEAAGRycy9lMm9Eb2Mu&#10;eG1sUEsFBgAAAAAGAAYAWQEAAMoFAAAAAA==&#10;">
                        <v:fill on="t" focussize="0,0"/>
                        <v:stroke on="f"/>
                        <v:imagedata o:title=""/>
                        <o:lock v:ext="edit" aspectratio="f"/>
                        <v:textbox>
                          <w:txbxContent>
                            <w:p>
                              <w:pPr>
                                <w:jc w:val="center"/>
                              </w:pPr>
                              <w:r>
                                <w:rPr>
                                  <w:rFonts w:hint="eastAsia"/>
                                </w:rPr>
                                <w:t>N\S</w:t>
                              </w:r>
                            </w:p>
                          </w:txbxContent>
                        </v:textbox>
                      </v:shape>
                      <v:shape id="文本框 327" o:spid="_x0000_s1026" o:spt="202" type="#_x0000_t202" style="position:absolute;left:2115820;top:0;height:241300;width:749300;" fillcolor="#FFFFFF" filled="t" stroked="f" coordsize="21600,21600" o:gfxdata="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PxNMV7UAAAABQEAAA8AAAAAAAAAAQAgAAAAOAAAAGRycy9kb3ducmV2Lnht&#10;bFBLAQIUABQAAAAIAIdO4kAgs4TBIAIAABQEAAAOAAAAAAAAAAEAIAAAADkBAABkcnMvZTJvRG9j&#10;LnhtbFBLBQYAAAAABgAGAFkBAADLBQAAAAA=&#10;">
                        <v:fill on="t" focussize="0,0"/>
                        <v:stroke on="f"/>
                        <v:imagedata o:title=""/>
                        <o:lock v:ext="edit" aspectratio="f"/>
                        <v:textbox>
                          <w:txbxContent>
                            <w:p>
                              <w:pPr>
                                <w:jc w:val="center"/>
                              </w:pPr>
                              <w:r>
                                <w:rPr>
                                  <w:rFonts w:hint="eastAsia"/>
                                </w:rPr>
                                <w:t>N\G\S\W</w:t>
                              </w:r>
                            </w:p>
                          </w:txbxContent>
                        </v:textbox>
                      </v:shape>
                      <v:shape id="文本框 326" o:spid="_x0000_s1026" o:spt="202" type="#_x0000_t202" style="position:absolute;left:53340;top:0;height:241300;width:749300;" fillcolor="#FFFFFF" filled="t" stroked="f" coordsize="21600,21600" o:gfxdata="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PxNMV7UAAAABQEAAA8AAAAAAAAAAQAgAAAAOAAAAGRycy9kb3ducmV2LnhtbFBL&#10;AQIUABQAAAAIAIdO4kAR6mDXHQIAABIEAAAOAAAAAAAAAAEAIAAAADkBAABkcnMvZTJvRG9jLnht&#10;bFBLBQYAAAAABgAGAFkBAADIBQAAAAA=&#10;">
                        <v:fill on="t" focussize="0,0"/>
                        <v:stroke on="f"/>
                        <v:imagedata o:title=""/>
                        <o:lock v:ext="edit" aspectratio="f"/>
                        <v:textbox>
                          <w:txbxContent>
                            <w:p>
                              <w:pPr>
                                <w:jc w:val="center"/>
                              </w:pPr>
                              <w:r>
                                <w:rPr>
                                  <w:rFonts w:hint="eastAsia"/>
                                </w:rPr>
                                <w:t>N\G\S</w:t>
                              </w:r>
                            </w:p>
                          </w:txbxContent>
                        </v:textbox>
                      </v:shape>
                      <v:shape id="文本框 318" o:spid="_x0000_s1026" o:spt="202" type="#_x0000_t202" style="position:absolute;left:56515;top:391160;height:253365;width:758825;" fillcolor="#FFFFFF" filled="t" stroked="t" coordsize="21600,21600" o:gfxdata="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8gZ2adYAAAAFAQAADwAA&#10;AAAAAAABACAAAAA4AAAAZHJzL2Rvd25yZXYueG1sUEsBAhQAFAAAAAgAh07iQM4tU747AgAAYAQA&#10;AA4AAAAAAAAAAQAgAAAAOwEAAGRycy9lMm9Eb2MueG1sUEsFBgAAAAAGAAYAWQEAAOgFAAAAAA==&#10;">
                        <v:fill on="t" focussize="0,0"/>
                        <v:stroke color="#000000" miterlimit="8" joinstyle="miter"/>
                        <v:imagedata o:title=""/>
                        <o:lock v:ext="edit" aspectratio="f"/>
                        <v:textbox>
                          <w:txbxContent>
                            <w:p>
                              <w:pPr>
                                <w:jc w:val="center"/>
                              </w:pPr>
                              <w:r>
                                <w:rPr>
                                  <w:rFonts w:hint="eastAsia"/>
                                </w:rPr>
                                <w:t>场地清理</w:t>
                              </w:r>
                            </w:p>
                          </w:txbxContent>
                        </v:textbox>
                      </v:shape>
                      <v:shape id="文本框 319" o:spid="_x0000_s1026" o:spt="202" type="#_x0000_t202" style="position:absolute;left:1650365;top:385445;height:250189;width:1725930;" fillcolor="#FFFFFF" filled="t" stroked="t" coordsize="21600,21600" o:gfxdata="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8gZ2adYA&#10;AAAFAQAADwAAAAAAAAABACAAAAA4AAAAZHJzL2Rvd25yZXYueG1sUEsBAhQAFAAAAAgAh07iQFI1&#10;jR9EAgAAYwQAAA4AAAAAAAAAAQAgAAAAOwEAAGRycy9lMm9Eb2MueG1sUEsFBgAAAAAGAAYAWQEA&#10;APEFAAAAAA==&#10;">
                        <v:fill on="t" focussize="0,0"/>
                        <v:stroke color="#000000" miterlimit="8" joinstyle="miter"/>
                        <v:imagedata o:title=""/>
                        <o:lock v:ext="edit" aspectratio="f"/>
                        <v:textbox>
                          <w:txbxContent>
                            <w:p>
                              <w:pPr>
                                <w:jc w:val="center"/>
                              </w:pPr>
                              <w:r>
                                <w:rPr>
                                  <w:rFonts w:hint="eastAsia"/>
                                </w:rPr>
                                <w:t>主体工程及配套设施建设</w:t>
                              </w:r>
                            </w:p>
                          </w:txbxContent>
                        </v:textbox>
                      </v:shape>
                      <v:shape id="文本框 320" o:spid="_x0000_s1026" o:spt="202" type="#_x0000_t202" style="position:absolute;left:4159885;top:369570;height:269875;width:1111885;" fillcolor="#FFFFFF" filled="t" stroked="t" coordsize="21600,21600" o:gfxdata="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PIGdmnWAAAABQEA&#10;AA8AAAAAAAAAAQAgAAAAOAAAAGRycy9kb3ducmV2LnhtbFBLAQIUABQAAAAIAIdO4kDjmdBOPwIA&#10;AGMEAAAOAAAAAAAAAAEAIAAAADsBAABkcnMvZTJvRG9jLnhtbFBLBQYAAAAABgAGAFkBAADsBQAA&#10;AAA=&#10;">
                        <v:fill on="t" focussize="0,0"/>
                        <v:stroke color="#000000" miterlimit="8" joinstyle="miter"/>
                        <v:imagedata o:title=""/>
                        <o:lock v:ext="edit" aspectratio="f"/>
                        <v:textbox>
                          <w:txbxContent>
                            <w:p>
                              <w:pPr>
                                <w:jc w:val="center"/>
                              </w:pPr>
                              <w:r>
                                <w:rPr>
                                  <w:rFonts w:hint="eastAsia"/>
                                </w:rPr>
                                <w:t>设备安装调试</w:t>
                              </w:r>
                            </w:p>
                          </w:txbxContent>
                        </v:textbox>
                      </v:shape>
                      <v:line id="直线 321" o:spid="_x0000_s1026" o:spt="20" style="position:absolute;left:823595;top:509271;height:635;width:826135;" filled="f" stroked="t" coordsize="21600,21600" o:gfxdata="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LIyGs1gAAAAUB&#10;AAAPAAAAAAAAAAEAIAAAADgAAABkcnMvZG93bnJldi54bWxQSwECFAAUAAAACACHTuJApN72JM4B&#10;AABpAwAADgAAAAAAAAABACAAAAA7AQAAZHJzL2Uyb0RvYy54bWxQSwUGAAAAAAYABgBZAQAAewUA&#10;AAAA&#10;">
                        <v:fill on="f" focussize="0,0"/>
                        <v:stroke color="#000000" joinstyle="round" endarrow="open"/>
                        <v:imagedata o:title=""/>
                        <o:lock v:ext="edit" aspectratio="f"/>
                      </v:line>
                      <v:line id="直线 322" o:spid="_x0000_s1026" o:spt="20" style="position:absolute;left:3385820;top:501016;height:635;width:783590;" filled="f" stroked="t" coordsize="21600,21600" o:gfxdata="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SyMhrNYAAAAF&#10;AQAADwAAAAAAAAABACAAAAA4AAAAZHJzL2Rvd25yZXYueG1sUEsBAhQAFAAAAAgAh07iQNiVfaHP&#10;AQAAagMAAA4AAAAAAAAAAQAgAAAAOwEAAGRycy9lMm9Eb2MueG1sUEsFBgAAAAAGAAYAWQEAAHwF&#10;AAAAAA==&#10;">
                        <v:fill on="f" focussize="0,0"/>
                        <v:stroke color="#000000" joinstyle="round" endarrow="open"/>
                        <v:imagedata o:title=""/>
                        <o:lock v:ext="edit" aspectratio="f"/>
                      </v:line>
                      <v:line id="直线 323" o:spid="_x0000_s1026" o:spt="20" style="position:absolute;left:435610;top:189230;flip:y;height:193675;width:635;" filled="f" stroked="t" coordsize="21600,21600" o:gfxdata="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EUoNs1AAAAAUBAAAPAAAAAAAAAAEAIAAAADgAAABkcnMvZG93bnJldi54bWxQSwEC&#10;FAAUAAAACACHTuJAgJhsm+IBAACOAwAADgAAAAAAAAABACAAAAA5AQAAZHJzL2Uyb0RvYy54bWxQ&#10;SwUGAAAAAAYABgBZAQAAjQUAAAAA&#10;">
                        <v:fill on="f" focussize="0,0"/>
                        <v:stroke color="#000000" joinstyle="round" dashstyle="dash" endarrow="open"/>
                        <v:imagedata o:title=""/>
                        <o:lock v:ext="edit" aspectratio="f"/>
                      </v:line>
                      <v:line id="直线 324" o:spid="_x0000_s1026" o:spt="20" style="position:absolute;left:4765675;top:183515;flip:y;height:190500;width:0;" filled="f" stroked="t" coordsize="21600,21600" o:gfxdata="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IRSg2zUAAAABQEAAA8AAAAAAAAAAQAgAAAAOAAAAGRycy9kb3ducmV2LnhtbFBL&#10;AQIUABQAAAAIAIdO4kBH4R+f5AEAAI0DAAAOAAAAAAAAAAEAIAAAADkBAABkcnMvZTJvRG9jLnht&#10;bFBLBQYAAAAABgAGAFkBAACPBQAAAAA=&#10;">
                        <v:fill on="f" focussize="0,0"/>
                        <v:stroke color="#000000" joinstyle="round" dashstyle="dash" endarrow="open"/>
                        <v:imagedata o:title=""/>
                        <o:lock v:ext="edit" aspectratio="f"/>
                      </v:line>
                      <v:line id="直线 325" o:spid="_x0000_s1026" o:spt="20" style="position:absolute;left:2493645;top:184150;flip:y;height:190500;width:0;" filled="f" stroked="t" coordsize="21600,21600" o:gfxdata="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IRSg2zUAAAABQEAAA8AAAAAAAAAAQAgAAAAOAAAAGRycy9kb3ducmV2LnhtbFBLAQIU&#10;ABQAAAAIAIdO4kD+kD4j4QEAAI0DAAAOAAAAAAAAAAEAIAAAADkBAABkcnMvZTJvRG9jLnhtbFBL&#10;BQYAAAAABgAGAFkBAACMBQAAAAA=&#10;">
                        <v:fill on="f" focussize="0,0"/>
                        <v:stroke color="#000000" joinstyle="round" dashstyle="dash" endarrow="open"/>
                        <v:imagedata o:title=""/>
                        <o:lock v:ext="edit" aspectratio="f"/>
                      </v:line>
                      <v:shape id="文本框 329" o:spid="_x0000_s1026" o:spt="202" type="#_x0000_t202" style="position:absolute;left:0;top:711835;height:270510;width:5306695;" fillcolor="#FFFFFF" filled="t" stroked="f" coordsize="21600,21600" o:gfxdata="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D8TTFe1AAAAAUBAAAPAAAAAAAAAAEAIAAAADgAAABkcnMvZG93&#10;bnJldi54bWxQSwECFAAUAAAACACHTuJASXkhiCcCAAAUBAAADgAAAAAAAAABACAAAAA5AQAAZHJz&#10;L2Uyb0RvYy54bWxQSwUGAAAAAAYABgBZAQAA0gUAAAAA&#10;">
                        <v:fill on="t" focussize="0,0"/>
                        <v:stroke on="f"/>
                        <v:imagedata o:title=""/>
                        <o:lock v:ext="edit" aspectratio="f"/>
                        <v:textbox>
                          <w:txbxContent>
                            <w:p>
                              <w:pPr>
                                <w:jc w:val="center"/>
                              </w:pPr>
                              <w:r>
                                <w:rPr>
                                  <w:rFonts w:hint="eastAsia"/>
                                </w:rPr>
                                <w:t>N：噪声   G：废气    S：固废    W：废水</w:t>
                              </w:r>
                            </w:p>
                          </w:txbxContent>
                        </v:textbox>
                      </v:shape>
                      <w10:wrap type="none"/>
                      <w10:anchorlock/>
                    </v:group>
                  </w:pict>
                </mc:Fallback>
              </mc:AlternateContent>
            </w:r>
          </w:p>
          <w:p>
            <w:pPr>
              <w:jc w:val="center"/>
              <w:rPr>
                <w:b/>
                <w:color w:val="auto"/>
              </w:rPr>
            </w:pPr>
            <w:r>
              <w:rPr>
                <w:b/>
                <w:color w:val="auto"/>
              </w:rPr>
              <w:t>图</w:t>
            </w:r>
            <w:r>
              <w:rPr>
                <w:rFonts w:hint="eastAsia"/>
                <w:b/>
                <w:color w:val="auto"/>
              </w:rPr>
              <w:t>2</w:t>
            </w:r>
            <w:r>
              <w:rPr>
                <w:b/>
                <w:color w:val="auto"/>
              </w:rPr>
              <w:t>-</w:t>
            </w:r>
            <w:r>
              <w:rPr>
                <w:rFonts w:hint="eastAsia"/>
                <w:b/>
                <w:color w:val="auto"/>
              </w:rPr>
              <w:t>2</w:t>
            </w:r>
            <w:r>
              <w:rPr>
                <w:b/>
                <w:color w:val="auto"/>
              </w:rPr>
              <w:t xml:space="preserve">  项目施工流程图</w:t>
            </w:r>
          </w:p>
          <w:p>
            <w:pPr>
              <w:pStyle w:val="47"/>
              <w:adjustRightInd w:val="0"/>
              <w:snapToGrid w:val="0"/>
              <w:ind w:firstLine="0"/>
              <w:outlineLvl w:val="2"/>
              <w:rPr>
                <w:b/>
                <w:color w:val="auto"/>
                <w:szCs w:val="24"/>
              </w:rPr>
            </w:pPr>
            <w:r>
              <w:rPr>
                <w:rFonts w:hint="eastAsia"/>
                <w:b/>
                <w:color w:val="auto"/>
                <w:szCs w:val="24"/>
              </w:rPr>
              <w:t>2.10.2施工期产排污环节分析</w:t>
            </w:r>
          </w:p>
          <w:p>
            <w:pPr>
              <w:pStyle w:val="7"/>
              <w:spacing w:line="360" w:lineRule="auto"/>
              <w:ind w:firstLine="480" w:firstLineChars="200"/>
              <w:jc w:val="both"/>
              <w:rPr>
                <w:color w:val="auto"/>
              </w:rPr>
            </w:pPr>
            <w:r>
              <w:rPr>
                <w:rFonts w:hint="eastAsia"/>
                <w:color w:val="auto"/>
              </w:rPr>
              <w:t>本项目运营期产生的污染物按照废水、废气、固废进行分类，污染物产生的环节见表2-</w:t>
            </w:r>
            <w:r>
              <w:rPr>
                <w:rFonts w:hint="eastAsia"/>
                <w:color w:val="auto"/>
                <w:lang w:val="en-US" w:eastAsia="zh-CN"/>
              </w:rPr>
              <w:t>7</w:t>
            </w:r>
            <w:r>
              <w:rPr>
                <w:rFonts w:hint="eastAsia"/>
                <w:color w:val="auto"/>
              </w:rPr>
              <w:t>。</w:t>
            </w:r>
          </w:p>
          <w:p>
            <w:pPr>
              <w:jc w:val="center"/>
              <w:rPr>
                <w:b/>
                <w:bCs/>
                <w:color w:val="auto"/>
                <w:szCs w:val="21"/>
              </w:rPr>
            </w:pPr>
            <w:r>
              <w:rPr>
                <w:rFonts w:hint="eastAsia"/>
                <w:b/>
                <w:bCs/>
                <w:color w:val="auto"/>
                <w:szCs w:val="21"/>
              </w:rPr>
              <w:t>表2-</w:t>
            </w:r>
            <w:r>
              <w:rPr>
                <w:rFonts w:hint="eastAsia"/>
                <w:b/>
                <w:bCs/>
                <w:color w:val="auto"/>
                <w:szCs w:val="21"/>
                <w:lang w:val="en-US" w:eastAsia="zh-CN"/>
              </w:rPr>
              <w:t>7</w:t>
            </w:r>
            <w:r>
              <w:rPr>
                <w:b/>
                <w:bCs/>
                <w:color w:val="auto"/>
                <w:szCs w:val="21"/>
              </w:rPr>
              <w:t xml:space="preserve">  </w:t>
            </w:r>
            <w:r>
              <w:rPr>
                <w:rFonts w:hint="eastAsia"/>
                <w:b/>
                <w:bCs/>
                <w:color w:val="auto"/>
                <w:szCs w:val="21"/>
              </w:rPr>
              <w:t>本项目施工期期污染物产生环节一览表</w:t>
            </w:r>
          </w:p>
          <w:tbl>
            <w:tblPr>
              <w:tblStyle w:val="22"/>
              <w:tblW w:w="837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620"/>
              <w:gridCol w:w="1249"/>
              <w:gridCol w:w="1860"/>
              <w:gridCol w:w="1488"/>
              <w:gridCol w:w="2036"/>
              <w:gridCol w:w="11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tblHeader/>
                <w:jc w:val="center"/>
              </w:trPr>
              <w:tc>
                <w:tcPr>
                  <w:tcW w:w="370" w:type="pct"/>
                  <w:vAlign w:val="center"/>
                </w:tcPr>
                <w:p>
                  <w:pPr>
                    <w:jc w:val="center"/>
                    <w:rPr>
                      <w:bCs/>
                      <w:color w:val="auto"/>
                      <w:kern w:val="0"/>
                      <w:szCs w:val="21"/>
                    </w:rPr>
                  </w:pPr>
                  <w:r>
                    <w:rPr>
                      <w:bCs/>
                      <w:color w:val="auto"/>
                      <w:kern w:val="0"/>
                      <w:szCs w:val="21"/>
                    </w:rPr>
                    <w:t>类别</w:t>
                  </w:r>
                </w:p>
              </w:tc>
              <w:tc>
                <w:tcPr>
                  <w:tcW w:w="745" w:type="pct"/>
                  <w:vAlign w:val="center"/>
                </w:tcPr>
                <w:p>
                  <w:pPr>
                    <w:jc w:val="center"/>
                    <w:rPr>
                      <w:bCs/>
                      <w:color w:val="auto"/>
                      <w:kern w:val="0"/>
                      <w:szCs w:val="21"/>
                    </w:rPr>
                  </w:pPr>
                  <w:r>
                    <w:rPr>
                      <w:bCs/>
                      <w:color w:val="auto"/>
                      <w:kern w:val="0"/>
                      <w:szCs w:val="21"/>
                    </w:rPr>
                    <w:t>污染物名称</w:t>
                  </w:r>
                </w:p>
              </w:tc>
              <w:tc>
                <w:tcPr>
                  <w:tcW w:w="1110" w:type="pct"/>
                  <w:vAlign w:val="center"/>
                </w:tcPr>
                <w:p>
                  <w:pPr>
                    <w:jc w:val="center"/>
                    <w:rPr>
                      <w:bCs/>
                      <w:color w:val="auto"/>
                      <w:kern w:val="0"/>
                      <w:szCs w:val="21"/>
                    </w:rPr>
                  </w:pPr>
                  <w:r>
                    <w:rPr>
                      <w:bCs/>
                      <w:color w:val="auto"/>
                      <w:kern w:val="0"/>
                      <w:szCs w:val="21"/>
                    </w:rPr>
                    <w:t>产生环节</w:t>
                  </w:r>
                </w:p>
              </w:tc>
              <w:tc>
                <w:tcPr>
                  <w:tcW w:w="888" w:type="pct"/>
                  <w:tcBorders>
                    <w:right w:val="single" w:color="auto" w:sz="4" w:space="0"/>
                  </w:tcBorders>
                  <w:vAlign w:val="center"/>
                </w:tcPr>
                <w:p>
                  <w:pPr>
                    <w:jc w:val="center"/>
                    <w:rPr>
                      <w:bCs/>
                      <w:color w:val="auto"/>
                      <w:kern w:val="0"/>
                      <w:szCs w:val="21"/>
                    </w:rPr>
                  </w:pPr>
                  <w:r>
                    <w:rPr>
                      <w:bCs/>
                      <w:color w:val="auto"/>
                      <w:kern w:val="0"/>
                      <w:szCs w:val="21"/>
                    </w:rPr>
                    <w:t>主要污染因子</w:t>
                  </w:r>
                </w:p>
              </w:tc>
              <w:tc>
                <w:tcPr>
                  <w:tcW w:w="1215" w:type="pct"/>
                  <w:tcBorders>
                    <w:left w:val="single" w:color="auto" w:sz="4" w:space="0"/>
                  </w:tcBorders>
                  <w:vAlign w:val="center"/>
                </w:tcPr>
                <w:p>
                  <w:pPr>
                    <w:jc w:val="center"/>
                    <w:rPr>
                      <w:bCs/>
                      <w:color w:val="auto"/>
                      <w:kern w:val="0"/>
                      <w:szCs w:val="21"/>
                    </w:rPr>
                  </w:pPr>
                  <w:r>
                    <w:rPr>
                      <w:rFonts w:hint="eastAsia"/>
                      <w:bCs/>
                      <w:color w:val="auto"/>
                      <w:kern w:val="0"/>
                      <w:szCs w:val="21"/>
                    </w:rPr>
                    <w:t>处置措施</w:t>
                  </w:r>
                </w:p>
              </w:tc>
              <w:tc>
                <w:tcPr>
                  <w:tcW w:w="669" w:type="pct"/>
                  <w:vAlign w:val="center"/>
                </w:tcPr>
                <w:p>
                  <w:pPr>
                    <w:jc w:val="center"/>
                    <w:rPr>
                      <w:bCs/>
                      <w:color w:val="auto"/>
                      <w:kern w:val="0"/>
                      <w:szCs w:val="21"/>
                    </w:rPr>
                  </w:pPr>
                  <w:r>
                    <w:rPr>
                      <w:rFonts w:hint="eastAsia"/>
                      <w:bCs/>
                      <w:color w:val="auto"/>
                      <w:kern w:val="0"/>
                      <w:szCs w:val="21"/>
                    </w:rPr>
                    <w:t>去向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70" w:type="pct"/>
                  <w:vMerge w:val="restart"/>
                  <w:vAlign w:val="center"/>
                </w:tcPr>
                <w:p>
                  <w:pPr>
                    <w:jc w:val="center"/>
                    <w:rPr>
                      <w:color w:val="auto"/>
                      <w:kern w:val="0"/>
                      <w:szCs w:val="21"/>
                    </w:rPr>
                  </w:pPr>
                  <w:r>
                    <w:rPr>
                      <w:color w:val="auto"/>
                      <w:kern w:val="0"/>
                      <w:szCs w:val="21"/>
                    </w:rPr>
                    <w:t>废气</w:t>
                  </w:r>
                </w:p>
              </w:tc>
              <w:tc>
                <w:tcPr>
                  <w:tcW w:w="745" w:type="pct"/>
                  <w:vAlign w:val="center"/>
                </w:tcPr>
                <w:p>
                  <w:pPr>
                    <w:jc w:val="center"/>
                    <w:rPr>
                      <w:color w:val="auto"/>
                      <w:kern w:val="0"/>
                      <w:szCs w:val="21"/>
                    </w:rPr>
                  </w:pPr>
                  <w:r>
                    <w:rPr>
                      <w:rFonts w:hint="eastAsia"/>
                      <w:color w:val="auto"/>
                      <w:kern w:val="0"/>
                      <w:szCs w:val="21"/>
                    </w:rPr>
                    <w:t>扬尘</w:t>
                  </w:r>
                </w:p>
              </w:tc>
              <w:tc>
                <w:tcPr>
                  <w:tcW w:w="1110" w:type="pct"/>
                  <w:vAlign w:val="center"/>
                </w:tcPr>
                <w:p>
                  <w:pPr>
                    <w:jc w:val="center"/>
                    <w:rPr>
                      <w:color w:val="auto"/>
                      <w:kern w:val="0"/>
                      <w:szCs w:val="21"/>
                    </w:rPr>
                  </w:pPr>
                  <w:r>
                    <w:rPr>
                      <w:rFonts w:hint="eastAsia"/>
                      <w:color w:val="auto"/>
                      <w:kern w:val="0"/>
                      <w:szCs w:val="21"/>
                    </w:rPr>
                    <w:t>物料运输</w:t>
                  </w:r>
                </w:p>
              </w:tc>
              <w:tc>
                <w:tcPr>
                  <w:tcW w:w="888" w:type="pct"/>
                  <w:tcBorders>
                    <w:right w:val="single" w:color="auto" w:sz="4" w:space="0"/>
                  </w:tcBorders>
                  <w:vAlign w:val="center"/>
                </w:tcPr>
                <w:p>
                  <w:pPr>
                    <w:jc w:val="center"/>
                    <w:rPr>
                      <w:color w:val="auto"/>
                      <w:kern w:val="0"/>
                      <w:szCs w:val="21"/>
                      <w:vertAlign w:val="subscript"/>
                    </w:rPr>
                  </w:pPr>
                  <w:r>
                    <w:rPr>
                      <w:rFonts w:hint="eastAsia"/>
                      <w:color w:val="auto"/>
                      <w:kern w:val="0"/>
                      <w:szCs w:val="21"/>
                    </w:rPr>
                    <w:t>颗粒物</w:t>
                  </w:r>
                </w:p>
              </w:tc>
              <w:tc>
                <w:tcPr>
                  <w:tcW w:w="1215" w:type="pct"/>
                  <w:tcBorders>
                    <w:left w:val="single" w:color="auto" w:sz="4" w:space="0"/>
                  </w:tcBorders>
                  <w:vAlign w:val="center"/>
                </w:tcPr>
                <w:p>
                  <w:pPr>
                    <w:jc w:val="center"/>
                    <w:rPr>
                      <w:color w:val="auto"/>
                      <w:kern w:val="0"/>
                      <w:szCs w:val="21"/>
                    </w:rPr>
                  </w:pPr>
                  <w:r>
                    <w:rPr>
                      <w:rFonts w:hint="eastAsia"/>
                      <w:color w:val="auto"/>
                      <w:kern w:val="0"/>
                      <w:szCs w:val="21"/>
                    </w:rPr>
                    <w:t>洒水降尘、覆盖、封闭运输</w:t>
                  </w:r>
                </w:p>
              </w:tc>
              <w:tc>
                <w:tcPr>
                  <w:tcW w:w="669" w:type="pct"/>
                  <w:vAlign w:val="center"/>
                </w:tcPr>
                <w:p>
                  <w:pPr>
                    <w:jc w:val="center"/>
                    <w:rPr>
                      <w:color w:val="auto"/>
                      <w:kern w:val="0"/>
                      <w:szCs w:val="21"/>
                    </w:rPr>
                  </w:pPr>
                  <w:r>
                    <w:rPr>
                      <w:rFonts w:hint="eastAsia"/>
                      <w:color w:val="auto"/>
                      <w:kern w:val="0"/>
                      <w:szCs w:val="21"/>
                    </w:rPr>
                    <w:t>无组织排放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70" w:type="pct"/>
                  <w:vMerge w:val="continue"/>
                  <w:vAlign w:val="center"/>
                </w:tcPr>
                <w:p>
                  <w:pPr>
                    <w:jc w:val="center"/>
                    <w:rPr>
                      <w:color w:val="auto"/>
                      <w:kern w:val="0"/>
                      <w:szCs w:val="21"/>
                    </w:rPr>
                  </w:pPr>
                </w:p>
              </w:tc>
              <w:tc>
                <w:tcPr>
                  <w:tcW w:w="745" w:type="pct"/>
                  <w:vAlign w:val="center"/>
                </w:tcPr>
                <w:p>
                  <w:pPr>
                    <w:jc w:val="center"/>
                    <w:rPr>
                      <w:color w:val="auto"/>
                      <w:kern w:val="0"/>
                      <w:szCs w:val="21"/>
                    </w:rPr>
                  </w:pPr>
                  <w:r>
                    <w:rPr>
                      <w:rFonts w:hint="eastAsia"/>
                      <w:color w:val="auto"/>
                      <w:kern w:val="0"/>
                      <w:szCs w:val="21"/>
                    </w:rPr>
                    <w:t>燃油机械废气</w:t>
                  </w:r>
                </w:p>
              </w:tc>
              <w:tc>
                <w:tcPr>
                  <w:tcW w:w="1110" w:type="pct"/>
                  <w:vAlign w:val="center"/>
                </w:tcPr>
                <w:p>
                  <w:pPr>
                    <w:jc w:val="center"/>
                    <w:rPr>
                      <w:color w:val="auto"/>
                      <w:kern w:val="0"/>
                      <w:szCs w:val="21"/>
                    </w:rPr>
                  </w:pPr>
                  <w:r>
                    <w:rPr>
                      <w:rFonts w:hint="eastAsia"/>
                      <w:color w:val="auto"/>
                      <w:kern w:val="0"/>
                      <w:szCs w:val="21"/>
                    </w:rPr>
                    <w:t>运输车辆</w:t>
                  </w:r>
                </w:p>
              </w:tc>
              <w:tc>
                <w:tcPr>
                  <w:tcW w:w="888" w:type="pct"/>
                  <w:tcBorders>
                    <w:right w:val="single" w:color="auto" w:sz="4" w:space="0"/>
                  </w:tcBorders>
                  <w:vAlign w:val="center"/>
                </w:tcPr>
                <w:p>
                  <w:pPr>
                    <w:jc w:val="center"/>
                    <w:rPr>
                      <w:color w:val="auto"/>
                      <w:kern w:val="0"/>
                      <w:szCs w:val="21"/>
                    </w:rPr>
                  </w:pPr>
                  <w:r>
                    <w:rPr>
                      <w:rFonts w:hint="eastAsia"/>
                      <w:color w:val="auto"/>
                      <w:kern w:val="0"/>
                      <w:szCs w:val="21"/>
                    </w:rPr>
                    <w:t>烯烃类、CO和NO</w:t>
                  </w:r>
                  <w:r>
                    <w:rPr>
                      <w:rFonts w:hint="eastAsia"/>
                      <w:color w:val="auto"/>
                      <w:kern w:val="0"/>
                      <w:szCs w:val="21"/>
                      <w:vertAlign w:val="subscript"/>
                    </w:rPr>
                    <w:t>X</w:t>
                  </w:r>
                </w:p>
              </w:tc>
              <w:tc>
                <w:tcPr>
                  <w:tcW w:w="1215" w:type="pct"/>
                  <w:tcBorders>
                    <w:left w:val="single" w:color="auto" w:sz="4" w:space="0"/>
                  </w:tcBorders>
                  <w:vAlign w:val="center"/>
                </w:tcPr>
                <w:p>
                  <w:pPr>
                    <w:jc w:val="center"/>
                    <w:rPr>
                      <w:color w:val="auto"/>
                      <w:kern w:val="0"/>
                      <w:szCs w:val="21"/>
                    </w:rPr>
                  </w:pPr>
                  <w:r>
                    <w:rPr>
                      <w:rFonts w:hint="eastAsia"/>
                      <w:color w:val="auto"/>
                      <w:kern w:val="0"/>
                      <w:szCs w:val="21"/>
                    </w:rPr>
                    <w:t>--</w:t>
                  </w:r>
                </w:p>
              </w:tc>
              <w:tc>
                <w:tcPr>
                  <w:tcW w:w="669" w:type="pct"/>
                  <w:vAlign w:val="center"/>
                </w:tcPr>
                <w:p>
                  <w:pPr>
                    <w:jc w:val="center"/>
                    <w:rPr>
                      <w:color w:val="auto"/>
                      <w:kern w:val="0"/>
                      <w:szCs w:val="21"/>
                    </w:rPr>
                  </w:pPr>
                  <w:r>
                    <w:rPr>
                      <w:rFonts w:hint="eastAsia"/>
                      <w:color w:val="auto"/>
                      <w:kern w:val="0"/>
                      <w:szCs w:val="21"/>
                    </w:rPr>
                    <w:t>自然稀释</w:t>
                  </w:r>
                </w:p>
                <w:p>
                  <w:pPr>
                    <w:jc w:val="center"/>
                    <w:rPr>
                      <w:color w:val="auto"/>
                      <w:kern w:val="0"/>
                      <w:szCs w:val="21"/>
                    </w:rPr>
                  </w:pPr>
                  <w:r>
                    <w:rPr>
                      <w:rFonts w:hint="eastAsia"/>
                      <w:color w:val="auto"/>
                      <w:kern w:val="0"/>
                      <w:szCs w:val="21"/>
                    </w:rPr>
                    <w:t>扩散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70" w:type="pct"/>
                  <w:vMerge w:val="restart"/>
                  <w:vAlign w:val="center"/>
                </w:tcPr>
                <w:p>
                  <w:pPr>
                    <w:pStyle w:val="11"/>
                    <w:jc w:val="center"/>
                    <w:rPr>
                      <w:rFonts w:ascii="Times New Roman" w:hAnsi="Times New Roman"/>
                      <w:bCs/>
                      <w:color w:val="auto"/>
                      <w:szCs w:val="21"/>
                      <w:lang w:val="zh-CN"/>
                    </w:rPr>
                  </w:pPr>
                  <w:r>
                    <w:rPr>
                      <w:rFonts w:ascii="Times New Roman" w:hAnsi="Times New Roman"/>
                      <w:bCs/>
                      <w:color w:val="auto"/>
                      <w:szCs w:val="21"/>
                      <w:lang w:val="zh-CN"/>
                    </w:rPr>
                    <w:t>废水</w:t>
                  </w:r>
                </w:p>
              </w:tc>
              <w:tc>
                <w:tcPr>
                  <w:tcW w:w="745" w:type="pct"/>
                  <w:vAlign w:val="center"/>
                </w:tcPr>
                <w:p>
                  <w:pPr>
                    <w:jc w:val="center"/>
                    <w:rPr>
                      <w:color w:val="auto"/>
                      <w:szCs w:val="21"/>
                    </w:rPr>
                  </w:pPr>
                  <w:r>
                    <w:rPr>
                      <w:rFonts w:hint="eastAsia"/>
                      <w:color w:val="auto"/>
                      <w:szCs w:val="21"/>
                    </w:rPr>
                    <w:t>施工废水</w:t>
                  </w:r>
                </w:p>
              </w:tc>
              <w:tc>
                <w:tcPr>
                  <w:tcW w:w="1110" w:type="pct"/>
                  <w:vAlign w:val="center"/>
                </w:tcPr>
                <w:p>
                  <w:pPr>
                    <w:jc w:val="center"/>
                    <w:rPr>
                      <w:color w:val="auto"/>
                      <w:szCs w:val="21"/>
                    </w:rPr>
                  </w:pPr>
                  <w:r>
                    <w:rPr>
                      <w:rFonts w:hint="eastAsia"/>
                      <w:color w:val="auto"/>
                      <w:szCs w:val="21"/>
                    </w:rPr>
                    <w:t>前期施工</w:t>
                  </w:r>
                </w:p>
              </w:tc>
              <w:tc>
                <w:tcPr>
                  <w:tcW w:w="888" w:type="pct"/>
                  <w:tcBorders>
                    <w:right w:val="single" w:color="auto" w:sz="4" w:space="0"/>
                  </w:tcBorders>
                  <w:vAlign w:val="center"/>
                </w:tcPr>
                <w:p>
                  <w:pPr>
                    <w:widowControl/>
                    <w:jc w:val="center"/>
                    <w:rPr>
                      <w:color w:val="auto"/>
                      <w:kern w:val="0"/>
                      <w:szCs w:val="21"/>
                      <w:vertAlign w:val="superscript"/>
                    </w:rPr>
                  </w:pPr>
                  <w:r>
                    <w:rPr>
                      <w:rFonts w:hint="eastAsia"/>
                      <w:color w:val="auto"/>
                      <w:kern w:val="0"/>
                      <w:szCs w:val="21"/>
                    </w:rPr>
                    <w:t>SS</w:t>
                  </w:r>
                </w:p>
              </w:tc>
              <w:tc>
                <w:tcPr>
                  <w:tcW w:w="1884" w:type="pct"/>
                  <w:gridSpan w:val="2"/>
                  <w:tcBorders>
                    <w:left w:val="single" w:color="auto" w:sz="4" w:space="0"/>
                  </w:tcBorders>
                  <w:vAlign w:val="center"/>
                </w:tcPr>
                <w:p>
                  <w:pPr>
                    <w:jc w:val="center"/>
                    <w:rPr>
                      <w:color w:val="auto"/>
                      <w:szCs w:val="21"/>
                    </w:rPr>
                  </w:pPr>
                  <w:r>
                    <w:rPr>
                      <w:rFonts w:hint="eastAsia"/>
                      <w:color w:val="auto"/>
                      <w:kern w:val="0"/>
                      <w:szCs w:val="21"/>
                    </w:rPr>
                    <w:t>收集沉淀后用于洒水降尘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70" w:type="pct"/>
                  <w:vMerge w:val="continue"/>
                  <w:vAlign w:val="center"/>
                </w:tcPr>
                <w:p>
                  <w:pPr>
                    <w:pStyle w:val="11"/>
                    <w:jc w:val="center"/>
                    <w:rPr>
                      <w:rFonts w:ascii="Times New Roman" w:hAnsi="Times New Roman"/>
                      <w:bCs/>
                      <w:color w:val="auto"/>
                      <w:szCs w:val="21"/>
                      <w:lang w:val="zh-CN"/>
                    </w:rPr>
                  </w:pPr>
                </w:p>
              </w:tc>
              <w:tc>
                <w:tcPr>
                  <w:tcW w:w="745" w:type="pct"/>
                  <w:vAlign w:val="center"/>
                </w:tcPr>
                <w:p>
                  <w:pPr>
                    <w:jc w:val="center"/>
                    <w:rPr>
                      <w:color w:val="auto"/>
                      <w:szCs w:val="21"/>
                    </w:rPr>
                  </w:pPr>
                  <w:r>
                    <w:rPr>
                      <w:rFonts w:hint="eastAsia"/>
                      <w:color w:val="auto"/>
                      <w:szCs w:val="21"/>
                    </w:rPr>
                    <w:t>洗手污水</w:t>
                  </w:r>
                </w:p>
              </w:tc>
              <w:tc>
                <w:tcPr>
                  <w:tcW w:w="1110" w:type="pct"/>
                  <w:vAlign w:val="center"/>
                </w:tcPr>
                <w:p>
                  <w:pPr>
                    <w:jc w:val="center"/>
                    <w:rPr>
                      <w:color w:val="auto"/>
                      <w:szCs w:val="21"/>
                    </w:rPr>
                  </w:pPr>
                  <w:r>
                    <w:rPr>
                      <w:rFonts w:hint="eastAsia"/>
                      <w:color w:val="auto"/>
                      <w:szCs w:val="21"/>
                    </w:rPr>
                    <w:t>施工人员洗手等</w:t>
                  </w:r>
                </w:p>
              </w:tc>
              <w:tc>
                <w:tcPr>
                  <w:tcW w:w="888" w:type="pct"/>
                  <w:tcBorders>
                    <w:right w:val="single" w:color="auto" w:sz="4" w:space="0"/>
                  </w:tcBorders>
                  <w:vAlign w:val="center"/>
                </w:tcPr>
                <w:p>
                  <w:pPr>
                    <w:widowControl/>
                    <w:jc w:val="center"/>
                    <w:rPr>
                      <w:color w:val="auto"/>
                      <w:kern w:val="0"/>
                      <w:szCs w:val="21"/>
                    </w:rPr>
                  </w:pPr>
                  <w:r>
                    <w:rPr>
                      <w:rFonts w:hint="eastAsia"/>
                      <w:color w:val="auto"/>
                      <w:kern w:val="0"/>
                      <w:szCs w:val="21"/>
                    </w:rPr>
                    <w:t>SS</w:t>
                  </w:r>
                </w:p>
              </w:tc>
              <w:tc>
                <w:tcPr>
                  <w:tcW w:w="1884" w:type="pct"/>
                  <w:gridSpan w:val="2"/>
                  <w:tcBorders>
                    <w:left w:val="single" w:color="auto" w:sz="4" w:space="0"/>
                  </w:tcBorders>
                  <w:vAlign w:val="center"/>
                </w:tcPr>
                <w:p>
                  <w:pPr>
                    <w:jc w:val="center"/>
                    <w:rPr>
                      <w:color w:val="auto"/>
                      <w:szCs w:val="21"/>
                    </w:rPr>
                  </w:pPr>
                  <w:r>
                    <w:rPr>
                      <w:rFonts w:hint="eastAsia"/>
                      <w:color w:val="auto"/>
                      <w:kern w:val="0"/>
                      <w:szCs w:val="21"/>
                    </w:rPr>
                    <w:t>厂区化粪池处理后排入园区管网，最终进入园区污水处理厂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70" w:type="pct"/>
                  <w:vMerge w:val="restart"/>
                  <w:vAlign w:val="center"/>
                </w:tcPr>
                <w:p>
                  <w:pPr>
                    <w:jc w:val="center"/>
                    <w:rPr>
                      <w:color w:val="auto"/>
                      <w:szCs w:val="21"/>
                    </w:rPr>
                  </w:pPr>
                  <w:r>
                    <w:rPr>
                      <w:rFonts w:hint="eastAsia"/>
                      <w:color w:val="auto"/>
                      <w:szCs w:val="21"/>
                    </w:rPr>
                    <w:t>噪声</w:t>
                  </w:r>
                </w:p>
              </w:tc>
              <w:tc>
                <w:tcPr>
                  <w:tcW w:w="745" w:type="pct"/>
                  <w:vAlign w:val="center"/>
                </w:tcPr>
                <w:p>
                  <w:pPr>
                    <w:jc w:val="center"/>
                    <w:rPr>
                      <w:color w:val="auto"/>
                      <w:szCs w:val="21"/>
                    </w:rPr>
                  </w:pPr>
                  <w:r>
                    <w:rPr>
                      <w:rFonts w:hint="eastAsia"/>
                      <w:color w:val="auto"/>
                      <w:szCs w:val="21"/>
                    </w:rPr>
                    <w:t>机械噪声</w:t>
                  </w:r>
                </w:p>
              </w:tc>
              <w:tc>
                <w:tcPr>
                  <w:tcW w:w="1110" w:type="pct"/>
                  <w:vAlign w:val="center"/>
                </w:tcPr>
                <w:p>
                  <w:pPr>
                    <w:jc w:val="center"/>
                    <w:rPr>
                      <w:color w:val="auto"/>
                      <w:szCs w:val="21"/>
                    </w:rPr>
                  </w:pPr>
                  <w:r>
                    <w:rPr>
                      <w:rFonts w:hint="eastAsia"/>
                      <w:color w:val="auto"/>
                      <w:szCs w:val="21"/>
                    </w:rPr>
                    <w:t>施工机械、敲打</w:t>
                  </w:r>
                </w:p>
              </w:tc>
              <w:tc>
                <w:tcPr>
                  <w:tcW w:w="888" w:type="pct"/>
                  <w:tcBorders>
                    <w:right w:val="single" w:color="auto" w:sz="4" w:space="0"/>
                  </w:tcBorders>
                  <w:vAlign w:val="center"/>
                </w:tcPr>
                <w:p>
                  <w:pPr>
                    <w:jc w:val="center"/>
                    <w:rPr>
                      <w:color w:val="auto"/>
                      <w:szCs w:val="21"/>
                    </w:rPr>
                  </w:pPr>
                  <w:r>
                    <w:rPr>
                      <w:rFonts w:hint="eastAsia"/>
                      <w:color w:val="auto"/>
                      <w:szCs w:val="21"/>
                    </w:rPr>
                    <w:t>噪声</w:t>
                  </w:r>
                </w:p>
              </w:tc>
              <w:tc>
                <w:tcPr>
                  <w:tcW w:w="1884" w:type="pct"/>
                  <w:gridSpan w:val="2"/>
                  <w:tcBorders>
                    <w:left w:val="single" w:color="auto" w:sz="4" w:space="0"/>
                  </w:tcBorders>
                  <w:vAlign w:val="center"/>
                </w:tcPr>
                <w:p>
                  <w:pPr>
                    <w:jc w:val="center"/>
                    <w:rPr>
                      <w:color w:val="auto"/>
                      <w:szCs w:val="21"/>
                    </w:rPr>
                  </w:pPr>
                  <w:r>
                    <w:rPr>
                      <w:rFonts w:hint="eastAsia"/>
                      <w:color w:val="auto"/>
                      <w:szCs w:val="21"/>
                    </w:rPr>
                    <w:t>合理安排施工时间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70" w:type="pct"/>
                  <w:vMerge w:val="continue"/>
                  <w:tcBorders>
                    <w:bottom w:val="single" w:color="auto" w:sz="4" w:space="0"/>
                  </w:tcBorders>
                  <w:vAlign w:val="center"/>
                </w:tcPr>
                <w:p>
                  <w:pPr>
                    <w:jc w:val="center"/>
                    <w:rPr>
                      <w:color w:val="auto"/>
                      <w:szCs w:val="21"/>
                    </w:rPr>
                  </w:pPr>
                </w:p>
              </w:tc>
              <w:tc>
                <w:tcPr>
                  <w:tcW w:w="745" w:type="pct"/>
                  <w:vAlign w:val="center"/>
                </w:tcPr>
                <w:p>
                  <w:pPr>
                    <w:jc w:val="center"/>
                    <w:rPr>
                      <w:color w:val="auto"/>
                      <w:szCs w:val="21"/>
                    </w:rPr>
                  </w:pPr>
                  <w:r>
                    <w:rPr>
                      <w:rFonts w:hint="eastAsia"/>
                      <w:color w:val="auto"/>
                      <w:szCs w:val="21"/>
                    </w:rPr>
                    <w:t>交通噪声</w:t>
                  </w:r>
                </w:p>
              </w:tc>
              <w:tc>
                <w:tcPr>
                  <w:tcW w:w="1110" w:type="pct"/>
                  <w:vAlign w:val="center"/>
                </w:tcPr>
                <w:p>
                  <w:pPr>
                    <w:jc w:val="center"/>
                    <w:rPr>
                      <w:color w:val="auto"/>
                      <w:szCs w:val="21"/>
                    </w:rPr>
                  </w:pPr>
                  <w:r>
                    <w:rPr>
                      <w:rFonts w:hint="eastAsia"/>
                      <w:color w:val="auto"/>
                      <w:szCs w:val="21"/>
                    </w:rPr>
                    <w:t>运输车辆</w:t>
                  </w:r>
                </w:p>
              </w:tc>
              <w:tc>
                <w:tcPr>
                  <w:tcW w:w="888" w:type="pct"/>
                  <w:tcBorders>
                    <w:right w:val="single" w:color="auto" w:sz="4" w:space="0"/>
                  </w:tcBorders>
                  <w:vAlign w:val="center"/>
                </w:tcPr>
                <w:p>
                  <w:pPr>
                    <w:jc w:val="center"/>
                    <w:rPr>
                      <w:color w:val="auto"/>
                      <w:szCs w:val="21"/>
                    </w:rPr>
                  </w:pPr>
                  <w:r>
                    <w:rPr>
                      <w:rFonts w:hint="eastAsia"/>
                      <w:color w:val="auto"/>
                      <w:szCs w:val="21"/>
                    </w:rPr>
                    <w:t>噪声</w:t>
                  </w:r>
                </w:p>
              </w:tc>
              <w:tc>
                <w:tcPr>
                  <w:tcW w:w="1884" w:type="pct"/>
                  <w:gridSpan w:val="2"/>
                  <w:tcBorders>
                    <w:left w:val="single" w:color="auto" w:sz="4" w:space="0"/>
                  </w:tcBorders>
                  <w:vAlign w:val="center"/>
                </w:tcPr>
                <w:p>
                  <w:pPr>
                    <w:jc w:val="center"/>
                    <w:rPr>
                      <w:color w:val="auto"/>
                      <w:szCs w:val="21"/>
                    </w:rPr>
                  </w:pPr>
                  <w:r>
                    <w:rPr>
                      <w:rFonts w:hint="eastAsia"/>
                      <w:color w:val="auto"/>
                      <w:szCs w:val="21"/>
                    </w:rPr>
                    <w:t>减速禁鸣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70" w:type="pct"/>
                  <w:vMerge w:val="restart"/>
                  <w:tcBorders>
                    <w:top w:val="single" w:color="auto" w:sz="4" w:space="0"/>
                  </w:tcBorders>
                  <w:vAlign w:val="center"/>
                </w:tcPr>
                <w:p>
                  <w:pPr>
                    <w:jc w:val="center"/>
                    <w:rPr>
                      <w:color w:val="auto"/>
                      <w:szCs w:val="21"/>
                    </w:rPr>
                  </w:pPr>
                  <w:r>
                    <w:rPr>
                      <w:color w:val="auto"/>
                      <w:szCs w:val="21"/>
                    </w:rPr>
                    <w:t>固废</w:t>
                  </w:r>
                </w:p>
              </w:tc>
              <w:tc>
                <w:tcPr>
                  <w:tcW w:w="745" w:type="pct"/>
                  <w:vAlign w:val="center"/>
                </w:tcPr>
                <w:p>
                  <w:pPr>
                    <w:jc w:val="center"/>
                    <w:rPr>
                      <w:color w:val="auto"/>
                      <w:szCs w:val="21"/>
                    </w:rPr>
                  </w:pPr>
                  <w:r>
                    <w:rPr>
                      <w:rFonts w:hint="eastAsia"/>
                      <w:color w:val="auto"/>
                      <w:szCs w:val="21"/>
                    </w:rPr>
                    <w:t>建筑垃圾</w:t>
                  </w:r>
                </w:p>
              </w:tc>
              <w:tc>
                <w:tcPr>
                  <w:tcW w:w="1110" w:type="pct"/>
                  <w:vAlign w:val="center"/>
                </w:tcPr>
                <w:p>
                  <w:pPr>
                    <w:jc w:val="center"/>
                    <w:rPr>
                      <w:color w:val="auto"/>
                      <w:szCs w:val="21"/>
                    </w:rPr>
                  </w:pPr>
                  <w:r>
                    <w:rPr>
                      <w:rFonts w:hint="eastAsia"/>
                      <w:color w:val="auto"/>
                      <w:szCs w:val="21"/>
                    </w:rPr>
                    <w:t>建筑施工过程</w:t>
                  </w:r>
                </w:p>
              </w:tc>
              <w:tc>
                <w:tcPr>
                  <w:tcW w:w="888" w:type="pct"/>
                  <w:tcBorders>
                    <w:right w:val="single" w:color="auto" w:sz="4" w:space="0"/>
                  </w:tcBorders>
                  <w:vAlign w:val="center"/>
                </w:tcPr>
                <w:p>
                  <w:pPr>
                    <w:jc w:val="center"/>
                    <w:rPr>
                      <w:color w:val="auto"/>
                      <w:szCs w:val="21"/>
                    </w:rPr>
                  </w:pPr>
                  <w:r>
                    <w:rPr>
                      <w:rFonts w:hint="eastAsia"/>
                      <w:color w:val="auto"/>
                      <w:szCs w:val="21"/>
                    </w:rPr>
                    <w:t>废铁等</w:t>
                  </w:r>
                </w:p>
              </w:tc>
              <w:tc>
                <w:tcPr>
                  <w:tcW w:w="1884" w:type="pct"/>
                  <w:gridSpan w:val="2"/>
                  <w:vMerge w:val="restart"/>
                  <w:tcBorders>
                    <w:left w:val="single" w:color="auto" w:sz="4" w:space="0"/>
                  </w:tcBorders>
                  <w:vAlign w:val="center"/>
                </w:tcPr>
                <w:p>
                  <w:pPr>
                    <w:jc w:val="center"/>
                    <w:rPr>
                      <w:color w:val="auto"/>
                      <w:szCs w:val="21"/>
                    </w:rPr>
                  </w:pPr>
                  <w:r>
                    <w:rPr>
                      <w:rFonts w:hint="eastAsia"/>
                      <w:color w:val="auto"/>
                      <w:szCs w:val="21"/>
                    </w:rPr>
                    <w:t>可利用的收集外售、不可利用的由环卫部门清运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70" w:type="pct"/>
                  <w:vMerge w:val="continue"/>
                  <w:vAlign w:val="center"/>
                </w:tcPr>
                <w:p>
                  <w:pPr>
                    <w:jc w:val="center"/>
                    <w:rPr>
                      <w:color w:val="auto"/>
                      <w:szCs w:val="21"/>
                    </w:rPr>
                  </w:pPr>
                </w:p>
              </w:tc>
              <w:tc>
                <w:tcPr>
                  <w:tcW w:w="745" w:type="pct"/>
                  <w:vAlign w:val="center"/>
                </w:tcPr>
                <w:p>
                  <w:pPr>
                    <w:jc w:val="center"/>
                    <w:rPr>
                      <w:color w:val="auto"/>
                      <w:szCs w:val="21"/>
                    </w:rPr>
                  </w:pPr>
                  <w:r>
                    <w:rPr>
                      <w:rFonts w:hint="eastAsia"/>
                      <w:color w:val="auto"/>
                      <w:szCs w:val="21"/>
                    </w:rPr>
                    <w:t>生活垃圾</w:t>
                  </w:r>
                </w:p>
              </w:tc>
              <w:tc>
                <w:tcPr>
                  <w:tcW w:w="1110" w:type="pct"/>
                  <w:vAlign w:val="center"/>
                </w:tcPr>
                <w:p>
                  <w:pPr>
                    <w:jc w:val="center"/>
                    <w:rPr>
                      <w:color w:val="auto"/>
                      <w:szCs w:val="21"/>
                    </w:rPr>
                  </w:pPr>
                  <w:r>
                    <w:rPr>
                      <w:rFonts w:hint="eastAsia"/>
                      <w:color w:val="auto"/>
                      <w:szCs w:val="21"/>
                    </w:rPr>
                    <w:t>施工人员</w:t>
                  </w:r>
                </w:p>
              </w:tc>
              <w:tc>
                <w:tcPr>
                  <w:tcW w:w="888" w:type="pct"/>
                  <w:tcBorders>
                    <w:right w:val="single" w:color="auto" w:sz="4" w:space="0"/>
                  </w:tcBorders>
                  <w:vAlign w:val="center"/>
                </w:tcPr>
                <w:p>
                  <w:pPr>
                    <w:jc w:val="center"/>
                    <w:rPr>
                      <w:rFonts w:hAnsi="宋体"/>
                      <w:color w:val="auto"/>
                      <w:szCs w:val="21"/>
                    </w:rPr>
                  </w:pPr>
                  <w:r>
                    <w:rPr>
                      <w:rFonts w:hint="eastAsia" w:hAnsi="宋体"/>
                      <w:color w:val="auto"/>
                      <w:szCs w:val="21"/>
                    </w:rPr>
                    <w:t>包装袋、废弃矿泉水瓶等</w:t>
                  </w:r>
                </w:p>
              </w:tc>
              <w:tc>
                <w:tcPr>
                  <w:tcW w:w="1884" w:type="pct"/>
                  <w:gridSpan w:val="2"/>
                  <w:vMerge w:val="continue"/>
                  <w:tcBorders>
                    <w:left w:val="single" w:color="auto" w:sz="4" w:space="0"/>
                  </w:tcBorders>
                  <w:vAlign w:val="center"/>
                </w:tcPr>
                <w:p>
                  <w:pPr>
                    <w:jc w:val="center"/>
                    <w:rPr>
                      <w:color w:val="auto"/>
                      <w:szCs w:val="21"/>
                    </w:rPr>
                  </w:pPr>
                </w:p>
              </w:tc>
            </w:tr>
          </w:tbl>
          <w:p>
            <w:pPr>
              <w:adjustRightInd w:val="0"/>
              <w:snapToGrid w:val="0"/>
              <w:spacing w:line="360" w:lineRule="auto"/>
              <w:rPr>
                <w:b/>
                <w:color w:val="auto"/>
                <w:sz w:val="24"/>
              </w:rPr>
            </w:pPr>
            <w:r>
              <w:rPr>
                <w:rFonts w:hint="eastAsia"/>
                <w:b/>
                <w:color w:val="auto"/>
                <w:sz w:val="24"/>
              </w:rPr>
              <w:t>2.11营运期生产工艺和产排污环节</w:t>
            </w:r>
          </w:p>
          <w:p>
            <w:pPr>
              <w:adjustRightInd w:val="0"/>
              <w:snapToGrid w:val="0"/>
              <w:spacing w:line="360" w:lineRule="auto"/>
              <w:rPr>
                <w:rFonts w:hint="eastAsia"/>
                <w:b/>
                <w:color w:val="auto"/>
                <w:sz w:val="24"/>
              </w:rPr>
            </w:pPr>
            <w:r>
              <w:rPr>
                <w:rFonts w:hint="eastAsia"/>
                <w:b/>
                <w:color w:val="auto"/>
                <w:sz w:val="24"/>
              </w:rPr>
              <w:t>2.11.1工艺流程</w:t>
            </w:r>
          </w:p>
          <w:p>
            <w:pPr>
              <w:rPr>
                <w:rFonts w:hint="eastAsia"/>
                <w:color w:val="auto"/>
                <w:lang w:val="en-US" w:eastAsia="zh-CN"/>
              </w:rPr>
            </w:pPr>
          </w:p>
          <w:p>
            <w:pPr>
              <w:rPr>
                <w:rFonts w:hint="eastAsia"/>
                <w:color w:val="auto"/>
                <w:lang w:val="en-US" w:eastAsia="zh-CN"/>
              </w:rPr>
            </w:pPr>
          </w:p>
          <w:p>
            <w:pPr>
              <w:pStyle w:val="14"/>
              <w:bidi w:val="0"/>
              <w:rPr>
                <w:rFonts w:hint="eastAsia"/>
                <w:color w:val="auto"/>
                <w:lang w:val="en-US" w:eastAsia="zh-CN"/>
              </w:rPr>
            </w:pPr>
          </w:p>
          <w:p>
            <w:pPr>
              <w:pStyle w:val="14"/>
              <w:bidi w:val="0"/>
              <w:rPr>
                <w:rFonts w:hint="eastAsia"/>
                <w:color w:val="auto"/>
                <w:lang w:val="en-US" w:eastAsia="zh-CN"/>
              </w:rPr>
            </w:pPr>
          </w:p>
          <w:p>
            <w:pPr>
              <w:pStyle w:val="14"/>
              <w:bidi w:val="0"/>
              <w:rPr>
                <w:rFonts w:hint="eastAsia"/>
                <w:color w:val="auto"/>
                <w:lang w:val="en-US" w:eastAsia="zh-CN"/>
              </w:rPr>
            </w:pPr>
          </w:p>
          <w:p>
            <w:pPr>
              <w:jc w:val="center"/>
              <w:rPr>
                <w:color w:val="auto"/>
              </w:rPr>
            </w:pPr>
            <w:r>
              <w:rPr>
                <w:color w:val="auto"/>
              </w:rPr>
              <mc:AlternateContent>
                <mc:Choice Requires="wpc">
                  <w:drawing>
                    <wp:inline distT="0" distB="0" distL="0" distR="0">
                      <wp:extent cx="5325110" cy="5676900"/>
                      <wp:effectExtent l="0" t="0" r="8890" b="0"/>
                      <wp:docPr id="389" name="画布 331"/>
                      <wp:cNvGraphicFramePr/>
                      <a:graphic xmlns:a="http://schemas.openxmlformats.org/drawingml/2006/main">
                        <a:graphicData uri="http://schemas.microsoft.com/office/word/2010/wordprocessingCanvas">
                          <wpc:wpc>
                            <wpc:bg>
                              <a:noFill/>
                            </wpc:bg>
                            <wpc:whole>
                              <a:ln>
                                <a:noFill/>
                              </a:ln>
                            </wpc:whole>
                            <wps:wsp>
                              <wps:cNvPr id="179" name="文本框 468"/>
                              <wps:cNvSpPr txBox="true">
                                <a:spLocks noChangeArrowheads="true"/>
                              </wps:cNvSpPr>
                              <wps:spPr bwMode="auto">
                                <a:xfrm>
                                  <a:off x="2424132" y="2512183"/>
                                  <a:ext cx="358775" cy="265430"/>
                                </a:xfrm>
                                <a:prstGeom prst="rect">
                                  <a:avLst/>
                                </a:prstGeom>
                                <a:solidFill>
                                  <a:srgbClr val="FFFFFF"/>
                                </a:solidFill>
                                <a:ln>
                                  <a:noFill/>
                                </a:ln>
                                <a:effectLst/>
                              </wps:spPr>
                              <wps:txbx>
                                <w:txbxContent>
                                  <w:p>
                                    <w:pPr>
                                      <w:pStyle w:val="19"/>
                                      <w:spacing w:before="0" w:beforeAutospacing="0" w:after="0" w:afterAutospacing="0"/>
                                      <w:jc w:val="center"/>
                                    </w:pPr>
                                    <w:r>
                                      <w:rPr>
                                        <w:rFonts w:hint="eastAsia" w:ascii="Times New Roman" w:hAnsi="Times New Roman"/>
                                        <w:kern w:val="2"/>
                                        <w:sz w:val="21"/>
                                        <w:szCs w:val="21"/>
                                      </w:rPr>
                                      <w:t>水</w:t>
                                    </w:r>
                                  </w:p>
                                </w:txbxContent>
                              </wps:txbx>
                              <wps:bodyPr rot="0" vert="horz" wrap="square" lIns="91440" tIns="45720" rIns="91440" bIns="45720" anchor="t" anchorCtr="false" upright="true">
                                <a:noAutofit/>
                              </wps:bodyPr>
                            </wps:wsp>
                            <wps:wsp>
                              <wps:cNvPr id="178" name="文本框 468"/>
                              <wps:cNvSpPr txBox="true">
                                <a:spLocks noChangeArrowheads="true"/>
                              </wps:cNvSpPr>
                              <wps:spPr bwMode="auto">
                                <a:xfrm>
                                  <a:off x="4117608" y="2825460"/>
                                  <a:ext cx="359410" cy="266065"/>
                                </a:xfrm>
                                <a:prstGeom prst="rect">
                                  <a:avLst/>
                                </a:prstGeom>
                                <a:solidFill>
                                  <a:srgbClr val="FFFFFF"/>
                                </a:solidFill>
                                <a:ln>
                                  <a:noFill/>
                                </a:ln>
                                <a:effectLst/>
                              </wps:spPr>
                              <wps:txbx>
                                <w:txbxContent>
                                  <w:p>
                                    <w:pPr>
                                      <w:pStyle w:val="19"/>
                                      <w:spacing w:before="0" w:beforeAutospacing="0" w:after="0" w:afterAutospacing="0"/>
                                      <w:jc w:val="center"/>
                                    </w:pPr>
                                    <w:r>
                                      <w:rPr>
                                        <w:rFonts w:ascii="Times New Roman" w:hAnsi="Times New Roman"/>
                                        <w:kern w:val="2"/>
                                        <w:sz w:val="21"/>
                                        <w:szCs w:val="21"/>
                                      </w:rPr>
                                      <w:t>N</w:t>
                                    </w:r>
                                    <w:r>
                                      <w:rPr>
                                        <w:rFonts w:hint="eastAsia" w:ascii="Times New Roman" w:hAnsi="Times New Roman"/>
                                        <w:kern w:val="2"/>
                                        <w:sz w:val="21"/>
                                        <w:szCs w:val="21"/>
                                      </w:rPr>
                                      <w:t>3</w:t>
                                    </w:r>
                                  </w:p>
                                </w:txbxContent>
                              </wps:txbx>
                              <wps:bodyPr rot="0" vert="horz" wrap="square" lIns="91440" tIns="45720" rIns="91440" bIns="45720" anchor="t" anchorCtr="false" upright="true">
                                <a:noAutofit/>
                              </wps:bodyPr>
                            </wps:wsp>
                            <wps:wsp>
                              <wps:cNvPr id="13" name="文本框 472"/>
                              <wps:cNvSpPr txBox="true">
                                <a:spLocks noChangeArrowheads="true"/>
                              </wps:cNvSpPr>
                              <wps:spPr bwMode="auto">
                                <a:xfrm>
                                  <a:off x="883083" y="3805898"/>
                                  <a:ext cx="360496" cy="272415"/>
                                </a:xfrm>
                                <a:prstGeom prst="rect">
                                  <a:avLst/>
                                </a:prstGeom>
                                <a:solidFill>
                                  <a:srgbClr val="FFFFFF"/>
                                </a:solidFill>
                                <a:ln>
                                  <a:noFill/>
                                </a:ln>
                                <a:effectLst/>
                              </wps:spPr>
                              <wps:txbx>
                                <w:txbxContent>
                                  <w:p>
                                    <w:pPr>
                                      <w:jc w:val="center"/>
                                    </w:pPr>
                                    <w:r>
                                      <w:rPr>
                                        <w:rFonts w:hint="eastAsia"/>
                                      </w:rPr>
                                      <w:t>G2</w:t>
                                    </w:r>
                                  </w:p>
                                </w:txbxContent>
                              </wps:txbx>
                              <wps:bodyPr rot="0" vert="horz" wrap="square" lIns="91440" tIns="45720" rIns="91440" bIns="45720" anchor="t" anchorCtr="false" upright="true">
                                <a:noAutofit/>
                              </wps:bodyPr>
                            </wps:wsp>
                            <wps:wsp>
                              <wps:cNvPr id="3" name="文本框 474"/>
                              <wps:cNvSpPr txBox="true">
                                <a:spLocks noChangeArrowheads="true"/>
                              </wps:cNvSpPr>
                              <wps:spPr bwMode="auto">
                                <a:xfrm>
                                  <a:off x="80010" y="2153920"/>
                                  <a:ext cx="340995" cy="606425"/>
                                </a:xfrm>
                                <a:prstGeom prst="rect">
                                  <a:avLst/>
                                </a:prstGeom>
                                <a:solidFill>
                                  <a:srgbClr val="FFFFFF"/>
                                </a:solidFill>
                                <a:ln>
                                  <a:noFill/>
                                </a:ln>
                                <a:effectLst/>
                              </wps:spPr>
                              <wps:txbx>
                                <w:txbxContent>
                                  <w:p>
                                    <w:pPr>
                                      <w:jc w:val="center"/>
                                    </w:pPr>
                                    <w:r>
                                      <w:rPr>
                                        <w:rFonts w:hint="eastAsia"/>
                                      </w:rPr>
                                      <w:t>不合格</w:t>
                                    </w:r>
                                  </w:p>
                                </w:txbxContent>
                              </wps:txbx>
                              <wps:bodyPr rot="0" vert="eaVert" wrap="square" lIns="91440" tIns="45720" rIns="91440" bIns="45720" anchor="t" anchorCtr="false" upright="true">
                                <a:noAutofit/>
                              </wps:bodyPr>
                            </wps:wsp>
                            <wps:wsp>
                              <wps:cNvPr id="4" name="自选图形 379"/>
                              <wps:cNvCnPr>
                                <a:stCxn id="48" idx="1"/>
                              </wps:cNvCnPr>
                              <wps:spPr bwMode="auto">
                                <a:xfrm rot="10800000" flipH="true">
                                  <a:off x="1484288" y="767075"/>
                                  <a:ext cx="616786" cy="4429629"/>
                                </a:xfrm>
                                <a:prstGeom prst="bentConnector4">
                                  <a:avLst>
                                    <a:gd name="adj1" fmla="val -224467"/>
                                    <a:gd name="adj2" fmla="val 99962"/>
                                  </a:avLst>
                                </a:prstGeom>
                                <a:noFill/>
                                <a:ln w="9525">
                                  <a:solidFill>
                                    <a:srgbClr val="000000"/>
                                  </a:solidFill>
                                  <a:miter lim="800000"/>
                                  <a:tailEnd type="arrow" w="med" len="med"/>
                                </a:ln>
                                <a:effectLst/>
                              </wps:spPr>
                              <wps:bodyPr/>
                            </wps:wsp>
                            <wps:wsp>
                              <wps:cNvPr id="7" name="文本框 392"/>
                              <wps:cNvSpPr txBox="true">
                                <a:spLocks noChangeArrowheads="true"/>
                              </wps:cNvSpPr>
                              <wps:spPr bwMode="auto">
                                <a:xfrm>
                                  <a:off x="3276609" y="4519325"/>
                                  <a:ext cx="640080" cy="279400"/>
                                </a:xfrm>
                                <a:prstGeom prst="rect">
                                  <a:avLst/>
                                </a:prstGeom>
                                <a:solidFill>
                                  <a:srgbClr val="FFFFFF"/>
                                </a:solidFill>
                                <a:ln>
                                  <a:noFill/>
                                </a:ln>
                                <a:effectLst/>
                              </wps:spPr>
                              <wps:txbx>
                                <w:txbxContent>
                                  <w:p>
                                    <w:pPr>
                                      <w:jc w:val="center"/>
                                    </w:pPr>
                                    <w:r>
                                      <w:rPr>
                                        <w:rFonts w:hint="eastAsia"/>
                                      </w:rPr>
                                      <w:t>天然气</w:t>
                                    </w:r>
                                  </w:p>
                                </w:txbxContent>
                              </wps:txbx>
                              <wps:bodyPr rot="0" vert="horz" wrap="square" lIns="91440" tIns="45720" rIns="91440" bIns="45720" anchor="t" anchorCtr="false" upright="true">
                                <a:noAutofit/>
                              </wps:bodyPr>
                            </wps:wsp>
                            <wps:wsp>
                              <wps:cNvPr id="10" name="文本框 434"/>
                              <wps:cNvSpPr txBox="true">
                                <a:spLocks noChangeArrowheads="true"/>
                              </wps:cNvSpPr>
                              <wps:spPr bwMode="auto">
                                <a:xfrm>
                                  <a:off x="3265860" y="2266218"/>
                                  <a:ext cx="836972" cy="266700"/>
                                </a:xfrm>
                                <a:prstGeom prst="rect">
                                  <a:avLst/>
                                </a:prstGeom>
                                <a:solidFill>
                                  <a:srgbClr val="FFFFFF"/>
                                </a:solidFill>
                                <a:ln>
                                  <a:noFill/>
                                </a:ln>
                                <a:effectLst/>
                              </wps:spPr>
                              <wps:txbx>
                                <w:txbxContent>
                                  <w:p>
                                    <w:pPr>
                                      <w:jc w:val="center"/>
                                    </w:pPr>
                                    <w:r>
                                      <w:rPr>
                                        <w:rFonts w:hint="eastAsia"/>
                                      </w:rPr>
                                      <w:t>G3、N2</w:t>
                                    </w:r>
                                  </w:p>
                                </w:txbxContent>
                              </wps:txbx>
                              <wps:bodyPr rot="0" vert="horz" wrap="square" lIns="91440" tIns="45720" rIns="91440" bIns="45720" anchor="t" anchorCtr="false" upright="true">
                                <a:noAutofit/>
                              </wps:bodyPr>
                            </wps:wsp>
                            <wps:wsp>
                              <wps:cNvPr id="12" name="文本框 474"/>
                              <wps:cNvSpPr txBox="true">
                                <a:spLocks noChangeArrowheads="true"/>
                              </wps:cNvSpPr>
                              <wps:spPr bwMode="auto">
                                <a:xfrm>
                                  <a:off x="147515" y="3153083"/>
                                  <a:ext cx="340995" cy="1586852"/>
                                </a:xfrm>
                                <a:prstGeom prst="rect">
                                  <a:avLst/>
                                </a:prstGeom>
                                <a:solidFill>
                                  <a:srgbClr val="FFFFFF"/>
                                </a:solidFill>
                                <a:ln>
                                  <a:noFill/>
                                </a:ln>
                                <a:effectLst/>
                              </wps:spPr>
                              <wps:txbx>
                                <w:txbxContent>
                                  <w:p>
                                    <w:pPr>
                                      <w:jc w:val="center"/>
                                    </w:pPr>
                                    <w:r>
                                      <w:rPr>
                                        <w:rFonts w:hint="eastAsia"/>
                                        <w:lang w:eastAsia="zh-CN"/>
                                      </w:rPr>
                                      <w:t>石灰石膏法脱硫塔</w:t>
                                    </w:r>
                                    <w:r>
                                      <w:rPr>
                                        <w:rFonts w:hint="eastAsia"/>
                                      </w:rPr>
                                      <w:t>+50m烟囱DA001</w:t>
                                    </w:r>
                                  </w:p>
                                </w:txbxContent>
                              </wps:txbx>
                              <wps:bodyPr rot="0" vert="eaVert" wrap="square" lIns="91440" tIns="45720" rIns="91440" bIns="45720" anchor="t" anchorCtr="false" upright="true">
                                <a:noAutofit/>
                              </wps:bodyPr>
                            </wps:wsp>
                            <wps:wsp>
                              <wps:cNvPr id="15" name="文本框 468"/>
                              <wps:cNvSpPr txBox="true">
                                <a:spLocks noChangeArrowheads="true"/>
                              </wps:cNvSpPr>
                              <wps:spPr bwMode="auto">
                                <a:xfrm>
                                  <a:off x="4218940" y="501015"/>
                                  <a:ext cx="360045" cy="266700"/>
                                </a:xfrm>
                                <a:prstGeom prst="rect">
                                  <a:avLst/>
                                </a:prstGeom>
                                <a:solidFill>
                                  <a:srgbClr val="FFFFFF"/>
                                </a:solidFill>
                                <a:ln>
                                  <a:noFill/>
                                </a:ln>
                                <a:effectLst/>
                              </wps:spPr>
                              <wps:txbx>
                                <w:txbxContent>
                                  <w:p>
                                    <w:pPr>
                                      <w:jc w:val="center"/>
                                    </w:pPr>
                                    <w:r>
                                      <w:rPr>
                                        <w:rFonts w:hint="eastAsia"/>
                                      </w:rPr>
                                      <w:t>N1</w:t>
                                    </w:r>
                                  </w:p>
                                </w:txbxContent>
                              </wps:txbx>
                              <wps:bodyPr rot="0" vert="horz" wrap="square" lIns="91440" tIns="45720" rIns="91440" bIns="45720" anchor="t" anchorCtr="false" upright="true">
                                <a:noAutofit/>
                              </wps:bodyPr>
                            </wps:wsp>
                            <wps:wsp>
                              <wps:cNvPr id="16" name="文本框 381"/>
                              <wps:cNvSpPr txBox="true">
                                <a:spLocks noChangeArrowheads="true"/>
                              </wps:cNvSpPr>
                              <wps:spPr bwMode="auto">
                                <a:xfrm>
                                  <a:off x="4155440" y="791210"/>
                                  <a:ext cx="380365" cy="266700"/>
                                </a:xfrm>
                                <a:prstGeom prst="rect">
                                  <a:avLst/>
                                </a:prstGeom>
                                <a:solidFill>
                                  <a:srgbClr val="FFFFFF"/>
                                </a:solidFill>
                                <a:ln>
                                  <a:noFill/>
                                </a:ln>
                                <a:effectLst/>
                              </wps:spPr>
                              <wps:txbx>
                                <w:txbxContent>
                                  <w:p>
                                    <w:pPr>
                                      <w:jc w:val="center"/>
                                    </w:pPr>
                                    <w:r>
                                      <w:rPr>
                                        <w:rFonts w:hint="eastAsia"/>
                                      </w:rPr>
                                      <w:t>G1</w:t>
                                    </w:r>
                                  </w:p>
                                </w:txbxContent>
                              </wps:txbx>
                              <wps:bodyPr rot="0" vert="horz" wrap="square" lIns="91440" tIns="45720" rIns="91440" bIns="45720" anchor="t" anchorCtr="false" upright="true">
                                <a:noAutofit/>
                              </wps:bodyPr>
                            </wps:wsp>
                            <wps:wsp>
                              <wps:cNvPr id="17" name="文本框 455"/>
                              <wps:cNvSpPr txBox="true">
                                <a:spLocks noChangeArrowheads="true"/>
                              </wps:cNvSpPr>
                              <wps:spPr bwMode="auto">
                                <a:xfrm>
                                  <a:off x="2400" y="5374412"/>
                                  <a:ext cx="5295900" cy="266700"/>
                                </a:xfrm>
                                <a:prstGeom prst="rect">
                                  <a:avLst/>
                                </a:prstGeom>
                                <a:solidFill>
                                  <a:srgbClr val="FFFFFF"/>
                                </a:solidFill>
                                <a:ln>
                                  <a:noFill/>
                                </a:ln>
                                <a:effectLst/>
                              </wps:spPr>
                              <wps:txbx>
                                <w:txbxContent>
                                  <w:p>
                                    <w:pPr>
                                      <w:jc w:val="center"/>
                                    </w:pPr>
                                    <w:r>
                                      <w:rPr>
                                        <w:rFonts w:hint="eastAsia"/>
                                      </w:rPr>
                                      <w:t>N：噪声   G：废气    S：固废    W：废水</w:t>
                                    </w:r>
                                  </w:p>
                                </w:txbxContent>
                              </wps:txbx>
                              <wps:bodyPr rot="0" vert="horz" wrap="square" lIns="91440" tIns="45720" rIns="91440" bIns="45720" anchor="t" anchorCtr="false" upright="true">
                                <a:noAutofit/>
                              </wps:bodyPr>
                            </wps:wsp>
                            <wps:wsp>
                              <wps:cNvPr id="18" name="文本框 394"/>
                              <wps:cNvSpPr txBox="true">
                                <a:spLocks noChangeArrowheads="true"/>
                              </wps:cNvSpPr>
                              <wps:spPr bwMode="auto">
                                <a:xfrm>
                                  <a:off x="2105260" y="4937480"/>
                                  <a:ext cx="939800" cy="266700"/>
                                </a:xfrm>
                                <a:prstGeom prst="rect">
                                  <a:avLst/>
                                </a:prstGeom>
                                <a:solidFill>
                                  <a:srgbClr val="FFFFFF"/>
                                </a:solidFill>
                                <a:ln>
                                  <a:noFill/>
                                </a:ln>
                                <a:effectLst/>
                              </wps:spPr>
                              <wps:txbx>
                                <w:txbxContent>
                                  <w:p>
                                    <w:pPr>
                                      <w:jc w:val="center"/>
                                    </w:pPr>
                                    <w:r>
                                      <w:rPr>
                                        <w:rFonts w:hint="eastAsia"/>
                                      </w:rPr>
                                      <w:t>合格</w:t>
                                    </w:r>
                                  </w:p>
                                </w:txbxContent>
                              </wps:txbx>
                              <wps:bodyPr rot="0" vert="horz" wrap="square" lIns="91440" tIns="45720" rIns="91440" bIns="45720" anchor="t" anchorCtr="false" upright="true">
                                <a:noAutofit/>
                              </wps:bodyPr>
                            </wps:wsp>
                            <wps:wsp>
                              <wps:cNvPr id="19" name="文本框 390"/>
                              <wps:cNvSpPr txBox="true">
                                <a:spLocks noChangeArrowheads="true"/>
                              </wps:cNvSpPr>
                              <wps:spPr bwMode="auto">
                                <a:xfrm>
                                  <a:off x="588938" y="4215604"/>
                                  <a:ext cx="552450" cy="467995"/>
                                </a:xfrm>
                                <a:prstGeom prst="rect">
                                  <a:avLst/>
                                </a:prstGeom>
                                <a:solidFill>
                                  <a:srgbClr val="FFFFFF"/>
                                </a:solidFill>
                                <a:ln>
                                  <a:noFill/>
                                </a:ln>
                                <a:effectLst/>
                              </wps:spPr>
                              <wps:txbx>
                                <w:txbxContent>
                                  <w:p>
                                    <w:pPr>
                                      <w:jc w:val="center"/>
                                    </w:pPr>
                                    <w:r>
                                      <w:rPr>
                                        <w:rFonts w:hint="eastAsia"/>
                                      </w:rPr>
                                      <w:t>高 温</w:t>
                                    </w:r>
                                  </w:p>
                                  <w:p>
                                    <w:pPr>
                                      <w:jc w:val="center"/>
                                    </w:pPr>
                                    <w:r>
                                      <w:rPr>
                                        <w:rFonts w:hint="eastAsia"/>
                                      </w:rPr>
                                      <w:t>烟 气</w:t>
                                    </w:r>
                                  </w:p>
                                </w:txbxContent>
                              </wps:txbx>
                              <wps:bodyPr rot="0" vert="horz" wrap="square" lIns="91440" tIns="45720" rIns="91440" bIns="45720" anchor="t" anchorCtr="false" upright="true">
                                <a:noAutofit/>
                              </wps:bodyPr>
                            </wps:wsp>
                            <wps:wsp>
                              <wps:cNvPr id="21" name="文本框 332"/>
                              <wps:cNvSpPr txBox="true">
                                <a:spLocks noChangeArrowheads="true"/>
                              </wps:cNvSpPr>
                              <wps:spPr bwMode="auto">
                                <a:xfrm>
                                  <a:off x="2273300" y="45085"/>
                                  <a:ext cx="775970" cy="277495"/>
                                </a:xfrm>
                                <a:prstGeom prst="rect">
                                  <a:avLst/>
                                </a:prstGeom>
                                <a:solidFill>
                                  <a:srgbClr val="FFFFFF"/>
                                </a:solidFill>
                                <a:ln w="9525">
                                  <a:solidFill>
                                    <a:srgbClr val="000000"/>
                                  </a:solidFill>
                                  <a:miter lim="800000"/>
                                </a:ln>
                                <a:effectLst/>
                              </wps:spPr>
                              <wps:txbx>
                                <w:txbxContent>
                                  <w:p>
                                    <w:pPr>
                                      <w:jc w:val="center"/>
                                    </w:pPr>
                                    <w:r>
                                      <w:rPr>
                                        <w:rFonts w:hint="eastAsia"/>
                                      </w:rPr>
                                      <w:t>原料</w:t>
                                    </w:r>
                                  </w:p>
                                </w:txbxContent>
                              </wps:txbx>
                              <wps:bodyPr rot="0" vert="horz" wrap="square" lIns="91440" tIns="45720" rIns="91440" bIns="45720" anchor="t" anchorCtr="false" upright="true">
                                <a:noAutofit/>
                              </wps:bodyPr>
                            </wps:wsp>
                            <wps:wsp>
                              <wps:cNvPr id="22" name="文本框 333"/>
                              <wps:cNvSpPr txBox="true">
                                <a:spLocks noChangeArrowheads="true"/>
                              </wps:cNvSpPr>
                              <wps:spPr bwMode="auto">
                                <a:xfrm>
                                  <a:off x="2102485" y="625475"/>
                                  <a:ext cx="1292860" cy="282575"/>
                                </a:xfrm>
                                <a:prstGeom prst="rect">
                                  <a:avLst/>
                                </a:prstGeom>
                                <a:solidFill>
                                  <a:srgbClr val="FFFFFF"/>
                                </a:solidFill>
                                <a:ln w="9525">
                                  <a:solidFill>
                                    <a:srgbClr val="000000"/>
                                  </a:solidFill>
                                  <a:miter lim="800000"/>
                                </a:ln>
                                <a:effectLst/>
                              </wps:spPr>
                              <wps:txbx>
                                <w:txbxContent>
                                  <w:p>
                                    <w:pPr>
                                      <w:jc w:val="center"/>
                                    </w:pPr>
                                    <w:r>
                                      <w:rPr>
                                        <w:rFonts w:hint="eastAsia"/>
                                      </w:rPr>
                                      <w:t>破碎、研磨、筛分</w:t>
                                    </w:r>
                                  </w:p>
                                </w:txbxContent>
                              </wps:txbx>
                              <wps:bodyPr rot="0" vert="horz" wrap="square" lIns="91440" tIns="45720" rIns="91440" bIns="45720" anchor="t" anchorCtr="false" upright="true">
                                <a:noAutofit/>
                              </wps:bodyPr>
                            </wps:wsp>
                            <wps:wsp>
                              <wps:cNvPr id="23" name="直线 334"/>
                              <wps:cNvCnPr/>
                              <wps:spPr bwMode="auto">
                                <a:xfrm>
                                  <a:off x="2661285" y="330835"/>
                                  <a:ext cx="635" cy="294640"/>
                                </a:xfrm>
                                <a:prstGeom prst="line">
                                  <a:avLst/>
                                </a:prstGeom>
                                <a:noFill/>
                                <a:ln w="9525">
                                  <a:solidFill>
                                    <a:srgbClr val="000000"/>
                                  </a:solidFill>
                                  <a:round/>
                                  <a:tailEnd type="arrow" w="med" len="med"/>
                                </a:ln>
                                <a:effectLst/>
                              </wps:spPr>
                              <wps:bodyPr/>
                            </wps:wsp>
                            <wps:wsp>
                              <wps:cNvPr id="24" name="直线 335"/>
                              <wps:cNvCnPr/>
                              <wps:spPr bwMode="auto">
                                <a:xfrm flipH="true">
                                  <a:off x="2658745" y="913130"/>
                                  <a:ext cx="7620" cy="459740"/>
                                </a:xfrm>
                                <a:prstGeom prst="line">
                                  <a:avLst/>
                                </a:prstGeom>
                                <a:noFill/>
                                <a:ln w="9525">
                                  <a:solidFill>
                                    <a:srgbClr val="000000"/>
                                  </a:solidFill>
                                  <a:round/>
                                  <a:tailEnd type="arrow" w="med" len="med"/>
                                </a:ln>
                                <a:effectLst/>
                              </wps:spPr>
                              <wps:bodyPr/>
                            </wps:wsp>
                            <wps:wsp>
                              <wps:cNvPr id="25" name="文本框 336"/>
                              <wps:cNvSpPr txBox="true">
                                <a:spLocks noChangeArrowheads="true"/>
                              </wps:cNvSpPr>
                              <wps:spPr bwMode="auto">
                                <a:xfrm>
                                  <a:off x="2270125" y="1365250"/>
                                  <a:ext cx="774700" cy="279400"/>
                                </a:xfrm>
                                <a:prstGeom prst="rect">
                                  <a:avLst/>
                                </a:prstGeom>
                                <a:solidFill>
                                  <a:srgbClr val="FFFFFF"/>
                                </a:solidFill>
                                <a:ln w="9525">
                                  <a:solidFill>
                                    <a:srgbClr val="000000"/>
                                  </a:solidFill>
                                  <a:miter lim="800000"/>
                                </a:ln>
                                <a:effectLst/>
                              </wps:spPr>
                              <wps:txbx>
                                <w:txbxContent>
                                  <w:p>
                                    <w:pPr>
                                      <w:jc w:val="center"/>
                                    </w:pPr>
                                    <w:r>
                                      <w:rPr>
                                        <w:rFonts w:hint="eastAsia"/>
                                      </w:rPr>
                                      <w:t>中粒料</w:t>
                                    </w:r>
                                  </w:p>
                                </w:txbxContent>
                              </wps:txbx>
                              <wps:bodyPr rot="0" vert="horz" wrap="square" lIns="91440" tIns="45720" rIns="91440" bIns="45720" anchor="t" anchorCtr="false" upright="true">
                                <a:noAutofit/>
                              </wps:bodyPr>
                            </wps:wsp>
                            <wps:wsp>
                              <wps:cNvPr id="26" name="自选图形 338"/>
                              <wps:cNvCnPr/>
                              <wps:spPr bwMode="auto">
                                <a:xfrm flipH="true">
                                  <a:off x="1523365" y="1085215"/>
                                  <a:ext cx="2393315" cy="8890"/>
                                </a:xfrm>
                                <a:prstGeom prst="straightConnector1">
                                  <a:avLst/>
                                </a:prstGeom>
                                <a:noFill/>
                                <a:ln w="9525">
                                  <a:solidFill>
                                    <a:srgbClr val="000000"/>
                                  </a:solidFill>
                                  <a:round/>
                                </a:ln>
                                <a:effectLst/>
                              </wps:spPr>
                              <wps:bodyPr/>
                            </wps:wsp>
                            <wps:wsp>
                              <wps:cNvPr id="27" name="自选图形 339"/>
                              <wps:cNvCnPr/>
                              <wps:spPr bwMode="auto">
                                <a:xfrm>
                                  <a:off x="1532890" y="1093470"/>
                                  <a:ext cx="7620" cy="278130"/>
                                </a:xfrm>
                                <a:prstGeom prst="straightConnector1">
                                  <a:avLst/>
                                </a:prstGeom>
                                <a:noFill/>
                                <a:ln w="9525">
                                  <a:solidFill>
                                    <a:srgbClr val="000000"/>
                                  </a:solidFill>
                                  <a:round/>
                                  <a:tailEnd type="arrow" w="med" len="med"/>
                                </a:ln>
                                <a:effectLst/>
                              </wps:spPr>
                              <wps:bodyPr/>
                            </wps:wsp>
                            <wps:wsp>
                              <wps:cNvPr id="28" name="自选图形 341"/>
                              <wps:cNvCnPr/>
                              <wps:spPr bwMode="auto">
                                <a:xfrm>
                                  <a:off x="3914140" y="1082040"/>
                                  <a:ext cx="0" cy="266700"/>
                                </a:xfrm>
                                <a:prstGeom prst="straightConnector1">
                                  <a:avLst/>
                                </a:prstGeom>
                                <a:noFill/>
                                <a:ln w="9525">
                                  <a:solidFill>
                                    <a:srgbClr val="000000"/>
                                  </a:solidFill>
                                  <a:round/>
                                  <a:tailEnd type="arrow" w="med" len="med"/>
                                </a:ln>
                                <a:effectLst/>
                              </wps:spPr>
                              <wps:bodyPr/>
                            </wps:wsp>
                            <wps:wsp>
                              <wps:cNvPr id="29" name="文本框 342"/>
                              <wps:cNvSpPr txBox="true">
                                <a:spLocks noChangeArrowheads="true"/>
                              </wps:cNvSpPr>
                              <wps:spPr bwMode="auto">
                                <a:xfrm>
                                  <a:off x="1141730" y="1376680"/>
                                  <a:ext cx="774700" cy="279400"/>
                                </a:xfrm>
                                <a:prstGeom prst="rect">
                                  <a:avLst/>
                                </a:prstGeom>
                                <a:solidFill>
                                  <a:srgbClr val="FFFFFF"/>
                                </a:solidFill>
                                <a:ln w="9525">
                                  <a:solidFill>
                                    <a:srgbClr val="000000"/>
                                  </a:solidFill>
                                  <a:miter lim="800000"/>
                                </a:ln>
                                <a:effectLst/>
                              </wps:spPr>
                              <wps:txbx>
                                <w:txbxContent>
                                  <w:p>
                                    <w:pPr>
                                      <w:jc w:val="center"/>
                                    </w:pPr>
                                    <w:r>
                                      <w:rPr>
                                        <w:rFonts w:hint="eastAsia"/>
                                      </w:rPr>
                                      <w:t>粗粒料</w:t>
                                    </w:r>
                                  </w:p>
                                </w:txbxContent>
                              </wps:txbx>
                              <wps:bodyPr rot="0" vert="horz" wrap="square" lIns="91440" tIns="45720" rIns="91440" bIns="45720" anchor="t" anchorCtr="false" upright="true">
                                <a:noAutofit/>
                              </wps:bodyPr>
                            </wps:wsp>
                            <wps:wsp>
                              <wps:cNvPr id="30" name="文本框 343"/>
                              <wps:cNvSpPr txBox="true">
                                <a:spLocks noChangeArrowheads="true"/>
                              </wps:cNvSpPr>
                              <wps:spPr bwMode="auto">
                                <a:xfrm>
                                  <a:off x="3509645" y="1360805"/>
                                  <a:ext cx="774700" cy="279400"/>
                                </a:xfrm>
                                <a:prstGeom prst="rect">
                                  <a:avLst/>
                                </a:prstGeom>
                                <a:solidFill>
                                  <a:srgbClr val="FFFFFF"/>
                                </a:solidFill>
                                <a:ln w="9525">
                                  <a:solidFill>
                                    <a:srgbClr val="000000"/>
                                  </a:solidFill>
                                  <a:miter lim="800000"/>
                                </a:ln>
                                <a:effectLst/>
                              </wps:spPr>
                              <wps:txbx>
                                <w:txbxContent>
                                  <w:p>
                                    <w:pPr>
                                      <w:jc w:val="center"/>
                                    </w:pPr>
                                    <w:r>
                                      <w:rPr>
                                        <w:rFonts w:hint="eastAsia"/>
                                      </w:rPr>
                                      <w:t>细粒料</w:t>
                                    </w:r>
                                  </w:p>
                                </w:txbxContent>
                              </wps:txbx>
                              <wps:bodyPr rot="0" vert="horz" wrap="square" lIns="91440" tIns="45720" rIns="91440" bIns="45720" anchor="t" anchorCtr="false" upright="true">
                                <a:noAutofit/>
                              </wps:bodyPr>
                            </wps:wsp>
                            <wps:wsp>
                              <wps:cNvPr id="31" name="自选图形 344"/>
                              <wps:cNvCnPr/>
                              <wps:spPr bwMode="auto">
                                <a:xfrm>
                                  <a:off x="1529080" y="1656080"/>
                                  <a:ext cx="2540" cy="326390"/>
                                </a:xfrm>
                                <a:prstGeom prst="straightConnector1">
                                  <a:avLst/>
                                </a:prstGeom>
                                <a:noFill/>
                                <a:ln w="9525">
                                  <a:solidFill>
                                    <a:srgbClr val="000000"/>
                                  </a:solidFill>
                                  <a:round/>
                                </a:ln>
                                <a:effectLst/>
                              </wps:spPr>
                              <wps:bodyPr/>
                            </wps:wsp>
                            <wps:wsp>
                              <wps:cNvPr id="32" name="自选图形 346"/>
                              <wps:cNvCnPr/>
                              <wps:spPr bwMode="auto">
                                <a:xfrm>
                                  <a:off x="2674620" y="1654810"/>
                                  <a:ext cx="635" cy="317500"/>
                                </a:xfrm>
                                <a:prstGeom prst="straightConnector1">
                                  <a:avLst/>
                                </a:prstGeom>
                                <a:noFill/>
                                <a:ln w="9525">
                                  <a:solidFill>
                                    <a:srgbClr val="000000"/>
                                  </a:solidFill>
                                  <a:round/>
                                </a:ln>
                                <a:effectLst/>
                              </wps:spPr>
                              <wps:bodyPr/>
                            </wps:wsp>
                            <wps:wsp>
                              <wps:cNvPr id="33" name="文本框 350"/>
                              <wps:cNvSpPr txBox="true">
                                <a:spLocks noChangeArrowheads="true"/>
                              </wps:cNvSpPr>
                              <wps:spPr bwMode="auto">
                                <a:xfrm>
                                  <a:off x="1484070" y="2812226"/>
                                  <a:ext cx="2388997" cy="279400"/>
                                </a:xfrm>
                                <a:prstGeom prst="rect">
                                  <a:avLst/>
                                </a:prstGeom>
                                <a:solidFill>
                                  <a:srgbClr val="FFFFFF"/>
                                </a:solidFill>
                                <a:ln w="9525">
                                  <a:solidFill>
                                    <a:srgbClr val="000000"/>
                                  </a:solidFill>
                                  <a:miter lim="800000"/>
                                </a:ln>
                                <a:effectLst/>
                              </wps:spPr>
                              <wps:txbx>
                                <w:txbxContent>
                                  <w:p>
                                    <w:pPr>
                                      <w:jc w:val="center"/>
                                    </w:pPr>
                                    <w:r>
                                      <w:rPr>
                                        <w:rFonts w:hint="eastAsia"/>
                                      </w:rPr>
                                      <w:t>搅拌给料系统</w:t>
                                    </w:r>
                                  </w:p>
                                </w:txbxContent>
                              </wps:txbx>
                              <wps:bodyPr rot="0" vert="horz" wrap="square" lIns="91440" tIns="45720" rIns="91440" bIns="45720" anchor="t" anchorCtr="false" upright="true">
                                <a:noAutofit/>
                              </wps:bodyPr>
                            </wps:wsp>
                            <wps:wsp>
                              <wps:cNvPr id="35" name="文本框 359"/>
                              <wps:cNvSpPr txBox="true">
                                <a:spLocks noChangeArrowheads="true"/>
                              </wps:cNvSpPr>
                              <wps:spPr bwMode="auto">
                                <a:xfrm>
                                  <a:off x="2860922" y="3385712"/>
                                  <a:ext cx="1073785" cy="279400"/>
                                </a:xfrm>
                                <a:prstGeom prst="rect">
                                  <a:avLst/>
                                </a:prstGeom>
                                <a:solidFill>
                                  <a:srgbClr val="FFFFFF"/>
                                </a:solidFill>
                                <a:ln w="9525">
                                  <a:solidFill>
                                    <a:srgbClr val="000000"/>
                                  </a:solidFill>
                                  <a:miter lim="800000"/>
                                </a:ln>
                                <a:effectLst/>
                              </wps:spPr>
                              <wps:txbx>
                                <w:txbxContent>
                                  <w:p>
                                    <w:pPr>
                                      <w:jc w:val="center"/>
                                    </w:pPr>
                                    <w:r>
                                      <w:rPr>
                                        <w:rFonts w:hint="eastAsia"/>
                                      </w:rPr>
                                      <w:t>不定型耐火材料</w:t>
                                    </w:r>
                                  </w:p>
                                </w:txbxContent>
                              </wps:txbx>
                              <wps:bodyPr rot="0" vert="horz" wrap="square" lIns="91440" tIns="45720" rIns="91440" bIns="45720" anchor="t" anchorCtr="false" upright="true">
                                <a:noAutofit/>
                              </wps:bodyPr>
                            </wps:wsp>
                            <wps:wsp>
                              <wps:cNvPr id="37" name="文本框 361"/>
                              <wps:cNvSpPr txBox="true">
                                <a:spLocks noChangeArrowheads="true"/>
                              </wps:cNvSpPr>
                              <wps:spPr bwMode="auto">
                                <a:xfrm>
                                  <a:off x="1498723" y="3385714"/>
                                  <a:ext cx="774700" cy="279400"/>
                                </a:xfrm>
                                <a:prstGeom prst="rect">
                                  <a:avLst/>
                                </a:prstGeom>
                                <a:solidFill>
                                  <a:srgbClr val="FFFFFF"/>
                                </a:solidFill>
                                <a:ln w="9525">
                                  <a:solidFill>
                                    <a:srgbClr val="000000"/>
                                  </a:solidFill>
                                  <a:miter lim="800000"/>
                                </a:ln>
                                <a:effectLst/>
                              </wps:spPr>
                              <wps:txbx>
                                <w:txbxContent>
                                  <w:p>
                                    <w:pPr>
                                      <w:jc w:val="center"/>
                                    </w:pPr>
                                    <w:r>
                                      <w:rPr>
                                        <w:rFonts w:hint="eastAsia"/>
                                      </w:rPr>
                                      <w:t>机压成型</w:t>
                                    </w:r>
                                  </w:p>
                                </w:txbxContent>
                              </wps:txbx>
                              <wps:bodyPr rot="0" vert="horz" wrap="square" lIns="91440" tIns="45720" rIns="91440" bIns="45720" anchor="t" anchorCtr="false" upright="true">
                                <a:noAutofit/>
                              </wps:bodyPr>
                            </wps:wsp>
                            <wps:wsp>
                              <wps:cNvPr id="42" name="文本框 368"/>
                              <wps:cNvSpPr txBox="true">
                                <a:spLocks noChangeArrowheads="true"/>
                              </wps:cNvSpPr>
                              <wps:spPr bwMode="auto">
                                <a:xfrm>
                                  <a:off x="1488136" y="3935103"/>
                                  <a:ext cx="774700" cy="279400"/>
                                </a:xfrm>
                                <a:prstGeom prst="rect">
                                  <a:avLst/>
                                </a:prstGeom>
                                <a:solidFill>
                                  <a:srgbClr val="FFFFFF"/>
                                </a:solidFill>
                                <a:ln w="9525">
                                  <a:solidFill>
                                    <a:srgbClr val="000000"/>
                                  </a:solidFill>
                                  <a:miter lim="800000"/>
                                </a:ln>
                                <a:effectLst/>
                              </wps:spPr>
                              <wps:txbx>
                                <w:txbxContent>
                                  <w:p>
                                    <w:pPr>
                                      <w:jc w:val="center"/>
                                    </w:pPr>
                                    <w:r>
                                      <w:rPr>
                                        <w:rFonts w:hint="eastAsia"/>
                                      </w:rPr>
                                      <w:t>烘干窑</w:t>
                                    </w:r>
                                  </w:p>
                                </w:txbxContent>
                              </wps:txbx>
                              <wps:bodyPr rot="0" vert="horz" wrap="square" lIns="91440" tIns="45720" rIns="91440" bIns="45720" anchor="t" anchorCtr="false" upright="true">
                                <a:noAutofit/>
                              </wps:bodyPr>
                            </wps:wsp>
                            <wps:wsp>
                              <wps:cNvPr id="43" name="自选图形 369"/>
                              <wps:cNvCnPr/>
                              <wps:spPr bwMode="auto">
                                <a:xfrm>
                                  <a:off x="3408592" y="3668398"/>
                                  <a:ext cx="0" cy="266700"/>
                                </a:xfrm>
                                <a:prstGeom prst="straightConnector1">
                                  <a:avLst/>
                                </a:prstGeom>
                                <a:noFill/>
                                <a:ln w="9525">
                                  <a:solidFill>
                                    <a:srgbClr val="000000"/>
                                  </a:solidFill>
                                  <a:round/>
                                  <a:tailEnd type="arrow" w="med" len="med"/>
                                </a:ln>
                                <a:effectLst/>
                              </wps:spPr>
                              <wps:bodyPr/>
                            </wps:wsp>
                            <wps:wsp>
                              <wps:cNvPr id="44" name="文本框 370"/>
                              <wps:cNvSpPr txBox="true">
                                <a:spLocks noChangeArrowheads="true"/>
                              </wps:cNvSpPr>
                              <wps:spPr bwMode="auto">
                                <a:xfrm>
                                  <a:off x="1099402" y="4501877"/>
                                  <a:ext cx="1550670" cy="279400"/>
                                </a:xfrm>
                                <a:prstGeom prst="rect">
                                  <a:avLst/>
                                </a:prstGeom>
                                <a:solidFill>
                                  <a:srgbClr val="FFFFFF"/>
                                </a:solidFill>
                                <a:ln w="9525">
                                  <a:solidFill>
                                    <a:srgbClr val="000000"/>
                                  </a:solidFill>
                                  <a:miter lim="800000"/>
                                </a:ln>
                                <a:effectLst/>
                              </wps:spPr>
                              <wps:txbx>
                                <w:txbxContent>
                                  <w:p>
                                    <w:pPr>
                                      <w:jc w:val="center"/>
                                    </w:pPr>
                                    <w:r>
                                      <w:rPr>
                                        <w:rFonts w:hint="eastAsia"/>
                                      </w:rPr>
                                      <w:t>推板窑/隧道窑烧制</w:t>
                                    </w:r>
                                  </w:p>
                                </w:txbxContent>
                              </wps:txbx>
                              <wps:bodyPr rot="0" vert="horz" wrap="square" lIns="91440" tIns="45720" rIns="91440" bIns="45720" anchor="t" anchorCtr="false" upright="true">
                                <a:noAutofit/>
                              </wps:bodyPr>
                            </wps:wsp>
                            <wps:wsp>
                              <wps:cNvPr id="45" name="文本框 372"/>
                              <wps:cNvSpPr txBox="true">
                                <a:spLocks noChangeArrowheads="true"/>
                              </wps:cNvSpPr>
                              <wps:spPr bwMode="auto">
                                <a:xfrm>
                                  <a:off x="3026758" y="3935100"/>
                                  <a:ext cx="774700" cy="279400"/>
                                </a:xfrm>
                                <a:prstGeom prst="rect">
                                  <a:avLst/>
                                </a:prstGeom>
                                <a:solidFill>
                                  <a:srgbClr val="FFFFFF"/>
                                </a:solidFill>
                                <a:ln w="9525">
                                  <a:solidFill>
                                    <a:srgbClr val="000000"/>
                                  </a:solidFill>
                                  <a:miter lim="800000"/>
                                </a:ln>
                                <a:effectLst/>
                              </wps:spPr>
                              <wps:txbx>
                                <w:txbxContent>
                                  <w:p>
                                    <w:pPr>
                                      <w:jc w:val="center"/>
                                    </w:pPr>
                                    <w:r>
                                      <w:rPr>
                                        <w:rFonts w:hint="eastAsia"/>
                                      </w:rPr>
                                      <w:t>包装入库</w:t>
                                    </w:r>
                                  </w:p>
                                </w:txbxContent>
                              </wps:txbx>
                              <wps:bodyPr rot="0" vert="horz" wrap="square" lIns="91440" tIns="45720" rIns="91440" bIns="45720" anchor="t" anchorCtr="false" upright="true">
                                <a:noAutofit/>
                              </wps:bodyPr>
                            </wps:wsp>
                            <wps:wsp>
                              <wps:cNvPr id="46" name="自选图形 374"/>
                              <wps:cNvCnPr/>
                              <wps:spPr bwMode="auto">
                                <a:xfrm>
                                  <a:off x="1871544" y="4784096"/>
                                  <a:ext cx="0" cy="266700"/>
                                </a:xfrm>
                                <a:prstGeom prst="straightConnector1">
                                  <a:avLst/>
                                </a:prstGeom>
                                <a:noFill/>
                                <a:ln w="9525">
                                  <a:solidFill>
                                    <a:srgbClr val="000000"/>
                                  </a:solidFill>
                                  <a:round/>
                                  <a:tailEnd type="arrow" w="med" len="med"/>
                                </a:ln>
                                <a:effectLst/>
                              </wps:spPr>
                              <wps:bodyPr/>
                            </wps:wsp>
                            <wps:wsp>
                              <wps:cNvPr id="47" name="文本框 375"/>
                              <wps:cNvSpPr txBox="true">
                                <a:spLocks noChangeArrowheads="true"/>
                              </wps:cNvSpPr>
                              <wps:spPr bwMode="auto">
                                <a:xfrm>
                                  <a:off x="2975672" y="5049693"/>
                                  <a:ext cx="774700" cy="279400"/>
                                </a:xfrm>
                                <a:prstGeom prst="rect">
                                  <a:avLst/>
                                </a:prstGeom>
                                <a:solidFill>
                                  <a:srgbClr val="FFFFFF"/>
                                </a:solidFill>
                                <a:ln w="9525">
                                  <a:solidFill>
                                    <a:srgbClr val="000000"/>
                                  </a:solidFill>
                                  <a:miter lim="800000"/>
                                </a:ln>
                                <a:effectLst/>
                              </wps:spPr>
                              <wps:txbx>
                                <w:txbxContent>
                                  <w:p>
                                    <w:pPr>
                                      <w:jc w:val="center"/>
                                    </w:pPr>
                                    <w:r>
                                      <w:rPr>
                                        <w:rFonts w:hint="eastAsia"/>
                                      </w:rPr>
                                      <w:t>包装入库</w:t>
                                    </w:r>
                                  </w:p>
                                </w:txbxContent>
                              </wps:txbx>
                              <wps:bodyPr rot="0" vert="horz" wrap="square" lIns="91440" tIns="45720" rIns="91440" bIns="45720" anchor="t" anchorCtr="false" upright="true">
                                <a:noAutofit/>
                              </wps:bodyPr>
                            </wps:wsp>
                            <wps:wsp>
                              <wps:cNvPr id="48" name="文本框 376"/>
                              <wps:cNvSpPr txBox="true">
                                <a:spLocks noChangeArrowheads="true"/>
                              </wps:cNvSpPr>
                              <wps:spPr bwMode="auto">
                                <a:xfrm>
                                  <a:off x="1484288" y="5057003"/>
                                  <a:ext cx="774700" cy="279400"/>
                                </a:xfrm>
                                <a:prstGeom prst="rect">
                                  <a:avLst/>
                                </a:prstGeom>
                                <a:solidFill>
                                  <a:srgbClr val="FFFFFF"/>
                                </a:solidFill>
                                <a:ln w="9525">
                                  <a:solidFill>
                                    <a:srgbClr val="000000"/>
                                  </a:solidFill>
                                  <a:miter lim="800000"/>
                                </a:ln>
                                <a:effectLst/>
                              </wps:spPr>
                              <wps:txbx>
                                <w:txbxContent>
                                  <w:p>
                                    <w:pPr>
                                      <w:jc w:val="center"/>
                                    </w:pPr>
                                    <w:r>
                                      <w:rPr>
                                        <w:rFonts w:hint="eastAsia"/>
                                      </w:rPr>
                                      <w:t>捡选</w:t>
                                    </w:r>
                                  </w:p>
                                </w:txbxContent>
                              </wps:txbx>
                              <wps:bodyPr rot="0" vert="horz" wrap="square" lIns="91440" tIns="45720" rIns="91440" bIns="45720" anchor="t" anchorCtr="false" upright="true">
                                <a:noAutofit/>
                              </wps:bodyPr>
                            </wps:wsp>
                            <wps:wsp>
                              <wps:cNvPr id="50" name="自选图形 378"/>
                              <wps:cNvCnPr/>
                              <wps:spPr bwMode="auto">
                                <a:xfrm flipH="true">
                                  <a:off x="1163242" y="3932908"/>
                                  <a:ext cx="313334" cy="7347"/>
                                </a:xfrm>
                                <a:prstGeom prst="straightConnector1">
                                  <a:avLst/>
                                </a:prstGeom>
                                <a:noFill/>
                                <a:ln w="9525">
                                  <a:solidFill>
                                    <a:srgbClr val="000000"/>
                                  </a:solidFill>
                                  <a:prstDash val="dash"/>
                                  <a:round/>
                                  <a:tailEnd type="arrow" w="med" len="med"/>
                                </a:ln>
                                <a:effectLst/>
                              </wps:spPr>
                              <wps:bodyPr/>
                            </wps:wsp>
                            <wps:wsp>
                              <wps:cNvPr id="51" name="直线 385"/>
                              <wps:cNvCnPr/>
                              <wps:spPr bwMode="auto">
                                <a:xfrm>
                                  <a:off x="3064275" y="2397165"/>
                                  <a:ext cx="320040" cy="635"/>
                                </a:xfrm>
                                <a:prstGeom prst="line">
                                  <a:avLst/>
                                </a:prstGeom>
                                <a:noFill/>
                                <a:ln w="9525">
                                  <a:solidFill>
                                    <a:srgbClr val="000000"/>
                                  </a:solidFill>
                                  <a:prstDash val="dash"/>
                                  <a:round/>
                                  <a:headEnd type="none" w="med" len="med"/>
                                  <a:tailEnd type="arrow" w="med" len="med"/>
                                </a:ln>
                                <a:effectLst/>
                              </wps:spPr>
                              <wps:bodyPr/>
                            </wps:wsp>
                            <wps:wsp>
                              <wps:cNvPr id="52" name="自选图形 391"/>
                              <wps:cNvCnPr/>
                              <wps:spPr bwMode="auto">
                                <a:xfrm>
                                  <a:off x="2650087" y="4641577"/>
                                  <a:ext cx="647700" cy="5715"/>
                                </a:xfrm>
                                <a:prstGeom prst="straightConnector1">
                                  <a:avLst/>
                                </a:prstGeom>
                                <a:noFill/>
                                <a:ln w="9525">
                                  <a:solidFill>
                                    <a:srgbClr val="000000"/>
                                  </a:solidFill>
                                  <a:prstDash val="dash"/>
                                  <a:round/>
                                  <a:headEnd type="arrow" w="med" len="med"/>
                                </a:ln>
                                <a:effectLst/>
                              </wps:spPr>
                              <wps:bodyPr/>
                            </wps:wsp>
                            <wps:wsp>
                              <wps:cNvPr id="53" name="自选图形 393"/>
                              <wps:cNvCnPr/>
                              <wps:spPr bwMode="auto">
                                <a:xfrm flipV="true">
                                  <a:off x="2259009" y="5180568"/>
                                  <a:ext cx="709295" cy="1270"/>
                                </a:xfrm>
                                <a:prstGeom prst="straightConnector1">
                                  <a:avLst/>
                                </a:prstGeom>
                                <a:noFill/>
                                <a:ln w="9525">
                                  <a:solidFill>
                                    <a:srgbClr val="000000"/>
                                  </a:solidFill>
                                  <a:round/>
                                  <a:tailEnd type="arrow" w="med" len="med"/>
                                </a:ln>
                                <a:effectLst/>
                              </wps:spPr>
                              <wps:bodyPr/>
                            </wps:wsp>
                            <wps:wsp>
                              <wps:cNvPr id="54" name="文本框 463"/>
                              <wps:cNvSpPr txBox="true">
                                <a:spLocks noChangeArrowheads="true"/>
                              </wps:cNvSpPr>
                              <wps:spPr bwMode="auto">
                                <a:xfrm>
                                  <a:off x="4769511" y="0"/>
                                  <a:ext cx="528789" cy="1828800"/>
                                </a:xfrm>
                                <a:prstGeom prst="rect">
                                  <a:avLst/>
                                </a:prstGeom>
                                <a:solidFill>
                                  <a:srgbClr val="FFFFFF"/>
                                </a:solidFill>
                                <a:ln w="9525">
                                  <a:solidFill>
                                    <a:srgbClr val="000000"/>
                                  </a:solidFill>
                                  <a:prstDash val="dash"/>
                                  <a:miter lim="800000"/>
                                </a:ln>
                                <a:effectLst/>
                              </wps:spPr>
                              <wps:txbx>
                                <w:txbxContent>
                                  <w:p>
                                    <w:pPr>
                                      <w:jc w:val="center"/>
                                    </w:pPr>
                                    <w:r>
                                      <w:rPr>
                                        <w:rFonts w:hint="eastAsia"/>
                                      </w:rPr>
                                      <w:t>+15m排气筒DA002</w:t>
                                    </w:r>
                                  </w:p>
                                  <w:p>
                                    <w:pPr>
                                      <w:jc w:val="center"/>
                                    </w:pPr>
                                    <w:r>
                                      <w:rPr>
                                        <w:rFonts w:hint="eastAsia"/>
                                      </w:rPr>
                                      <w:t>脉冲式布袋除尘器</w:t>
                                    </w:r>
                                  </w:p>
                                  <w:p>
                                    <w:pPr>
                                      <w:jc w:val="center"/>
                                    </w:pPr>
                                  </w:p>
                                </w:txbxContent>
                              </wps:txbx>
                              <wps:bodyPr rot="0" vert="eaVert" wrap="square" lIns="91440" tIns="45720" rIns="91440" bIns="45720" anchor="t" anchorCtr="false" upright="true">
                                <a:noAutofit/>
                              </wps:bodyPr>
                            </wps:wsp>
                            <wps:wsp>
                              <wps:cNvPr id="56" name="自选图形 475"/>
                              <wps:cNvCnPr>
                                <a:stCxn id="13" idx="1"/>
                              </wps:cNvCnPr>
                              <wps:spPr bwMode="auto">
                                <a:xfrm flipH="true" flipV="true">
                                  <a:off x="488477" y="3942074"/>
                                  <a:ext cx="394606" cy="32"/>
                                </a:xfrm>
                                <a:prstGeom prst="straightConnector1">
                                  <a:avLst/>
                                </a:prstGeom>
                                <a:noFill/>
                                <a:ln w="9525">
                                  <a:solidFill>
                                    <a:srgbClr val="000000"/>
                                  </a:solidFill>
                                  <a:prstDash val="dash"/>
                                  <a:round/>
                                  <a:tailEnd type="arrow" w="med" len="med"/>
                                </a:ln>
                                <a:effectLst/>
                              </wps:spPr>
                              <wps:bodyPr/>
                            </wps:wsp>
                            <wps:wsp>
                              <wps:cNvPr id="57" name="自选图形 489"/>
                              <wps:cNvCnPr/>
                              <wps:spPr bwMode="auto">
                                <a:xfrm flipV="true">
                                  <a:off x="3395345" y="621030"/>
                                  <a:ext cx="875030" cy="4445"/>
                                </a:xfrm>
                                <a:prstGeom prst="straightConnector1">
                                  <a:avLst/>
                                </a:prstGeom>
                                <a:noFill/>
                                <a:ln w="9525">
                                  <a:solidFill>
                                    <a:srgbClr val="000000"/>
                                  </a:solidFill>
                                  <a:prstDash val="dash"/>
                                  <a:round/>
                                  <a:tailEnd type="arrow" w="med" len="med"/>
                                </a:ln>
                                <a:effectLst/>
                              </wps:spPr>
                              <wps:bodyPr/>
                            </wps:wsp>
                            <wps:wsp>
                              <wps:cNvPr id="58" name="自选图形 489"/>
                              <wps:cNvCnPr/>
                              <wps:spPr bwMode="auto">
                                <a:xfrm flipV="true">
                                  <a:off x="3395345" y="890905"/>
                                  <a:ext cx="875030" cy="4445"/>
                                </a:xfrm>
                                <a:prstGeom prst="straightConnector1">
                                  <a:avLst/>
                                </a:prstGeom>
                                <a:noFill/>
                                <a:ln w="9525">
                                  <a:solidFill>
                                    <a:srgbClr val="000000"/>
                                  </a:solidFill>
                                  <a:prstDash val="dash"/>
                                  <a:round/>
                                  <a:tailEnd type="arrow" w="med" len="med"/>
                                </a:ln>
                                <a:effectLst/>
                              </wps:spPr>
                              <wps:bodyPr/>
                            </wps:wsp>
                            <wps:wsp>
                              <wps:cNvPr id="59" name="直线 464"/>
                              <wps:cNvCnPr/>
                              <wps:spPr bwMode="auto">
                                <a:xfrm>
                                  <a:off x="4451985" y="897255"/>
                                  <a:ext cx="261620" cy="8255"/>
                                </a:xfrm>
                                <a:prstGeom prst="line">
                                  <a:avLst/>
                                </a:prstGeom>
                                <a:noFill/>
                                <a:ln w="9525">
                                  <a:solidFill>
                                    <a:srgbClr val="000000"/>
                                  </a:solidFill>
                                  <a:prstDash val="dash"/>
                                  <a:round/>
                                  <a:tailEnd type="arrow" w="med" len="med"/>
                                </a:ln>
                              </wps:spPr>
                              <wps:bodyPr/>
                            </wps:wsp>
                            <wps:wsp>
                              <wps:cNvPr id="60" name="自选图形 366"/>
                              <wps:cNvCnPr/>
                              <wps:spPr bwMode="auto">
                                <a:xfrm>
                                  <a:off x="1539265" y="1982038"/>
                                  <a:ext cx="2350176" cy="432"/>
                                </a:xfrm>
                                <a:prstGeom prst="straightConnector1">
                                  <a:avLst/>
                                </a:prstGeom>
                                <a:noFill/>
                                <a:ln w="9525">
                                  <a:solidFill>
                                    <a:srgbClr val="000000"/>
                                  </a:solidFill>
                                  <a:round/>
                                </a:ln>
                                <a:effectLst/>
                              </wps:spPr>
                              <wps:bodyPr/>
                            </wps:wsp>
                            <wps:wsp>
                              <wps:cNvPr id="61" name="自选图形 341"/>
                              <wps:cNvCnPr/>
                              <wps:spPr bwMode="auto">
                                <a:xfrm>
                                  <a:off x="2676068" y="1989353"/>
                                  <a:ext cx="635" cy="266700"/>
                                </a:xfrm>
                                <a:prstGeom prst="straightConnector1">
                                  <a:avLst/>
                                </a:prstGeom>
                                <a:noFill/>
                                <a:ln w="9525">
                                  <a:solidFill>
                                    <a:srgbClr val="000000"/>
                                  </a:solidFill>
                                  <a:round/>
                                  <a:tailEnd type="arrow" w="med" len="med"/>
                                </a:ln>
                                <a:effectLst/>
                              </wps:spPr>
                              <wps:bodyPr/>
                            </wps:wsp>
                            <wps:wsp>
                              <wps:cNvPr id="166" name="自选图形 346"/>
                              <wps:cNvCnPr>
                                <a:stCxn id="30" idx="2"/>
                              </wps:cNvCnPr>
                              <wps:spPr bwMode="auto">
                                <a:xfrm>
                                  <a:off x="3896995" y="1640205"/>
                                  <a:ext cx="0" cy="349148"/>
                                </a:xfrm>
                                <a:prstGeom prst="straightConnector1">
                                  <a:avLst/>
                                </a:prstGeom>
                                <a:noFill/>
                                <a:ln w="9525">
                                  <a:solidFill>
                                    <a:srgbClr val="000000"/>
                                  </a:solidFill>
                                  <a:round/>
                                </a:ln>
                                <a:effectLst/>
                              </wps:spPr>
                              <wps:bodyPr/>
                            </wps:wsp>
                            <wps:wsp>
                              <wps:cNvPr id="170" name="文本框 368"/>
                              <wps:cNvSpPr txBox="true">
                                <a:spLocks noChangeArrowheads="true"/>
                              </wps:cNvSpPr>
                              <wps:spPr bwMode="auto">
                                <a:xfrm>
                                  <a:off x="2291943" y="2267415"/>
                                  <a:ext cx="774065" cy="278765"/>
                                </a:xfrm>
                                <a:prstGeom prst="rect">
                                  <a:avLst/>
                                </a:prstGeom>
                                <a:solidFill>
                                  <a:srgbClr val="FFFFFF"/>
                                </a:solidFill>
                                <a:ln w="9525">
                                  <a:solidFill>
                                    <a:srgbClr val="000000"/>
                                  </a:solidFill>
                                  <a:miter lim="800000"/>
                                </a:ln>
                                <a:effectLst/>
                              </wps:spPr>
                              <wps:txbx>
                                <w:txbxContent>
                                  <w:p>
                                    <w:pPr>
                                      <w:pStyle w:val="19"/>
                                      <w:spacing w:before="0" w:beforeAutospacing="0" w:after="0" w:afterAutospacing="0"/>
                                      <w:jc w:val="center"/>
                                    </w:pPr>
                                    <w:r>
                                      <w:rPr>
                                        <w:rFonts w:hint="eastAsia" w:ascii="Times New Roman"/>
                                        <w:kern w:val="2"/>
                                        <w:sz w:val="21"/>
                                        <w:szCs w:val="21"/>
                                      </w:rPr>
                                      <w:t>上料系统</w:t>
                                    </w:r>
                                  </w:p>
                                </w:txbxContent>
                              </wps:txbx>
                              <wps:bodyPr rot="0" vert="horz" wrap="square" lIns="91440" tIns="45720" rIns="91440" bIns="45720" anchor="t" anchorCtr="false" upright="true">
                                <a:noAutofit/>
                              </wps:bodyPr>
                            </wps:wsp>
                            <wps:wsp>
                              <wps:cNvPr id="171" name="自选图形 341"/>
                              <wps:cNvCnPr/>
                              <wps:spPr bwMode="auto">
                                <a:xfrm>
                                  <a:off x="2674453" y="2546160"/>
                                  <a:ext cx="635" cy="266065"/>
                                </a:xfrm>
                                <a:prstGeom prst="straightConnector1">
                                  <a:avLst/>
                                </a:prstGeom>
                                <a:noFill/>
                                <a:ln w="9525">
                                  <a:solidFill>
                                    <a:srgbClr val="000000"/>
                                  </a:solidFill>
                                  <a:round/>
                                  <a:tailEnd type="arrow" w="med" len="med"/>
                                </a:ln>
                                <a:effectLst/>
                              </wps:spPr>
                              <wps:bodyPr/>
                            </wps:wsp>
                            <wps:wsp>
                              <wps:cNvPr id="172" name="自选图形 341"/>
                              <wps:cNvCnPr/>
                              <wps:spPr bwMode="auto">
                                <a:xfrm>
                                  <a:off x="3394495" y="3091602"/>
                                  <a:ext cx="635" cy="265430"/>
                                </a:xfrm>
                                <a:prstGeom prst="straightConnector1">
                                  <a:avLst/>
                                </a:prstGeom>
                                <a:noFill/>
                                <a:ln w="9525">
                                  <a:solidFill>
                                    <a:srgbClr val="000000"/>
                                  </a:solidFill>
                                  <a:round/>
                                  <a:tailEnd type="arrow" w="med" len="med"/>
                                </a:ln>
                                <a:effectLst/>
                              </wps:spPr>
                              <wps:bodyPr/>
                            </wps:wsp>
                            <wps:wsp>
                              <wps:cNvPr id="173" name="自选图形 341"/>
                              <wps:cNvCnPr/>
                              <wps:spPr bwMode="auto">
                                <a:xfrm>
                                  <a:off x="1879807" y="3091604"/>
                                  <a:ext cx="635" cy="265430"/>
                                </a:xfrm>
                                <a:prstGeom prst="straightConnector1">
                                  <a:avLst/>
                                </a:prstGeom>
                                <a:noFill/>
                                <a:ln w="9525">
                                  <a:solidFill>
                                    <a:srgbClr val="000000"/>
                                  </a:solidFill>
                                  <a:round/>
                                  <a:tailEnd type="arrow" w="med" len="med"/>
                                </a:ln>
                                <a:effectLst/>
                              </wps:spPr>
                              <wps:bodyPr/>
                            </wps:wsp>
                            <wps:wsp>
                              <wps:cNvPr id="174" name="自选图形 369"/>
                              <wps:cNvCnPr/>
                              <wps:spPr bwMode="auto">
                                <a:xfrm>
                                  <a:off x="1875962" y="3674222"/>
                                  <a:ext cx="0" cy="266065"/>
                                </a:xfrm>
                                <a:prstGeom prst="straightConnector1">
                                  <a:avLst/>
                                </a:prstGeom>
                                <a:noFill/>
                                <a:ln w="9525">
                                  <a:solidFill>
                                    <a:srgbClr val="000000"/>
                                  </a:solidFill>
                                  <a:round/>
                                  <a:tailEnd type="arrow" w="med" len="med"/>
                                </a:ln>
                                <a:effectLst/>
                              </wps:spPr>
                              <wps:bodyPr/>
                            </wps:wsp>
                            <wps:wsp>
                              <wps:cNvPr id="175" name="自选图形 369"/>
                              <wps:cNvCnPr/>
                              <wps:spPr bwMode="auto">
                                <a:xfrm>
                                  <a:off x="1876055" y="4221812"/>
                                  <a:ext cx="0" cy="265430"/>
                                </a:xfrm>
                                <a:prstGeom prst="straightConnector1">
                                  <a:avLst/>
                                </a:prstGeom>
                                <a:noFill/>
                                <a:ln w="9525">
                                  <a:solidFill>
                                    <a:srgbClr val="000000"/>
                                  </a:solidFill>
                                  <a:round/>
                                  <a:tailEnd type="arrow" w="med" len="med"/>
                                </a:ln>
                                <a:effectLst/>
                              </wps:spPr>
                              <wps:bodyPr/>
                            </wps:wsp>
                            <wps:wsp>
                              <wps:cNvPr id="5" name="肘形连接符 5"/>
                              <wps:cNvCnPr>
                                <a:stCxn id="44" idx="1"/>
                              </wps:cNvCnPr>
                              <wps:spPr>
                                <a:xfrm rot="10800000" flipH="true">
                                  <a:off x="1099401" y="4206441"/>
                                  <a:ext cx="388635" cy="435137"/>
                                </a:xfrm>
                                <a:prstGeom prst="bentConnector4">
                                  <a:avLst>
                                    <a:gd name="adj1" fmla="val -58821"/>
                                    <a:gd name="adj2" fmla="val 99666"/>
                                  </a:avLst>
                                </a:prstGeom>
                                <a:ln>
                                  <a:prstDash val="dash"/>
                                  <a:tailEnd type="arrow"/>
                                </a:ln>
                              </wps:spPr>
                              <wps:style>
                                <a:lnRef idx="1">
                                  <a:schemeClr val="dk1"/>
                                </a:lnRef>
                                <a:fillRef idx="0">
                                  <a:schemeClr val="dk1"/>
                                </a:fillRef>
                                <a:effectRef idx="0">
                                  <a:schemeClr val="dk1"/>
                                </a:effectRef>
                                <a:fontRef idx="minor">
                                  <a:schemeClr val="tx1"/>
                                </a:fontRef>
                              </wps:style>
                              <wps:bodyPr/>
                            </wps:wsp>
                            <wps:wsp>
                              <wps:cNvPr id="177" name="直线 385"/>
                              <wps:cNvCnPr/>
                              <wps:spPr bwMode="auto">
                                <a:xfrm>
                                  <a:off x="3872820" y="2952461"/>
                                  <a:ext cx="319405" cy="635"/>
                                </a:xfrm>
                                <a:prstGeom prst="line">
                                  <a:avLst/>
                                </a:prstGeom>
                                <a:noFill/>
                                <a:ln w="9525">
                                  <a:solidFill>
                                    <a:srgbClr val="000000"/>
                                  </a:solidFill>
                                  <a:prstDash val="dash"/>
                                  <a:round/>
                                  <a:headEnd type="none" w="med" len="med"/>
                                  <a:tailEnd type="arrow" w="med" len="med"/>
                                </a:ln>
                                <a:effectLst/>
                              </wps:spPr>
                              <wps:bodyPr/>
                            </wps:wsp>
                          </wpc:wpc>
                        </a:graphicData>
                      </a:graphic>
                    </wp:inline>
                  </w:drawing>
                </mc:Choice>
                <mc:Fallback>
                  <w:pict>
                    <v:group id="画布 331" o:spid="_x0000_s1026" o:spt="203" style="height:447pt;width:419.3pt;" coordsize="5325110,5676900" editas="canvas" o:gfxdata="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">
                      <o:lock v:ext="edit" aspectratio="f"/>
                      <v:shape id="画布 331" o:spid="_x0000_s1026" style="position:absolute;left:0;top:0;height:5676900;width:5325110;" filled="f" stroked="f" coordsize="21600,21600" o:gfxdata="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">
                        <v:fill on="f" focussize="0,0"/>
                        <v:stroke on="f"/>
                        <v:imagedata o:title=""/>
                        <o:lock v:ext="edit" aspectratio="f"/>
                      </v:shape>
                      <v:shape id="文本框 468" o:spid="_x0000_s1026" o:spt="202" type="#_x0000_t202" style="position:absolute;left:2424132;top:2512183;height:265430;width:358775;" fillcolor="#FFFFFF" filled="t" stroked="f" coordsize="21600,21600" o:gfxdata="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AZLJhNQAAAAFAQAADwAAAAAAAAABACAAAAA4AAAAZHJz&#10;L2Rvd25yZXYueG1sUEsBAhQAFAAAAAgAh07iQEStVP4rAgAAGgQAAA4AAAAAAAAAAQAgAAAAOQEA&#10;AGRycy9lMm9Eb2MueG1sUEsFBgAAAAAGAAYAWQEAANYFAAAAAA==&#10;">
                        <v:fill on="t" focussize="0,0"/>
                        <v:stroke on="f"/>
                        <v:imagedata o:title=""/>
                        <o:lock v:ext="edit" aspectratio="f"/>
                        <v:textbox>
                          <w:txbxContent>
                            <w:p>
                              <w:pPr>
                                <w:pStyle w:val="19"/>
                                <w:spacing w:before="0" w:beforeAutospacing="0" w:after="0" w:afterAutospacing="0"/>
                                <w:jc w:val="center"/>
                              </w:pPr>
                              <w:r>
                                <w:rPr>
                                  <w:rFonts w:hint="eastAsia" w:ascii="Times New Roman" w:hAnsi="Times New Roman"/>
                                  <w:kern w:val="2"/>
                                  <w:sz w:val="21"/>
                                  <w:szCs w:val="21"/>
                                </w:rPr>
                                <w:t>水</w:t>
                              </w:r>
                            </w:p>
                          </w:txbxContent>
                        </v:textbox>
                      </v:shape>
                      <v:shape id="文本框 468" o:spid="_x0000_s1026" o:spt="202" type="#_x0000_t202" style="position:absolute;left:4117608;top:2825460;height:266065;width:359410;" fillcolor="#FFFFFF" filled="t" stroked="f" coordsize="21600,21600" o:gfxdata="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AZLJhNQAAAAFAQAADwAAAAAAAAABACAAAAA4AAAAZHJzL2Rv&#10;d25yZXYueG1sUEsBAhQAFAAAAAgAh07iQIy1F9UoAgAAGgQAAA4AAAAAAAAAAQAgAAAAOQEAAGRy&#10;cy9lMm9Eb2MueG1sUEsFBgAAAAAGAAYAWQEAANMFAAAAAA==&#10;">
                        <v:fill on="t" focussize="0,0"/>
                        <v:stroke on="f"/>
                        <v:imagedata o:title=""/>
                        <o:lock v:ext="edit" aspectratio="f"/>
                        <v:textbox>
                          <w:txbxContent>
                            <w:p>
                              <w:pPr>
                                <w:pStyle w:val="19"/>
                                <w:spacing w:before="0" w:beforeAutospacing="0" w:after="0" w:afterAutospacing="0"/>
                                <w:jc w:val="center"/>
                              </w:pPr>
                              <w:r>
                                <w:rPr>
                                  <w:rFonts w:ascii="Times New Roman" w:hAnsi="Times New Roman"/>
                                  <w:kern w:val="2"/>
                                  <w:sz w:val="21"/>
                                  <w:szCs w:val="21"/>
                                </w:rPr>
                                <w:t>N</w:t>
                              </w:r>
                              <w:r>
                                <w:rPr>
                                  <w:rFonts w:hint="eastAsia" w:ascii="Times New Roman" w:hAnsi="Times New Roman"/>
                                  <w:kern w:val="2"/>
                                  <w:sz w:val="21"/>
                                  <w:szCs w:val="21"/>
                                </w:rPr>
                                <w:t>3</w:t>
                              </w:r>
                            </w:p>
                          </w:txbxContent>
                        </v:textbox>
                      </v:shape>
                      <v:shape id="文本框 472" o:spid="_x0000_s1026" o:spt="202" type="#_x0000_t202" style="position:absolute;left:883083;top:3805898;height:272415;width:360496;" fillcolor="#FFFFFF" filled="t" stroked="f" coordsize="21600,21600" o:gfxdata="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AGSyYTUAAAABQEAAA8AAAAAAAAAAQAgAAAAOAAAAGRycy9kb3du&#10;cmV2LnhtbFBLAQIUABQAAAAIAIdO4kAbR/4eJgIAABgEAAAOAAAAAAAAAAEAIAAAADkBAABkcnMv&#10;ZTJvRG9jLnhtbFBLBQYAAAAABgAGAFkBAADRBQAAAAA=&#10;">
                        <v:fill on="t" focussize="0,0"/>
                        <v:stroke on="f"/>
                        <v:imagedata o:title=""/>
                        <o:lock v:ext="edit" aspectratio="f"/>
                        <v:textbox>
                          <w:txbxContent>
                            <w:p>
                              <w:pPr>
                                <w:jc w:val="center"/>
                              </w:pPr>
                              <w:r>
                                <w:rPr>
                                  <w:rFonts w:hint="eastAsia"/>
                                </w:rPr>
                                <w:t>G2</w:t>
                              </w:r>
                            </w:p>
                          </w:txbxContent>
                        </v:textbox>
                      </v:shape>
                      <v:shape id="文本框 474" o:spid="_x0000_s1026" o:spt="202" type="#_x0000_t202" style="position:absolute;left:80010;top:2153920;height:606425;width:340995;" fillcolor="#FFFFFF" filled="t" stroked="f" coordsize="21600,21600" o:gfxdata="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rqYFitYAAAAFAQAADwAAAAAAAAABACAAAAA4AAAAZHJzL2Rv&#10;d25yZXYueG1sUEsBAhQAFAAAAAgAh07iQEWiuOcmAgAAGAQAAA4AAAAAAAAAAQAgAAAAOwEAAGRy&#10;cy9lMm9Eb2MueG1sUEsFBgAAAAAGAAYAWQEAANMFAAAAAA==&#10;">
                        <v:fill on="t" focussize="0,0"/>
                        <v:stroke on="f"/>
                        <v:imagedata o:title=""/>
                        <o:lock v:ext="edit" aspectratio="f"/>
                        <v:textbox style="layout-flow:vertical-ideographic;">
                          <w:txbxContent>
                            <w:p>
                              <w:pPr>
                                <w:jc w:val="center"/>
                              </w:pPr>
                              <w:r>
                                <w:rPr>
                                  <w:rFonts w:hint="eastAsia"/>
                                </w:rPr>
                                <w:t>不合格</w:t>
                              </w:r>
                            </w:p>
                          </w:txbxContent>
                        </v:textbox>
                      </v:shape>
                      <v:shape id="自选图形 379" o:spid="_x0000_s1026" o:spt="35" type="#_x0000_t35" style="position:absolute;left:1484288;top:767075;flip:x;height:4429629;width:616786;rotation:11796480f;" filled="f" stroked="t" coordsize="21600,21600" o:gfxdata="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IlzU/DUAAAABQEAAA8AAAAAAAAAAQAg&#10;AAAAOAAAAGRycy9kb3ducmV2LnhtbFBLAQIUABQAAAAIAIdO4kDCm9ScNQIAAB8EAAAOAAAAAAAA&#10;AAEAIAAAADkBAABkcnMvZTJvRG9jLnhtbFBLBQYAAAAABgAGAFkBAADgBQAAAAA=&#10;" adj="-48485,21592">
                        <v:fill on="f" focussize="0,0"/>
                        <v:stroke color="#000000" miterlimit="8" joinstyle="miter" endarrow="open"/>
                        <v:imagedata o:title=""/>
                        <o:lock v:ext="edit" aspectratio="f"/>
                      </v:shape>
                      <v:shape id="文本框 392" o:spid="_x0000_s1026" o:spt="202" type="#_x0000_t202" style="position:absolute;left:3276609;top:4519325;height:279400;width:640080;" fillcolor="#FFFFFF" filled="t" stroked="f" coordsize="21600,21600" o:gfxdata="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AGSyYTUAAAABQEAAA8AAAAAAAAAAQAgAAAAOAAAAGRycy9kb3du&#10;cmV2LnhtbFBLAQIUABQAAAAIAIdO4kCtrlYrJgIAABgEAAAOAAAAAAAAAAEAIAAAADkBAABkcnMv&#10;ZTJvRG9jLnhtbFBLBQYAAAAABgAGAFkBAADRBQAAAAA=&#10;">
                        <v:fill on="t" focussize="0,0"/>
                        <v:stroke on="f"/>
                        <v:imagedata o:title=""/>
                        <o:lock v:ext="edit" aspectratio="f"/>
                        <v:textbox>
                          <w:txbxContent>
                            <w:p>
                              <w:pPr>
                                <w:jc w:val="center"/>
                              </w:pPr>
                              <w:r>
                                <w:rPr>
                                  <w:rFonts w:hint="eastAsia"/>
                                </w:rPr>
                                <w:t>天然气</w:t>
                              </w:r>
                            </w:p>
                          </w:txbxContent>
                        </v:textbox>
                      </v:shape>
                      <v:shape id="文本框 434" o:spid="_x0000_s1026" o:spt="202" type="#_x0000_t202" style="position:absolute;left:3265860;top:2266218;height:266700;width:836972;" fillcolor="#FFFFFF" filled="t" stroked="f" coordsize="21600,21600" o:gfxdata="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BksmE1AAAAAUBAAAPAAAAAAAAAAEAIAAAADgAAABkcnMv&#10;ZG93bnJldi54bWxQSwECFAAUAAAACACHTuJApHZF4yoCAAAZBAAADgAAAAAAAAABACAAAAA5AQAA&#10;ZHJzL2Uyb0RvYy54bWxQSwUGAAAAAAYABgBZAQAA1QUAAAAA&#10;">
                        <v:fill on="t" focussize="0,0"/>
                        <v:stroke on="f"/>
                        <v:imagedata o:title=""/>
                        <o:lock v:ext="edit" aspectratio="f"/>
                        <v:textbox>
                          <w:txbxContent>
                            <w:p>
                              <w:pPr>
                                <w:jc w:val="center"/>
                              </w:pPr>
                              <w:r>
                                <w:rPr>
                                  <w:rFonts w:hint="eastAsia"/>
                                </w:rPr>
                                <w:t>G3、N2</w:t>
                              </w:r>
                            </w:p>
                          </w:txbxContent>
                        </v:textbox>
                      </v:shape>
                      <v:shape id="文本框 474" o:spid="_x0000_s1026" o:spt="202" type="#_x0000_t202" style="position:absolute;left:147515;top:3153083;height:1586852;width:340995;" fillcolor="#FFFFFF" filled="t" stroked="f" coordsize="21600,21600" o:gfxdata="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upgWK1gAAAAUBAAAPAAAAAAAAAAEAIAAAADgAAABkcnMv&#10;ZG93bnJldi54bWxQSwECFAAUAAAACACHTuJA62lC1CgCAAAbBAAADgAAAAAAAAABACAAAAA7AQAA&#10;ZHJzL2Uyb0RvYy54bWxQSwUGAAAAAAYABgBZAQAA1QUAAAAA&#10;">
                        <v:fill on="t" focussize="0,0"/>
                        <v:stroke on="f"/>
                        <v:imagedata o:title=""/>
                        <o:lock v:ext="edit" aspectratio="f"/>
                        <v:textbox style="layout-flow:vertical-ideographic;">
                          <w:txbxContent>
                            <w:p>
                              <w:pPr>
                                <w:jc w:val="center"/>
                              </w:pPr>
                              <w:r>
                                <w:rPr>
                                  <w:rFonts w:hint="eastAsia"/>
                                  <w:lang w:eastAsia="zh-CN"/>
                                </w:rPr>
                                <w:t>石灰石膏法脱硫塔</w:t>
                              </w:r>
                              <w:r>
                                <w:rPr>
                                  <w:rFonts w:hint="eastAsia"/>
                                </w:rPr>
                                <w:t>+50m烟囱DA001</w:t>
                              </w:r>
                            </w:p>
                          </w:txbxContent>
                        </v:textbox>
                      </v:shape>
                      <v:shape id="文本框 468" o:spid="_x0000_s1026" o:spt="202" type="#_x0000_t202" style="position:absolute;left:4218940;top:501015;height:266700;width:360045;" fillcolor="#FFFFFF" filled="t" stroked="f" coordsize="21600,21600" o:gfxdata="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AGSyYTUAAAABQEAAA8AAAAAAAAAAQAgAAAAOAAAAGRycy9k&#10;b3ducmV2LnhtbFBLAQIUABQAAAAIAIdO4kBzxLjEKQIAABgEAAAOAAAAAAAAAAEAIAAAADkBAABk&#10;cnMvZTJvRG9jLnhtbFBLBQYAAAAABgAGAFkBAADUBQAAAAA=&#10;">
                        <v:fill on="t" focussize="0,0"/>
                        <v:stroke on="f"/>
                        <v:imagedata o:title=""/>
                        <o:lock v:ext="edit" aspectratio="f"/>
                        <v:textbox>
                          <w:txbxContent>
                            <w:p>
                              <w:pPr>
                                <w:jc w:val="center"/>
                              </w:pPr>
                              <w:r>
                                <w:rPr>
                                  <w:rFonts w:hint="eastAsia"/>
                                </w:rPr>
                                <w:t>N1</w:t>
                              </w:r>
                            </w:p>
                          </w:txbxContent>
                        </v:textbox>
                      </v:shape>
                      <v:shape id="文本框 381" o:spid="_x0000_s1026" o:spt="202" type="#_x0000_t202" style="position:absolute;left:4155440;top:791210;height:266700;width:380365;" fillcolor="#FFFFFF" filled="t" stroked="f" coordsize="21600,21600" o:gfxdata="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AZLJhNQAAAAFAQAADwAAAAAAAAABACAAAAA4AAAAZHJzL2Rv&#10;d25yZXYueG1sUEsBAhQAFAAAAAgAh07iQKuNBeYoAgAAGAQAAA4AAAAAAAAAAQAgAAAAOQEAAGRy&#10;cy9lMm9Eb2MueG1sUEsFBgAAAAAGAAYAWQEAANMFAAAAAA==&#10;">
                        <v:fill on="t" focussize="0,0"/>
                        <v:stroke on="f"/>
                        <v:imagedata o:title=""/>
                        <o:lock v:ext="edit" aspectratio="f"/>
                        <v:textbox>
                          <w:txbxContent>
                            <w:p>
                              <w:pPr>
                                <w:jc w:val="center"/>
                              </w:pPr>
                              <w:r>
                                <w:rPr>
                                  <w:rFonts w:hint="eastAsia"/>
                                </w:rPr>
                                <w:t>G1</w:t>
                              </w:r>
                            </w:p>
                          </w:txbxContent>
                        </v:textbox>
                      </v:shape>
                      <v:shape id="文本框 455" o:spid="_x0000_s1026" o:spt="202" type="#_x0000_t202" style="position:absolute;left:2400;top:5374412;height:266700;width:5295900;" fillcolor="#FFFFFF" filled="t" stroked="f" coordsize="21600,21600" o:gfxdata="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BksmE1AAAAAUBAAAPAAAAAAAAAAEAIAAAADgAAABkcnMvZG93bnJl&#10;di54bWxQSwECFAAUAAAACACHTuJAH1oxxyQCAAAXBAAADgAAAAAAAAABACAAAAA5AQAAZHJzL2Uy&#10;b0RvYy54bWxQSwUGAAAAAAYABgBZAQAAzwUAAAAA&#10;">
                        <v:fill on="t" focussize="0,0"/>
                        <v:stroke on="f"/>
                        <v:imagedata o:title=""/>
                        <o:lock v:ext="edit" aspectratio="f"/>
                        <v:textbox>
                          <w:txbxContent>
                            <w:p>
                              <w:pPr>
                                <w:jc w:val="center"/>
                              </w:pPr>
                              <w:r>
                                <w:rPr>
                                  <w:rFonts w:hint="eastAsia"/>
                                </w:rPr>
                                <w:t>N：噪声   G：废气    S：固废    W：废水</w:t>
                              </w:r>
                            </w:p>
                          </w:txbxContent>
                        </v:textbox>
                      </v:shape>
                      <v:shape id="文本框 394" o:spid="_x0000_s1026" o:spt="202" type="#_x0000_t202" style="position:absolute;left:2105260;top:4937480;height:266700;width:939800;" fillcolor="#FFFFFF" filled="t" stroked="f" coordsize="21600,21600" o:gfxdata="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AGSyYTUAAAABQEAAA8AAAAAAAAAAQAgAAAAOAAAAGRycy9kb3du&#10;cmV2LnhtbFBLAQIUABQAAAAIAIdO4kDxge9NJgIAABkEAAAOAAAAAAAAAAEAIAAAADkBAABkcnMv&#10;ZTJvRG9jLnhtbFBLBQYAAAAABgAGAFkBAADRBQAAAAA=&#10;">
                        <v:fill on="t" focussize="0,0"/>
                        <v:stroke on="f"/>
                        <v:imagedata o:title=""/>
                        <o:lock v:ext="edit" aspectratio="f"/>
                        <v:textbox>
                          <w:txbxContent>
                            <w:p>
                              <w:pPr>
                                <w:jc w:val="center"/>
                              </w:pPr>
                              <w:r>
                                <w:rPr>
                                  <w:rFonts w:hint="eastAsia"/>
                                </w:rPr>
                                <w:t>合格</w:t>
                              </w:r>
                            </w:p>
                          </w:txbxContent>
                        </v:textbox>
                      </v:shape>
                      <v:shape id="文本框 390" o:spid="_x0000_s1026" o:spt="202" type="#_x0000_t202" style="position:absolute;left:588938;top:4215604;height:467995;width:552450;" fillcolor="#FFFFFF" filled="t" stroked="f" coordsize="21600,21600" o:gfxdata="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AGSyYTUAAAABQEAAA8AAAAAAAAAAQAgAAAAOAAAAGRycy9kb3du&#10;cmV2LnhtbFBLAQIUABQAAAAIAIdO4kCppFQuJgIAABgEAAAOAAAAAAAAAAEAIAAAADkBAABkcnMv&#10;ZTJvRG9jLnhtbFBLBQYAAAAABgAGAFkBAADRBQAAAAA=&#10;">
                        <v:fill on="t" focussize="0,0"/>
                        <v:stroke on="f"/>
                        <v:imagedata o:title=""/>
                        <o:lock v:ext="edit" aspectratio="f"/>
                        <v:textbox>
                          <w:txbxContent>
                            <w:p>
                              <w:pPr>
                                <w:jc w:val="center"/>
                              </w:pPr>
                              <w:r>
                                <w:rPr>
                                  <w:rFonts w:hint="eastAsia"/>
                                </w:rPr>
                                <w:t>高 温</w:t>
                              </w:r>
                            </w:p>
                            <w:p>
                              <w:pPr>
                                <w:jc w:val="center"/>
                              </w:pPr>
                              <w:r>
                                <w:rPr>
                                  <w:rFonts w:hint="eastAsia"/>
                                </w:rPr>
                                <w:t>烟 气</w:t>
                              </w:r>
                            </w:p>
                          </w:txbxContent>
                        </v:textbox>
                      </v:shape>
                      <v:shape id="文本框 332" o:spid="_x0000_s1026" o:spt="202" type="#_x0000_t202" style="position:absolute;left:2273300;top:45085;height:277495;width:775970;" fillcolor="#FFFFFF" filled="t" stroked="t" coordsize="21600,21600" o:gfxdata="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D9mOs9UAAAAF&#10;AQAADwAAAAAAAAABACAAAAA4AAAAZHJzL2Rvd25yZXYueG1sUEsBAhQAFAAAAAgAh07iQO+QHPFC&#10;AgAAYAQAAA4AAAAAAAAAAQAgAAAAOgEAAGRycy9lMm9Eb2MueG1sUEsFBgAAAAAGAAYAWQEAAO4F&#10;AAAAAA==&#10;">
                        <v:fill on="t" focussize="0,0"/>
                        <v:stroke color="#000000" miterlimit="8" joinstyle="miter"/>
                        <v:imagedata o:title=""/>
                        <o:lock v:ext="edit" aspectratio="f"/>
                        <v:textbox>
                          <w:txbxContent>
                            <w:p>
                              <w:pPr>
                                <w:jc w:val="center"/>
                              </w:pPr>
                              <w:r>
                                <w:rPr>
                                  <w:rFonts w:hint="eastAsia"/>
                                </w:rPr>
                                <w:t>原料</w:t>
                              </w:r>
                            </w:p>
                          </w:txbxContent>
                        </v:textbox>
                      </v:shape>
                      <v:shape id="文本框 333" o:spid="_x0000_s1026" o:spt="202" type="#_x0000_t202" style="position:absolute;left:2102485;top:625475;height:282575;width:1292860;" fillcolor="#FFFFFF" filled="t" stroked="t" coordsize="21600,21600" o:gfxdata="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A/ZjrPVAAAA&#10;BQEAAA8AAAAAAAAAAQAgAAAAOAAAAGRycy9kb3ducmV2LnhtbFBLAQIUABQAAAAIAIdO4kDV71Xi&#10;QwIAAGIEAAAOAAAAAAAAAAEAIAAAADoBAABkcnMvZTJvRG9jLnhtbFBLBQYAAAAABgAGAFkBAADv&#10;BQAAAAA=&#10;">
                        <v:fill on="t" focussize="0,0"/>
                        <v:stroke color="#000000" miterlimit="8" joinstyle="miter"/>
                        <v:imagedata o:title=""/>
                        <o:lock v:ext="edit" aspectratio="f"/>
                        <v:textbox>
                          <w:txbxContent>
                            <w:p>
                              <w:pPr>
                                <w:jc w:val="center"/>
                              </w:pPr>
                              <w:r>
                                <w:rPr>
                                  <w:rFonts w:hint="eastAsia"/>
                                </w:rPr>
                                <w:t>破碎、研磨、筛分</w:t>
                              </w:r>
                            </w:p>
                          </w:txbxContent>
                        </v:textbox>
                      </v:shape>
                      <v:line id="直线 334" o:spid="_x0000_s1026" o:spt="20" style="position:absolute;left:2661285;top:330835;height:294640;width:635;" filled="f" stroked="t" coordsize="21600,21600" o:gfxdata="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tvzZdtcA&#10;AAAFAQAADwAAAAAAAAABACAAAAA4AAAAZHJzL2Rvd25yZXYueG1sUEsBAhQAFAAAAAgAh07iQEvU&#10;alPRAQAAaQMAAA4AAAAAAAAAAQAgAAAAPAEAAGRycy9lMm9Eb2MueG1sUEsFBgAAAAAGAAYAWQEA&#10;AH8FAAAAAA==&#10;">
                        <v:fill on="f" focussize="0,0"/>
                        <v:stroke color="#000000" joinstyle="round" endarrow="open"/>
                        <v:imagedata o:title=""/>
                        <o:lock v:ext="edit" aspectratio="f"/>
                      </v:line>
                      <v:line id="直线 335" o:spid="_x0000_s1026" o:spt="20" style="position:absolute;left:2658745;top:913130;flip:x;height:459740;width:7620;" filled="f" stroked="t" coordsize="21600,21600" o:gfxdata="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MQvDo1QAAAAUBAAAPAAAAAAAAAAEAIAAAADgAAABkcnMvZG93bnJldi54bWxQSwECFAAUAAAA&#10;CACHTuJAcoC4xdsBAAB3AwAADgAAAAAAAAABACAAAAA6AQAAZHJzL2Uyb0RvYy54bWxQSwUGAAAA&#10;AAYABgBZAQAAhwUAAAAA&#10;">
                        <v:fill on="f" focussize="0,0"/>
                        <v:stroke color="#000000" joinstyle="round" endarrow="open"/>
                        <v:imagedata o:title=""/>
                        <o:lock v:ext="edit" aspectratio="f"/>
                      </v:line>
                      <v:shape id="文本框 336" o:spid="_x0000_s1026" o:spt="202" type="#_x0000_t202" style="position:absolute;left:2270125;top:1365250;height:279400;width:774700;" fillcolor="#FFFFFF" filled="t" stroked="t" coordsize="21600,21600" o:gfxdata="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A/ZjrPVAAAABQEAAA8A&#10;AAAAAAAAAQAgAAAAOAAAAGRycy9kb3ducmV2LnhtbFBLAQIUABQAAAAIAIdO4kB0Sr8CPQIAAGIE&#10;AAAOAAAAAAAAAAEAIAAAADoBAABkcnMvZTJvRG9jLnhtbFBLBQYAAAAABgAGAFkBAADpBQAAAAA=&#10;">
                        <v:fill on="t" focussize="0,0"/>
                        <v:stroke color="#000000" miterlimit="8" joinstyle="miter"/>
                        <v:imagedata o:title=""/>
                        <o:lock v:ext="edit" aspectratio="f"/>
                        <v:textbox>
                          <w:txbxContent>
                            <w:p>
                              <w:pPr>
                                <w:jc w:val="center"/>
                              </w:pPr>
                              <w:r>
                                <w:rPr>
                                  <w:rFonts w:hint="eastAsia"/>
                                </w:rPr>
                                <w:t>中粒料</w:t>
                              </w:r>
                            </w:p>
                          </w:txbxContent>
                        </v:textbox>
                      </v:shape>
                      <v:shape id="自选图形 338" o:spid="_x0000_s1026" o:spt="32" type="#_x0000_t32" style="position:absolute;left:1523365;top:1085215;flip:x;height:8890;width:2393315;" filled="f" stroked="t" coordsize="21600,21600" o:gfxdata="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zj2yUtQAAAAFAQAADwAAAAAAAAABACAAAAA4AAAAZHJzL2Rvd25yZXYueG1sUEsBAhQAFAAAAAgA&#10;h07iQJpHC53aAQAAYgMAAA4AAAAAAAAAAQAgAAAAOQEAAGRycy9lMm9Eb2MueG1sUEsFBgAAAAAG&#10;AAYAWQEAAIUFAAAAAA==&#10;">
                        <v:fill on="f" focussize="0,0"/>
                        <v:stroke color="#000000" joinstyle="round"/>
                        <v:imagedata o:title=""/>
                        <o:lock v:ext="edit" aspectratio="f"/>
                      </v:shape>
                      <v:shape id="自选图形 339" o:spid="_x0000_s1026" o:spt="32" type="#_x0000_t32" style="position:absolute;left:1532890;top:1093470;height:278130;width:7620;" filled="f" stroked="t" coordsize="21600,21600" o:gfxdata="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Gw4iH1QAAAAUBAAAPAAAAAAAAAAEAIAAAADgAAABkcnMvZG93bnJldi54&#10;bWxQSwECFAAUAAAACACHTuJAFlzxxOcBAAB/AwAADgAAAAAAAAABACAAAAA6AQAAZHJzL2Uyb0Rv&#10;Yy54bWxQSwUGAAAAAAYABgBZAQAAkwUAAAAA&#10;">
                        <v:fill on="f" focussize="0,0"/>
                        <v:stroke color="#000000" joinstyle="round" endarrow="open"/>
                        <v:imagedata o:title=""/>
                        <o:lock v:ext="edit" aspectratio="f"/>
                      </v:shape>
                      <v:shape id="自选图形 341" o:spid="_x0000_s1026" o:spt="32" type="#_x0000_t32" style="position:absolute;left:3914140;top:1082040;height:266700;width:0;" filled="f" stroked="t" coordsize="21600,21600" o:gfxdata="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Gw4iH1QAAAAUBAAAPAAAAAAAAAAEAIAAAADgAAABkcnMvZG93bnJldi54bWxQ&#10;SwECFAAUAAAACACHTuJAU2nPo+QBAAB8AwAADgAAAAAAAAABACAAAAA6AQAAZHJzL2Uyb0RvYy54&#10;bWxQSwUGAAAAAAYABgBZAQAAkAUAAAAA&#10;">
                        <v:fill on="f" focussize="0,0"/>
                        <v:stroke color="#000000" joinstyle="round" endarrow="open"/>
                        <v:imagedata o:title=""/>
                        <o:lock v:ext="edit" aspectratio="f"/>
                      </v:shape>
                      <v:shape id="文本框 342" o:spid="_x0000_s1026" o:spt="202" type="#_x0000_t202" style="position:absolute;left:1141730;top:1376680;height:279400;width:774700;" fillcolor="#FFFFFF" filled="t" stroked="t" coordsize="21600,21600" o:gfxdata="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A/ZjrPVAAAABQEA&#10;AA8AAAAAAAAAAQAgAAAAOAAAAGRycy9kb3ducmV2LnhtbFBLAQIUABQAAAAIAIdO4kCIiaQEQAIA&#10;AGIEAAAOAAAAAAAAAAEAIAAAADoBAABkcnMvZTJvRG9jLnhtbFBLBQYAAAAABgAGAFkBAADsBQAA&#10;AAA=&#10;">
                        <v:fill on="t" focussize="0,0"/>
                        <v:stroke color="#000000" miterlimit="8" joinstyle="miter"/>
                        <v:imagedata o:title=""/>
                        <o:lock v:ext="edit" aspectratio="f"/>
                        <v:textbox>
                          <w:txbxContent>
                            <w:p>
                              <w:pPr>
                                <w:jc w:val="center"/>
                              </w:pPr>
                              <w:r>
                                <w:rPr>
                                  <w:rFonts w:hint="eastAsia"/>
                                </w:rPr>
                                <w:t>粗粒料</w:t>
                              </w:r>
                            </w:p>
                          </w:txbxContent>
                        </v:textbox>
                      </v:shape>
                      <v:shape id="文本框 343" o:spid="_x0000_s1026" o:spt="202" type="#_x0000_t202" style="position:absolute;left:3509645;top:1360805;height:279400;width:774700;" fillcolor="#FFFFFF" filled="t" stroked="t" coordsize="21600,21600" o:gfxdata="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AP2Y6z1QAAAAUB&#10;AAAPAAAAAAAAAAEAIAAAADgAAABkcnMvZG93bnJldi54bWxQSwECFAAUAAAACACHTuJAJY335kEC&#10;AABiBAAADgAAAAAAAAABACAAAAA6AQAAZHJzL2Uyb0RvYy54bWxQSwUGAAAAAAYABgBZAQAA7QUA&#10;AAAA&#10;">
                        <v:fill on="t" focussize="0,0"/>
                        <v:stroke color="#000000" miterlimit="8" joinstyle="miter"/>
                        <v:imagedata o:title=""/>
                        <o:lock v:ext="edit" aspectratio="f"/>
                        <v:textbox>
                          <w:txbxContent>
                            <w:p>
                              <w:pPr>
                                <w:jc w:val="center"/>
                              </w:pPr>
                              <w:r>
                                <w:rPr>
                                  <w:rFonts w:hint="eastAsia"/>
                                </w:rPr>
                                <w:t>细粒料</w:t>
                              </w:r>
                            </w:p>
                          </w:txbxContent>
                        </v:textbox>
                      </v:shape>
                      <v:shape id="自选图形 344" o:spid="_x0000_s1026" o:spt="32" type="#_x0000_t32" style="position:absolute;left:1529080;top:1656080;height:326390;width:2540;" filled="f" stroked="t" coordsize="21600,21600" o:gfxdata="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c+0mZdYAAAAFAQAA&#10;DwAAAAAAAAABACAAAAA4AAAAZHJzL2Rvd25yZXYueG1sUEsBAhQAFAAAAAgAh07iQLe4Sl/MAQAA&#10;VAMAAA4AAAAAAAAAAQAgAAAAOwEAAGRycy9lMm9Eb2MueG1sUEsFBgAAAAAGAAYAWQEAAHkFAAAA&#10;AA==&#10;">
                        <v:fill on="f" focussize="0,0"/>
                        <v:stroke color="#000000" joinstyle="round"/>
                        <v:imagedata o:title=""/>
                        <o:lock v:ext="edit" aspectratio="f"/>
                      </v:shape>
                      <v:shape id="自选图形 346" o:spid="_x0000_s1026" o:spt="32" type="#_x0000_t32" style="position:absolute;left:2674620;top:1654810;height:317500;width:635;" filled="f" stroked="t" coordsize="21600,21600" o:gfxdata="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z7SZl1gAAAAUB&#10;AAAPAAAAAAAAAAEAIAAAADgAAABkcnMvZG93bnJldi54bWxQSwECFAAUAAAACACHTuJAW61AZM4B&#10;AABTAwAADgAAAAAAAAABACAAAAA7AQAAZHJzL2Uyb0RvYy54bWxQSwUGAAAAAAYABgBZAQAAewUA&#10;AAAA&#10;">
                        <v:fill on="f" focussize="0,0"/>
                        <v:stroke color="#000000" joinstyle="round"/>
                        <v:imagedata o:title=""/>
                        <o:lock v:ext="edit" aspectratio="f"/>
                      </v:shape>
                      <v:shape id="文本框 350" o:spid="_x0000_s1026" o:spt="202" type="#_x0000_t202" style="position:absolute;left:1484070;top:2812226;height:279400;width:2388997;" fillcolor="#FFFFFF" filled="t" stroked="t" coordsize="21600,21600" o:gfxdata="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D9mOs9UA&#10;AAAFAQAADwAAAAAAAAABACAAAAA4AAAAZHJzL2Rvd25yZXYueG1sUEsBAhQAFAAAAAgAh07iQIti&#10;WMZFAgAAYwQAAA4AAAAAAAAAAQAgAAAAOgEAAGRycy9lMm9Eb2MueG1sUEsFBgAAAAAGAAYAWQEA&#10;APEFAAAAAA==&#10;">
                        <v:fill on="t" focussize="0,0"/>
                        <v:stroke color="#000000" miterlimit="8" joinstyle="miter"/>
                        <v:imagedata o:title=""/>
                        <o:lock v:ext="edit" aspectratio="f"/>
                        <v:textbox>
                          <w:txbxContent>
                            <w:p>
                              <w:pPr>
                                <w:jc w:val="center"/>
                              </w:pPr>
                              <w:r>
                                <w:rPr>
                                  <w:rFonts w:hint="eastAsia"/>
                                </w:rPr>
                                <w:t>搅拌给料系统</w:t>
                              </w:r>
                            </w:p>
                          </w:txbxContent>
                        </v:textbox>
                      </v:shape>
                      <v:shape id="文本框 359" o:spid="_x0000_s1026" o:spt="202" type="#_x0000_t202" style="position:absolute;left:2860922;top:3385712;height:279400;width:1073785;" fillcolor="#FFFFFF" filled="t" stroked="t" coordsize="21600,21600" o:gfxdata="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D9mOs9UA&#10;AAAFAQAADwAAAAAAAAABACAAAAA4AAAAZHJzL2Rvd25yZXYueG1sUEsBAhQAFAAAAAgAh07iQL7r&#10;wpNFAgAAYwQAAA4AAAAAAAAAAQAgAAAAOgEAAGRycy9lMm9Eb2MueG1sUEsFBgAAAAAGAAYAWQEA&#10;APEFAAAAAA==&#10;">
                        <v:fill on="t" focussize="0,0"/>
                        <v:stroke color="#000000" miterlimit="8" joinstyle="miter"/>
                        <v:imagedata o:title=""/>
                        <o:lock v:ext="edit" aspectratio="f"/>
                        <v:textbox>
                          <w:txbxContent>
                            <w:p>
                              <w:pPr>
                                <w:jc w:val="center"/>
                              </w:pPr>
                              <w:r>
                                <w:rPr>
                                  <w:rFonts w:hint="eastAsia"/>
                                </w:rPr>
                                <w:t>不定型耐火材料</w:t>
                              </w:r>
                            </w:p>
                          </w:txbxContent>
                        </v:textbox>
                      </v:shape>
                      <v:shape id="文本框 361" o:spid="_x0000_s1026" o:spt="202" type="#_x0000_t202" style="position:absolute;left:1498723;top:3385714;height:279400;width:774700;" fillcolor="#FFFFFF" filled="t" stroked="t" coordsize="21600,21600" o:gfxdata="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AP2Y6z1QAAAAUB&#10;AAAPAAAAAAAAAAEAIAAAADgAAABkcnMvZG93bnJldi54bWxQSwECFAAUAAAACACHTuJAQgoTPUEC&#10;AABiBAAADgAAAAAAAAABACAAAAA6AQAAZHJzL2Uyb0RvYy54bWxQSwUGAAAAAAYABgBZAQAA7QUA&#10;AAAA&#10;">
                        <v:fill on="t" focussize="0,0"/>
                        <v:stroke color="#000000" miterlimit="8" joinstyle="miter"/>
                        <v:imagedata o:title=""/>
                        <o:lock v:ext="edit" aspectratio="f"/>
                        <v:textbox>
                          <w:txbxContent>
                            <w:p>
                              <w:pPr>
                                <w:jc w:val="center"/>
                              </w:pPr>
                              <w:r>
                                <w:rPr>
                                  <w:rFonts w:hint="eastAsia"/>
                                </w:rPr>
                                <w:t>机压成型</w:t>
                              </w:r>
                            </w:p>
                          </w:txbxContent>
                        </v:textbox>
                      </v:shape>
                      <v:shape id="文本框 368" o:spid="_x0000_s1026" o:spt="202" type="#_x0000_t202" style="position:absolute;left:1488136;top:3935103;height:279400;width:774700;" fillcolor="#FFFFFF" filled="t" stroked="t" coordsize="21600,21600" o:gfxdata="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AP2Y6z1QAAAAUB&#10;AAAPAAAAAAAAAAEAIAAAADgAAABkcnMvZG93bnJldi54bWxQSwECFAAUAAAACACHTuJAOXlGgEEC&#10;AABiBAAADgAAAAAAAAABACAAAAA6AQAAZHJzL2Uyb0RvYy54bWxQSwUGAAAAAAYABgBZAQAA7QUA&#10;AAAA&#10;">
                        <v:fill on="t" focussize="0,0"/>
                        <v:stroke color="#000000" miterlimit="8" joinstyle="miter"/>
                        <v:imagedata o:title=""/>
                        <o:lock v:ext="edit" aspectratio="f"/>
                        <v:textbox>
                          <w:txbxContent>
                            <w:p>
                              <w:pPr>
                                <w:jc w:val="center"/>
                              </w:pPr>
                              <w:r>
                                <w:rPr>
                                  <w:rFonts w:hint="eastAsia"/>
                                </w:rPr>
                                <w:t>烘干窑</w:t>
                              </w:r>
                            </w:p>
                          </w:txbxContent>
                        </v:textbox>
                      </v:shape>
                      <v:shape id="自选图形 369" o:spid="_x0000_s1026" o:spt="32" type="#_x0000_t32" style="position:absolute;left:3408592;top:3668398;height:266700;width:0;" filled="f" stroked="t" coordsize="21600,21600" o:gfxdata="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Gw4iH1QAAAAUBAAAPAAAAAAAAAAEAIAAAADgAAABkcnMvZG93bnJldi54&#10;bWxQSwECFAAUAAAACACHTuJAbEzmPOcBAAB8AwAADgAAAAAAAAABACAAAAA6AQAAZHJzL2Uyb0Rv&#10;Yy54bWxQSwUGAAAAAAYABgBZAQAAkwUAAAAA&#10;">
                        <v:fill on="f" focussize="0,0"/>
                        <v:stroke color="#000000" joinstyle="round" endarrow="open"/>
                        <v:imagedata o:title=""/>
                        <o:lock v:ext="edit" aspectratio="f"/>
                      </v:shape>
                      <v:shape id="文本框 370" o:spid="_x0000_s1026" o:spt="202" type="#_x0000_t202" style="position:absolute;left:1099402;top:4501877;height:279400;width:1550670;" fillcolor="#FFFFFF" filled="t" stroked="t" coordsize="21600,21600" o:gfxdata="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AP2Y6z1QAAAAUB&#10;AAAPAAAAAAAAAAEAIAAAADgAAABkcnMvZG93bnJldi54bWxQSwECFAAUAAAACACHTuJAi9G4UkEC&#10;AABjBAAADgAAAAAAAAABACAAAAA6AQAAZHJzL2Uyb0RvYy54bWxQSwUGAAAAAAYABgBZAQAA7QUA&#10;AAAA&#10;">
                        <v:fill on="t" focussize="0,0"/>
                        <v:stroke color="#000000" miterlimit="8" joinstyle="miter"/>
                        <v:imagedata o:title=""/>
                        <o:lock v:ext="edit" aspectratio="f"/>
                        <v:textbox>
                          <w:txbxContent>
                            <w:p>
                              <w:pPr>
                                <w:jc w:val="center"/>
                              </w:pPr>
                              <w:r>
                                <w:rPr>
                                  <w:rFonts w:hint="eastAsia"/>
                                </w:rPr>
                                <w:t>推板窑/隧道窑烧制</w:t>
                              </w:r>
                            </w:p>
                          </w:txbxContent>
                        </v:textbox>
                      </v:shape>
                      <v:shape id="文本框 372" o:spid="_x0000_s1026" o:spt="202" type="#_x0000_t202" style="position:absolute;left:3026758;top:3935100;height:279400;width:774700;" fillcolor="#FFFFFF" filled="t" stroked="t" coordsize="21600,21600" o:gfxdata="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D9mOs9UAAAAF&#10;AQAADwAAAAAAAAABACAAAAA4AAAAZHJzL2Rvd25yZXYueG1sUEsBAhQAFAAAAAgAh07iQJB+2ptC&#10;AgAAYgQAAA4AAAAAAAAAAQAgAAAAOgEAAGRycy9lMm9Eb2MueG1sUEsFBgAAAAAGAAYAWQEAAO4F&#10;AAAAAA==&#10;">
                        <v:fill on="t" focussize="0,0"/>
                        <v:stroke color="#000000" miterlimit="8" joinstyle="miter"/>
                        <v:imagedata o:title=""/>
                        <o:lock v:ext="edit" aspectratio="f"/>
                        <v:textbox>
                          <w:txbxContent>
                            <w:p>
                              <w:pPr>
                                <w:jc w:val="center"/>
                              </w:pPr>
                              <w:r>
                                <w:rPr>
                                  <w:rFonts w:hint="eastAsia"/>
                                </w:rPr>
                                <w:t>包装入库</w:t>
                              </w:r>
                            </w:p>
                          </w:txbxContent>
                        </v:textbox>
                      </v:shape>
                      <v:shape id="自选图形 374" o:spid="_x0000_s1026" o:spt="32" type="#_x0000_t32" style="position:absolute;left:1871544;top:4784096;height:266700;width:0;" filled="f" stroked="t" coordsize="21600,21600" o:gfxdata="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Gw4iH1QAAAAUBAAAPAAAAAAAAAAEAIAAAADgAAABkcnMvZG93bnJldi54&#10;bWxQSwECFAAUAAAACACHTuJAinG8ducBAAB8AwAADgAAAAAAAAABACAAAAA6AQAAZHJzL2Uyb0Rv&#10;Yy54bWxQSwUGAAAAAAYABgBZAQAAkwUAAAAA&#10;">
                        <v:fill on="f" focussize="0,0"/>
                        <v:stroke color="#000000" joinstyle="round" endarrow="open"/>
                        <v:imagedata o:title=""/>
                        <o:lock v:ext="edit" aspectratio="f"/>
                      </v:shape>
                      <v:shape id="文本框 375" o:spid="_x0000_s1026" o:spt="202" type="#_x0000_t202" style="position:absolute;left:2975672;top:5049693;height:279400;width:774700;" fillcolor="#FFFFFF" filled="t" stroked="t" coordsize="21600,21600" o:gfxdata="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AP2Y6z1QAAAAUB&#10;AAAPAAAAAAAAAAEAIAAAADgAAABkcnMvZG93bnJldi54bWxQSwECFAAUAAAACACHTuJAg3RYIEEC&#10;AABiBAAADgAAAAAAAAABACAAAAA6AQAAZHJzL2Uyb0RvYy54bWxQSwUGAAAAAAYABgBZAQAA7QUA&#10;AAAA&#10;">
                        <v:fill on="t" focussize="0,0"/>
                        <v:stroke color="#000000" miterlimit="8" joinstyle="miter"/>
                        <v:imagedata o:title=""/>
                        <o:lock v:ext="edit" aspectratio="f"/>
                        <v:textbox>
                          <w:txbxContent>
                            <w:p>
                              <w:pPr>
                                <w:jc w:val="center"/>
                              </w:pPr>
                              <w:r>
                                <w:rPr>
                                  <w:rFonts w:hint="eastAsia"/>
                                </w:rPr>
                                <w:t>包装入库</w:t>
                              </w:r>
                            </w:p>
                          </w:txbxContent>
                        </v:textbox>
                      </v:shape>
                      <v:shape id="文本框 376" o:spid="_x0000_s1026" o:spt="202" type="#_x0000_t202" style="position:absolute;left:1484288;top:5057003;height:279400;width:774700;" fillcolor="#FFFFFF" filled="t" stroked="t" coordsize="21600,21600" o:gfxdata="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D9mOs9UAAAAFAQAA&#10;DwAAAAAAAAABACAAAAA4AAAAZHJzL2Rvd25yZXYueG1sUEsBAhQAFAAAAAgAh07iQMxQggs/AgAA&#10;YgQAAA4AAAAAAAAAAQAgAAAAOgEAAGRycy9lMm9Eb2MueG1sUEsFBgAAAAAGAAYAWQEAAOsFAAAA&#10;AA==&#10;">
                        <v:fill on="t" focussize="0,0"/>
                        <v:stroke color="#000000" miterlimit="8" joinstyle="miter"/>
                        <v:imagedata o:title=""/>
                        <o:lock v:ext="edit" aspectratio="f"/>
                        <v:textbox>
                          <w:txbxContent>
                            <w:p>
                              <w:pPr>
                                <w:jc w:val="center"/>
                              </w:pPr>
                              <w:r>
                                <w:rPr>
                                  <w:rFonts w:hint="eastAsia"/>
                                </w:rPr>
                                <w:t>捡选</w:t>
                              </w:r>
                            </w:p>
                          </w:txbxContent>
                        </v:textbox>
                      </v:shape>
                      <v:shape id="自选图形 378" o:spid="_x0000_s1026" o:spt="32" type="#_x0000_t32" style="position:absolute;left:1163242;top:3932908;flip:x;height:7347;width:313334;" filled="f" stroked="t" coordsize="21600,21600" o:gfxdata="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B7lnsrVAAAABQEAAA8AAAAAAAAA&#10;AQAgAAAAOAAAAGRycy9kb3ducmV2LnhtbFBLAQIUABQAAAAIAIdO4kCWBVmj/gEAAKQDAAAOAAAA&#10;AAAAAAEAIAAAADoBAABkcnMvZTJvRG9jLnhtbFBLBQYAAAAABgAGAFkBAACqBQAAAAA=&#10;">
                        <v:fill on="f" focussize="0,0"/>
                        <v:stroke color="#000000" joinstyle="round" dashstyle="dash" endarrow="open"/>
                        <v:imagedata o:title=""/>
                        <o:lock v:ext="edit" aspectratio="f"/>
                      </v:shape>
                      <v:line id="直线 385" o:spid="_x0000_s1026" o:spt="20" style="position:absolute;left:3064275;top:2397165;height:635;width:320040;" filled="f" stroked="t" coordsize="21600,21600" o:gfxdata="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Lq7Uz1gAAAAUBAAAPAAAAAAAAAAEAIAAAADgAAABkcnMvZG93bnJl&#10;di54bWxQSwECFAAUAAAACACHTuJAZIUqgOkBAACsAwAADgAAAAAAAAABACAAAAA7AQAAZHJzL2Uy&#10;b0RvYy54bWxQSwUGAAAAAAYABgBZAQAAlgUAAAAA&#10;">
                        <v:fill on="f" focussize="0,0"/>
                        <v:stroke color="#000000" joinstyle="round" dashstyle="dash" endarrow="open"/>
                        <v:imagedata o:title=""/>
                        <o:lock v:ext="edit" aspectratio="f"/>
                      </v:line>
                      <v:shape id="自选图形 391" o:spid="_x0000_s1026" o:spt="32" type="#_x0000_t32" style="position:absolute;left:2650087;top:4641577;height:5715;width:647700;" filled="f" stroked="t" coordsize="21600,21600" o:gfxdata="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N/Yrd1QAAAAUBAAAPAAAAAAAAAAEAIAAAADgAAABk&#10;cnMvZG93bnJldi54bWxQSwECFAAUAAAACACHTuJAuBews/MBAACXAwAADgAAAAAAAAABACAAAAA6&#10;AQAAZHJzL2Uyb0RvYy54bWxQSwUGAAAAAAYABgBZAQAAnwUAAAAA&#10;">
                        <v:fill on="f" focussize="0,0"/>
                        <v:stroke color="#000000" joinstyle="round" dashstyle="dash" startarrow="open"/>
                        <v:imagedata o:title=""/>
                        <o:lock v:ext="edit" aspectratio="f"/>
                      </v:shape>
                      <v:shape id="自选图形 393" o:spid="_x0000_s1026" o:spt="32" type="#_x0000_t32" style="position:absolute;left:2259009;top:5180568;flip:y;height:1270;width:709295;" filled="f" stroked="t" coordsize="21600,21600" o:gfxdata="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JKew0zUAAAABQEAAA8AAAAAAAAAAQAgAAAAOAAAAGRy&#10;cy9kb3ducmV2LnhtbFBLAQIUABQAAAAIAIdO4kDHf47x8wEAAIwDAAAOAAAAAAAAAAEAIAAAADkB&#10;AABkcnMvZTJvRG9jLnhtbFBLBQYAAAAABgAGAFkBAACeBQAAAAA=&#10;">
                        <v:fill on="f" focussize="0,0"/>
                        <v:stroke color="#000000" joinstyle="round" endarrow="open"/>
                        <v:imagedata o:title=""/>
                        <o:lock v:ext="edit" aspectratio="f"/>
                      </v:shape>
                      <v:shape id="文本框 463" o:spid="_x0000_s1026" o:spt="202" type="#_x0000_t202" style="position:absolute;left:4769511;top:0;height:1828800;width:528789;" fillcolor="#FFFFFF" filled="t" stroked="t" coordsize="21600,21600" o:gfxdata="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LxPINYAAAAFAQAADwAAAAAAAAABACAAAAA4AAAAZHJzL2Rvd25yZXYueG1sUEsBAhQAFAAA&#10;AAgAh07iQD97LRVNAgAAdwQAAA4AAAAAAAAAAQAgAAAAOwEAAGRycy9lMm9Eb2MueG1sUEsFBgAA&#10;AAAGAAYAWQEAAPoFAAAAAA==&#10;">
                        <v:fill on="t" focussize="0,0"/>
                        <v:stroke color="#000000" miterlimit="8" joinstyle="miter" dashstyle="dash"/>
                        <v:imagedata o:title=""/>
                        <o:lock v:ext="edit" aspectratio="f"/>
                        <v:textbox style="layout-flow:vertical-ideographic;">
                          <w:txbxContent>
                            <w:p>
                              <w:pPr>
                                <w:jc w:val="center"/>
                              </w:pPr>
                              <w:r>
                                <w:rPr>
                                  <w:rFonts w:hint="eastAsia"/>
                                </w:rPr>
                                <w:t>+15m排气筒DA002</w:t>
                              </w:r>
                            </w:p>
                            <w:p>
                              <w:pPr>
                                <w:jc w:val="center"/>
                              </w:pPr>
                              <w:r>
                                <w:rPr>
                                  <w:rFonts w:hint="eastAsia"/>
                                </w:rPr>
                                <w:t>脉冲式布袋除尘器</w:t>
                              </w:r>
                            </w:p>
                            <w:p>
                              <w:pPr>
                                <w:jc w:val="center"/>
                              </w:pPr>
                            </w:p>
                          </w:txbxContent>
                        </v:textbox>
                      </v:shape>
                      <v:shape id="自选图形 475" o:spid="_x0000_s1026" o:spt="32" type="#_x0000_t32" style="position:absolute;left:488477;top:3942074;flip:x y;height:32;width:394606;" filled="f" stroked="t" coordsize="21600,21600" o:gfxdata="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cR/FSNQA&#10;AAAFAQAADwAAAAAAAAABACAAAAA4AAAAZHJzL2Rvd25yZXYueG1sUEsBAhQAFAAAAAgAh07iQAVF&#10;r/UNAgAA1QMAAA4AAAAAAAAAAQAgAAAAOQEAAGRycy9lMm9Eb2MueG1sUEsFBgAAAAAGAAYAWQEA&#10;ALgFAAAAAA==&#10;">
                        <v:fill on="f" focussize="0,0"/>
                        <v:stroke color="#000000" joinstyle="round" dashstyle="dash" endarrow="open"/>
                        <v:imagedata o:title=""/>
                        <o:lock v:ext="edit" aspectratio="f"/>
                      </v:shape>
                      <v:shape id="自选图形 489" o:spid="_x0000_s1026" o:spt="32" type="#_x0000_t32" style="position:absolute;left:3395345;top:621030;flip:y;height:4445;width:875030;" filled="f" stroked="t" coordsize="21600,21600" o:gfxdata="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HuWeytUAAAAFAQAADwAAAAAAAAABACAA&#10;AAA4AAAAZHJzL2Rvd25yZXYueG1sUEsBAhQAFAAAAAgAh07iQGVp10v6AQAAowMAAA4AAAAAAAAA&#10;AQAgAAAAOgEAAGRycy9lMm9Eb2MueG1sUEsFBgAAAAAGAAYAWQEAAKYFAAAAAA==&#10;">
                        <v:fill on="f" focussize="0,0"/>
                        <v:stroke color="#000000" joinstyle="round" dashstyle="dash" endarrow="open"/>
                        <v:imagedata o:title=""/>
                        <o:lock v:ext="edit" aspectratio="f"/>
                      </v:shape>
                      <v:shape id="自选图形 489" o:spid="_x0000_s1026" o:spt="32" type="#_x0000_t32" style="position:absolute;left:3395345;top:890905;flip:y;height:4445;width:875030;" filled="f" stroked="t" coordsize="21600,21600" o:gfxdata="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B7lnsrVAAAABQEAAA8AAAAAAAAAAQAg&#10;AAAAOAAAAGRycy9kb3ducmV2LnhtbFBLAQIUABQAAAAIAIdO4kBr4fRl+wEAAKMDAAAOAAAAAAAA&#10;AAEAIAAAADoBAABkcnMvZTJvRG9jLnhtbFBLBQYAAAAABgAGAFkBAACnBQAAAAA=&#10;">
                        <v:fill on="f" focussize="0,0"/>
                        <v:stroke color="#000000" joinstyle="round" dashstyle="dash" endarrow="open"/>
                        <v:imagedata o:title=""/>
                        <o:lock v:ext="edit" aspectratio="f"/>
                      </v:shape>
                      <v:line id="直线 464" o:spid="_x0000_s1026" o:spt="20" style="position:absolute;left:4451985;top:897255;height:8255;width:261620;" filled="f" stroked="t" coordsize="21600,21600" o:gfxdata="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S6u1&#10;M9YAAAAFAQAADwAAAAAAAAABACAAAAA4AAAAZHJzL2Rvd25yZXYueG1sUEsBAhQAFAAAAAgAh07i&#10;QB90wTPVAQAAdAMAAA4AAAAAAAAAAQAgAAAAOwEAAGRycy9lMm9Eb2MueG1sUEsFBgAAAAAGAAYA&#10;WQEAAIIFAAAAAA==&#10;">
                        <v:fill on="f" focussize="0,0"/>
                        <v:stroke color="#000000" joinstyle="round" dashstyle="dash" endarrow="open"/>
                        <v:imagedata o:title=""/>
                        <o:lock v:ext="edit" aspectratio="f"/>
                      </v:line>
                      <v:shape id="自选图形 366" o:spid="_x0000_s1026" o:spt="32" type="#_x0000_t32" style="position:absolute;left:1539265;top:1982038;height:432;width:2350176;" filled="f" stroked="t" coordsize="21600,21600" o:gfxdata="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c+0mZdYAAAAF&#10;AQAADwAAAAAAAAABACAAAAA4AAAAZHJzL2Rvd25yZXYueG1sUEsBAhQAFAAAAAgAh07iQIdJicnP&#10;AQAAVAMAAA4AAAAAAAAAAQAgAAAAOwEAAGRycy9lMm9Eb2MueG1sUEsFBgAAAAAGAAYAWQEAAHwF&#10;AAAAAA==&#10;">
                        <v:fill on="f" focussize="0,0"/>
                        <v:stroke color="#000000" joinstyle="round"/>
                        <v:imagedata o:title=""/>
                        <o:lock v:ext="edit" aspectratio="f"/>
                      </v:shape>
                      <v:shape id="自选图形 341" o:spid="_x0000_s1026" o:spt="32" type="#_x0000_t32" style="position:absolute;left:2676068;top:1989353;height:266700;width:635;" filled="f" stroked="t" coordsize="21600,21600" o:gfxdata="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bDiIfVAAAABQEAAA8AAAAAAAAAAQAgAAAAOAAAAGRycy9kb3ducmV2&#10;LnhtbFBLAQIUABQAAAAIAIdO4kDSpz6Y6QEAAH4DAAAOAAAAAAAAAAEAIAAAADoBAABkcnMvZTJv&#10;RG9jLnhtbFBLBQYAAAAABgAGAFkBAACVBQAAAAA=&#10;">
                        <v:fill on="f" focussize="0,0"/>
                        <v:stroke color="#000000" joinstyle="round" endarrow="open"/>
                        <v:imagedata o:title=""/>
                        <o:lock v:ext="edit" aspectratio="f"/>
                      </v:shape>
                      <v:shape id="自选图形 346" o:spid="_x0000_s1026" o:spt="32" type="#_x0000_t32" style="position:absolute;left:3896995;top:1640205;height:349148;width:0;" filled="f" stroked="t" coordsize="21600,21600" o:gfxdata="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c+0mZdYAAAAFAQAADwAAAAAAAAABACAAAAA4AAAAZHJzL2Rvd25yZXYueG1sUEsBAhQAFAAA&#10;AAgAh07iQDsySWHbAQAAeQMAAA4AAAAAAAAAAQAgAAAAOwEAAGRycy9lMm9Eb2MueG1sUEsFBgAA&#10;AAAGAAYAWQEAAIgFAAAAAA==&#10;">
                        <v:fill on="f" focussize="0,0"/>
                        <v:stroke color="#000000" joinstyle="round"/>
                        <v:imagedata o:title=""/>
                        <o:lock v:ext="edit" aspectratio="f"/>
                      </v:shape>
                      <v:shape id="文本框 368" o:spid="_x0000_s1026" o:spt="202" type="#_x0000_t202" style="position:absolute;left:2291943;top:2267415;height:278765;width:774065;" fillcolor="#FFFFFF" filled="t" stroked="t" coordsize="21600,21600" o:gfxdata="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A/ZjrPVAAAABQEA&#10;AA8AAAAAAAAAAQAgAAAAOAAAAGRycy9kb3ducmV2LnhtbFBLAQIUABQAAAAIAIdO4kBLMRPzQAIA&#10;AGMEAAAOAAAAAAAAAAEAIAAAADoBAABkcnMvZTJvRG9jLnhtbFBLBQYAAAAABgAGAFkBAADsBQAA&#10;AAA=&#10;">
                        <v:fill on="t" focussize="0,0"/>
                        <v:stroke color="#000000" miterlimit="8" joinstyle="miter"/>
                        <v:imagedata o:title=""/>
                        <o:lock v:ext="edit" aspectratio="f"/>
                        <v:textbox>
                          <w:txbxContent>
                            <w:p>
                              <w:pPr>
                                <w:pStyle w:val="19"/>
                                <w:spacing w:before="0" w:beforeAutospacing="0" w:after="0" w:afterAutospacing="0"/>
                                <w:jc w:val="center"/>
                              </w:pPr>
                              <w:r>
                                <w:rPr>
                                  <w:rFonts w:hint="eastAsia" w:ascii="Times New Roman"/>
                                  <w:kern w:val="2"/>
                                  <w:sz w:val="21"/>
                                  <w:szCs w:val="21"/>
                                </w:rPr>
                                <w:t>上料系统</w:t>
                              </w:r>
                            </w:p>
                          </w:txbxContent>
                        </v:textbox>
                      </v:shape>
                      <v:shape id="自选图形 341" o:spid="_x0000_s1026" o:spt="32" type="#_x0000_t32" style="position:absolute;left:2674453;top:2546160;height:266065;width:635;" filled="f" stroked="t" coordsize="21600,21600" o:gfxdata="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xsOIh9UAAAAFAQAADwAAAAAAAAABACAAAAA4AAAAZHJzL2Rvd25yZXYueG1s&#10;UEsBAhQAFAAAAAgAh07iQN9e8N/lAQAAfwMAAA4AAAAAAAAAAQAgAAAAOgEAAGRycy9lMm9Eb2Mu&#10;eG1sUEsFBgAAAAAGAAYAWQEAAJEFAAAAAA==&#10;">
                        <v:fill on="f" focussize="0,0"/>
                        <v:stroke color="#000000" joinstyle="round" endarrow="open"/>
                        <v:imagedata o:title=""/>
                        <o:lock v:ext="edit" aspectratio="f"/>
                      </v:shape>
                      <v:shape id="自选图形 341" o:spid="_x0000_s1026" o:spt="32" type="#_x0000_t32" style="position:absolute;left:3394495;top:3091602;height:265430;width:635;" filled="f" stroked="t" coordsize="21600,21600" o:gfxdata="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xsOIh9UAAAAFAQAADwAAAAAAAAABACAAAAA4AAAAZHJzL2Rvd25yZXYu&#10;eG1sUEsBAhQAFAAAAAgAh07iQG3VfVboAQAAfwMAAA4AAAAAAAAAAQAgAAAAOgEAAGRycy9lMm9E&#10;b2MueG1sUEsFBgAAAAAGAAYAWQEAAJQFAAAAAA==&#10;">
                        <v:fill on="f" focussize="0,0"/>
                        <v:stroke color="#000000" joinstyle="round" endarrow="open"/>
                        <v:imagedata o:title=""/>
                        <o:lock v:ext="edit" aspectratio="f"/>
                      </v:shape>
                      <v:shape id="自选图形 341" o:spid="_x0000_s1026" o:spt="32" type="#_x0000_t32" style="position:absolute;left:1879807;top:3091604;height:265430;width:635;" filled="f" stroked="t" coordsize="21600,21600" o:gfxdata="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xsOIh9UAAAAFAQAADwAAAAAAAAABACAAAAA4AAAAZHJzL2Rvd25yZXYu&#10;eG1sUEsBAhQAFAAAAAgAh07iQF4nSLToAQAAfwMAAA4AAAAAAAAAAQAgAAAAOgEAAGRycy9lMm9E&#10;b2MueG1sUEsFBgAAAAAGAAYAWQEAAJQFAAAAAA==&#10;">
                        <v:fill on="f" focussize="0,0"/>
                        <v:stroke color="#000000" joinstyle="round" endarrow="open"/>
                        <v:imagedata o:title=""/>
                        <o:lock v:ext="edit" aspectratio="f"/>
                      </v:shape>
                      <v:shape id="自选图形 369" o:spid="_x0000_s1026" o:spt="32" type="#_x0000_t32" style="position:absolute;left:1875962;top:3674222;height:266065;width:0;" filled="f" stroked="t" coordsize="21600,21600" o:gfxdata="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MbDiIfVAAAABQEAAA8AAAAAAAAAAQAgAAAAOAAAAGRycy9kb3ducmV2Lnht&#10;bFBLAQIUABQAAAAIAIdO4kBaUxJc5gEAAH0DAAAOAAAAAAAAAAEAIAAAADoBAABkcnMvZTJvRG9j&#10;LnhtbFBLBQYAAAAABgAGAFkBAACSBQAAAAA=&#10;">
                        <v:fill on="f" focussize="0,0"/>
                        <v:stroke color="#000000" joinstyle="round" endarrow="open"/>
                        <v:imagedata o:title=""/>
                        <o:lock v:ext="edit" aspectratio="f"/>
                      </v:shape>
                      <v:shape id="自选图形 369" o:spid="_x0000_s1026" o:spt="32" type="#_x0000_t32" style="position:absolute;left:1876055;top:4221812;height:265430;width:0;" filled="f" stroked="t" coordsize="21600,21600" o:gfxdata="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MbDiIfVAAAABQEAAA8AAAAAAAAAAQAgAAAAOAAAAGRycy9kb3ducmV2Lnht&#10;bFBLAQIUABQAAAAIAIdO4kD2XWh25gEAAH0DAAAOAAAAAAAAAAEAIAAAADoBAABkcnMvZTJvRG9j&#10;LnhtbFBLBQYAAAAABgAGAFkBAACSBQAAAAA=&#10;">
                        <v:fill on="f" focussize="0,0"/>
                        <v:stroke color="#000000" joinstyle="round" endarrow="open"/>
                        <v:imagedata o:title=""/>
                        <o:lock v:ext="edit" aspectratio="f"/>
                      </v:shape>
                      <v:shape id="_x0000_s1026" o:spid="_x0000_s1026" o:spt="35" type="#_x0000_t35" style="position:absolute;left:1099401;top:4206441;flip:x;height:435137;width:388635;rotation:11796480f;" filled="f" stroked="t" coordsize="21600,21600" o:gfxdata="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O5QtdUAAAAFAQAADwAAAAAAAAABACAAAAA4AAAAZHJzL2Rvd25yZXYueG1sUEsBAhQAFAAAAAgA&#10;h07iQCkYyX1LAgAATAQAAA4AAAAAAAAAAQAgAAAAOgEAAGRycy9lMm9Eb2MueG1sUEsFBgAAAAAG&#10;AAYAWQEAAPcFAAAAAA==&#10;" adj="-12705,21528">
                        <v:fill on="f" focussize="0,0"/>
                        <v:stroke color="#000000 [3200]" joinstyle="round" dashstyle="dash" endarrow="open"/>
                        <v:imagedata o:title=""/>
                        <o:lock v:ext="edit" aspectratio="f"/>
                      </v:shape>
                      <v:line id="直线 385" o:spid="_x0000_s1026" o:spt="20" style="position:absolute;left:3872820;top:2952461;height:635;width:319405;" filled="f" stroked="t" coordsize="21600,21600" o:gfxdata="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Lq7Uz1gAAAAUBAAAPAAAAAAAAAAEAIAAAADgAAABkcnMvZG93bnJl&#10;di54bWxQSwECFAAUAAAACACHTuJAdn7mZekBAACtAwAADgAAAAAAAAABACAAAAA7AQAAZHJzL2Uy&#10;b0RvYy54bWxQSwUGAAAAAAYABgBZAQAAlgUAAAAA&#10;">
                        <v:fill on="f" focussize="0,0"/>
                        <v:stroke color="#000000" joinstyle="round" dashstyle="dash" endarrow="open"/>
                        <v:imagedata o:title=""/>
                        <o:lock v:ext="edit" aspectratio="f"/>
                      </v:line>
                      <w10:wrap type="none"/>
                      <w10:anchorlock/>
                    </v:group>
                  </w:pict>
                </mc:Fallback>
              </mc:AlternateContent>
            </w:r>
          </w:p>
          <w:p>
            <w:pPr>
              <w:pStyle w:val="60"/>
              <w:spacing w:line="240" w:lineRule="auto"/>
              <w:jc w:val="center"/>
              <w:rPr>
                <w:b/>
                <w:bCs/>
                <w:color w:val="auto"/>
              </w:rPr>
            </w:pPr>
            <w:r>
              <w:rPr>
                <w:b/>
                <w:bCs/>
                <w:color w:val="auto"/>
              </w:rPr>
              <w:t>图2-3  生产工艺流程图</w:t>
            </w:r>
          </w:p>
          <w:p>
            <w:pPr>
              <w:widowControl/>
              <w:spacing w:line="360" w:lineRule="auto"/>
              <w:ind w:firstLine="480" w:firstLineChars="200"/>
              <w:rPr>
                <w:color w:val="auto"/>
                <w:sz w:val="24"/>
                <w:lang w:val="zh-CN"/>
              </w:rPr>
            </w:pPr>
            <w:r>
              <w:rPr>
                <w:color w:val="auto"/>
                <w:sz w:val="24"/>
                <w:lang w:val="zh-CN"/>
              </w:rPr>
              <w:t>（</w:t>
            </w:r>
            <w:r>
              <w:rPr>
                <w:color w:val="auto"/>
                <w:sz w:val="24"/>
              </w:rPr>
              <w:t>1</w:t>
            </w:r>
            <w:r>
              <w:rPr>
                <w:color w:val="auto"/>
                <w:sz w:val="24"/>
                <w:lang w:val="zh-CN"/>
              </w:rPr>
              <w:t>）原料破碎</w:t>
            </w:r>
            <w:r>
              <w:rPr>
                <w:rFonts w:hint="eastAsia"/>
                <w:color w:val="auto"/>
                <w:sz w:val="24"/>
                <w:lang w:val="zh-CN"/>
              </w:rPr>
              <w:t>、</w:t>
            </w:r>
            <w:r>
              <w:rPr>
                <w:color w:val="auto"/>
                <w:sz w:val="24"/>
                <w:lang w:val="zh-CN"/>
              </w:rPr>
              <w:t>研磨</w:t>
            </w:r>
            <w:r>
              <w:rPr>
                <w:rFonts w:hint="eastAsia"/>
                <w:color w:val="auto"/>
                <w:sz w:val="24"/>
                <w:lang w:val="zh-CN"/>
              </w:rPr>
              <w:t>、</w:t>
            </w:r>
            <w:r>
              <w:rPr>
                <w:color w:val="auto"/>
                <w:sz w:val="24"/>
                <w:lang w:val="zh-CN"/>
              </w:rPr>
              <w:t>筛分</w:t>
            </w:r>
          </w:p>
          <w:p>
            <w:pPr>
              <w:widowControl/>
              <w:spacing w:line="360" w:lineRule="auto"/>
              <w:ind w:firstLine="480" w:firstLineChars="200"/>
              <w:rPr>
                <w:color w:val="auto"/>
                <w:sz w:val="24"/>
                <w:lang w:val="zh-CN"/>
              </w:rPr>
            </w:pPr>
            <w:r>
              <w:rPr>
                <w:rFonts w:hint="eastAsia" w:ascii="宋体" w:hAnsi="宋体" w:cs="宋体"/>
                <w:color w:val="auto"/>
                <w:sz w:val="24"/>
              </w:rPr>
              <w:t>将高铝矿、黏土矿分别投入</w:t>
            </w:r>
            <w:r>
              <w:rPr>
                <w:color w:val="auto"/>
                <w:sz w:val="24"/>
                <w:lang w:val="zh-CN"/>
              </w:rPr>
              <w:t>用颚式破碎机进行破碎</w:t>
            </w:r>
            <w:r>
              <w:rPr>
                <w:rFonts w:hint="eastAsia"/>
                <w:color w:val="auto"/>
                <w:sz w:val="24"/>
                <w:lang w:val="zh-CN"/>
              </w:rPr>
              <w:t>，使其直径满足对辊机和高压粉磨机研磨处理要求，破碎后的小块径</w:t>
            </w:r>
            <w:r>
              <w:rPr>
                <w:rFonts w:hint="eastAsia" w:ascii="宋体" w:hAnsi="宋体" w:cs="宋体"/>
                <w:color w:val="auto"/>
                <w:sz w:val="24"/>
              </w:rPr>
              <w:t>高铝矿、黏土矿再</w:t>
            </w:r>
            <w:r>
              <w:rPr>
                <w:rFonts w:hint="eastAsia"/>
                <w:color w:val="auto"/>
                <w:sz w:val="24"/>
                <w:lang w:val="zh-CN"/>
              </w:rPr>
              <w:t>投入对辊机和高压粉磨机中进行研磨处理，使其变成直径更小的粒料。粒料进入筛分机进行筛分为粗粒料、中粒料和细粒料。粗粒料、中粒料和细粒料分类堆存于原料堆棚内备用。破碎机、粉磨机和筛分机等设备产尘点上方均设集气罩对其产生的粉尘进行收集，收集的粉尘由脉冲袋式除尘器处理后汇总至一根高15m排气筒排放。</w:t>
            </w:r>
          </w:p>
          <w:p>
            <w:pPr>
              <w:widowControl/>
              <w:spacing w:line="360" w:lineRule="auto"/>
              <w:ind w:firstLine="480" w:firstLineChars="200"/>
              <w:rPr>
                <w:color w:val="auto"/>
                <w:sz w:val="24"/>
              </w:rPr>
            </w:pPr>
            <w:r>
              <w:rPr>
                <w:rFonts w:hint="eastAsia"/>
                <w:color w:val="auto"/>
                <w:kern w:val="0"/>
                <w:sz w:val="24"/>
                <w:lang w:bidi="ar"/>
              </w:rPr>
              <w:t>（2）</w:t>
            </w:r>
            <w:r>
              <w:rPr>
                <w:color w:val="auto"/>
                <w:kern w:val="0"/>
                <w:sz w:val="24"/>
                <w:lang w:bidi="ar"/>
              </w:rPr>
              <w:t>配料混合</w:t>
            </w:r>
          </w:p>
          <w:p>
            <w:pPr>
              <w:widowControl/>
              <w:spacing w:line="360" w:lineRule="auto"/>
              <w:ind w:firstLine="480" w:firstLineChars="200"/>
              <w:rPr>
                <w:color w:val="auto"/>
                <w:kern w:val="0"/>
                <w:sz w:val="24"/>
                <w:lang w:bidi="ar"/>
              </w:rPr>
            </w:pPr>
            <w:r>
              <w:rPr>
                <w:rFonts w:hint="eastAsia"/>
                <w:color w:val="auto"/>
                <w:kern w:val="0"/>
                <w:sz w:val="24"/>
                <w:lang w:bidi="ar"/>
              </w:rPr>
              <w:t>用铲车将破碎研磨好的高铝骨料、黏土细料和白泥放入进料口，再由提升机通过管道输送至自动混料系统。部分原料按照配比加水混合后即为不定型耐火材料包装入库待售；其余部分送入成型车间。项目进料口设有集气罩和喷淋装置，可有效降低上料粉尘排放量。自动混料系统为密闭混料系统，混料过程中不会有粉尘排放。</w:t>
            </w:r>
          </w:p>
          <w:p>
            <w:pPr>
              <w:widowControl/>
              <w:spacing w:line="360" w:lineRule="auto"/>
              <w:ind w:firstLine="480" w:firstLineChars="200"/>
              <w:rPr>
                <w:color w:val="auto"/>
                <w:sz w:val="24"/>
              </w:rPr>
            </w:pPr>
            <w:r>
              <w:rPr>
                <w:rFonts w:hint="eastAsia"/>
                <w:color w:val="auto"/>
                <w:kern w:val="0"/>
                <w:sz w:val="24"/>
                <w:lang w:bidi="ar"/>
              </w:rPr>
              <w:t>（3）</w:t>
            </w:r>
            <w:r>
              <w:rPr>
                <w:color w:val="auto"/>
                <w:kern w:val="0"/>
                <w:sz w:val="24"/>
                <w:lang w:bidi="ar"/>
              </w:rPr>
              <w:t>耐火砖成型</w:t>
            </w:r>
          </w:p>
          <w:p>
            <w:pPr>
              <w:widowControl/>
              <w:spacing w:line="360" w:lineRule="auto"/>
              <w:ind w:firstLine="480" w:firstLineChars="200"/>
              <w:rPr>
                <w:color w:val="auto"/>
                <w:kern w:val="0"/>
                <w:sz w:val="24"/>
                <w:lang w:bidi="ar"/>
              </w:rPr>
            </w:pPr>
            <w:r>
              <w:rPr>
                <w:color w:val="auto"/>
                <w:kern w:val="0"/>
                <w:sz w:val="24"/>
                <w:lang w:bidi="ar"/>
              </w:rPr>
              <w:t>混配好的原料经螺旋压力机压制成型后堆放在</w:t>
            </w:r>
            <w:r>
              <w:rPr>
                <w:rFonts w:hint="eastAsia"/>
                <w:color w:val="auto"/>
                <w:kern w:val="0"/>
                <w:sz w:val="24"/>
                <w:lang w:bidi="ar"/>
              </w:rPr>
              <w:t>台</w:t>
            </w:r>
            <w:r>
              <w:rPr>
                <w:color w:val="auto"/>
                <w:kern w:val="0"/>
                <w:sz w:val="24"/>
                <w:lang w:bidi="ar"/>
              </w:rPr>
              <w:t>车上进入烘干窑进行烘干</w:t>
            </w:r>
            <w:r>
              <w:rPr>
                <w:rFonts w:hint="eastAsia"/>
                <w:color w:val="auto"/>
                <w:kern w:val="0"/>
                <w:sz w:val="24"/>
                <w:lang w:bidi="ar"/>
              </w:rPr>
              <w:t>。</w:t>
            </w:r>
            <w:r>
              <w:rPr>
                <w:color w:val="auto"/>
                <w:kern w:val="0"/>
                <w:sz w:val="24"/>
                <w:lang w:bidi="ar"/>
              </w:rPr>
              <w:t>烘干窑热源为隧道窑和推板窑中产生的高温烟气</w:t>
            </w:r>
            <w:r>
              <w:rPr>
                <w:rFonts w:hint="eastAsia"/>
                <w:color w:val="auto"/>
                <w:kern w:val="0"/>
                <w:sz w:val="24"/>
                <w:lang w:bidi="ar"/>
              </w:rPr>
              <w:t>。</w:t>
            </w:r>
            <w:r>
              <w:rPr>
                <w:color w:val="auto"/>
                <w:kern w:val="0"/>
                <w:sz w:val="24"/>
                <w:lang w:bidi="ar"/>
              </w:rPr>
              <w:t>烘干窑尾烟气通过管道收集至</w:t>
            </w:r>
            <w:r>
              <w:rPr>
                <w:rFonts w:hint="eastAsia"/>
                <w:color w:val="auto"/>
                <w:kern w:val="0"/>
                <w:sz w:val="24"/>
                <w:lang w:eastAsia="zh-CN" w:bidi="ar"/>
              </w:rPr>
              <w:t>石灰石膏法脱硫塔</w:t>
            </w:r>
            <w:r>
              <w:rPr>
                <w:color w:val="auto"/>
                <w:kern w:val="0"/>
                <w:sz w:val="24"/>
                <w:lang w:bidi="ar"/>
              </w:rPr>
              <w:t>处理后通过一根高</w:t>
            </w:r>
            <w:r>
              <w:rPr>
                <w:rFonts w:hint="eastAsia"/>
                <w:color w:val="auto"/>
                <w:kern w:val="0"/>
                <w:sz w:val="24"/>
                <w:lang w:bidi="ar"/>
              </w:rPr>
              <w:t>50m烟囱排放。</w:t>
            </w:r>
          </w:p>
          <w:p>
            <w:pPr>
              <w:widowControl/>
              <w:spacing w:line="360" w:lineRule="auto"/>
              <w:ind w:firstLine="480" w:firstLineChars="200"/>
              <w:rPr>
                <w:color w:val="auto"/>
                <w:sz w:val="24"/>
              </w:rPr>
            </w:pPr>
            <w:r>
              <w:rPr>
                <w:rFonts w:hint="eastAsia"/>
                <w:color w:val="auto"/>
                <w:kern w:val="0"/>
                <w:sz w:val="24"/>
                <w:lang w:bidi="ar"/>
              </w:rPr>
              <w:t>（4）</w:t>
            </w:r>
            <w:r>
              <w:rPr>
                <w:color w:val="auto"/>
                <w:kern w:val="0"/>
                <w:sz w:val="24"/>
                <w:lang w:bidi="ar"/>
              </w:rPr>
              <w:t>烘干、烧制、冷却</w:t>
            </w:r>
          </w:p>
          <w:p>
            <w:pPr>
              <w:widowControl/>
              <w:spacing w:line="360" w:lineRule="auto"/>
              <w:ind w:firstLine="480" w:firstLineChars="200"/>
              <w:rPr>
                <w:color w:val="auto"/>
                <w:kern w:val="0"/>
                <w:sz w:val="24"/>
                <w:lang w:bidi="ar"/>
              </w:rPr>
            </w:pPr>
            <w:r>
              <w:rPr>
                <w:rFonts w:hint="eastAsia"/>
                <w:color w:val="auto"/>
                <w:kern w:val="0"/>
                <w:sz w:val="24"/>
                <w:lang w:bidi="ar"/>
              </w:rPr>
              <w:t>经烘干窑干燥后的半成品根据不同产品烧成温度需要推入高温隧道窑（1450~1600℃）或推板窑（</w:t>
            </w:r>
            <w:r>
              <w:rPr>
                <w:color w:val="auto"/>
                <w:kern w:val="0"/>
                <w:sz w:val="24"/>
                <w:lang w:bidi="ar"/>
              </w:rPr>
              <w:t>500~1000℃</w:t>
            </w:r>
            <w:r>
              <w:rPr>
                <w:rFonts w:hint="eastAsia"/>
                <w:color w:val="auto"/>
                <w:kern w:val="0"/>
                <w:sz w:val="24"/>
                <w:lang w:bidi="ar"/>
              </w:rPr>
              <w:t>）中进行烧成，烧成结束后定型耐火材料在至于露天堆场冷却。隧道窑和推板窑使用燃料为华润天然气有限公司管道供给的天然气，烧成产生的高温烟气通过管道引入烘干窑作为热源。</w:t>
            </w:r>
          </w:p>
          <w:p>
            <w:pPr>
              <w:widowControl/>
              <w:spacing w:line="360" w:lineRule="auto"/>
              <w:ind w:firstLine="480" w:firstLineChars="200"/>
              <w:rPr>
                <w:color w:val="auto"/>
                <w:sz w:val="24"/>
              </w:rPr>
            </w:pPr>
            <w:r>
              <w:rPr>
                <w:rFonts w:hint="eastAsia"/>
                <w:color w:val="auto"/>
                <w:kern w:val="0"/>
                <w:sz w:val="24"/>
                <w:lang w:bidi="ar"/>
              </w:rPr>
              <w:t>（5）</w:t>
            </w:r>
            <w:r>
              <w:rPr>
                <w:color w:val="auto"/>
                <w:kern w:val="0"/>
                <w:sz w:val="24"/>
                <w:lang w:bidi="ar"/>
              </w:rPr>
              <w:t>捡选</w:t>
            </w:r>
          </w:p>
          <w:p>
            <w:pPr>
              <w:widowControl/>
              <w:spacing w:line="360" w:lineRule="auto"/>
              <w:ind w:firstLine="480" w:firstLineChars="200"/>
              <w:rPr>
                <w:b/>
                <w:color w:val="auto"/>
                <w:sz w:val="24"/>
              </w:rPr>
            </w:pPr>
            <w:r>
              <w:rPr>
                <w:color w:val="auto"/>
                <w:kern w:val="0"/>
                <w:sz w:val="24"/>
                <w:lang w:bidi="ar"/>
              </w:rPr>
              <w:t>冷却后的定型耐火材料由工人人工完成捡选工作，合格产品进入堆存待售；不合格产品返回破碎工序做原料</w:t>
            </w:r>
            <w:r>
              <w:rPr>
                <w:rFonts w:hint="eastAsia"/>
                <w:color w:val="auto"/>
                <w:kern w:val="0"/>
                <w:sz w:val="24"/>
                <w:lang w:bidi="ar"/>
              </w:rPr>
              <w:t>。</w:t>
            </w:r>
          </w:p>
          <w:p>
            <w:pPr>
              <w:adjustRightInd w:val="0"/>
              <w:snapToGrid w:val="0"/>
              <w:spacing w:line="360" w:lineRule="auto"/>
              <w:rPr>
                <w:b/>
                <w:color w:val="auto"/>
                <w:sz w:val="24"/>
              </w:rPr>
            </w:pPr>
            <w:r>
              <w:rPr>
                <w:rFonts w:hint="eastAsia"/>
                <w:b/>
                <w:color w:val="auto"/>
                <w:sz w:val="24"/>
              </w:rPr>
              <w:t>2.11.2运营期产排污环节分析</w:t>
            </w:r>
          </w:p>
          <w:p>
            <w:pPr>
              <w:pStyle w:val="47"/>
              <w:adjustRightInd w:val="0"/>
              <w:snapToGrid w:val="0"/>
              <w:ind w:firstLine="480" w:firstLineChars="200"/>
              <w:outlineLvl w:val="2"/>
              <w:rPr>
                <w:color w:val="auto"/>
              </w:rPr>
            </w:pPr>
            <w:r>
              <w:rPr>
                <w:rFonts w:hint="eastAsia"/>
                <w:color w:val="auto"/>
              </w:rPr>
              <w:t>本项目运营期污染物产生的环节见表2-</w:t>
            </w:r>
            <w:r>
              <w:rPr>
                <w:rFonts w:hint="eastAsia"/>
                <w:color w:val="auto"/>
                <w:lang w:val="en-US" w:eastAsia="zh-CN"/>
              </w:rPr>
              <w:t>8</w:t>
            </w:r>
            <w:r>
              <w:rPr>
                <w:rFonts w:hint="eastAsia"/>
                <w:color w:val="auto"/>
              </w:rPr>
              <w:t>。</w:t>
            </w:r>
          </w:p>
          <w:p>
            <w:pPr>
              <w:jc w:val="center"/>
              <w:rPr>
                <w:b/>
                <w:bCs/>
                <w:color w:val="auto"/>
                <w:szCs w:val="21"/>
              </w:rPr>
            </w:pPr>
            <w:r>
              <w:rPr>
                <w:rFonts w:hint="eastAsia"/>
                <w:b/>
                <w:bCs/>
                <w:color w:val="auto"/>
                <w:szCs w:val="21"/>
              </w:rPr>
              <w:t>表2-</w:t>
            </w:r>
            <w:r>
              <w:rPr>
                <w:rFonts w:hint="eastAsia"/>
                <w:b/>
                <w:bCs/>
                <w:color w:val="auto"/>
                <w:szCs w:val="21"/>
                <w:lang w:val="en-US" w:eastAsia="zh-CN"/>
              </w:rPr>
              <w:t>8</w:t>
            </w:r>
            <w:r>
              <w:rPr>
                <w:b/>
                <w:bCs/>
                <w:color w:val="auto"/>
                <w:szCs w:val="21"/>
              </w:rPr>
              <w:t xml:space="preserve">  </w:t>
            </w:r>
            <w:r>
              <w:rPr>
                <w:rFonts w:hint="eastAsia"/>
                <w:b/>
                <w:bCs/>
                <w:color w:val="auto"/>
                <w:szCs w:val="21"/>
              </w:rPr>
              <w:t>本项目运营期污染物产生环节一览表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266"/>
              <w:gridCol w:w="379"/>
              <w:gridCol w:w="605"/>
              <w:gridCol w:w="1466"/>
              <w:gridCol w:w="1328"/>
              <w:gridCol w:w="1425"/>
              <w:gridCol w:w="1348"/>
              <w:gridCol w:w="15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84" w:hRule="atLeast"/>
                <w:tblHeader/>
                <w:jc w:val="center"/>
              </w:trPr>
              <w:tc>
                <w:tcPr>
                  <w:tcW w:w="384" w:type="pct"/>
                  <w:gridSpan w:val="2"/>
                  <w:vAlign w:val="center"/>
                </w:tcPr>
                <w:p>
                  <w:pPr>
                    <w:jc w:val="center"/>
                    <w:rPr>
                      <w:bCs/>
                      <w:color w:val="auto"/>
                      <w:kern w:val="0"/>
                      <w:szCs w:val="21"/>
                    </w:rPr>
                  </w:pPr>
                  <w:r>
                    <w:rPr>
                      <w:bCs/>
                      <w:color w:val="auto"/>
                      <w:kern w:val="0"/>
                      <w:szCs w:val="21"/>
                    </w:rPr>
                    <w:t>类别</w:t>
                  </w:r>
                </w:p>
              </w:tc>
              <w:tc>
                <w:tcPr>
                  <w:tcW w:w="361" w:type="pct"/>
                  <w:tcBorders>
                    <w:right w:val="single" w:color="auto" w:sz="4" w:space="0"/>
                  </w:tcBorders>
                  <w:vAlign w:val="center"/>
                </w:tcPr>
                <w:p>
                  <w:pPr>
                    <w:jc w:val="center"/>
                    <w:rPr>
                      <w:bCs/>
                      <w:color w:val="auto"/>
                      <w:kern w:val="0"/>
                      <w:szCs w:val="21"/>
                    </w:rPr>
                  </w:pPr>
                  <w:r>
                    <w:rPr>
                      <w:rFonts w:hint="eastAsia"/>
                      <w:bCs/>
                      <w:color w:val="auto"/>
                      <w:kern w:val="0"/>
                      <w:szCs w:val="21"/>
                    </w:rPr>
                    <w:t>编号</w:t>
                  </w:r>
                </w:p>
              </w:tc>
              <w:tc>
                <w:tcPr>
                  <w:tcW w:w="875" w:type="pct"/>
                  <w:tcBorders>
                    <w:left w:val="single" w:color="auto" w:sz="4" w:space="0"/>
                  </w:tcBorders>
                  <w:vAlign w:val="center"/>
                </w:tcPr>
                <w:p>
                  <w:pPr>
                    <w:jc w:val="center"/>
                    <w:rPr>
                      <w:bCs/>
                      <w:color w:val="auto"/>
                      <w:kern w:val="0"/>
                      <w:szCs w:val="21"/>
                    </w:rPr>
                  </w:pPr>
                  <w:r>
                    <w:rPr>
                      <w:bCs/>
                      <w:color w:val="auto"/>
                      <w:kern w:val="0"/>
                      <w:szCs w:val="21"/>
                    </w:rPr>
                    <w:t>污染物名称</w:t>
                  </w:r>
                </w:p>
              </w:tc>
              <w:tc>
                <w:tcPr>
                  <w:tcW w:w="793" w:type="pct"/>
                  <w:vAlign w:val="center"/>
                </w:tcPr>
                <w:p>
                  <w:pPr>
                    <w:jc w:val="center"/>
                    <w:rPr>
                      <w:bCs/>
                      <w:color w:val="auto"/>
                      <w:kern w:val="0"/>
                      <w:szCs w:val="21"/>
                    </w:rPr>
                  </w:pPr>
                  <w:r>
                    <w:rPr>
                      <w:bCs/>
                      <w:color w:val="auto"/>
                      <w:kern w:val="0"/>
                      <w:szCs w:val="21"/>
                    </w:rPr>
                    <w:t>产生环节</w:t>
                  </w:r>
                </w:p>
              </w:tc>
              <w:tc>
                <w:tcPr>
                  <w:tcW w:w="851" w:type="pct"/>
                  <w:vAlign w:val="center"/>
                </w:tcPr>
                <w:p>
                  <w:pPr>
                    <w:jc w:val="center"/>
                    <w:rPr>
                      <w:bCs/>
                      <w:color w:val="auto"/>
                      <w:kern w:val="0"/>
                      <w:szCs w:val="21"/>
                    </w:rPr>
                  </w:pPr>
                  <w:r>
                    <w:rPr>
                      <w:bCs/>
                      <w:color w:val="auto"/>
                      <w:kern w:val="0"/>
                      <w:szCs w:val="21"/>
                    </w:rPr>
                    <w:t>主要污染因子</w:t>
                  </w:r>
                </w:p>
              </w:tc>
              <w:tc>
                <w:tcPr>
                  <w:tcW w:w="805" w:type="pct"/>
                  <w:tcBorders>
                    <w:right w:val="single" w:color="auto" w:sz="4" w:space="0"/>
                  </w:tcBorders>
                  <w:vAlign w:val="center"/>
                </w:tcPr>
                <w:p>
                  <w:pPr>
                    <w:jc w:val="center"/>
                    <w:rPr>
                      <w:bCs/>
                      <w:color w:val="auto"/>
                      <w:kern w:val="0"/>
                      <w:szCs w:val="21"/>
                    </w:rPr>
                  </w:pPr>
                  <w:r>
                    <w:rPr>
                      <w:rFonts w:hint="eastAsia"/>
                      <w:bCs/>
                      <w:color w:val="auto"/>
                      <w:kern w:val="0"/>
                      <w:szCs w:val="21"/>
                    </w:rPr>
                    <w:t>处置措施</w:t>
                  </w:r>
                </w:p>
              </w:tc>
              <w:tc>
                <w:tcPr>
                  <w:tcW w:w="930" w:type="pct"/>
                  <w:tcBorders>
                    <w:left w:val="single" w:color="auto" w:sz="4" w:space="0"/>
                  </w:tcBorders>
                  <w:vAlign w:val="center"/>
                </w:tcPr>
                <w:p>
                  <w:pPr>
                    <w:jc w:val="center"/>
                    <w:rPr>
                      <w:bCs/>
                      <w:color w:val="auto"/>
                      <w:kern w:val="0"/>
                      <w:szCs w:val="21"/>
                    </w:rPr>
                  </w:pPr>
                  <w:r>
                    <w:rPr>
                      <w:rFonts w:hint="eastAsia"/>
                      <w:bCs/>
                      <w:color w:val="auto"/>
                      <w:kern w:val="0"/>
                      <w:szCs w:val="21"/>
                    </w:rPr>
                    <w:t>去向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385" w:type="pct"/>
                  <w:gridSpan w:val="2"/>
                  <w:vMerge w:val="restart"/>
                  <w:vAlign w:val="center"/>
                </w:tcPr>
                <w:p>
                  <w:pPr>
                    <w:jc w:val="center"/>
                    <w:rPr>
                      <w:color w:val="auto"/>
                      <w:kern w:val="0"/>
                      <w:szCs w:val="21"/>
                    </w:rPr>
                  </w:pPr>
                  <w:r>
                    <w:rPr>
                      <w:color w:val="auto"/>
                      <w:kern w:val="0"/>
                      <w:szCs w:val="21"/>
                    </w:rPr>
                    <w:t>废气</w:t>
                  </w:r>
                </w:p>
              </w:tc>
              <w:tc>
                <w:tcPr>
                  <w:tcW w:w="361" w:type="pct"/>
                  <w:tcBorders>
                    <w:right w:val="single" w:color="auto" w:sz="4" w:space="0"/>
                  </w:tcBorders>
                  <w:vAlign w:val="center"/>
                </w:tcPr>
                <w:p>
                  <w:pPr>
                    <w:jc w:val="center"/>
                    <w:rPr>
                      <w:color w:val="auto"/>
                      <w:kern w:val="0"/>
                      <w:szCs w:val="21"/>
                    </w:rPr>
                  </w:pPr>
                  <w:r>
                    <w:rPr>
                      <w:rFonts w:hint="eastAsia"/>
                      <w:color w:val="auto"/>
                      <w:kern w:val="0"/>
                      <w:szCs w:val="21"/>
                    </w:rPr>
                    <w:t>G1</w:t>
                  </w:r>
                </w:p>
              </w:tc>
              <w:tc>
                <w:tcPr>
                  <w:tcW w:w="874" w:type="pct"/>
                  <w:tcBorders>
                    <w:left w:val="single" w:color="auto" w:sz="4" w:space="0"/>
                  </w:tcBorders>
                  <w:vAlign w:val="center"/>
                </w:tcPr>
                <w:p>
                  <w:pPr>
                    <w:jc w:val="center"/>
                    <w:rPr>
                      <w:color w:val="auto"/>
                      <w:kern w:val="0"/>
                      <w:szCs w:val="21"/>
                    </w:rPr>
                  </w:pPr>
                  <w:r>
                    <w:rPr>
                      <w:rFonts w:hint="eastAsia"/>
                      <w:color w:val="auto"/>
                      <w:kern w:val="0"/>
                      <w:szCs w:val="21"/>
                    </w:rPr>
                    <w:t>破碎粉尘</w:t>
                  </w:r>
                </w:p>
              </w:tc>
              <w:tc>
                <w:tcPr>
                  <w:tcW w:w="793" w:type="pct"/>
                  <w:vAlign w:val="center"/>
                </w:tcPr>
                <w:p>
                  <w:pPr>
                    <w:jc w:val="center"/>
                    <w:rPr>
                      <w:color w:val="auto"/>
                      <w:kern w:val="0"/>
                      <w:szCs w:val="21"/>
                    </w:rPr>
                  </w:pPr>
                  <w:r>
                    <w:rPr>
                      <w:rFonts w:hint="eastAsia"/>
                      <w:color w:val="auto"/>
                      <w:kern w:val="0"/>
                      <w:szCs w:val="21"/>
                    </w:rPr>
                    <w:t>破碎研磨</w:t>
                  </w:r>
                </w:p>
              </w:tc>
              <w:tc>
                <w:tcPr>
                  <w:tcW w:w="850" w:type="pct"/>
                  <w:vAlign w:val="center"/>
                </w:tcPr>
                <w:p>
                  <w:pPr>
                    <w:jc w:val="center"/>
                    <w:rPr>
                      <w:color w:val="auto"/>
                      <w:kern w:val="0"/>
                      <w:szCs w:val="21"/>
                      <w:vertAlign w:val="subscript"/>
                    </w:rPr>
                  </w:pPr>
                  <w:r>
                    <w:rPr>
                      <w:rFonts w:hint="eastAsia"/>
                      <w:color w:val="auto"/>
                      <w:kern w:val="0"/>
                      <w:szCs w:val="21"/>
                    </w:rPr>
                    <w:t>颗粒物</w:t>
                  </w:r>
                </w:p>
              </w:tc>
              <w:tc>
                <w:tcPr>
                  <w:tcW w:w="805" w:type="pct"/>
                  <w:tcBorders>
                    <w:right w:val="single" w:color="auto" w:sz="4" w:space="0"/>
                  </w:tcBorders>
                  <w:vAlign w:val="center"/>
                </w:tcPr>
                <w:p>
                  <w:pPr>
                    <w:jc w:val="center"/>
                    <w:rPr>
                      <w:color w:val="auto"/>
                      <w:kern w:val="0"/>
                      <w:szCs w:val="21"/>
                      <w:vertAlign w:val="subscript"/>
                    </w:rPr>
                  </w:pPr>
                  <w:r>
                    <w:rPr>
                      <w:rFonts w:hint="eastAsia" w:ascii="宋体" w:hAnsi="宋体" w:cs="宋体"/>
                      <w:color w:val="auto"/>
                      <w:kern w:val="0"/>
                      <w:szCs w:val="21"/>
                    </w:rPr>
                    <w:t>集气罩+布袋除尘器</w:t>
                  </w:r>
                </w:p>
              </w:tc>
              <w:tc>
                <w:tcPr>
                  <w:tcW w:w="929" w:type="pct"/>
                  <w:tcBorders>
                    <w:left w:val="single" w:color="auto" w:sz="4" w:space="0"/>
                  </w:tcBorders>
                  <w:vAlign w:val="center"/>
                </w:tcPr>
                <w:p>
                  <w:pPr>
                    <w:jc w:val="center"/>
                    <w:rPr>
                      <w:color w:val="auto"/>
                      <w:kern w:val="0"/>
                      <w:szCs w:val="21"/>
                    </w:rPr>
                  </w:pPr>
                  <w:r>
                    <w:rPr>
                      <w:rFonts w:hint="eastAsia"/>
                      <w:color w:val="auto"/>
                      <w:kern w:val="0"/>
                      <w:szCs w:val="21"/>
                    </w:rPr>
                    <w:t>处理后</w:t>
                  </w:r>
                </w:p>
                <w:p>
                  <w:pPr>
                    <w:jc w:val="center"/>
                    <w:rPr>
                      <w:color w:val="auto"/>
                      <w:kern w:val="0"/>
                      <w:szCs w:val="21"/>
                      <w:vertAlign w:val="subscript"/>
                    </w:rPr>
                  </w:pPr>
                  <w:r>
                    <w:rPr>
                      <w:rFonts w:hint="eastAsia"/>
                      <w:color w:val="auto"/>
                      <w:kern w:val="0"/>
                      <w:szCs w:val="21"/>
                    </w:rPr>
                    <w:t>无组织排放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385" w:type="pct"/>
                  <w:gridSpan w:val="2"/>
                  <w:vMerge w:val="continue"/>
                  <w:vAlign w:val="center"/>
                </w:tcPr>
                <w:p>
                  <w:pPr>
                    <w:jc w:val="center"/>
                    <w:rPr>
                      <w:color w:val="auto"/>
                      <w:kern w:val="0"/>
                      <w:szCs w:val="21"/>
                    </w:rPr>
                  </w:pPr>
                </w:p>
              </w:tc>
              <w:tc>
                <w:tcPr>
                  <w:tcW w:w="361" w:type="pct"/>
                  <w:vMerge w:val="restart"/>
                  <w:tcBorders>
                    <w:right w:val="single" w:color="auto" w:sz="4" w:space="0"/>
                  </w:tcBorders>
                  <w:vAlign w:val="center"/>
                </w:tcPr>
                <w:p>
                  <w:pPr>
                    <w:jc w:val="center"/>
                    <w:rPr>
                      <w:color w:val="auto"/>
                      <w:kern w:val="0"/>
                      <w:szCs w:val="21"/>
                    </w:rPr>
                  </w:pPr>
                  <w:r>
                    <w:rPr>
                      <w:rFonts w:hint="eastAsia"/>
                      <w:color w:val="auto"/>
                      <w:kern w:val="0"/>
                      <w:szCs w:val="21"/>
                    </w:rPr>
                    <w:t>G2</w:t>
                  </w:r>
                </w:p>
              </w:tc>
              <w:tc>
                <w:tcPr>
                  <w:tcW w:w="874" w:type="pct"/>
                  <w:tcBorders>
                    <w:left w:val="single" w:color="auto" w:sz="4" w:space="0"/>
                  </w:tcBorders>
                  <w:vAlign w:val="center"/>
                </w:tcPr>
                <w:p>
                  <w:pPr>
                    <w:jc w:val="center"/>
                    <w:rPr>
                      <w:color w:val="auto"/>
                      <w:kern w:val="0"/>
                      <w:szCs w:val="21"/>
                    </w:rPr>
                  </w:pPr>
                  <w:r>
                    <w:rPr>
                      <w:rFonts w:hint="eastAsia"/>
                      <w:color w:val="auto"/>
                      <w:kern w:val="0"/>
                      <w:szCs w:val="21"/>
                    </w:rPr>
                    <w:t>推板窑烟气</w:t>
                  </w:r>
                </w:p>
              </w:tc>
              <w:tc>
                <w:tcPr>
                  <w:tcW w:w="793" w:type="pct"/>
                  <w:vMerge w:val="restart"/>
                  <w:vAlign w:val="center"/>
                </w:tcPr>
                <w:p>
                  <w:pPr>
                    <w:jc w:val="center"/>
                    <w:rPr>
                      <w:color w:val="auto"/>
                      <w:kern w:val="0"/>
                      <w:szCs w:val="21"/>
                    </w:rPr>
                  </w:pPr>
                  <w:r>
                    <w:rPr>
                      <w:rFonts w:hint="eastAsia"/>
                      <w:color w:val="auto"/>
                      <w:kern w:val="0"/>
                      <w:szCs w:val="21"/>
                    </w:rPr>
                    <w:t>产品焙烧</w:t>
                  </w:r>
                </w:p>
              </w:tc>
              <w:tc>
                <w:tcPr>
                  <w:tcW w:w="850" w:type="pct"/>
                  <w:vMerge w:val="restart"/>
                  <w:vAlign w:val="center"/>
                </w:tcPr>
                <w:p>
                  <w:pPr>
                    <w:jc w:val="center"/>
                    <w:rPr>
                      <w:rFonts w:hint="eastAsia" w:eastAsia="宋体"/>
                      <w:color w:val="auto"/>
                      <w:kern w:val="0"/>
                      <w:szCs w:val="21"/>
                      <w:lang w:eastAsia="zh-CN"/>
                    </w:rPr>
                  </w:pPr>
                  <w:r>
                    <w:rPr>
                      <w:rFonts w:hint="eastAsia"/>
                      <w:color w:val="auto"/>
                      <w:kern w:val="0"/>
                      <w:szCs w:val="21"/>
                    </w:rPr>
                    <w:t>颗粒物、二氧化硫、氮氧化物、</w:t>
                  </w:r>
                  <w:r>
                    <w:rPr>
                      <w:rFonts w:hint="eastAsia"/>
                      <w:color w:val="auto"/>
                      <w:kern w:val="0"/>
                      <w:szCs w:val="21"/>
                      <w:lang w:eastAsia="zh-CN"/>
                    </w:rPr>
                    <w:t>氟及其化合物（以F计）</w:t>
                  </w:r>
                </w:p>
              </w:tc>
              <w:tc>
                <w:tcPr>
                  <w:tcW w:w="805" w:type="pct"/>
                  <w:vMerge w:val="restart"/>
                  <w:tcBorders>
                    <w:right w:val="single" w:color="auto" w:sz="4" w:space="0"/>
                  </w:tcBorders>
                  <w:vAlign w:val="center"/>
                </w:tcPr>
                <w:p>
                  <w:pPr>
                    <w:jc w:val="center"/>
                    <w:rPr>
                      <w:rFonts w:hint="eastAsia" w:eastAsia="宋体"/>
                      <w:color w:val="auto"/>
                      <w:kern w:val="0"/>
                      <w:szCs w:val="21"/>
                      <w:lang w:eastAsia="zh-CN"/>
                    </w:rPr>
                  </w:pPr>
                  <w:r>
                    <w:rPr>
                      <w:rFonts w:hint="eastAsia"/>
                      <w:color w:val="auto"/>
                      <w:kern w:val="0"/>
                      <w:szCs w:val="21"/>
                      <w:lang w:eastAsia="zh-CN"/>
                    </w:rPr>
                    <w:t>石灰石膏法脱硫塔</w:t>
                  </w:r>
                </w:p>
              </w:tc>
              <w:tc>
                <w:tcPr>
                  <w:tcW w:w="929" w:type="pct"/>
                  <w:vMerge w:val="restart"/>
                  <w:tcBorders>
                    <w:left w:val="single" w:color="auto" w:sz="4" w:space="0"/>
                  </w:tcBorders>
                  <w:vAlign w:val="center"/>
                </w:tcPr>
                <w:p>
                  <w:pPr>
                    <w:jc w:val="center"/>
                    <w:rPr>
                      <w:color w:val="auto"/>
                      <w:kern w:val="0"/>
                      <w:szCs w:val="21"/>
                    </w:rPr>
                  </w:pPr>
                  <w:r>
                    <w:rPr>
                      <w:rFonts w:hint="eastAsia"/>
                      <w:color w:val="auto"/>
                      <w:kern w:val="0"/>
                      <w:szCs w:val="21"/>
                      <w:lang w:eastAsia="zh-CN"/>
                    </w:rPr>
                    <w:t>石灰石膏法脱硫塔</w:t>
                  </w:r>
                  <w:r>
                    <w:rPr>
                      <w:rFonts w:hint="eastAsia"/>
                      <w:color w:val="auto"/>
                      <w:kern w:val="0"/>
                      <w:szCs w:val="21"/>
                    </w:rPr>
                    <w:t>处理后通过一根高50m的烟囱排放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385" w:type="pct"/>
                  <w:gridSpan w:val="2"/>
                  <w:vMerge w:val="continue"/>
                  <w:vAlign w:val="center"/>
                </w:tcPr>
                <w:p>
                  <w:pPr>
                    <w:jc w:val="center"/>
                    <w:rPr>
                      <w:color w:val="auto"/>
                      <w:kern w:val="0"/>
                      <w:szCs w:val="21"/>
                    </w:rPr>
                  </w:pPr>
                </w:p>
              </w:tc>
              <w:tc>
                <w:tcPr>
                  <w:tcW w:w="361" w:type="pct"/>
                  <w:vMerge w:val="continue"/>
                  <w:tcBorders>
                    <w:right w:val="single" w:color="auto" w:sz="4" w:space="0"/>
                  </w:tcBorders>
                  <w:vAlign w:val="center"/>
                </w:tcPr>
                <w:p>
                  <w:pPr>
                    <w:jc w:val="center"/>
                    <w:rPr>
                      <w:color w:val="auto"/>
                      <w:kern w:val="0"/>
                      <w:szCs w:val="21"/>
                    </w:rPr>
                  </w:pPr>
                </w:p>
              </w:tc>
              <w:tc>
                <w:tcPr>
                  <w:tcW w:w="874" w:type="pct"/>
                  <w:tcBorders>
                    <w:left w:val="single" w:color="auto" w:sz="4" w:space="0"/>
                  </w:tcBorders>
                  <w:vAlign w:val="center"/>
                </w:tcPr>
                <w:p>
                  <w:pPr>
                    <w:jc w:val="center"/>
                    <w:rPr>
                      <w:color w:val="auto"/>
                      <w:kern w:val="0"/>
                      <w:szCs w:val="21"/>
                    </w:rPr>
                  </w:pPr>
                  <w:r>
                    <w:rPr>
                      <w:rFonts w:hint="eastAsia"/>
                      <w:color w:val="auto"/>
                      <w:kern w:val="0"/>
                      <w:szCs w:val="21"/>
                    </w:rPr>
                    <w:t>隧道窑烟气</w:t>
                  </w:r>
                </w:p>
              </w:tc>
              <w:tc>
                <w:tcPr>
                  <w:tcW w:w="793" w:type="pct"/>
                  <w:vMerge w:val="continue"/>
                  <w:vAlign w:val="center"/>
                </w:tcPr>
                <w:p>
                  <w:pPr>
                    <w:jc w:val="center"/>
                    <w:rPr>
                      <w:color w:val="auto"/>
                      <w:kern w:val="0"/>
                      <w:szCs w:val="21"/>
                    </w:rPr>
                  </w:pPr>
                </w:p>
              </w:tc>
              <w:tc>
                <w:tcPr>
                  <w:tcW w:w="850" w:type="pct"/>
                  <w:vMerge w:val="continue"/>
                  <w:vAlign w:val="center"/>
                </w:tcPr>
                <w:p>
                  <w:pPr>
                    <w:jc w:val="center"/>
                    <w:rPr>
                      <w:color w:val="auto"/>
                      <w:kern w:val="0"/>
                      <w:szCs w:val="21"/>
                    </w:rPr>
                  </w:pPr>
                </w:p>
              </w:tc>
              <w:tc>
                <w:tcPr>
                  <w:tcW w:w="805" w:type="pct"/>
                  <w:vMerge w:val="continue"/>
                  <w:tcBorders>
                    <w:right w:val="single" w:color="auto" w:sz="4" w:space="0"/>
                  </w:tcBorders>
                  <w:vAlign w:val="center"/>
                </w:tcPr>
                <w:p>
                  <w:pPr>
                    <w:jc w:val="center"/>
                    <w:rPr>
                      <w:color w:val="auto"/>
                      <w:kern w:val="0"/>
                      <w:szCs w:val="21"/>
                    </w:rPr>
                  </w:pPr>
                </w:p>
              </w:tc>
              <w:tc>
                <w:tcPr>
                  <w:tcW w:w="929" w:type="pct"/>
                  <w:vMerge w:val="continue"/>
                  <w:tcBorders>
                    <w:left w:val="single" w:color="auto" w:sz="4" w:space="0"/>
                  </w:tcBorders>
                  <w:vAlign w:val="center"/>
                </w:tcPr>
                <w:p>
                  <w:pPr>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385" w:type="pct"/>
                  <w:gridSpan w:val="2"/>
                  <w:vMerge w:val="restart"/>
                  <w:vAlign w:val="center"/>
                </w:tcPr>
                <w:p>
                  <w:pPr>
                    <w:pStyle w:val="11"/>
                    <w:jc w:val="center"/>
                    <w:rPr>
                      <w:rFonts w:ascii="Times New Roman" w:hAnsi="Times New Roman"/>
                      <w:bCs/>
                      <w:color w:val="auto"/>
                      <w:szCs w:val="21"/>
                      <w:lang w:val="zh-CN"/>
                    </w:rPr>
                  </w:pPr>
                  <w:r>
                    <w:rPr>
                      <w:rFonts w:ascii="Times New Roman" w:hAnsi="Times New Roman"/>
                      <w:bCs/>
                      <w:color w:val="auto"/>
                      <w:szCs w:val="21"/>
                      <w:lang w:val="zh-CN"/>
                    </w:rPr>
                    <w:t>废</w:t>
                  </w:r>
                </w:p>
                <w:p>
                  <w:pPr>
                    <w:pStyle w:val="11"/>
                    <w:jc w:val="center"/>
                    <w:rPr>
                      <w:rFonts w:ascii="Times New Roman" w:hAnsi="Times New Roman"/>
                      <w:bCs/>
                      <w:color w:val="auto"/>
                      <w:szCs w:val="21"/>
                      <w:lang w:val="zh-CN"/>
                    </w:rPr>
                  </w:pPr>
                  <w:r>
                    <w:rPr>
                      <w:rFonts w:ascii="Times New Roman" w:hAnsi="Times New Roman"/>
                      <w:bCs/>
                      <w:color w:val="auto"/>
                      <w:szCs w:val="21"/>
                      <w:lang w:val="zh-CN"/>
                    </w:rPr>
                    <w:t>水</w:t>
                  </w:r>
                </w:p>
              </w:tc>
              <w:tc>
                <w:tcPr>
                  <w:tcW w:w="361" w:type="pct"/>
                  <w:tcBorders>
                    <w:right w:val="single" w:color="auto" w:sz="4" w:space="0"/>
                  </w:tcBorders>
                  <w:vAlign w:val="center"/>
                </w:tcPr>
                <w:p>
                  <w:pPr>
                    <w:jc w:val="center"/>
                    <w:rPr>
                      <w:color w:val="auto"/>
                      <w:szCs w:val="21"/>
                    </w:rPr>
                  </w:pPr>
                  <w:r>
                    <w:rPr>
                      <w:rFonts w:hint="eastAsia"/>
                      <w:color w:val="auto"/>
                      <w:szCs w:val="21"/>
                    </w:rPr>
                    <w:t>W1</w:t>
                  </w:r>
                </w:p>
              </w:tc>
              <w:tc>
                <w:tcPr>
                  <w:tcW w:w="874" w:type="pct"/>
                  <w:tcBorders>
                    <w:left w:val="single" w:color="auto" w:sz="4" w:space="0"/>
                  </w:tcBorders>
                  <w:vAlign w:val="center"/>
                </w:tcPr>
                <w:p>
                  <w:pPr>
                    <w:jc w:val="center"/>
                    <w:rPr>
                      <w:color w:val="auto"/>
                      <w:szCs w:val="21"/>
                    </w:rPr>
                  </w:pPr>
                  <w:r>
                    <w:rPr>
                      <w:rFonts w:hint="eastAsia"/>
                      <w:color w:val="auto"/>
                      <w:szCs w:val="21"/>
                    </w:rPr>
                    <w:t>原料搅拌废水</w:t>
                  </w:r>
                </w:p>
              </w:tc>
              <w:tc>
                <w:tcPr>
                  <w:tcW w:w="793" w:type="pct"/>
                  <w:vAlign w:val="center"/>
                </w:tcPr>
                <w:p>
                  <w:pPr>
                    <w:jc w:val="center"/>
                    <w:rPr>
                      <w:color w:val="auto"/>
                      <w:szCs w:val="21"/>
                    </w:rPr>
                  </w:pPr>
                  <w:r>
                    <w:rPr>
                      <w:rFonts w:hint="eastAsia"/>
                      <w:color w:val="auto"/>
                      <w:szCs w:val="21"/>
                    </w:rPr>
                    <w:t>原料搅拌</w:t>
                  </w:r>
                </w:p>
              </w:tc>
              <w:tc>
                <w:tcPr>
                  <w:tcW w:w="850" w:type="pct"/>
                  <w:vAlign w:val="center"/>
                </w:tcPr>
                <w:p>
                  <w:pPr>
                    <w:widowControl/>
                    <w:jc w:val="center"/>
                    <w:rPr>
                      <w:color w:val="auto"/>
                      <w:kern w:val="0"/>
                      <w:szCs w:val="21"/>
                    </w:rPr>
                  </w:pPr>
                  <w:r>
                    <w:rPr>
                      <w:rFonts w:hint="eastAsia"/>
                      <w:color w:val="auto"/>
                      <w:kern w:val="0"/>
                      <w:szCs w:val="21"/>
                    </w:rPr>
                    <w:t>悬浮物</w:t>
                  </w:r>
                </w:p>
              </w:tc>
              <w:tc>
                <w:tcPr>
                  <w:tcW w:w="805" w:type="pct"/>
                  <w:tcBorders>
                    <w:right w:val="single" w:color="auto" w:sz="4" w:space="0"/>
                  </w:tcBorders>
                  <w:vAlign w:val="center"/>
                </w:tcPr>
                <w:p>
                  <w:pPr>
                    <w:widowControl/>
                    <w:jc w:val="center"/>
                    <w:rPr>
                      <w:color w:val="auto"/>
                      <w:kern w:val="0"/>
                      <w:szCs w:val="21"/>
                    </w:rPr>
                  </w:pPr>
                  <w:r>
                    <w:rPr>
                      <w:rFonts w:hint="eastAsia"/>
                      <w:color w:val="auto"/>
                      <w:kern w:val="0"/>
                      <w:szCs w:val="21"/>
                    </w:rPr>
                    <w:t>窑烧蒸发</w:t>
                  </w:r>
                </w:p>
              </w:tc>
              <w:tc>
                <w:tcPr>
                  <w:tcW w:w="929" w:type="pct"/>
                  <w:vMerge w:val="restart"/>
                  <w:tcBorders>
                    <w:left w:val="single" w:color="auto" w:sz="4" w:space="0"/>
                  </w:tcBorders>
                  <w:vAlign w:val="center"/>
                </w:tcPr>
                <w:p>
                  <w:pPr>
                    <w:widowControl/>
                    <w:jc w:val="center"/>
                    <w:rPr>
                      <w:color w:val="auto"/>
                      <w:kern w:val="0"/>
                      <w:szCs w:val="21"/>
                    </w:rPr>
                  </w:pPr>
                  <w:r>
                    <w:rPr>
                      <w:rFonts w:hint="eastAsia"/>
                      <w:color w:val="auto"/>
                      <w:kern w:val="0"/>
                      <w:szCs w:val="21"/>
                    </w:rPr>
                    <w:t>不外排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384" w:type="pct"/>
                  <w:gridSpan w:val="2"/>
                  <w:vMerge w:val="continue"/>
                  <w:vAlign w:val="center"/>
                </w:tcPr>
                <w:p>
                  <w:pPr>
                    <w:pStyle w:val="11"/>
                    <w:jc w:val="center"/>
                    <w:rPr>
                      <w:rFonts w:ascii="Times New Roman" w:hAnsi="Times New Roman"/>
                      <w:bCs/>
                      <w:color w:val="auto"/>
                      <w:szCs w:val="21"/>
                      <w:lang w:val="zh-CN"/>
                    </w:rPr>
                  </w:pPr>
                </w:p>
              </w:tc>
              <w:tc>
                <w:tcPr>
                  <w:tcW w:w="361" w:type="pct"/>
                  <w:tcBorders>
                    <w:right w:val="single" w:color="auto" w:sz="4" w:space="0"/>
                  </w:tcBorders>
                  <w:vAlign w:val="center"/>
                </w:tcPr>
                <w:p>
                  <w:pPr>
                    <w:jc w:val="center"/>
                    <w:rPr>
                      <w:color w:val="auto"/>
                      <w:szCs w:val="21"/>
                    </w:rPr>
                  </w:pPr>
                  <w:r>
                    <w:rPr>
                      <w:rFonts w:hint="eastAsia"/>
                      <w:color w:val="auto"/>
                      <w:szCs w:val="21"/>
                    </w:rPr>
                    <w:t>W2</w:t>
                  </w:r>
                </w:p>
              </w:tc>
              <w:tc>
                <w:tcPr>
                  <w:tcW w:w="875" w:type="pct"/>
                  <w:tcBorders>
                    <w:left w:val="single" w:color="auto" w:sz="4" w:space="0"/>
                  </w:tcBorders>
                  <w:vAlign w:val="center"/>
                </w:tcPr>
                <w:p>
                  <w:pPr>
                    <w:jc w:val="center"/>
                    <w:rPr>
                      <w:color w:val="auto"/>
                      <w:szCs w:val="21"/>
                    </w:rPr>
                  </w:pPr>
                  <w:r>
                    <w:rPr>
                      <w:rFonts w:hint="eastAsia"/>
                      <w:color w:val="auto"/>
                      <w:szCs w:val="21"/>
                    </w:rPr>
                    <w:t>烟气处理废水</w:t>
                  </w:r>
                </w:p>
              </w:tc>
              <w:tc>
                <w:tcPr>
                  <w:tcW w:w="793" w:type="pct"/>
                  <w:tcBorders>
                    <w:bottom w:val="single" w:color="auto" w:sz="4" w:space="0"/>
                  </w:tcBorders>
                  <w:vAlign w:val="center"/>
                </w:tcPr>
                <w:p>
                  <w:pPr>
                    <w:jc w:val="center"/>
                    <w:rPr>
                      <w:color w:val="auto"/>
                      <w:szCs w:val="21"/>
                    </w:rPr>
                  </w:pPr>
                  <w:r>
                    <w:rPr>
                      <w:rFonts w:hint="eastAsia"/>
                      <w:color w:val="auto"/>
                      <w:szCs w:val="21"/>
                    </w:rPr>
                    <w:t>窑烧烟气处理</w:t>
                  </w:r>
                </w:p>
              </w:tc>
              <w:tc>
                <w:tcPr>
                  <w:tcW w:w="851" w:type="pct"/>
                  <w:vAlign w:val="center"/>
                </w:tcPr>
                <w:p>
                  <w:pPr>
                    <w:widowControl/>
                    <w:jc w:val="center"/>
                    <w:rPr>
                      <w:color w:val="auto"/>
                      <w:kern w:val="0"/>
                      <w:szCs w:val="21"/>
                    </w:rPr>
                  </w:pPr>
                  <w:r>
                    <w:rPr>
                      <w:rFonts w:hint="eastAsia"/>
                      <w:color w:val="auto"/>
                      <w:kern w:val="0"/>
                      <w:szCs w:val="21"/>
                    </w:rPr>
                    <w:t>SS、Ca</w:t>
                  </w:r>
                  <w:r>
                    <w:rPr>
                      <w:rFonts w:hint="eastAsia"/>
                      <w:color w:val="auto"/>
                      <w:kern w:val="0"/>
                      <w:szCs w:val="21"/>
                      <w:vertAlign w:val="superscript"/>
                    </w:rPr>
                    <w:t>2+</w:t>
                  </w:r>
                  <w:r>
                    <w:rPr>
                      <w:rFonts w:hint="eastAsia"/>
                      <w:color w:val="auto"/>
                      <w:kern w:val="0"/>
                      <w:szCs w:val="21"/>
                    </w:rPr>
                    <w:t>、SO</w:t>
                  </w:r>
                  <w:r>
                    <w:rPr>
                      <w:rFonts w:hint="eastAsia"/>
                      <w:color w:val="auto"/>
                      <w:kern w:val="0"/>
                      <w:szCs w:val="21"/>
                      <w:vertAlign w:val="subscript"/>
                    </w:rPr>
                    <w:t>4</w:t>
                  </w:r>
                  <w:r>
                    <w:rPr>
                      <w:rFonts w:hint="eastAsia"/>
                      <w:color w:val="auto"/>
                      <w:kern w:val="0"/>
                      <w:szCs w:val="21"/>
                      <w:vertAlign w:val="superscript"/>
                    </w:rPr>
                    <w:t>2+</w:t>
                  </w:r>
                  <w:r>
                    <w:rPr>
                      <w:rFonts w:hint="eastAsia"/>
                      <w:color w:val="auto"/>
                      <w:kern w:val="0"/>
                      <w:szCs w:val="21"/>
                    </w:rPr>
                    <w:t>、NO</w:t>
                  </w:r>
                  <w:r>
                    <w:rPr>
                      <w:rFonts w:hint="eastAsia"/>
                      <w:color w:val="auto"/>
                      <w:kern w:val="0"/>
                      <w:szCs w:val="21"/>
                      <w:vertAlign w:val="superscript"/>
                    </w:rPr>
                    <w:t>3-</w:t>
                  </w:r>
                </w:p>
              </w:tc>
              <w:tc>
                <w:tcPr>
                  <w:tcW w:w="805" w:type="pct"/>
                  <w:tcBorders>
                    <w:bottom w:val="single" w:color="auto" w:sz="4" w:space="0"/>
                    <w:right w:val="single" w:color="auto" w:sz="4" w:space="0"/>
                  </w:tcBorders>
                  <w:vAlign w:val="center"/>
                </w:tcPr>
                <w:p>
                  <w:pPr>
                    <w:widowControl/>
                    <w:jc w:val="center"/>
                    <w:rPr>
                      <w:color w:val="auto"/>
                      <w:kern w:val="0"/>
                      <w:szCs w:val="21"/>
                    </w:rPr>
                  </w:pPr>
                  <w:r>
                    <w:rPr>
                      <w:rFonts w:hint="eastAsia"/>
                      <w:color w:val="auto"/>
                      <w:kern w:val="0"/>
                      <w:szCs w:val="21"/>
                    </w:rPr>
                    <w:t>加</w:t>
                  </w:r>
                  <w:r>
                    <w:rPr>
                      <w:rFonts w:hint="eastAsia"/>
                      <w:color w:val="auto"/>
                      <w:kern w:val="0"/>
                      <w:szCs w:val="21"/>
                      <w:lang w:val="en-US" w:eastAsia="zh-CN"/>
                    </w:rPr>
                    <w:t>石灰</w:t>
                  </w:r>
                  <w:r>
                    <w:rPr>
                      <w:rFonts w:hint="eastAsia"/>
                      <w:color w:val="auto"/>
                      <w:kern w:val="0"/>
                      <w:szCs w:val="21"/>
                    </w:rPr>
                    <w:t>再生后循环使用</w:t>
                  </w:r>
                </w:p>
              </w:tc>
              <w:tc>
                <w:tcPr>
                  <w:tcW w:w="930" w:type="pct"/>
                  <w:vMerge w:val="continue"/>
                  <w:tcBorders>
                    <w:left w:val="single" w:color="auto" w:sz="4" w:space="0"/>
                  </w:tcBorders>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384" w:type="pct"/>
                  <w:gridSpan w:val="2"/>
                  <w:vMerge w:val="continue"/>
                  <w:vAlign w:val="center"/>
                </w:tcPr>
                <w:p>
                  <w:pPr>
                    <w:pStyle w:val="11"/>
                    <w:jc w:val="center"/>
                    <w:rPr>
                      <w:rFonts w:ascii="Times New Roman" w:hAnsi="Times New Roman"/>
                      <w:bCs/>
                      <w:color w:val="auto"/>
                      <w:szCs w:val="21"/>
                      <w:lang w:val="zh-CN"/>
                    </w:rPr>
                  </w:pPr>
                </w:p>
              </w:tc>
              <w:tc>
                <w:tcPr>
                  <w:tcW w:w="361" w:type="pct"/>
                  <w:tcBorders>
                    <w:right w:val="single" w:color="auto" w:sz="4" w:space="0"/>
                  </w:tcBorders>
                  <w:vAlign w:val="center"/>
                </w:tcPr>
                <w:p>
                  <w:pPr>
                    <w:jc w:val="center"/>
                    <w:rPr>
                      <w:color w:val="auto"/>
                      <w:szCs w:val="21"/>
                    </w:rPr>
                  </w:pPr>
                  <w:r>
                    <w:rPr>
                      <w:rFonts w:hint="eastAsia"/>
                      <w:color w:val="auto"/>
                      <w:szCs w:val="21"/>
                    </w:rPr>
                    <w:t>W3</w:t>
                  </w:r>
                </w:p>
              </w:tc>
              <w:tc>
                <w:tcPr>
                  <w:tcW w:w="875" w:type="pct"/>
                  <w:tcBorders>
                    <w:left w:val="single" w:color="auto" w:sz="4" w:space="0"/>
                  </w:tcBorders>
                  <w:vAlign w:val="center"/>
                </w:tcPr>
                <w:p>
                  <w:pPr>
                    <w:jc w:val="center"/>
                    <w:rPr>
                      <w:color w:val="auto"/>
                      <w:szCs w:val="21"/>
                    </w:rPr>
                  </w:pPr>
                  <w:r>
                    <w:rPr>
                      <w:rFonts w:hint="eastAsia"/>
                      <w:color w:val="auto"/>
                      <w:szCs w:val="21"/>
                    </w:rPr>
                    <w:t>实验室废水</w:t>
                  </w:r>
                </w:p>
              </w:tc>
              <w:tc>
                <w:tcPr>
                  <w:tcW w:w="793" w:type="pct"/>
                  <w:tcBorders>
                    <w:bottom w:val="single" w:color="auto" w:sz="4" w:space="0"/>
                  </w:tcBorders>
                  <w:vAlign w:val="center"/>
                </w:tcPr>
                <w:p>
                  <w:pPr>
                    <w:jc w:val="center"/>
                    <w:rPr>
                      <w:color w:val="auto"/>
                      <w:szCs w:val="21"/>
                    </w:rPr>
                  </w:pPr>
                  <w:r>
                    <w:rPr>
                      <w:rFonts w:hint="eastAsia"/>
                      <w:color w:val="auto"/>
                      <w:szCs w:val="21"/>
                    </w:rPr>
                    <w:t>产品检测</w:t>
                  </w:r>
                </w:p>
              </w:tc>
              <w:tc>
                <w:tcPr>
                  <w:tcW w:w="851" w:type="pct"/>
                  <w:vAlign w:val="center"/>
                </w:tcPr>
                <w:p>
                  <w:pPr>
                    <w:widowControl/>
                    <w:jc w:val="center"/>
                    <w:rPr>
                      <w:color w:val="auto"/>
                      <w:kern w:val="0"/>
                      <w:szCs w:val="21"/>
                    </w:rPr>
                  </w:pPr>
                  <w:r>
                    <w:rPr>
                      <w:rFonts w:hint="eastAsia"/>
                      <w:color w:val="auto"/>
                      <w:kern w:val="0"/>
                      <w:szCs w:val="21"/>
                    </w:rPr>
                    <w:t>酸碱</w:t>
                  </w:r>
                </w:p>
              </w:tc>
              <w:tc>
                <w:tcPr>
                  <w:tcW w:w="805" w:type="pct"/>
                  <w:tcBorders>
                    <w:bottom w:val="single" w:color="auto" w:sz="4" w:space="0"/>
                    <w:right w:val="single" w:color="auto" w:sz="4" w:space="0"/>
                  </w:tcBorders>
                  <w:vAlign w:val="center"/>
                </w:tcPr>
                <w:p>
                  <w:pPr>
                    <w:widowControl/>
                    <w:jc w:val="center"/>
                    <w:rPr>
                      <w:color w:val="auto"/>
                      <w:kern w:val="0"/>
                      <w:szCs w:val="21"/>
                    </w:rPr>
                  </w:pPr>
                  <w:r>
                    <w:rPr>
                      <w:rFonts w:hint="eastAsia"/>
                      <w:color w:val="auto"/>
                      <w:kern w:val="0"/>
                      <w:szCs w:val="21"/>
                    </w:rPr>
                    <w:t>中和池</w:t>
                  </w:r>
                </w:p>
              </w:tc>
              <w:tc>
                <w:tcPr>
                  <w:tcW w:w="930" w:type="pct"/>
                  <w:vMerge w:val="restart"/>
                  <w:tcBorders>
                    <w:left w:val="single" w:color="auto" w:sz="4" w:space="0"/>
                  </w:tcBorders>
                  <w:vAlign w:val="center"/>
                </w:tcPr>
                <w:p>
                  <w:pPr>
                    <w:widowControl/>
                    <w:jc w:val="center"/>
                    <w:rPr>
                      <w:color w:val="auto"/>
                      <w:kern w:val="0"/>
                      <w:szCs w:val="21"/>
                    </w:rPr>
                  </w:pPr>
                  <w:r>
                    <w:rPr>
                      <w:color w:val="auto"/>
                      <w:kern w:val="0"/>
                      <w:szCs w:val="21"/>
                    </w:rPr>
                    <w:t>工业园区污水处理厂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84" w:type="pct"/>
                  <w:gridSpan w:val="2"/>
                  <w:vMerge w:val="continue"/>
                  <w:vAlign w:val="center"/>
                </w:tcPr>
                <w:p>
                  <w:pPr>
                    <w:pStyle w:val="11"/>
                    <w:jc w:val="center"/>
                    <w:rPr>
                      <w:rFonts w:ascii="Times New Roman" w:hAnsi="Times New Roman"/>
                      <w:bCs/>
                      <w:color w:val="auto"/>
                      <w:szCs w:val="21"/>
                      <w:lang w:val="zh-CN"/>
                    </w:rPr>
                  </w:pPr>
                </w:p>
              </w:tc>
              <w:tc>
                <w:tcPr>
                  <w:tcW w:w="361" w:type="pct"/>
                  <w:tcBorders>
                    <w:right w:val="single" w:color="auto" w:sz="4" w:space="0"/>
                  </w:tcBorders>
                  <w:vAlign w:val="center"/>
                </w:tcPr>
                <w:p>
                  <w:pPr>
                    <w:jc w:val="center"/>
                    <w:rPr>
                      <w:color w:val="auto"/>
                      <w:szCs w:val="21"/>
                    </w:rPr>
                  </w:pPr>
                  <w:r>
                    <w:rPr>
                      <w:rFonts w:hint="eastAsia"/>
                      <w:color w:val="auto"/>
                      <w:szCs w:val="21"/>
                    </w:rPr>
                    <w:t>W4</w:t>
                  </w:r>
                </w:p>
              </w:tc>
              <w:tc>
                <w:tcPr>
                  <w:tcW w:w="875" w:type="pct"/>
                  <w:tcBorders>
                    <w:left w:val="single" w:color="auto" w:sz="4" w:space="0"/>
                  </w:tcBorders>
                  <w:vAlign w:val="center"/>
                </w:tcPr>
                <w:p>
                  <w:pPr>
                    <w:jc w:val="center"/>
                    <w:rPr>
                      <w:color w:val="auto"/>
                      <w:szCs w:val="21"/>
                    </w:rPr>
                  </w:pPr>
                  <w:r>
                    <w:rPr>
                      <w:rFonts w:hint="eastAsia"/>
                      <w:color w:val="auto"/>
                      <w:szCs w:val="21"/>
                    </w:rPr>
                    <w:t>生活污水</w:t>
                  </w:r>
                </w:p>
              </w:tc>
              <w:tc>
                <w:tcPr>
                  <w:tcW w:w="793" w:type="pct"/>
                  <w:tcBorders>
                    <w:bottom w:val="single" w:color="auto" w:sz="4" w:space="0"/>
                  </w:tcBorders>
                  <w:vAlign w:val="center"/>
                </w:tcPr>
                <w:p>
                  <w:pPr>
                    <w:jc w:val="center"/>
                    <w:rPr>
                      <w:color w:val="auto"/>
                      <w:szCs w:val="21"/>
                    </w:rPr>
                  </w:pPr>
                  <w:r>
                    <w:rPr>
                      <w:rFonts w:hint="eastAsia"/>
                      <w:color w:val="auto"/>
                      <w:szCs w:val="21"/>
                    </w:rPr>
                    <w:t>办公生活</w:t>
                  </w:r>
                </w:p>
              </w:tc>
              <w:tc>
                <w:tcPr>
                  <w:tcW w:w="851" w:type="pct"/>
                  <w:vAlign w:val="center"/>
                </w:tcPr>
                <w:p>
                  <w:pPr>
                    <w:widowControl/>
                    <w:jc w:val="center"/>
                    <w:rPr>
                      <w:color w:val="auto"/>
                      <w:kern w:val="0"/>
                      <w:szCs w:val="21"/>
                    </w:rPr>
                  </w:pPr>
                  <w:r>
                    <w:rPr>
                      <w:rFonts w:hint="eastAsia"/>
                      <w:color w:val="auto"/>
                      <w:kern w:val="0"/>
                      <w:szCs w:val="21"/>
                    </w:rPr>
                    <w:t>BOD、COD等</w:t>
                  </w:r>
                </w:p>
              </w:tc>
              <w:tc>
                <w:tcPr>
                  <w:tcW w:w="805" w:type="pct"/>
                  <w:tcBorders>
                    <w:bottom w:val="single" w:color="auto" w:sz="4" w:space="0"/>
                    <w:right w:val="single" w:color="auto" w:sz="4" w:space="0"/>
                  </w:tcBorders>
                  <w:vAlign w:val="center"/>
                </w:tcPr>
                <w:p>
                  <w:pPr>
                    <w:widowControl/>
                    <w:jc w:val="center"/>
                    <w:rPr>
                      <w:color w:val="auto"/>
                      <w:kern w:val="0"/>
                      <w:szCs w:val="21"/>
                    </w:rPr>
                  </w:pPr>
                  <w:r>
                    <w:rPr>
                      <w:rFonts w:hint="eastAsia"/>
                      <w:color w:val="auto"/>
                      <w:kern w:val="0"/>
                      <w:szCs w:val="21"/>
                    </w:rPr>
                    <w:t>化粪池</w:t>
                  </w:r>
                </w:p>
              </w:tc>
              <w:tc>
                <w:tcPr>
                  <w:tcW w:w="930" w:type="pct"/>
                  <w:vMerge w:val="continue"/>
                  <w:tcBorders>
                    <w:left w:val="single" w:color="auto" w:sz="4" w:space="0"/>
                  </w:tcBorders>
                  <w:vAlign w:val="center"/>
                </w:tcPr>
                <w:p>
                  <w:pPr>
                    <w:widowControl/>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384" w:type="pct"/>
                  <w:gridSpan w:val="2"/>
                  <w:vMerge w:val="continue"/>
                  <w:vAlign w:val="center"/>
                </w:tcPr>
                <w:p>
                  <w:pPr>
                    <w:pStyle w:val="11"/>
                    <w:jc w:val="center"/>
                    <w:rPr>
                      <w:rFonts w:ascii="Times New Roman" w:hAnsi="Times New Roman"/>
                      <w:bCs/>
                      <w:color w:val="auto"/>
                      <w:szCs w:val="21"/>
                      <w:lang w:val="zh-CN"/>
                    </w:rPr>
                  </w:pPr>
                </w:p>
              </w:tc>
              <w:tc>
                <w:tcPr>
                  <w:tcW w:w="361" w:type="pct"/>
                  <w:tcBorders>
                    <w:right w:val="single" w:color="auto" w:sz="4" w:space="0"/>
                  </w:tcBorders>
                  <w:vAlign w:val="center"/>
                </w:tcPr>
                <w:p>
                  <w:pPr>
                    <w:jc w:val="center"/>
                    <w:rPr>
                      <w:color w:val="auto"/>
                      <w:szCs w:val="21"/>
                    </w:rPr>
                  </w:pPr>
                  <w:r>
                    <w:rPr>
                      <w:rFonts w:hint="eastAsia"/>
                      <w:color w:val="auto"/>
                      <w:szCs w:val="21"/>
                    </w:rPr>
                    <w:t>/</w:t>
                  </w:r>
                </w:p>
              </w:tc>
              <w:tc>
                <w:tcPr>
                  <w:tcW w:w="875" w:type="pct"/>
                  <w:tcBorders>
                    <w:left w:val="single" w:color="auto" w:sz="4" w:space="0"/>
                  </w:tcBorders>
                  <w:vAlign w:val="center"/>
                </w:tcPr>
                <w:p>
                  <w:pPr>
                    <w:jc w:val="center"/>
                    <w:rPr>
                      <w:color w:val="auto"/>
                      <w:szCs w:val="21"/>
                    </w:rPr>
                  </w:pPr>
                  <w:r>
                    <w:rPr>
                      <w:rFonts w:hint="eastAsia"/>
                      <w:color w:val="auto"/>
                      <w:szCs w:val="21"/>
                    </w:rPr>
                    <w:t>初期雨水</w:t>
                  </w:r>
                </w:p>
              </w:tc>
              <w:tc>
                <w:tcPr>
                  <w:tcW w:w="793" w:type="pct"/>
                  <w:tcBorders>
                    <w:bottom w:val="single" w:color="auto" w:sz="4" w:space="0"/>
                  </w:tcBorders>
                  <w:vAlign w:val="center"/>
                </w:tcPr>
                <w:p>
                  <w:pPr>
                    <w:jc w:val="center"/>
                    <w:rPr>
                      <w:color w:val="auto"/>
                      <w:szCs w:val="21"/>
                    </w:rPr>
                  </w:pPr>
                  <w:r>
                    <w:rPr>
                      <w:rFonts w:hint="eastAsia"/>
                      <w:color w:val="auto"/>
                      <w:szCs w:val="21"/>
                    </w:rPr>
                    <w:t>降雨</w:t>
                  </w:r>
                </w:p>
              </w:tc>
              <w:tc>
                <w:tcPr>
                  <w:tcW w:w="851" w:type="pct"/>
                  <w:vAlign w:val="center"/>
                </w:tcPr>
                <w:p>
                  <w:pPr>
                    <w:widowControl/>
                    <w:jc w:val="center"/>
                    <w:rPr>
                      <w:color w:val="auto"/>
                      <w:kern w:val="0"/>
                      <w:szCs w:val="21"/>
                    </w:rPr>
                  </w:pPr>
                  <w:r>
                    <w:rPr>
                      <w:rFonts w:hint="eastAsia"/>
                      <w:color w:val="auto"/>
                      <w:kern w:val="0"/>
                      <w:szCs w:val="21"/>
                    </w:rPr>
                    <w:t>SS</w:t>
                  </w:r>
                </w:p>
              </w:tc>
              <w:tc>
                <w:tcPr>
                  <w:tcW w:w="805" w:type="pct"/>
                  <w:tcBorders>
                    <w:bottom w:val="single" w:color="auto" w:sz="4" w:space="0"/>
                    <w:right w:val="single" w:color="auto" w:sz="4" w:space="0"/>
                  </w:tcBorders>
                  <w:vAlign w:val="center"/>
                </w:tcPr>
                <w:p>
                  <w:pPr>
                    <w:widowControl/>
                    <w:jc w:val="center"/>
                    <w:rPr>
                      <w:color w:val="auto"/>
                      <w:kern w:val="0"/>
                      <w:szCs w:val="21"/>
                    </w:rPr>
                  </w:pPr>
                  <w:r>
                    <w:rPr>
                      <w:rFonts w:hint="eastAsia"/>
                      <w:color w:val="auto"/>
                      <w:kern w:val="0"/>
                      <w:szCs w:val="21"/>
                    </w:rPr>
                    <w:t>初期雨水池</w:t>
                  </w:r>
                </w:p>
              </w:tc>
              <w:tc>
                <w:tcPr>
                  <w:tcW w:w="930" w:type="pct"/>
                  <w:tcBorders>
                    <w:left w:val="single" w:color="auto" w:sz="4" w:space="0"/>
                  </w:tcBorders>
                  <w:vAlign w:val="center"/>
                </w:tcPr>
                <w:p>
                  <w:pPr>
                    <w:widowControl/>
                    <w:jc w:val="center"/>
                    <w:rPr>
                      <w:color w:val="auto"/>
                      <w:kern w:val="0"/>
                      <w:szCs w:val="21"/>
                    </w:rPr>
                  </w:pPr>
                  <w:r>
                    <w:rPr>
                      <w:color w:val="auto"/>
                      <w:kern w:val="0"/>
                      <w:szCs w:val="21"/>
                    </w:rPr>
                    <w:t>回用于生产和洒水降尘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159" w:type="pct"/>
                  <w:vMerge w:val="restart"/>
                  <w:tcBorders>
                    <w:right w:val="single" w:color="auto" w:sz="4" w:space="0"/>
                  </w:tcBorders>
                  <w:vAlign w:val="center"/>
                </w:tcPr>
                <w:p>
                  <w:pPr>
                    <w:jc w:val="center"/>
                    <w:rPr>
                      <w:color w:val="auto"/>
                      <w:szCs w:val="21"/>
                    </w:rPr>
                  </w:pPr>
                  <w:r>
                    <w:rPr>
                      <w:rFonts w:hint="eastAsia"/>
                      <w:color w:val="auto"/>
                      <w:szCs w:val="21"/>
                    </w:rPr>
                    <w:t>固废</w:t>
                  </w:r>
                </w:p>
              </w:tc>
              <w:tc>
                <w:tcPr>
                  <w:tcW w:w="226" w:type="pct"/>
                  <w:vMerge w:val="restart"/>
                  <w:tcBorders>
                    <w:left w:val="single" w:color="auto" w:sz="4" w:space="0"/>
                  </w:tcBorders>
                  <w:vAlign w:val="center"/>
                </w:tcPr>
                <w:p>
                  <w:pPr>
                    <w:jc w:val="center"/>
                    <w:rPr>
                      <w:color w:val="auto"/>
                      <w:szCs w:val="21"/>
                    </w:rPr>
                  </w:pPr>
                  <w:r>
                    <w:rPr>
                      <w:rFonts w:hint="eastAsia"/>
                      <w:color w:val="auto"/>
                      <w:szCs w:val="21"/>
                    </w:rPr>
                    <w:t>一般固废</w:t>
                  </w:r>
                </w:p>
              </w:tc>
              <w:tc>
                <w:tcPr>
                  <w:tcW w:w="361" w:type="pct"/>
                  <w:tcBorders>
                    <w:right w:val="single" w:color="auto" w:sz="4" w:space="0"/>
                  </w:tcBorders>
                  <w:vAlign w:val="center"/>
                </w:tcPr>
                <w:p>
                  <w:pPr>
                    <w:jc w:val="center"/>
                    <w:rPr>
                      <w:color w:val="auto"/>
                      <w:szCs w:val="21"/>
                    </w:rPr>
                  </w:pPr>
                  <w:r>
                    <w:rPr>
                      <w:rFonts w:hint="eastAsia"/>
                      <w:color w:val="auto"/>
                      <w:szCs w:val="21"/>
                    </w:rPr>
                    <w:t>S2</w:t>
                  </w:r>
                </w:p>
              </w:tc>
              <w:tc>
                <w:tcPr>
                  <w:tcW w:w="875" w:type="pct"/>
                  <w:tcBorders>
                    <w:left w:val="single" w:color="auto" w:sz="4" w:space="0"/>
                  </w:tcBorders>
                  <w:vAlign w:val="center"/>
                </w:tcPr>
                <w:p>
                  <w:pPr>
                    <w:jc w:val="center"/>
                    <w:rPr>
                      <w:color w:val="auto"/>
                      <w:szCs w:val="21"/>
                    </w:rPr>
                  </w:pPr>
                  <w:r>
                    <w:rPr>
                      <w:rFonts w:hint="eastAsia"/>
                      <w:color w:val="auto"/>
                      <w:szCs w:val="21"/>
                    </w:rPr>
                    <w:t>旋风布袋除尘器收集粉尘</w:t>
                  </w:r>
                </w:p>
              </w:tc>
              <w:tc>
                <w:tcPr>
                  <w:tcW w:w="793" w:type="pct"/>
                  <w:vAlign w:val="center"/>
                </w:tcPr>
                <w:p>
                  <w:pPr>
                    <w:jc w:val="center"/>
                    <w:rPr>
                      <w:color w:val="auto"/>
                      <w:szCs w:val="21"/>
                    </w:rPr>
                  </w:pPr>
                  <w:r>
                    <w:rPr>
                      <w:rFonts w:hint="eastAsia"/>
                      <w:color w:val="auto"/>
                      <w:szCs w:val="21"/>
                    </w:rPr>
                    <w:t>破碎研磨粉尘处理</w:t>
                  </w:r>
                </w:p>
              </w:tc>
              <w:tc>
                <w:tcPr>
                  <w:tcW w:w="851" w:type="pct"/>
                  <w:vAlign w:val="center"/>
                </w:tcPr>
                <w:p>
                  <w:pPr>
                    <w:jc w:val="center"/>
                    <w:rPr>
                      <w:color w:val="auto"/>
                      <w:szCs w:val="21"/>
                    </w:rPr>
                  </w:pPr>
                  <w:r>
                    <w:rPr>
                      <w:rFonts w:hint="eastAsia"/>
                      <w:color w:val="auto"/>
                      <w:kern w:val="0"/>
                      <w:szCs w:val="21"/>
                    </w:rPr>
                    <w:t>颗粒物</w:t>
                  </w:r>
                </w:p>
              </w:tc>
              <w:tc>
                <w:tcPr>
                  <w:tcW w:w="1735" w:type="pct"/>
                  <w:gridSpan w:val="2"/>
                  <w:vAlign w:val="center"/>
                </w:tcPr>
                <w:p>
                  <w:pPr>
                    <w:jc w:val="center"/>
                    <w:rPr>
                      <w:color w:val="auto"/>
                      <w:szCs w:val="21"/>
                    </w:rPr>
                  </w:pPr>
                  <w:r>
                    <w:rPr>
                      <w:rFonts w:hint="eastAsia"/>
                      <w:color w:val="auto"/>
                      <w:szCs w:val="21"/>
                    </w:rPr>
                    <w:t>作为原料使用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159" w:type="pct"/>
                  <w:vMerge w:val="continue"/>
                  <w:tcBorders>
                    <w:right w:val="single" w:color="auto" w:sz="4" w:space="0"/>
                  </w:tcBorders>
                  <w:vAlign w:val="center"/>
                </w:tcPr>
                <w:p>
                  <w:pPr>
                    <w:jc w:val="center"/>
                    <w:rPr>
                      <w:color w:val="auto"/>
                      <w:szCs w:val="21"/>
                    </w:rPr>
                  </w:pPr>
                </w:p>
              </w:tc>
              <w:tc>
                <w:tcPr>
                  <w:tcW w:w="226" w:type="pct"/>
                  <w:vMerge w:val="continue"/>
                  <w:tcBorders>
                    <w:left w:val="single" w:color="auto" w:sz="4" w:space="0"/>
                  </w:tcBorders>
                  <w:vAlign w:val="center"/>
                </w:tcPr>
                <w:p>
                  <w:pPr>
                    <w:jc w:val="center"/>
                    <w:rPr>
                      <w:color w:val="auto"/>
                      <w:szCs w:val="21"/>
                    </w:rPr>
                  </w:pPr>
                </w:p>
              </w:tc>
              <w:tc>
                <w:tcPr>
                  <w:tcW w:w="361" w:type="pct"/>
                  <w:tcBorders>
                    <w:right w:val="single" w:color="auto" w:sz="4" w:space="0"/>
                  </w:tcBorders>
                  <w:vAlign w:val="center"/>
                </w:tcPr>
                <w:p>
                  <w:pPr>
                    <w:jc w:val="center"/>
                    <w:rPr>
                      <w:color w:val="auto"/>
                      <w:szCs w:val="21"/>
                    </w:rPr>
                  </w:pPr>
                  <w:r>
                    <w:rPr>
                      <w:rFonts w:hint="eastAsia"/>
                      <w:color w:val="auto"/>
                      <w:szCs w:val="21"/>
                    </w:rPr>
                    <w:t>S1</w:t>
                  </w:r>
                </w:p>
              </w:tc>
              <w:tc>
                <w:tcPr>
                  <w:tcW w:w="875" w:type="pct"/>
                  <w:tcBorders>
                    <w:left w:val="single" w:color="auto" w:sz="4" w:space="0"/>
                  </w:tcBorders>
                  <w:vAlign w:val="center"/>
                </w:tcPr>
                <w:p>
                  <w:pPr>
                    <w:jc w:val="center"/>
                    <w:rPr>
                      <w:color w:val="auto"/>
                      <w:szCs w:val="21"/>
                    </w:rPr>
                  </w:pPr>
                  <w:r>
                    <w:rPr>
                      <w:rFonts w:hint="eastAsia"/>
                      <w:color w:val="auto"/>
                      <w:szCs w:val="21"/>
                    </w:rPr>
                    <w:t>不合格产品</w:t>
                  </w:r>
                </w:p>
              </w:tc>
              <w:tc>
                <w:tcPr>
                  <w:tcW w:w="793" w:type="pct"/>
                  <w:vAlign w:val="center"/>
                </w:tcPr>
                <w:p>
                  <w:pPr>
                    <w:jc w:val="center"/>
                    <w:rPr>
                      <w:color w:val="auto"/>
                      <w:szCs w:val="21"/>
                    </w:rPr>
                  </w:pPr>
                  <w:r>
                    <w:rPr>
                      <w:rFonts w:hint="eastAsia"/>
                      <w:color w:val="auto"/>
                      <w:szCs w:val="21"/>
                    </w:rPr>
                    <w:t>成型、窑烧</w:t>
                  </w:r>
                </w:p>
              </w:tc>
              <w:tc>
                <w:tcPr>
                  <w:tcW w:w="851" w:type="pct"/>
                  <w:vAlign w:val="center"/>
                </w:tcPr>
                <w:p>
                  <w:pPr>
                    <w:jc w:val="center"/>
                    <w:rPr>
                      <w:color w:val="auto"/>
                      <w:szCs w:val="21"/>
                    </w:rPr>
                  </w:pPr>
                  <w:r>
                    <w:rPr>
                      <w:rFonts w:hint="eastAsia"/>
                      <w:color w:val="auto"/>
                      <w:szCs w:val="21"/>
                    </w:rPr>
                    <w:t>耐火砖</w:t>
                  </w:r>
                </w:p>
              </w:tc>
              <w:tc>
                <w:tcPr>
                  <w:tcW w:w="1735" w:type="pct"/>
                  <w:gridSpan w:val="2"/>
                  <w:vAlign w:val="center"/>
                </w:tcPr>
                <w:p>
                  <w:pPr>
                    <w:jc w:val="center"/>
                    <w:rPr>
                      <w:color w:val="auto"/>
                      <w:szCs w:val="21"/>
                    </w:rPr>
                  </w:pPr>
                  <w:r>
                    <w:rPr>
                      <w:rFonts w:hint="eastAsia"/>
                      <w:color w:val="auto"/>
                      <w:szCs w:val="21"/>
                    </w:rPr>
                    <w:t>作为原料投入破碎机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159" w:type="pct"/>
                  <w:vMerge w:val="continue"/>
                  <w:tcBorders>
                    <w:right w:val="single" w:color="auto" w:sz="4" w:space="0"/>
                  </w:tcBorders>
                  <w:vAlign w:val="center"/>
                </w:tcPr>
                <w:p>
                  <w:pPr>
                    <w:jc w:val="center"/>
                    <w:rPr>
                      <w:color w:val="auto"/>
                      <w:szCs w:val="21"/>
                    </w:rPr>
                  </w:pPr>
                </w:p>
              </w:tc>
              <w:tc>
                <w:tcPr>
                  <w:tcW w:w="226" w:type="pct"/>
                  <w:vMerge w:val="continue"/>
                  <w:tcBorders>
                    <w:left w:val="single" w:color="auto" w:sz="4" w:space="0"/>
                    <w:bottom w:val="single" w:color="auto" w:sz="4" w:space="0"/>
                  </w:tcBorders>
                  <w:vAlign w:val="center"/>
                </w:tcPr>
                <w:p>
                  <w:pPr>
                    <w:jc w:val="center"/>
                    <w:rPr>
                      <w:color w:val="auto"/>
                      <w:szCs w:val="21"/>
                    </w:rPr>
                  </w:pPr>
                </w:p>
              </w:tc>
              <w:tc>
                <w:tcPr>
                  <w:tcW w:w="361" w:type="pct"/>
                  <w:tcBorders>
                    <w:right w:val="single" w:color="auto" w:sz="4" w:space="0"/>
                  </w:tcBorders>
                  <w:vAlign w:val="center"/>
                </w:tcPr>
                <w:p>
                  <w:pPr>
                    <w:jc w:val="center"/>
                    <w:rPr>
                      <w:color w:val="auto"/>
                      <w:szCs w:val="21"/>
                    </w:rPr>
                  </w:pPr>
                  <w:r>
                    <w:rPr>
                      <w:rFonts w:hint="eastAsia"/>
                      <w:color w:val="auto"/>
                      <w:szCs w:val="21"/>
                    </w:rPr>
                    <w:t>S2</w:t>
                  </w:r>
                </w:p>
              </w:tc>
              <w:tc>
                <w:tcPr>
                  <w:tcW w:w="875" w:type="pct"/>
                  <w:tcBorders>
                    <w:left w:val="single" w:color="auto" w:sz="4" w:space="0"/>
                  </w:tcBorders>
                  <w:vAlign w:val="center"/>
                </w:tcPr>
                <w:p>
                  <w:pPr>
                    <w:jc w:val="center"/>
                    <w:rPr>
                      <w:color w:val="auto"/>
                      <w:szCs w:val="21"/>
                    </w:rPr>
                  </w:pPr>
                  <w:r>
                    <w:rPr>
                      <w:rFonts w:hint="eastAsia"/>
                      <w:color w:val="auto"/>
                      <w:szCs w:val="21"/>
                    </w:rPr>
                    <w:t>石膏渣</w:t>
                  </w:r>
                </w:p>
              </w:tc>
              <w:tc>
                <w:tcPr>
                  <w:tcW w:w="793" w:type="pct"/>
                  <w:vAlign w:val="center"/>
                </w:tcPr>
                <w:p>
                  <w:pPr>
                    <w:jc w:val="center"/>
                    <w:rPr>
                      <w:color w:val="auto"/>
                      <w:szCs w:val="21"/>
                    </w:rPr>
                  </w:pPr>
                  <w:r>
                    <w:rPr>
                      <w:rFonts w:hint="eastAsia"/>
                      <w:color w:val="auto"/>
                      <w:szCs w:val="21"/>
                    </w:rPr>
                    <w:t>窑烧烟气处理废水再生</w:t>
                  </w:r>
                </w:p>
              </w:tc>
              <w:tc>
                <w:tcPr>
                  <w:tcW w:w="851" w:type="pct"/>
                  <w:vAlign w:val="center"/>
                </w:tcPr>
                <w:p>
                  <w:pPr>
                    <w:jc w:val="center"/>
                    <w:rPr>
                      <w:color w:val="auto"/>
                      <w:szCs w:val="21"/>
                    </w:rPr>
                  </w:pPr>
                  <w:r>
                    <w:rPr>
                      <w:rFonts w:hint="eastAsia"/>
                      <w:color w:val="auto"/>
                      <w:szCs w:val="21"/>
                    </w:rPr>
                    <w:t>硫酸钙、碳酸钙</w:t>
                  </w:r>
                </w:p>
              </w:tc>
              <w:tc>
                <w:tcPr>
                  <w:tcW w:w="1735" w:type="pct"/>
                  <w:gridSpan w:val="2"/>
                  <w:vAlign w:val="center"/>
                </w:tcPr>
                <w:p>
                  <w:pPr>
                    <w:jc w:val="center"/>
                    <w:rPr>
                      <w:color w:val="auto"/>
                      <w:szCs w:val="21"/>
                    </w:rPr>
                  </w:pPr>
                  <w:r>
                    <w:rPr>
                      <w:rFonts w:hint="eastAsia"/>
                      <w:color w:val="auto"/>
                      <w:szCs w:val="21"/>
                    </w:rPr>
                    <w:t>作为制砖原料外售给砖厂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159" w:type="pct"/>
                  <w:vMerge w:val="continue"/>
                  <w:tcBorders>
                    <w:right w:val="single" w:color="auto" w:sz="4" w:space="0"/>
                  </w:tcBorders>
                  <w:vAlign w:val="center"/>
                </w:tcPr>
                <w:p>
                  <w:pPr>
                    <w:jc w:val="center"/>
                    <w:rPr>
                      <w:color w:val="auto"/>
                      <w:szCs w:val="21"/>
                    </w:rPr>
                  </w:pPr>
                </w:p>
              </w:tc>
              <w:tc>
                <w:tcPr>
                  <w:tcW w:w="226" w:type="pct"/>
                  <w:tcBorders>
                    <w:top w:val="single" w:color="auto" w:sz="4" w:space="0"/>
                    <w:left w:val="single" w:color="auto" w:sz="4" w:space="0"/>
                    <w:bottom w:val="single" w:color="auto" w:sz="4" w:space="0"/>
                  </w:tcBorders>
                  <w:vAlign w:val="center"/>
                </w:tcPr>
                <w:p>
                  <w:pPr>
                    <w:jc w:val="center"/>
                    <w:rPr>
                      <w:color w:val="auto"/>
                      <w:szCs w:val="21"/>
                    </w:rPr>
                  </w:pPr>
                  <w:r>
                    <w:rPr>
                      <w:rFonts w:hint="eastAsia"/>
                      <w:color w:val="auto"/>
                      <w:szCs w:val="21"/>
                    </w:rPr>
                    <w:t>危废</w:t>
                  </w:r>
                </w:p>
              </w:tc>
              <w:tc>
                <w:tcPr>
                  <w:tcW w:w="361" w:type="pct"/>
                  <w:tcBorders>
                    <w:right w:val="single" w:color="auto" w:sz="4" w:space="0"/>
                  </w:tcBorders>
                  <w:vAlign w:val="center"/>
                </w:tcPr>
                <w:p>
                  <w:pPr>
                    <w:jc w:val="center"/>
                    <w:rPr>
                      <w:color w:val="auto"/>
                      <w:szCs w:val="21"/>
                    </w:rPr>
                  </w:pPr>
                  <w:r>
                    <w:rPr>
                      <w:rFonts w:hint="eastAsia"/>
                      <w:color w:val="auto"/>
                      <w:szCs w:val="21"/>
                    </w:rPr>
                    <w:t>/</w:t>
                  </w:r>
                </w:p>
              </w:tc>
              <w:tc>
                <w:tcPr>
                  <w:tcW w:w="875" w:type="pct"/>
                  <w:tcBorders>
                    <w:left w:val="single" w:color="auto" w:sz="4" w:space="0"/>
                  </w:tcBorders>
                  <w:vAlign w:val="center"/>
                </w:tcPr>
                <w:p>
                  <w:pPr>
                    <w:jc w:val="center"/>
                    <w:rPr>
                      <w:color w:val="auto"/>
                      <w:szCs w:val="21"/>
                    </w:rPr>
                  </w:pPr>
                  <w:r>
                    <w:rPr>
                      <w:rFonts w:hint="eastAsia"/>
                      <w:color w:val="auto"/>
                      <w:szCs w:val="21"/>
                    </w:rPr>
                    <w:t>废机油</w:t>
                  </w:r>
                </w:p>
              </w:tc>
              <w:tc>
                <w:tcPr>
                  <w:tcW w:w="793" w:type="pct"/>
                  <w:vAlign w:val="center"/>
                </w:tcPr>
                <w:p>
                  <w:pPr>
                    <w:jc w:val="center"/>
                    <w:rPr>
                      <w:color w:val="auto"/>
                      <w:szCs w:val="21"/>
                    </w:rPr>
                  </w:pPr>
                  <w:r>
                    <w:rPr>
                      <w:rFonts w:hint="eastAsia"/>
                      <w:color w:val="auto"/>
                      <w:szCs w:val="21"/>
                    </w:rPr>
                    <w:t>设备维修保养</w:t>
                  </w:r>
                </w:p>
              </w:tc>
              <w:tc>
                <w:tcPr>
                  <w:tcW w:w="851" w:type="pct"/>
                  <w:vAlign w:val="center"/>
                </w:tcPr>
                <w:p>
                  <w:pPr>
                    <w:jc w:val="center"/>
                    <w:rPr>
                      <w:color w:val="auto"/>
                      <w:szCs w:val="21"/>
                    </w:rPr>
                  </w:pPr>
                  <w:r>
                    <w:rPr>
                      <w:rFonts w:hint="eastAsia"/>
                      <w:color w:val="auto"/>
                      <w:szCs w:val="21"/>
                    </w:rPr>
                    <w:t>矿物油</w:t>
                  </w:r>
                </w:p>
              </w:tc>
              <w:tc>
                <w:tcPr>
                  <w:tcW w:w="1735" w:type="pct"/>
                  <w:gridSpan w:val="2"/>
                  <w:vAlign w:val="center"/>
                </w:tcPr>
                <w:p>
                  <w:pPr>
                    <w:jc w:val="center"/>
                    <w:rPr>
                      <w:color w:val="auto"/>
                      <w:szCs w:val="21"/>
                    </w:rPr>
                  </w:pPr>
                  <w:r>
                    <w:rPr>
                      <w:rFonts w:hint="eastAsia"/>
                      <w:color w:val="auto"/>
                      <w:szCs w:val="21"/>
                    </w:rPr>
                    <w:t>暂存于危废间，由有资质的单位定期清运处置</w:t>
                  </w:r>
                </w:p>
              </w:tc>
            </w:tr>
          </w:tbl>
          <w:p>
            <w:pPr>
              <w:spacing w:line="360" w:lineRule="auto"/>
              <w:rPr>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Align w:val="center"/>
          </w:tcPr>
          <w:p>
            <w:pPr>
              <w:pStyle w:val="19"/>
              <w:adjustRightInd w:val="0"/>
              <w:snapToGrid w:val="0"/>
              <w:spacing w:before="0" w:beforeAutospacing="0" w:after="0" w:afterAutospacing="0"/>
              <w:jc w:val="center"/>
              <w:rPr>
                <w:rFonts w:cs="宋体"/>
                <w:color w:val="auto"/>
                <w:sz w:val="21"/>
                <w:szCs w:val="21"/>
              </w:rPr>
            </w:pPr>
            <w:r>
              <w:rPr>
                <w:rFonts w:hint="eastAsia" w:cs="宋体"/>
                <w:bCs/>
                <w:color w:val="auto"/>
                <w:kern w:val="2"/>
                <w:szCs w:val="24"/>
              </w:rPr>
              <w:t>与项目有关的原有环境污染问题</w:t>
            </w:r>
          </w:p>
        </w:tc>
        <w:tc>
          <w:tcPr>
            <w:tcW w:w="8161" w:type="dxa"/>
          </w:tcPr>
          <w:p>
            <w:pPr>
              <w:adjustRightInd w:val="0"/>
              <w:snapToGrid w:val="0"/>
              <w:spacing w:line="360" w:lineRule="auto"/>
              <w:rPr>
                <w:b/>
                <w:color w:val="auto"/>
                <w:sz w:val="24"/>
              </w:rPr>
            </w:pPr>
            <w:r>
              <w:rPr>
                <w:rFonts w:hint="eastAsia"/>
                <w:b/>
                <w:color w:val="auto"/>
                <w:sz w:val="24"/>
              </w:rPr>
              <w:t>2.12、现有工程概况</w:t>
            </w:r>
            <w:r>
              <w:rPr>
                <w:b/>
                <w:color w:val="auto"/>
                <w:sz w:val="24"/>
              </w:rPr>
              <w:t xml:space="preserve"> </w:t>
            </w:r>
          </w:p>
          <w:p>
            <w:pPr>
              <w:adjustRightInd w:val="0"/>
              <w:snapToGrid w:val="0"/>
              <w:spacing w:line="360" w:lineRule="auto"/>
              <w:ind w:firstLine="480" w:firstLineChars="200"/>
              <w:rPr>
                <w:bCs/>
                <w:color w:val="auto"/>
                <w:sz w:val="24"/>
              </w:rPr>
            </w:pPr>
            <w:r>
              <w:rPr>
                <w:rFonts w:hint="eastAsia"/>
                <w:bCs/>
                <w:color w:val="auto"/>
                <w:sz w:val="24"/>
              </w:rPr>
              <w:t>（1）现有工程概况</w:t>
            </w:r>
          </w:p>
          <w:p>
            <w:pPr>
              <w:adjustRightInd w:val="0"/>
              <w:snapToGrid w:val="0"/>
              <w:spacing w:line="360" w:lineRule="auto"/>
              <w:ind w:firstLine="480" w:firstLineChars="200"/>
              <w:rPr>
                <w:bCs/>
                <w:color w:val="auto"/>
                <w:sz w:val="24"/>
              </w:rPr>
            </w:pPr>
            <w:r>
              <w:rPr>
                <w:rFonts w:hint="eastAsia"/>
                <w:bCs/>
                <w:color w:val="auto"/>
                <w:sz w:val="24"/>
              </w:rPr>
              <w:t>①建设地点：宜良工业园区北古城片区；</w:t>
            </w:r>
          </w:p>
          <w:p>
            <w:pPr>
              <w:adjustRightInd w:val="0"/>
              <w:snapToGrid w:val="0"/>
              <w:spacing w:line="360" w:lineRule="auto"/>
              <w:ind w:firstLine="480" w:firstLineChars="200"/>
              <w:rPr>
                <w:bCs/>
                <w:color w:val="auto"/>
                <w:sz w:val="24"/>
              </w:rPr>
            </w:pPr>
            <w:r>
              <w:rPr>
                <w:rFonts w:hint="eastAsia"/>
                <w:bCs/>
                <w:color w:val="auto"/>
                <w:sz w:val="24"/>
              </w:rPr>
              <w:t>②占地面积：29885.27m</w:t>
            </w:r>
            <w:r>
              <w:rPr>
                <w:rFonts w:hint="eastAsia"/>
                <w:bCs/>
                <w:color w:val="auto"/>
                <w:sz w:val="24"/>
                <w:vertAlign w:val="superscript"/>
              </w:rPr>
              <w:t>2</w:t>
            </w:r>
            <w:r>
              <w:rPr>
                <w:rFonts w:hint="eastAsia"/>
                <w:bCs/>
                <w:color w:val="auto"/>
                <w:sz w:val="24"/>
              </w:rPr>
              <w:t>；</w:t>
            </w:r>
          </w:p>
          <w:p>
            <w:pPr>
              <w:adjustRightInd w:val="0"/>
              <w:snapToGrid w:val="0"/>
              <w:spacing w:line="360" w:lineRule="auto"/>
              <w:ind w:firstLine="480" w:firstLineChars="200"/>
              <w:rPr>
                <w:bCs/>
                <w:color w:val="auto"/>
                <w:sz w:val="24"/>
              </w:rPr>
            </w:pPr>
            <w:r>
              <w:rPr>
                <w:rFonts w:hint="eastAsia"/>
                <w:bCs/>
                <w:color w:val="auto"/>
                <w:sz w:val="24"/>
              </w:rPr>
              <w:t>③生产规模：年产不定型</w:t>
            </w:r>
            <w:r>
              <w:rPr>
                <w:rFonts w:hint="eastAsia"/>
                <w:bCs/>
                <w:color w:val="auto"/>
                <w:sz w:val="24"/>
                <w:lang w:val="en-US" w:eastAsia="zh-CN"/>
              </w:rPr>
              <w:t>耐火</w:t>
            </w:r>
            <w:r>
              <w:rPr>
                <w:rFonts w:hint="eastAsia"/>
                <w:bCs/>
                <w:color w:val="auto"/>
                <w:sz w:val="24"/>
              </w:rPr>
              <w:t>材料1.2万t/a、定型耐火材料2.8万t/a，共计年产耐火材料4万t/a。</w:t>
            </w:r>
          </w:p>
          <w:p>
            <w:pPr>
              <w:adjustRightInd w:val="0"/>
              <w:snapToGrid w:val="0"/>
              <w:spacing w:line="360" w:lineRule="auto"/>
              <w:ind w:firstLine="480" w:firstLineChars="200"/>
              <w:rPr>
                <w:bCs/>
                <w:color w:val="auto"/>
                <w:sz w:val="24"/>
              </w:rPr>
            </w:pPr>
            <w:r>
              <w:rPr>
                <w:rFonts w:hint="eastAsia"/>
                <w:bCs/>
                <w:color w:val="auto"/>
                <w:sz w:val="24"/>
              </w:rPr>
              <w:t>④工程建设内容：</w:t>
            </w:r>
            <w:r>
              <w:rPr>
                <w:color w:val="auto"/>
                <w:sz w:val="24"/>
              </w:rPr>
              <w:t>粉碎车间、配料混合车间、成型车间、办公室、仓库和职工宿舍各1栋，隧道窑1条</w:t>
            </w:r>
            <w:r>
              <w:rPr>
                <w:rFonts w:hint="eastAsia"/>
                <w:color w:val="auto"/>
                <w:sz w:val="24"/>
              </w:rPr>
              <w:t>（燃料为煤气），详见表2-</w:t>
            </w:r>
            <w:r>
              <w:rPr>
                <w:rFonts w:hint="eastAsia"/>
                <w:color w:val="auto"/>
                <w:sz w:val="24"/>
                <w:lang w:val="en-US" w:eastAsia="zh-CN"/>
              </w:rPr>
              <w:t>9</w:t>
            </w:r>
            <w:r>
              <w:rPr>
                <w:rFonts w:hint="eastAsia"/>
                <w:color w:val="auto"/>
                <w:sz w:val="24"/>
              </w:rPr>
              <w:t>。</w:t>
            </w:r>
          </w:p>
          <w:p>
            <w:pPr>
              <w:adjustRightInd w:val="0"/>
              <w:snapToGrid w:val="0"/>
              <w:ind w:firstLine="198"/>
              <w:jc w:val="center"/>
              <w:rPr>
                <w:b/>
                <w:color w:val="auto"/>
                <w:szCs w:val="21"/>
              </w:rPr>
            </w:pPr>
            <w:r>
              <w:rPr>
                <w:rFonts w:hint="eastAsia"/>
                <w:b/>
                <w:color w:val="auto"/>
                <w:szCs w:val="21"/>
              </w:rPr>
              <w:t>表2-</w:t>
            </w:r>
            <w:r>
              <w:rPr>
                <w:rFonts w:hint="eastAsia"/>
                <w:b/>
                <w:color w:val="auto"/>
                <w:szCs w:val="21"/>
                <w:lang w:val="en-US" w:eastAsia="zh-CN"/>
              </w:rPr>
              <w:t>9</w:t>
            </w:r>
            <w:r>
              <w:rPr>
                <w:rFonts w:hint="eastAsia"/>
                <w:b/>
                <w:color w:val="auto"/>
                <w:szCs w:val="21"/>
              </w:rPr>
              <w:t xml:space="preserve">  现有工程建设内容一览表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498"/>
              <w:gridCol w:w="1371"/>
              <w:gridCol w:w="989"/>
              <w:gridCol w:w="4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Align w:val="center"/>
                </w:tcPr>
                <w:p>
                  <w:pPr>
                    <w:jc w:val="center"/>
                    <w:rPr>
                      <w:rFonts w:eastAsiaTheme="minorEastAsia"/>
                      <w:snapToGrid w:val="0"/>
                      <w:color w:val="auto"/>
                      <w:kern w:val="0"/>
                      <w:szCs w:val="21"/>
                    </w:rPr>
                  </w:pPr>
                  <w:r>
                    <w:rPr>
                      <w:rFonts w:eastAsiaTheme="minorEastAsia"/>
                      <w:snapToGrid w:val="0"/>
                      <w:color w:val="auto"/>
                      <w:kern w:val="0"/>
                      <w:szCs w:val="21"/>
                    </w:rPr>
                    <w:t>分类</w:t>
                  </w:r>
                </w:p>
              </w:tc>
              <w:tc>
                <w:tcPr>
                  <w:tcW w:w="1115" w:type="pct"/>
                  <w:gridSpan w:val="2"/>
                  <w:vAlign w:val="center"/>
                </w:tcPr>
                <w:p>
                  <w:pPr>
                    <w:jc w:val="center"/>
                    <w:rPr>
                      <w:rFonts w:eastAsiaTheme="minorEastAsia"/>
                      <w:snapToGrid w:val="0"/>
                      <w:color w:val="auto"/>
                      <w:kern w:val="0"/>
                      <w:szCs w:val="21"/>
                    </w:rPr>
                  </w:pPr>
                  <w:r>
                    <w:rPr>
                      <w:rFonts w:eastAsiaTheme="minorEastAsia"/>
                      <w:snapToGrid w:val="0"/>
                      <w:color w:val="auto"/>
                      <w:kern w:val="0"/>
                      <w:szCs w:val="21"/>
                    </w:rPr>
                    <w:t>项目</w:t>
                  </w:r>
                </w:p>
              </w:tc>
              <w:tc>
                <w:tcPr>
                  <w:tcW w:w="3442" w:type="pct"/>
                  <w:gridSpan w:val="2"/>
                  <w:vAlign w:val="center"/>
                </w:tcPr>
                <w:p>
                  <w:pPr>
                    <w:jc w:val="center"/>
                    <w:rPr>
                      <w:rFonts w:eastAsiaTheme="minorEastAsia"/>
                      <w:snapToGrid w:val="0"/>
                      <w:color w:val="auto"/>
                      <w:kern w:val="0"/>
                      <w:szCs w:val="21"/>
                    </w:rPr>
                  </w:pPr>
                  <w:r>
                    <w:rPr>
                      <w:rFonts w:eastAsiaTheme="minorEastAsia"/>
                      <w:snapToGrid w:val="0"/>
                      <w:color w:val="auto"/>
                      <w:kern w:val="0"/>
                      <w:szCs w:val="21"/>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restart"/>
                  <w:vAlign w:val="center"/>
                </w:tcPr>
                <w:p>
                  <w:pPr>
                    <w:jc w:val="center"/>
                    <w:rPr>
                      <w:rFonts w:eastAsiaTheme="minorEastAsia"/>
                      <w:snapToGrid w:val="0"/>
                      <w:color w:val="auto"/>
                      <w:kern w:val="0"/>
                      <w:szCs w:val="21"/>
                    </w:rPr>
                  </w:pPr>
                  <w:r>
                    <w:rPr>
                      <w:rFonts w:eastAsiaTheme="minorEastAsia"/>
                      <w:snapToGrid w:val="0"/>
                      <w:color w:val="auto"/>
                      <w:kern w:val="0"/>
                      <w:szCs w:val="21"/>
                    </w:rPr>
                    <w:t>主体工程</w:t>
                  </w:r>
                </w:p>
              </w:tc>
              <w:tc>
                <w:tcPr>
                  <w:tcW w:w="1115" w:type="pct"/>
                  <w:gridSpan w:val="2"/>
                  <w:vAlign w:val="center"/>
                </w:tcPr>
                <w:p>
                  <w:pPr>
                    <w:widowControl/>
                    <w:jc w:val="center"/>
                    <w:textAlignment w:val="center"/>
                    <w:rPr>
                      <w:rFonts w:eastAsiaTheme="minorEastAsia"/>
                      <w:color w:val="auto"/>
                      <w:szCs w:val="21"/>
                    </w:rPr>
                  </w:pPr>
                  <w:r>
                    <w:rPr>
                      <w:rFonts w:eastAsiaTheme="minorEastAsia"/>
                      <w:color w:val="auto"/>
                      <w:szCs w:val="21"/>
                    </w:rPr>
                    <w:t>1#烧成车间</w:t>
                  </w:r>
                </w:p>
              </w:tc>
              <w:tc>
                <w:tcPr>
                  <w:tcW w:w="3442" w:type="pct"/>
                  <w:gridSpan w:val="2"/>
                  <w:vAlign w:val="center"/>
                </w:tcPr>
                <w:p>
                  <w:pPr>
                    <w:widowControl/>
                    <w:textAlignment w:val="center"/>
                    <w:rPr>
                      <w:rFonts w:eastAsiaTheme="minorEastAsia"/>
                      <w:color w:val="auto"/>
                      <w:szCs w:val="21"/>
                    </w:rPr>
                  </w:pPr>
                  <w:r>
                    <w:rPr>
                      <w:rFonts w:eastAsiaTheme="minorEastAsia"/>
                      <w:color w:val="auto"/>
                      <w:kern w:val="0"/>
                      <w:szCs w:val="21"/>
                    </w:rPr>
                    <w:t>1座，位于厂区中部，占地面积698m</w:t>
                  </w:r>
                  <w:r>
                    <w:rPr>
                      <w:rFonts w:eastAsiaTheme="minorEastAsia"/>
                      <w:color w:val="auto"/>
                      <w:kern w:val="0"/>
                      <w:szCs w:val="21"/>
                      <w:vertAlign w:val="superscript"/>
                    </w:rPr>
                    <w:t>2</w:t>
                  </w:r>
                  <w:r>
                    <w:rPr>
                      <w:rFonts w:eastAsiaTheme="minorEastAsia"/>
                      <w:color w:val="auto"/>
                      <w:kern w:val="0"/>
                      <w:szCs w:val="21"/>
                    </w:rPr>
                    <w:t>，设三面围挡+彩钢瓦顶棚，内现有一条80m</w:t>
                  </w:r>
                  <w:r>
                    <w:rPr>
                      <w:rFonts w:eastAsiaTheme="minorEastAsia"/>
                      <w:color w:val="auto"/>
                      <w:szCs w:val="21"/>
                    </w:rPr>
                    <w:t>×2.5m×3m的</w:t>
                  </w:r>
                  <w:r>
                    <w:rPr>
                      <w:rFonts w:eastAsiaTheme="minorEastAsia"/>
                      <w:color w:val="auto"/>
                      <w:kern w:val="0"/>
                      <w:szCs w:val="21"/>
                    </w:rPr>
                    <w:t>隧道窑</w:t>
                  </w:r>
                  <w:r>
                    <w:rPr>
                      <w:rFonts w:eastAsiaTheme="minorEastAsia"/>
                      <w:color w:val="auto"/>
                      <w:szCs w:val="21"/>
                    </w:rPr>
                    <w:t>，一条</w:t>
                  </w:r>
                  <w:r>
                    <w:rPr>
                      <w:rFonts w:eastAsiaTheme="minorEastAsia"/>
                      <w:color w:val="auto"/>
                      <w:kern w:val="0"/>
                      <w:szCs w:val="21"/>
                    </w:rPr>
                    <w:t>50m</w:t>
                  </w:r>
                  <w:r>
                    <w:rPr>
                      <w:rFonts w:eastAsiaTheme="minorEastAsia"/>
                      <w:color w:val="auto"/>
                      <w:szCs w:val="21"/>
                    </w:rPr>
                    <w:t>×2.5m×3m的烘干窑</w:t>
                  </w:r>
                  <w:r>
                    <w:rPr>
                      <w:rFonts w:hint="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continue"/>
                  <w:vAlign w:val="center"/>
                </w:tcPr>
                <w:p>
                  <w:pPr>
                    <w:jc w:val="center"/>
                    <w:rPr>
                      <w:rFonts w:eastAsiaTheme="minorEastAsia"/>
                      <w:snapToGrid w:val="0"/>
                      <w:color w:val="auto"/>
                      <w:kern w:val="0"/>
                      <w:szCs w:val="21"/>
                    </w:rPr>
                  </w:pPr>
                </w:p>
              </w:tc>
              <w:tc>
                <w:tcPr>
                  <w:tcW w:w="1115" w:type="pct"/>
                  <w:gridSpan w:val="2"/>
                  <w:vAlign w:val="center"/>
                </w:tcPr>
                <w:p>
                  <w:pPr>
                    <w:widowControl/>
                    <w:jc w:val="center"/>
                    <w:rPr>
                      <w:rFonts w:eastAsiaTheme="minorEastAsia"/>
                      <w:color w:val="auto"/>
                      <w:szCs w:val="21"/>
                    </w:rPr>
                  </w:pPr>
                  <w:r>
                    <w:rPr>
                      <w:rFonts w:eastAsiaTheme="minorEastAsia"/>
                      <w:color w:val="auto"/>
                      <w:kern w:val="0"/>
                      <w:szCs w:val="21"/>
                    </w:rPr>
                    <w:t>破碎车间</w:t>
                  </w:r>
                </w:p>
              </w:tc>
              <w:tc>
                <w:tcPr>
                  <w:tcW w:w="3442" w:type="pct"/>
                  <w:gridSpan w:val="2"/>
                  <w:vAlign w:val="center"/>
                </w:tcPr>
                <w:p>
                  <w:pPr>
                    <w:widowControl/>
                    <w:rPr>
                      <w:rFonts w:eastAsiaTheme="minorEastAsia"/>
                      <w:color w:val="auto"/>
                      <w:kern w:val="0"/>
                      <w:szCs w:val="21"/>
                    </w:rPr>
                  </w:pPr>
                  <w:r>
                    <w:rPr>
                      <w:rFonts w:eastAsiaTheme="minorEastAsia"/>
                      <w:color w:val="auto"/>
                      <w:kern w:val="0"/>
                      <w:szCs w:val="21"/>
                    </w:rPr>
                    <w:t>1座，位于原料堆场北侧，紧邻原有原料堆场，</w:t>
                  </w:r>
                  <w:r>
                    <w:rPr>
                      <w:rFonts w:eastAsiaTheme="minorEastAsia"/>
                      <w:color w:val="auto"/>
                      <w:szCs w:val="21"/>
                    </w:rPr>
                    <w:t>设</w:t>
                  </w:r>
                  <w:r>
                    <w:rPr>
                      <w:rFonts w:eastAsiaTheme="minorEastAsia"/>
                      <w:color w:val="auto"/>
                      <w:kern w:val="0"/>
                      <w:szCs w:val="21"/>
                    </w:rPr>
                    <w:t>三面围挡+彩钢瓦顶棚，占地面积300m</w:t>
                  </w:r>
                  <w:r>
                    <w:rPr>
                      <w:rFonts w:eastAsiaTheme="minorEastAsia"/>
                      <w:color w:val="auto"/>
                      <w:kern w:val="0"/>
                      <w:szCs w:val="21"/>
                      <w:vertAlign w:val="superscript"/>
                    </w:rPr>
                    <w:t>2</w:t>
                  </w:r>
                  <w:r>
                    <w:rPr>
                      <w:rFonts w:eastAsiaTheme="minorEastAsia"/>
                      <w:color w:val="auto"/>
                      <w:kern w:val="0"/>
                      <w:szCs w:val="21"/>
                    </w:rPr>
                    <w:t>，地面已硬化，现有颚式破碎机5台、双辊破碎机6台、球磨机1台、高压粉磨机2台</w:t>
                  </w:r>
                  <w:r>
                    <w:rPr>
                      <w:rFonts w:hint="eastAsia" w:eastAsiaTheme="minorEastAsia"/>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continue"/>
                  <w:vAlign w:val="center"/>
                </w:tcPr>
                <w:p>
                  <w:pPr>
                    <w:jc w:val="center"/>
                    <w:rPr>
                      <w:rFonts w:eastAsiaTheme="minorEastAsia"/>
                      <w:snapToGrid w:val="0"/>
                      <w:color w:val="auto"/>
                      <w:kern w:val="0"/>
                      <w:szCs w:val="21"/>
                    </w:rPr>
                  </w:pPr>
                </w:p>
              </w:tc>
              <w:tc>
                <w:tcPr>
                  <w:tcW w:w="1115" w:type="pct"/>
                  <w:gridSpan w:val="2"/>
                  <w:vAlign w:val="center"/>
                </w:tcPr>
                <w:p>
                  <w:pPr>
                    <w:widowControl/>
                    <w:jc w:val="center"/>
                    <w:rPr>
                      <w:rFonts w:eastAsiaTheme="minorEastAsia"/>
                      <w:color w:val="auto"/>
                      <w:szCs w:val="21"/>
                    </w:rPr>
                  </w:pPr>
                  <w:r>
                    <w:rPr>
                      <w:rFonts w:eastAsiaTheme="minorEastAsia"/>
                      <w:color w:val="auto"/>
                      <w:kern w:val="0"/>
                      <w:szCs w:val="21"/>
                    </w:rPr>
                    <w:t>成型车间</w:t>
                  </w:r>
                </w:p>
              </w:tc>
              <w:tc>
                <w:tcPr>
                  <w:tcW w:w="3442" w:type="pct"/>
                  <w:gridSpan w:val="2"/>
                  <w:vAlign w:val="center"/>
                </w:tcPr>
                <w:p>
                  <w:pPr>
                    <w:widowControl/>
                    <w:rPr>
                      <w:rFonts w:eastAsiaTheme="minorEastAsia"/>
                      <w:color w:val="auto"/>
                      <w:kern w:val="0"/>
                      <w:szCs w:val="21"/>
                    </w:rPr>
                  </w:pPr>
                  <w:r>
                    <w:rPr>
                      <w:rFonts w:eastAsiaTheme="minorEastAsia"/>
                      <w:color w:val="auto"/>
                      <w:kern w:val="0"/>
                      <w:szCs w:val="21"/>
                    </w:rPr>
                    <w:t>1座，位于厂区中部，</w:t>
                  </w:r>
                  <w:r>
                    <w:rPr>
                      <w:rFonts w:eastAsiaTheme="minorEastAsia"/>
                      <w:color w:val="auto"/>
                      <w:szCs w:val="21"/>
                    </w:rPr>
                    <w:t>设</w:t>
                  </w:r>
                  <w:r>
                    <w:rPr>
                      <w:rFonts w:eastAsiaTheme="minorEastAsia"/>
                      <w:color w:val="auto"/>
                      <w:kern w:val="0"/>
                      <w:szCs w:val="21"/>
                    </w:rPr>
                    <w:t>三面围挡+彩钢瓦顶棚，占地面积1296m</w:t>
                  </w:r>
                  <w:r>
                    <w:rPr>
                      <w:rFonts w:eastAsiaTheme="minorEastAsia"/>
                      <w:color w:val="auto"/>
                      <w:kern w:val="0"/>
                      <w:szCs w:val="21"/>
                      <w:vertAlign w:val="superscript"/>
                    </w:rPr>
                    <w:t>2</w:t>
                  </w:r>
                  <w:r>
                    <w:rPr>
                      <w:rFonts w:eastAsiaTheme="minorEastAsia"/>
                      <w:color w:val="auto"/>
                      <w:kern w:val="0"/>
                      <w:szCs w:val="21"/>
                    </w:rPr>
                    <w:t>，地面已硬化，现有行星式强制混合机6台、螺旋压力机16台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continue"/>
                  <w:vAlign w:val="center"/>
                </w:tcPr>
                <w:p>
                  <w:pPr>
                    <w:jc w:val="center"/>
                    <w:rPr>
                      <w:rFonts w:eastAsiaTheme="minorEastAsia"/>
                      <w:snapToGrid w:val="0"/>
                      <w:color w:val="auto"/>
                      <w:kern w:val="0"/>
                      <w:szCs w:val="21"/>
                    </w:rPr>
                  </w:pPr>
                </w:p>
              </w:tc>
              <w:tc>
                <w:tcPr>
                  <w:tcW w:w="1115" w:type="pct"/>
                  <w:gridSpan w:val="2"/>
                  <w:vAlign w:val="center"/>
                </w:tcPr>
                <w:p>
                  <w:pPr>
                    <w:widowControl/>
                    <w:jc w:val="center"/>
                    <w:textAlignment w:val="center"/>
                    <w:rPr>
                      <w:rFonts w:eastAsiaTheme="minorEastAsia"/>
                      <w:color w:val="auto"/>
                      <w:szCs w:val="21"/>
                    </w:rPr>
                  </w:pPr>
                  <w:r>
                    <w:rPr>
                      <w:rFonts w:eastAsiaTheme="minorEastAsia"/>
                      <w:color w:val="auto"/>
                      <w:szCs w:val="21"/>
                    </w:rPr>
                    <w:t>燃煤堆棚</w:t>
                  </w:r>
                </w:p>
              </w:tc>
              <w:tc>
                <w:tcPr>
                  <w:tcW w:w="3442" w:type="pct"/>
                  <w:gridSpan w:val="2"/>
                  <w:vAlign w:val="center"/>
                </w:tcPr>
                <w:p>
                  <w:pPr>
                    <w:widowControl/>
                    <w:rPr>
                      <w:rFonts w:eastAsiaTheme="minorEastAsia"/>
                      <w:color w:val="auto"/>
                      <w:kern w:val="0"/>
                      <w:szCs w:val="21"/>
                    </w:rPr>
                  </w:pPr>
                  <w:r>
                    <w:rPr>
                      <w:rFonts w:eastAsiaTheme="minorEastAsia"/>
                      <w:color w:val="auto"/>
                      <w:kern w:val="0"/>
                      <w:szCs w:val="21"/>
                    </w:rPr>
                    <w:t>1座，位于厂区最北侧，占地面积1087m</w:t>
                  </w:r>
                  <w:r>
                    <w:rPr>
                      <w:rFonts w:eastAsiaTheme="minorEastAsia"/>
                      <w:color w:val="auto"/>
                      <w:kern w:val="0"/>
                      <w:szCs w:val="21"/>
                      <w:vertAlign w:val="superscript"/>
                    </w:rPr>
                    <w:t>2</w:t>
                  </w:r>
                  <w:r>
                    <w:rPr>
                      <w:rFonts w:eastAsiaTheme="minorEastAsia"/>
                      <w:color w:val="auto"/>
                      <w:kern w:val="0"/>
                      <w:szCs w:val="21"/>
                    </w:rPr>
                    <w:t>，设顶棚+三面围挡，用于燃煤堆放</w:t>
                  </w:r>
                  <w:r>
                    <w:rPr>
                      <w:rFonts w:hint="eastAsia" w:eastAsiaTheme="minorEastAsia"/>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continue"/>
                  <w:vAlign w:val="center"/>
                </w:tcPr>
                <w:p>
                  <w:pPr>
                    <w:jc w:val="center"/>
                    <w:rPr>
                      <w:rFonts w:eastAsiaTheme="minorEastAsia"/>
                      <w:snapToGrid w:val="0"/>
                      <w:color w:val="auto"/>
                      <w:kern w:val="0"/>
                      <w:szCs w:val="21"/>
                    </w:rPr>
                  </w:pPr>
                </w:p>
              </w:tc>
              <w:tc>
                <w:tcPr>
                  <w:tcW w:w="1115" w:type="pct"/>
                  <w:gridSpan w:val="2"/>
                  <w:vAlign w:val="center"/>
                </w:tcPr>
                <w:p>
                  <w:pPr>
                    <w:widowControl/>
                    <w:jc w:val="center"/>
                    <w:textAlignment w:val="center"/>
                    <w:rPr>
                      <w:rFonts w:eastAsiaTheme="minorEastAsia"/>
                      <w:color w:val="auto"/>
                      <w:szCs w:val="21"/>
                    </w:rPr>
                  </w:pPr>
                  <w:r>
                    <w:rPr>
                      <w:rFonts w:eastAsiaTheme="minorEastAsia"/>
                      <w:color w:val="auto"/>
                      <w:szCs w:val="21"/>
                    </w:rPr>
                    <w:t>煤气发生站</w:t>
                  </w:r>
                </w:p>
              </w:tc>
              <w:tc>
                <w:tcPr>
                  <w:tcW w:w="3442" w:type="pct"/>
                  <w:gridSpan w:val="2"/>
                  <w:vAlign w:val="center"/>
                </w:tcPr>
                <w:p>
                  <w:pPr>
                    <w:widowControl/>
                    <w:rPr>
                      <w:rFonts w:eastAsiaTheme="minorEastAsia"/>
                      <w:color w:val="auto"/>
                      <w:kern w:val="0"/>
                      <w:szCs w:val="21"/>
                    </w:rPr>
                  </w:pPr>
                  <w:r>
                    <w:rPr>
                      <w:rFonts w:eastAsiaTheme="minorEastAsia"/>
                      <w:color w:val="auto"/>
                      <w:kern w:val="0"/>
                      <w:szCs w:val="21"/>
                    </w:rPr>
                    <w:t>1座，占地面积150m</w:t>
                  </w:r>
                  <w:r>
                    <w:rPr>
                      <w:rFonts w:eastAsiaTheme="minorEastAsia"/>
                      <w:color w:val="auto"/>
                      <w:kern w:val="0"/>
                      <w:szCs w:val="21"/>
                      <w:vertAlign w:val="superscript"/>
                    </w:rPr>
                    <w:t>2</w:t>
                  </w:r>
                  <w:r>
                    <w:rPr>
                      <w:rFonts w:eastAsiaTheme="minorEastAsia"/>
                      <w:color w:val="auto"/>
                      <w:kern w:val="0"/>
                      <w:szCs w:val="21"/>
                    </w:rPr>
                    <w:t>，设型号φ3.6m二段式煤气发生炉1套</w:t>
                  </w:r>
                  <w:r>
                    <w:rPr>
                      <w:rFonts w:hint="eastAsia" w:eastAsiaTheme="minorEastAsia"/>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restart"/>
                  <w:vAlign w:val="center"/>
                </w:tcPr>
                <w:p>
                  <w:pPr>
                    <w:jc w:val="center"/>
                    <w:rPr>
                      <w:rFonts w:eastAsiaTheme="minorEastAsia"/>
                      <w:snapToGrid w:val="0"/>
                      <w:color w:val="auto"/>
                      <w:kern w:val="0"/>
                      <w:szCs w:val="21"/>
                    </w:rPr>
                  </w:pPr>
                </w:p>
              </w:tc>
              <w:tc>
                <w:tcPr>
                  <w:tcW w:w="1115" w:type="pct"/>
                  <w:gridSpan w:val="2"/>
                  <w:vAlign w:val="center"/>
                </w:tcPr>
                <w:p>
                  <w:pPr>
                    <w:widowControl/>
                    <w:jc w:val="center"/>
                    <w:rPr>
                      <w:rFonts w:eastAsiaTheme="minorEastAsia"/>
                      <w:color w:val="auto"/>
                      <w:kern w:val="0"/>
                      <w:szCs w:val="21"/>
                    </w:rPr>
                  </w:pPr>
                  <w:r>
                    <w:rPr>
                      <w:rFonts w:eastAsiaTheme="minorEastAsia"/>
                      <w:color w:val="auto"/>
                      <w:kern w:val="0"/>
                      <w:szCs w:val="21"/>
                    </w:rPr>
                    <w:t>1#原料堆</w:t>
                  </w:r>
                  <w:r>
                    <w:rPr>
                      <w:rFonts w:eastAsiaTheme="minorEastAsia"/>
                      <w:color w:val="auto"/>
                      <w:szCs w:val="21"/>
                    </w:rPr>
                    <w:t>棚</w:t>
                  </w:r>
                </w:p>
              </w:tc>
              <w:tc>
                <w:tcPr>
                  <w:tcW w:w="3442" w:type="pct"/>
                  <w:gridSpan w:val="2"/>
                  <w:vAlign w:val="center"/>
                </w:tcPr>
                <w:p>
                  <w:pPr>
                    <w:widowControl/>
                    <w:rPr>
                      <w:rFonts w:eastAsiaTheme="minorEastAsia"/>
                      <w:color w:val="auto"/>
                      <w:kern w:val="0"/>
                      <w:szCs w:val="21"/>
                    </w:rPr>
                  </w:pPr>
                  <w:r>
                    <w:rPr>
                      <w:rFonts w:eastAsiaTheme="minorEastAsia"/>
                      <w:color w:val="auto"/>
                      <w:kern w:val="0"/>
                      <w:szCs w:val="21"/>
                    </w:rPr>
                    <w:t>位于厂区最北侧，紧邻破碎车间，</w:t>
                  </w:r>
                  <w:r>
                    <w:rPr>
                      <w:rFonts w:eastAsiaTheme="minorEastAsia"/>
                      <w:color w:val="auto"/>
                      <w:szCs w:val="21"/>
                    </w:rPr>
                    <w:t>设</w:t>
                  </w:r>
                  <w:r>
                    <w:rPr>
                      <w:rFonts w:eastAsiaTheme="minorEastAsia"/>
                      <w:color w:val="auto"/>
                      <w:kern w:val="0"/>
                      <w:szCs w:val="21"/>
                    </w:rPr>
                    <w:t>三面围挡+彩钢瓦顶棚，占地1400m</w:t>
                  </w:r>
                  <w:r>
                    <w:rPr>
                      <w:rFonts w:eastAsiaTheme="minorEastAsia"/>
                      <w:color w:val="auto"/>
                      <w:kern w:val="0"/>
                      <w:szCs w:val="21"/>
                      <w:vertAlign w:val="superscript"/>
                    </w:rPr>
                    <w:t>2</w:t>
                  </w:r>
                  <w:r>
                    <w:rPr>
                      <w:rFonts w:eastAsiaTheme="minorEastAsia"/>
                      <w:color w:val="auto"/>
                      <w:kern w:val="0"/>
                      <w:szCs w:val="21"/>
                    </w:rPr>
                    <w:t>，地面已硬化，用于原料堆存</w:t>
                  </w:r>
                  <w:r>
                    <w:rPr>
                      <w:rFonts w:hint="eastAsia" w:eastAsiaTheme="minorEastAsia"/>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continue"/>
                  <w:vAlign w:val="center"/>
                </w:tcPr>
                <w:p>
                  <w:pPr>
                    <w:jc w:val="center"/>
                    <w:rPr>
                      <w:rFonts w:eastAsiaTheme="minorEastAsia"/>
                      <w:snapToGrid w:val="0"/>
                      <w:color w:val="auto"/>
                      <w:kern w:val="0"/>
                      <w:szCs w:val="21"/>
                    </w:rPr>
                  </w:pPr>
                </w:p>
              </w:tc>
              <w:tc>
                <w:tcPr>
                  <w:tcW w:w="1115" w:type="pct"/>
                  <w:gridSpan w:val="2"/>
                  <w:vAlign w:val="center"/>
                </w:tcPr>
                <w:p>
                  <w:pPr>
                    <w:widowControl/>
                    <w:jc w:val="center"/>
                    <w:rPr>
                      <w:rFonts w:eastAsiaTheme="minorEastAsia"/>
                      <w:color w:val="auto"/>
                      <w:kern w:val="0"/>
                      <w:szCs w:val="21"/>
                    </w:rPr>
                  </w:pPr>
                  <w:r>
                    <w:rPr>
                      <w:rFonts w:hint="eastAsia" w:eastAsiaTheme="minorEastAsia"/>
                      <w:color w:val="auto"/>
                      <w:kern w:val="0"/>
                      <w:szCs w:val="21"/>
                    </w:rPr>
                    <w:t>定型耐火材料</w:t>
                  </w:r>
                </w:p>
                <w:p>
                  <w:pPr>
                    <w:widowControl/>
                    <w:jc w:val="center"/>
                    <w:rPr>
                      <w:rFonts w:eastAsiaTheme="minorEastAsia"/>
                      <w:color w:val="auto"/>
                      <w:kern w:val="0"/>
                      <w:szCs w:val="21"/>
                    </w:rPr>
                  </w:pPr>
                  <w:r>
                    <w:rPr>
                      <w:rFonts w:hint="eastAsia" w:eastAsiaTheme="minorEastAsia"/>
                      <w:color w:val="auto"/>
                      <w:kern w:val="0"/>
                      <w:szCs w:val="21"/>
                    </w:rPr>
                    <w:t>堆场</w:t>
                  </w:r>
                </w:p>
              </w:tc>
              <w:tc>
                <w:tcPr>
                  <w:tcW w:w="3442" w:type="pct"/>
                  <w:gridSpan w:val="2"/>
                  <w:vAlign w:val="center"/>
                </w:tcPr>
                <w:p>
                  <w:pPr>
                    <w:widowControl/>
                    <w:rPr>
                      <w:rFonts w:eastAsiaTheme="minorEastAsia"/>
                      <w:color w:val="auto"/>
                      <w:kern w:val="0"/>
                      <w:szCs w:val="21"/>
                    </w:rPr>
                  </w:pPr>
                  <w:r>
                    <w:rPr>
                      <w:rFonts w:eastAsiaTheme="minorEastAsia"/>
                      <w:color w:val="auto"/>
                      <w:kern w:val="0"/>
                      <w:szCs w:val="21"/>
                    </w:rPr>
                    <w:t>露天堆场</w:t>
                  </w:r>
                  <w:r>
                    <w:rPr>
                      <w:rFonts w:hint="eastAsia" w:eastAsiaTheme="minorEastAsia"/>
                      <w:color w:val="auto"/>
                      <w:kern w:val="0"/>
                      <w:szCs w:val="21"/>
                    </w:rPr>
                    <w:t>，位于厂区中部，占地面积4200m</w:t>
                  </w:r>
                  <w:r>
                    <w:rPr>
                      <w:rFonts w:hint="eastAsia" w:eastAsiaTheme="minorEastAsia"/>
                      <w:color w:val="auto"/>
                      <w:kern w:val="0"/>
                      <w:szCs w:val="21"/>
                      <w:vertAlign w:val="superscript"/>
                    </w:rPr>
                    <w:t>2</w:t>
                  </w:r>
                  <w:r>
                    <w:rPr>
                      <w:rFonts w:hint="eastAsia" w:eastAsiaTheme="minorEastAsia"/>
                      <w:color w:val="auto"/>
                      <w:kern w:val="0"/>
                      <w:szCs w:val="21"/>
                    </w:rPr>
                    <w:t>，用于定型耐火材料堆放，定型耐火材料按照数量规格木质框架包装后堆存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continue"/>
                  <w:vAlign w:val="center"/>
                </w:tcPr>
                <w:p>
                  <w:pPr>
                    <w:jc w:val="center"/>
                    <w:rPr>
                      <w:rFonts w:eastAsiaTheme="minorEastAsia"/>
                      <w:snapToGrid w:val="0"/>
                      <w:color w:val="auto"/>
                      <w:kern w:val="0"/>
                      <w:szCs w:val="21"/>
                    </w:rPr>
                  </w:pPr>
                </w:p>
              </w:tc>
              <w:tc>
                <w:tcPr>
                  <w:tcW w:w="1115" w:type="pct"/>
                  <w:gridSpan w:val="2"/>
                  <w:vAlign w:val="center"/>
                </w:tcPr>
                <w:p>
                  <w:pPr>
                    <w:widowControl/>
                    <w:jc w:val="center"/>
                    <w:rPr>
                      <w:rFonts w:eastAsiaTheme="minorEastAsia"/>
                      <w:color w:val="auto"/>
                      <w:kern w:val="0"/>
                      <w:szCs w:val="21"/>
                    </w:rPr>
                  </w:pPr>
                  <w:r>
                    <w:rPr>
                      <w:rFonts w:hint="eastAsia" w:eastAsiaTheme="minorEastAsia"/>
                      <w:color w:val="auto"/>
                      <w:kern w:val="0"/>
                      <w:szCs w:val="21"/>
                    </w:rPr>
                    <w:t>不定型耐火材料仓库</w:t>
                  </w:r>
                </w:p>
              </w:tc>
              <w:tc>
                <w:tcPr>
                  <w:tcW w:w="3442" w:type="pct"/>
                  <w:gridSpan w:val="2"/>
                  <w:vAlign w:val="center"/>
                </w:tcPr>
                <w:p>
                  <w:pPr>
                    <w:widowControl/>
                    <w:rPr>
                      <w:rFonts w:eastAsiaTheme="minorEastAsia"/>
                      <w:color w:val="auto"/>
                      <w:kern w:val="0"/>
                      <w:szCs w:val="21"/>
                    </w:rPr>
                  </w:pPr>
                  <w:r>
                    <w:rPr>
                      <w:rFonts w:hint="eastAsia" w:eastAsiaTheme="minorEastAsia"/>
                      <w:color w:val="auto"/>
                      <w:kern w:val="0"/>
                      <w:szCs w:val="21"/>
                    </w:rPr>
                    <w:t>1座，位于厂区东侧，靠近住宿楼，占地面积400m</w:t>
                  </w:r>
                  <w:r>
                    <w:rPr>
                      <w:rFonts w:hint="eastAsia" w:eastAsiaTheme="minorEastAsia"/>
                      <w:color w:val="auto"/>
                      <w:kern w:val="0"/>
                      <w:szCs w:val="21"/>
                      <w:vertAlign w:val="superscript"/>
                    </w:rPr>
                    <w:t>2</w:t>
                  </w:r>
                  <w:r>
                    <w:rPr>
                      <w:rFonts w:hint="eastAsia" w:eastAsiaTheme="minorEastAsia"/>
                      <w:color w:val="auto"/>
                      <w:kern w:val="0"/>
                      <w:szCs w:val="21"/>
                    </w:rPr>
                    <w:t>，用于不定型耐火材料堆存。不定型耐火材料袋装堆存。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restart"/>
                  <w:vAlign w:val="center"/>
                </w:tcPr>
                <w:p>
                  <w:pPr>
                    <w:jc w:val="center"/>
                    <w:rPr>
                      <w:rFonts w:eastAsiaTheme="minorEastAsia"/>
                      <w:snapToGrid w:val="0"/>
                      <w:color w:val="auto"/>
                      <w:kern w:val="0"/>
                      <w:szCs w:val="21"/>
                    </w:rPr>
                  </w:pPr>
                  <w:r>
                    <w:rPr>
                      <w:rFonts w:eastAsiaTheme="minorEastAsia"/>
                      <w:snapToGrid w:val="0"/>
                      <w:color w:val="auto"/>
                      <w:kern w:val="0"/>
                      <w:szCs w:val="21"/>
                    </w:rPr>
                    <w:t>辅助工程</w:t>
                  </w:r>
                </w:p>
              </w:tc>
              <w:tc>
                <w:tcPr>
                  <w:tcW w:w="1115" w:type="pct"/>
                  <w:gridSpan w:val="2"/>
                  <w:vAlign w:val="center"/>
                </w:tcPr>
                <w:p>
                  <w:pPr>
                    <w:jc w:val="center"/>
                    <w:rPr>
                      <w:rFonts w:eastAsiaTheme="minorEastAsia"/>
                      <w:snapToGrid w:val="0"/>
                      <w:color w:val="auto"/>
                      <w:kern w:val="0"/>
                      <w:szCs w:val="21"/>
                    </w:rPr>
                  </w:pPr>
                  <w:r>
                    <w:rPr>
                      <w:rFonts w:eastAsiaTheme="minorEastAsia"/>
                      <w:snapToGrid w:val="0"/>
                      <w:color w:val="auto"/>
                      <w:kern w:val="0"/>
                      <w:szCs w:val="21"/>
                    </w:rPr>
                    <w:t>办公楼</w:t>
                  </w:r>
                </w:p>
              </w:tc>
              <w:tc>
                <w:tcPr>
                  <w:tcW w:w="3442" w:type="pct"/>
                  <w:gridSpan w:val="2"/>
                  <w:vAlign w:val="center"/>
                </w:tcPr>
                <w:p>
                  <w:pPr>
                    <w:widowControl/>
                    <w:jc w:val="center"/>
                    <w:rPr>
                      <w:rFonts w:eastAsiaTheme="minorEastAsia"/>
                      <w:snapToGrid w:val="0"/>
                      <w:color w:val="auto"/>
                      <w:kern w:val="0"/>
                      <w:szCs w:val="21"/>
                    </w:rPr>
                  </w:pPr>
                  <w:r>
                    <w:rPr>
                      <w:rFonts w:eastAsiaTheme="minorEastAsia"/>
                      <w:color w:val="auto"/>
                      <w:kern w:val="0"/>
                      <w:szCs w:val="21"/>
                    </w:rPr>
                    <w:t>位于厂区中部南侧，三层，占地950</w:t>
                  </w:r>
                  <w:r>
                    <w:rPr>
                      <w:rFonts w:eastAsiaTheme="minorEastAsia"/>
                      <w:color w:val="auto"/>
                      <w:szCs w:val="21"/>
                    </w:rPr>
                    <w:t>m</w:t>
                  </w:r>
                  <w:r>
                    <w:rPr>
                      <w:rFonts w:eastAsiaTheme="minorEastAsia"/>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continue"/>
                  <w:vAlign w:val="center"/>
                </w:tcPr>
                <w:p>
                  <w:pPr>
                    <w:jc w:val="center"/>
                    <w:rPr>
                      <w:rFonts w:eastAsiaTheme="minorEastAsia"/>
                      <w:snapToGrid w:val="0"/>
                      <w:color w:val="auto"/>
                      <w:kern w:val="0"/>
                      <w:szCs w:val="21"/>
                    </w:rPr>
                  </w:pPr>
                </w:p>
              </w:tc>
              <w:tc>
                <w:tcPr>
                  <w:tcW w:w="1115" w:type="pct"/>
                  <w:gridSpan w:val="2"/>
                  <w:vAlign w:val="center"/>
                </w:tcPr>
                <w:p>
                  <w:pPr>
                    <w:jc w:val="center"/>
                    <w:rPr>
                      <w:rFonts w:eastAsiaTheme="minorEastAsia"/>
                      <w:color w:val="auto"/>
                      <w:szCs w:val="21"/>
                    </w:rPr>
                  </w:pPr>
                  <w:r>
                    <w:rPr>
                      <w:rFonts w:eastAsiaTheme="minorEastAsia"/>
                      <w:color w:val="auto"/>
                      <w:szCs w:val="21"/>
                    </w:rPr>
                    <w:t>住宿楼</w:t>
                  </w:r>
                </w:p>
              </w:tc>
              <w:tc>
                <w:tcPr>
                  <w:tcW w:w="3442" w:type="pct"/>
                  <w:gridSpan w:val="2"/>
                  <w:vAlign w:val="center"/>
                </w:tcPr>
                <w:p>
                  <w:pPr>
                    <w:widowControl/>
                    <w:rPr>
                      <w:rFonts w:eastAsiaTheme="minorEastAsia"/>
                      <w:snapToGrid w:val="0"/>
                      <w:color w:val="auto"/>
                      <w:kern w:val="0"/>
                      <w:szCs w:val="21"/>
                    </w:rPr>
                  </w:pPr>
                  <w:r>
                    <w:rPr>
                      <w:rFonts w:eastAsiaTheme="minorEastAsia"/>
                      <w:color w:val="auto"/>
                      <w:kern w:val="0"/>
                      <w:szCs w:val="21"/>
                    </w:rPr>
                    <w:t>位于厂区东南侧，三层，占地面积640</w:t>
                  </w:r>
                  <w:r>
                    <w:rPr>
                      <w:rFonts w:eastAsiaTheme="minorEastAsia"/>
                      <w:color w:val="auto"/>
                      <w:szCs w:val="21"/>
                    </w:rPr>
                    <w:t>m</w:t>
                  </w:r>
                  <w:r>
                    <w:rPr>
                      <w:rFonts w:eastAsiaTheme="minorEastAsia"/>
                      <w:color w:val="auto"/>
                      <w:szCs w:val="21"/>
                      <w:vertAlign w:val="superscript"/>
                    </w:rPr>
                    <w:t>2</w:t>
                  </w:r>
                  <w:r>
                    <w:rPr>
                      <w:rFonts w:eastAsiaTheme="minorEastAsia"/>
                      <w:color w:val="auto"/>
                      <w:kern w:val="0"/>
                      <w:szCs w:val="21"/>
                    </w:rPr>
                    <w:t>，不设置水冲厕及洗浴设施</w:t>
                  </w:r>
                  <w:r>
                    <w:rPr>
                      <w:rFonts w:hint="eastAsia" w:eastAsiaTheme="minorEastAsia"/>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continue"/>
                  <w:vAlign w:val="center"/>
                </w:tcPr>
                <w:p>
                  <w:pPr>
                    <w:jc w:val="center"/>
                    <w:rPr>
                      <w:rFonts w:eastAsiaTheme="minorEastAsia"/>
                      <w:snapToGrid w:val="0"/>
                      <w:color w:val="auto"/>
                      <w:kern w:val="0"/>
                      <w:szCs w:val="21"/>
                    </w:rPr>
                  </w:pPr>
                </w:p>
              </w:tc>
              <w:tc>
                <w:tcPr>
                  <w:tcW w:w="1115" w:type="pct"/>
                  <w:gridSpan w:val="2"/>
                  <w:vAlign w:val="center"/>
                </w:tcPr>
                <w:p>
                  <w:pPr>
                    <w:jc w:val="center"/>
                    <w:rPr>
                      <w:rFonts w:eastAsiaTheme="minorEastAsia"/>
                      <w:color w:val="auto"/>
                      <w:szCs w:val="21"/>
                    </w:rPr>
                  </w:pPr>
                  <w:r>
                    <w:rPr>
                      <w:rFonts w:eastAsiaTheme="minorEastAsia"/>
                      <w:color w:val="auto"/>
                      <w:szCs w:val="21"/>
                    </w:rPr>
                    <w:t>实验室</w:t>
                  </w:r>
                </w:p>
              </w:tc>
              <w:tc>
                <w:tcPr>
                  <w:tcW w:w="3442" w:type="pct"/>
                  <w:gridSpan w:val="2"/>
                  <w:vAlign w:val="center"/>
                </w:tcPr>
                <w:p>
                  <w:pPr>
                    <w:widowControl/>
                    <w:rPr>
                      <w:rFonts w:eastAsiaTheme="minorEastAsia"/>
                      <w:color w:val="auto"/>
                      <w:szCs w:val="21"/>
                    </w:rPr>
                  </w:pPr>
                  <w:r>
                    <w:rPr>
                      <w:rFonts w:eastAsiaTheme="minorEastAsia"/>
                      <w:color w:val="auto"/>
                      <w:kern w:val="0"/>
                      <w:szCs w:val="21"/>
                    </w:rPr>
                    <w:t>位于办公楼西侧，一层，占地210</w:t>
                  </w:r>
                  <w:r>
                    <w:rPr>
                      <w:rFonts w:eastAsiaTheme="minorEastAsia"/>
                      <w:color w:val="auto"/>
                      <w:szCs w:val="21"/>
                    </w:rPr>
                    <w:t>m</w:t>
                  </w:r>
                  <w:r>
                    <w:rPr>
                      <w:rFonts w:eastAsiaTheme="minorEastAsia"/>
                      <w:color w:val="auto"/>
                      <w:szCs w:val="21"/>
                      <w:vertAlign w:val="superscript"/>
                    </w:rPr>
                    <w:t>2</w:t>
                  </w:r>
                  <w:r>
                    <w:rPr>
                      <w:rFonts w:eastAsiaTheme="minorEastAsia"/>
                      <w:color w:val="auto"/>
                      <w:kern w:val="0"/>
                      <w:szCs w:val="21"/>
                    </w:rPr>
                    <w:t>，进行耐火砖的硬度、耐热度试验以及检验原料、成品中耐火成分含量</w:t>
                  </w:r>
                  <w:r>
                    <w:rPr>
                      <w:rFonts w:hint="eastAsia" w:eastAsiaTheme="minorEastAsia"/>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continue"/>
                  <w:vAlign w:val="center"/>
                </w:tcPr>
                <w:p>
                  <w:pPr>
                    <w:jc w:val="center"/>
                    <w:rPr>
                      <w:rFonts w:eastAsiaTheme="minorEastAsia"/>
                      <w:snapToGrid w:val="0"/>
                      <w:color w:val="auto"/>
                      <w:kern w:val="0"/>
                      <w:szCs w:val="21"/>
                    </w:rPr>
                  </w:pPr>
                </w:p>
              </w:tc>
              <w:tc>
                <w:tcPr>
                  <w:tcW w:w="1115" w:type="pct"/>
                  <w:gridSpan w:val="2"/>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食堂</w:t>
                  </w:r>
                </w:p>
              </w:tc>
              <w:tc>
                <w:tcPr>
                  <w:tcW w:w="3442" w:type="pct"/>
                  <w:gridSpan w:val="2"/>
                  <w:vAlign w:val="center"/>
                </w:tcPr>
                <w:p>
                  <w:pPr>
                    <w:widowControl/>
                    <w:jc w:val="center"/>
                    <w:rPr>
                      <w:rFonts w:eastAsiaTheme="minorEastAsia"/>
                      <w:color w:val="auto"/>
                      <w:szCs w:val="21"/>
                    </w:rPr>
                  </w:pPr>
                  <w:r>
                    <w:rPr>
                      <w:rFonts w:eastAsiaTheme="minorEastAsia"/>
                      <w:color w:val="auto"/>
                      <w:kern w:val="0"/>
                      <w:szCs w:val="21"/>
                    </w:rPr>
                    <w:t>位于实验室西侧，一层，占地230</w:t>
                  </w:r>
                  <w:r>
                    <w:rPr>
                      <w:rFonts w:eastAsiaTheme="minorEastAsia"/>
                      <w:color w:val="auto"/>
                      <w:szCs w:val="21"/>
                    </w:rPr>
                    <w:t>m</w:t>
                  </w:r>
                  <w:r>
                    <w:rPr>
                      <w:rFonts w:eastAsiaTheme="minorEastAsia"/>
                      <w:color w:val="auto"/>
                      <w:szCs w:val="21"/>
                      <w:vertAlign w:val="superscript"/>
                    </w:rPr>
                    <w:t>2</w:t>
                  </w:r>
                  <w:r>
                    <w:rPr>
                      <w:rFonts w:hint="eastAsia" w:eastAsiaTheme="minorEastAsia"/>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continue"/>
                  <w:vAlign w:val="center"/>
                </w:tcPr>
                <w:p>
                  <w:pPr>
                    <w:jc w:val="center"/>
                    <w:rPr>
                      <w:rFonts w:eastAsiaTheme="minorEastAsia"/>
                      <w:snapToGrid w:val="0"/>
                      <w:color w:val="auto"/>
                      <w:kern w:val="0"/>
                      <w:szCs w:val="21"/>
                    </w:rPr>
                  </w:pPr>
                </w:p>
              </w:tc>
              <w:tc>
                <w:tcPr>
                  <w:tcW w:w="1115" w:type="pct"/>
                  <w:gridSpan w:val="2"/>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厕所</w:t>
                  </w:r>
                </w:p>
              </w:tc>
              <w:tc>
                <w:tcPr>
                  <w:tcW w:w="3442" w:type="pct"/>
                  <w:gridSpan w:val="2"/>
                  <w:vAlign w:val="center"/>
                </w:tcPr>
                <w:p>
                  <w:pPr>
                    <w:widowControl/>
                    <w:jc w:val="center"/>
                    <w:rPr>
                      <w:rFonts w:eastAsiaTheme="minorEastAsia"/>
                      <w:color w:val="auto"/>
                      <w:szCs w:val="21"/>
                    </w:rPr>
                  </w:pPr>
                  <w:r>
                    <w:rPr>
                      <w:rFonts w:eastAsiaTheme="minorEastAsia"/>
                      <w:color w:val="auto"/>
                      <w:kern w:val="0"/>
                      <w:szCs w:val="21"/>
                    </w:rPr>
                    <w:t>位于厂区东南角，占地20</w:t>
                  </w:r>
                  <w:r>
                    <w:rPr>
                      <w:rFonts w:eastAsiaTheme="minorEastAsia"/>
                      <w:color w:val="auto"/>
                      <w:szCs w:val="21"/>
                    </w:rPr>
                    <w:t>m</w:t>
                  </w:r>
                  <w:r>
                    <w:rPr>
                      <w:rFonts w:eastAsiaTheme="minorEastAsia"/>
                      <w:color w:val="auto"/>
                      <w:szCs w:val="21"/>
                      <w:vertAlign w:val="superscript"/>
                    </w:rPr>
                    <w:t>2</w:t>
                  </w:r>
                  <w:r>
                    <w:rPr>
                      <w:rFonts w:hint="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restart"/>
                  <w:vAlign w:val="center"/>
                </w:tcPr>
                <w:p>
                  <w:pPr>
                    <w:jc w:val="center"/>
                    <w:rPr>
                      <w:rFonts w:eastAsiaTheme="minorEastAsia"/>
                      <w:snapToGrid w:val="0"/>
                      <w:color w:val="auto"/>
                      <w:kern w:val="0"/>
                      <w:szCs w:val="21"/>
                    </w:rPr>
                  </w:pPr>
                  <w:r>
                    <w:rPr>
                      <w:rFonts w:eastAsiaTheme="minorEastAsia"/>
                      <w:snapToGrid w:val="0"/>
                      <w:color w:val="auto"/>
                      <w:kern w:val="0"/>
                      <w:szCs w:val="21"/>
                    </w:rPr>
                    <w:t>公用工程</w:t>
                  </w:r>
                </w:p>
              </w:tc>
              <w:tc>
                <w:tcPr>
                  <w:tcW w:w="1115" w:type="pct"/>
                  <w:gridSpan w:val="2"/>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给水</w:t>
                  </w:r>
                </w:p>
              </w:tc>
              <w:tc>
                <w:tcPr>
                  <w:tcW w:w="3442" w:type="pct"/>
                  <w:gridSpan w:val="2"/>
                  <w:vAlign w:val="center"/>
                </w:tcPr>
                <w:p>
                  <w:pPr>
                    <w:jc w:val="center"/>
                    <w:rPr>
                      <w:rFonts w:eastAsiaTheme="minorEastAsia"/>
                      <w:color w:val="auto"/>
                      <w:szCs w:val="21"/>
                    </w:rPr>
                  </w:pPr>
                  <w:r>
                    <w:rPr>
                      <w:rFonts w:eastAsiaTheme="minorEastAsia"/>
                      <w:color w:val="auto"/>
                      <w:szCs w:val="21"/>
                    </w:rPr>
                    <w:t>市政自来水管网供给</w:t>
                  </w:r>
                  <w:r>
                    <w:rPr>
                      <w:rFonts w:hint="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continue"/>
                  <w:vAlign w:val="center"/>
                </w:tcPr>
                <w:p>
                  <w:pPr>
                    <w:jc w:val="center"/>
                    <w:rPr>
                      <w:rFonts w:eastAsiaTheme="minorEastAsia"/>
                      <w:snapToGrid w:val="0"/>
                      <w:color w:val="auto"/>
                      <w:kern w:val="0"/>
                      <w:szCs w:val="21"/>
                    </w:rPr>
                  </w:pPr>
                </w:p>
              </w:tc>
              <w:tc>
                <w:tcPr>
                  <w:tcW w:w="1115" w:type="pct"/>
                  <w:gridSpan w:val="2"/>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排水</w:t>
                  </w:r>
                </w:p>
              </w:tc>
              <w:tc>
                <w:tcPr>
                  <w:tcW w:w="3442" w:type="pct"/>
                  <w:gridSpan w:val="2"/>
                  <w:vAlign w:val="center"/>
                </w:tcPr>
                <w:p>
                  <w:pPr>
                    <w:widowControl/>
                    <w:rPr>
                      <w:rFonts w:eastAsiaTheme="minorEastAsia"/>
                      <w:color w:val="auto"/>
                      <w:szCs w:val="21"/>
                    </w:rPr>
                  </w:pPr>
                  <w:r>
                    <w:rPr>
                      <w:rFonts w:eastAsiaTheme="minorEastAsia"/>
                      <w:color w:val="auto"/>
                      <w:szCs w:val="21"/>
                    </w:rPr>
                    <w:t>初期雨水通过厂区雨水沟排至厂外雨污管网；实验室废水经中和处理后排入化粪池与生活污水一并处理后再排入园区污水管网，最终进入园区污水处理厂处理；脱硫废水经再生池添加石灰发生置换反应并过滤沉淀后返回</w:t>
                  </w:r>
                  <w:r>
                    <w:rPr>
                      <w:rFonts w:hint="eastAsia" w:eastAsiaTheme="minorEastAsia"/>
                      <w:color w:val="auto"/>
                      <w:szCs w:val="21"/>
                      <w:lang w:eastAsia="zh-CN"/>
                    </w:rPr>
                    <w:t>石灰石膏法脱硫塔</w:t>
                  </w:r>
                  <w:r>
                    <w:rPr>
                      <w:rFonts w:eastAsiaTheme="minorEastAsia"/>
                      <w:color w:val="auto"/>
                      <w:szCs w:val="21"/>
                    </w:rPr>
                    <w:t>配套水池循环使用</w:t>
                  </w:r>
                  <w:r>
                    <w:rPr>
                      <w:rFonts w:hint="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continue"/>
                  <w:vAlign w:val="center"/>
                </w:tcPr>
                <w:p>
                  <w:pPr>
                    <w:jc w:val="center"/>
                    <w:rPr>
                      <w:rFonts w:eastAsiaTheme="minorEastAsia"/>
                      <w:snapToGrid w:val="0"/>
                      <w:color w:val="auto"/>
                      <w:kern w:val="0"/>
                      <w:szCs w:val="21"/>
                    </w:rPr>
                  </w:pPr>
                </w:p>
              </w:tc>
              <w:tc>
                <w:tcPr>
                  <w:tcW w:w="1115" w:type="pct"/>
                  <w:gridSpan w:val="2"/>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供电</w:t>
                  </w:r>
                </w:p>
              </w:tc>
              <w:tc>
                <w:tcPr>
                  <w:tcW w:w="3442" w:type="pct"/>
                  <w:gridSpan w:val="2"/>
                  <w:vAlign w:val="center"/>
                </w:tcPr>
                <w:p>
                  <w:pPr>
                    <w:jc w:val="center"/>
                    <w:rPr>
                      <w:rFonts w:eastAsiaTheme="minorEastAsia"/>
                      <w:color w:val="auto"/>
                      <w:szCs w:val="21"/>
                    </w:rPr>
                  </w:pPr>
                  <w:r>
                    <w:rPr>
                      <w:rFonts w:eastAsiaTheme="minorEastAsia"/>
                      <w:color w:val="auto"/>
                      <w:szCs w:val="21"/>
                    </w:rPr>
                    <w:t>市政电网供给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restart"/>
                  <w:vAlign w:val="center"/>
                </w:tcPr>
                <w:p>
                  <w:pPr>
                    <w:jc w:val="center"/>
                    <w:rPr>
                      <w:rFonts w:eastAsiaTheme="minorEastAsia"/>
                      <w:snapToGrid w:val="0"/>
                      <w:color w:val="auto"/>
                      <w:kern w:val="0"/>
                      <w:szCs w:val="21"/>
                    </w:rPr>
                  </w:pPr>
                  <w:r>
                    <w:rPr>
                      <w:rFonts w:eastAsiaTheme="minorEastAsia"/>
                      <w:snapToGrid w:val="0"/>
                      <w:color w:val="auto"/>
                      <w:kern w:val="0"/>
                      <w:szCs w:val="21"/>
                    </w:rPr>
                    <w:t>环保工程</w:t>
                  </w:r>
                </w:p>
              </w:tc>
              <w:tc>
                <w:tcPr>
                  <w:tcW w:w="297" w:type="pct"/>
                  <w:vMerge w:val="restar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废气</w:t>
                  </w:r>
                </w:p>
              </w:tc>
              <w:tc>
                <w:tcPr>
                  <w:tcW w:w="818" w:type="pc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旋风布袋</w:t>
                  </w:r>
                </w:p>
                <w:p>
                  <w:pPr>
                    <w:pStyle w:val="42"/>
                    <w:tabs>
                      <w:tab w:val="right" w:leader="dot" w:pos="8823"/>
                    </w:tabs>
                    <w:spacing w:before="24" w:after="24" w:line="240" w:lineRule="auto"/>
                    <w:rPr>
                      <w:rFonts w:eastAsiaTheme="minorEastAsia"/>
                      <w:color w:val="auto"/>
                    </w:rPr>
                  </w:pPr>
                  <w:r>
                    <w:rPr>
                      <w:rFonts w:eastAsiaTheme="minorEastAsia"/>
                      <w:color w:val="auto"/>
                    </w:rPr>
                    <w:t>除尘器</w:t>
                  </w:r>
                </w:p>
              </w:tc>
              <w:tc>
                <w:tcPr>
                  <w:tcW w:w="3442" w:type="pct"/>
                  <w:gridSpan w:val="2"/>
                  <w:vAlign w:val="center"/>
                </w:tcPr>
                <w:p>
                  <w:pPr>
                    <w:rPr>
                      <w:rFonts w:eastAsiaTheme="minorEastAsia"/>
                      <w:color w:val="auto"/>
                      <w:szCs w:val="21"/>
                    </w:rPr>
                  </w:pPr>
                  <w:r>
                    <w:rPr>
                      <w:rFonts w:eastAsiaTheme="minorEastAsia"/>
                      <w:color w:val="auto"/>
                      <w:szCs w:val="21"/>
                    </w:rPr>
                    <w:t>2套，用于破碎车间废气处理，废气处理后无组织排放</w:t>
                  </w:r>
                  <w:r>
                    <w:rPr>
                      <w:rFonts w:hint="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continue"/>
                  <w:vAlign w:val="center"/>
                </w:tcPr>
                <w:p>
                  <w:pPr>
                    <w:jc w:val="center"/>
                    <w:rPr>
                      <w:rFonts w:eastAsiaTheme="minorEastAsia"/>
                      <w:snapToGrid w:val="0"/>
                      <w:color w:val="auto"/>
                      <w:kern w:val="0"/>
                      <w:szCs w:val="21"/>
                    </w:rPr>
                  </w:pPr>
                </w:p>
              </w:tc>
              <w:tc>
                <w:tcPr>
                  <w:tcW w:w="297" w:type="pct"/>
                  <w:vMerge w:val="continue"/>
                  <w:vAlign w:val="center"/>
                </w:tcPr>
                <w:p>
                  <w:pPr>
                    <w:pStyle w:val="42"/>
                    <w:tabs>
                      <w:tab w:val="right" w:leader="dot" w:pos="8823"/>
                    </w:tabs>
                    <w:spacing w:before="24" w:after="24" w:line="240" w:lineRule="auto"/>
                    <w:rPr>
                      <w:rFonts w:eastAsiaTheme="minorEastAsia"/>
                      <w:color w:val="auto"/>
                    </w:rPr>
                  </w:pPr>
                </w:p>
              </w:tc>
              <w:tc>
                <w:tcPr>
                  <w:tcW w:w="818" w:type="pc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双碱法</w:t>
                  </w:r>
                </w:p>
                <w:p>
                  <w:pPr>
                    <w:pStyle w:val="42"/>
                    <w:tabs>
                      <w:tab w:val="right" w:leader="dot" w:pos="8823"/>
                    </w:tabs>
                    <w:spacing w:before="24" w:after="24" w:line="240" w:lineRule="auto"/>
                    <w:rPr>
                      <w:rFonts w:eastAsiaTheme="minorEastAsia"/>
                      <w:color w:val="auto"/>
                    </w:rPr>
                  </w:pPr>
                  <w:r>
                    <w:rPr>
                      <w:rFonts w:eastAsiaTheme="minorEastAsia"/>
                      <w:color w:val="auto"/>
                    </w:rPr>
                    <w:t>脱硫塔</w:t>
                  </w:r>
                </w:p>
              </w:tc>
              <w:tc>
                <w:tcPr>
                  <w:tcW w:w="3442" w:type="pct"/>
                  <w:gridSpan w:val="2"/>
                  <w:vAlign w:val="center"/>
                </w:tcPr>
                <w:p>
                  <w:pPr>
                    <w:rPr>
                      <w:rFonts w:eastAsiaTheme="minorEastAsia"/>
                      <w:color w:val="auto"/>
                      <w:szCs w:val="21"/>
                    </w:rPr>
                  </w:pPr>
                  <w:r>
                    <w:rPr>
                      <w:rFonts w:eastAsiaTheme="minorEastAsia"/>
                      <w:color w:val="auto"/>
                      <w:szCs w:val="21"/>
                    </w:rPr>
                    <w:t>烘干窑采用隧道窑尾气余热作为热源，隧道窑采用煤气发生炉产生的煤气作为热源，烘干废气与隧道窑废气经现有双碱法脱硫设施处理后由50m高排气筒（DA001）排放</w:t>
                  </w:r>
                  <w:r>
                    <w:rPr>
                      <w:rFonts w:hint="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continue"/>
                  <w:vAlign w:val="center"/>
                </w:tcPr>
                <w:p>
                  <w:pPr>
                    <w:jc w:val="center"/>
                    <w:rPr>
                      <w:rFonts w:eastAsiaTheme="minorEastAsia"/>
                      <w:snapToGrid w:val="0"/>
                      <w:color w:val="auto"/>
                      <w:kern w:val="0"/>
                      <w:szCs w:val="21"/>
                    </w:rPr>
                  </w:pPr>
                </w:p>
              </w:tc>
              <w:tc>
                <w:tcPr>
                  <w:tcW w:w="297" w:type="pct"/>
                  <w:vMerge w:val="continue"/>
                  <w:vAlign w:val="center"/>
                </w:tcPr>
                <w:p>
                  <w:pPr>
                    <w:pStyle w:val="42"/>
                    <w:tabs>
                      <w:tab w:val="right" w:leader="dot" w:pos="8823"/>
                    </w:tabs>
                    <w:spacing w:before="24" w:after="24" w:line="240" w:lineRule="auto"/>
                    <w:rPr>
                      <w:rFonts w:eastAsiaTheme="minorEastAsia"/>
                      <w:color w:val="auto"/>
                    </w:rPr>
                  </w:pPr>
                </w:p>
              </w:tc>
              <w:tc>
                <w:tcPr>
                  <w:tcW w:w="818" w:type="pc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在线监测</w:t>
                  </w:r>
                </w:p>
                <w:p>
                  <w:pPr>
                    <w:pStyle w:val="42"/>
                    <w:tabs>
                      <w:tab w:val="right" w:leader="dot" w:pos="8823"/>
                    </w:tabs>
                    <w:spacing w:before="24" w:after="24" w:line="240" w:lineRule="auto"/>
                    <w:rPr>
                      <w:rFonts w:eastAsiaTheme="minorEastAsia"/>
                      <w:color w:val="auto"/>
                    </w:rPr>
                  </w:pPr>
                  <w:r>
                    <w:rPr>
                      <w:rFonts w:eastAsiaTheme="minorEastAsia"/>
                      <w:color w:val="auto"/>
                    </w:rPr>
                    <w:t>系统</w:t>
                  </w:r>
                </w:p>
              </w:tc>
              <w:tc>
                <w:tcPr>
                  <w:tcW w:w="3442" w:type="pct"/>
                  <w:gridSpan w:val="2"/>
                  <w:vAlign w:val="center"/>
                </w:tcPr>
                <w:p>
                  <w:pPr>
                    <w:rPr>
                      <w:rFonts w:eastAsiaTheme="minorEastAsia"/>
                      <w:color w:val="auto"/>
                      <w:szCs w:val="21"/>
                    </w:rPr>
                  </w:pPr>
                  <w:r>
                    <w:rPr>
                      <w:rFonts w:eastAsiaTheme="minorEastAsia"/>
                      <w:color w:val="auto"/>
                      <w:szCs w:val="21"/>
                    </w:rPr>
                    <w:t>隧道窑废气排气筒已设置了在线监测系统，监测指标：颗粒物、SO</w:t>
                  </w:r>
                  <w:r>
                    <w:rPr>
                      <w:rFonts w:eastAsiaTheme="minorEastAsia"/>
                      <w:color w:val="auto"/>
                      <w:szCs w:val="21"/>
                      <w:vertAlign w:val="subscript"/>
                    </w:rPr>
                    <w:t>2</w:t>
                  </w:r>
                  <w:r>
                    <w:rPr>
                      <w:rFonts w:eastAsiaTheme="minorEastAsia"/>
                      <w:color w:val="auto"/>
                      <w:szCs w:val="21"/>
                    </w:rPr>
                    <w:t>、NO</w:t>
                  </w:r>
                  <w:r>
                    <w:rPr>
                      <w:rFonts w:eastAsiaTheme="minorEastAsia"/>
                      <w:color w:val="auto"/>
                      <w:szCs w:val="21"/>
                      <w:vertAlign w:val="subscript"/>
                    </w:rPr>
                    <w:t>x</w:t>
                  </w:r>
                  <w:r>
                    <w:rPr>
                      <w:rFonts w:hint="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continue"/>
                  <w:vAlign w:val="center"/>
                </w:tcPr>
                <w:p>
                  <w:pPr>
                    <w:jc w:val="center"/>
                    <w:rPr>
                      <w:rFonts w:eastAsiaTheme="minorEastAsia"/>
                      <w:snapToGrid w:val="0"/>
                      <w:color w:val="auto"/>
                      <w:kern w:val="0"/>
                      <w:szCs w:val="21"/>
                    </w:rPr>
                  </w:pPr>
                </w:p>
              </w:tc>
              <w:tc>
                <w:tcPr>
                  <w:tcW w:w="297" w:type="pct"/>
                  <w:vMerge w:val="continue"/>
                  <w:vAlign w:val="center"/>
                </w:tcPr>
                <w:p>
                  <w:pPr>
                    <w:pStyle w:val="42"/>
                    <w:tabs>
                      <w:tab w:val="right" w:leader="dot" w:pos="8823"/>
                    </w:tabs>
                    <w:spacing w:before="24" w:after="24" w:line="240" w:lineRule="auto"/>
                    <w:rPr>
                      <w:rFonts w:eastAsiaTheme="minorEastAsia"/>
                      <w:color w:val="auto"/>
                    </w:rPr>
                  </w:pPr>
                </w:p>
              </w:tc>
              <w:tc>
                <w:tcPr>
                  <w:tcW w:w="818" w:type="pc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喷雾洒水</w:t>
                  </w:r>
                </w:p>
                <w:p>
                  <w:pPr>
                    <w:pStyle w:val="42"/>
                    <w:tabs>
                      <w:tab w:val="right" w:leader="dot" w:pos="8823"/>
                    </w:tabs>
                    <w:spacing w:before="24" w:after="24" w:line="240" w:lineRule="auto"/>
                    <w:rPr>
                      <w:rFonts w:eastAsiaTheme="minorEastAsia"/>
                      <w:color w:val="auto"/>
                    </w:rPr>
                  </w:pPr>
                  <w:r>
                    <w:rPr>
                      <w:rFonts w:eastAsiaTheme="minorEastAsia"/>
                      <w:color w:val="auto"/>
                    </w:rPr>
                    <w:t>装置</w:t>
                  </w:r>
                </w:p>
              </w:tc>
              <w:tc>
                <w:tcPr>
                  <w:tcW w:w="3442" w:type="pct"/>
                  <w:gridSpan w:val="2"/>
                  <w:vAlign w:val="center"/>
                </w:tcPr>
                <w:p>
                  <w:pPr>
                    <w:rPr>
                      <w:rFonts w:eastAsiaTheme="minorEastAsia"/>
                      <w:color w:val="auto"/>
                      <w:szCs w:val="21"/>
                    </w:rPr>
                  </w:pPr>
                  <w:r>
                    <w:rPr>
                      <w:rFonts w:eastAsiaTheme="minorEastAsia"/>
                      <w:color w:val="auto"/>
                      <w:szCs w:val="21"/>
                    </w:rPr>
                    <w:t>6套，位于上料料仓顶部，用于处理上料时产生的无组织粉尘</w:t>
                  </w:r>
                  <w:r>
                    <w:rPr>
                      <w:rFonts w:hint="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continue"/>
                  <w:vAlign w:val="center"/>
                </w:tcPr>
                <w:p>
                  <w:pPr>
                    <w:jc w:val="center"/>
                    <w:rPr>
                      <w:rFonts w:eastAsiaTheme="minorEastAsia"/>
                      <w:snapToGrid w:val="0"/>
                      <w:color w:val="auto"/>
                      <w:kern w:val="0"/>
                      <w:szCs w:val="21"/>
                    </w:rPr>
                  </w:pPr>
                </w:p>
              </w:tc>
              <w:tc>
                <w:tcPr>
                  <w:tcW w:w="297" w:type="pct"/>
                  <w:vMerge w:val="restar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废水</w:t>
                  </w:r>
                </w:p>
              </w:tc>
              <w:tc>
                <w:tcPr>
                  <w:tcW w:w="818" w:type="pct"/>
                  <w:vMerge w:val="restar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脱硫废水处理设施</w:t>
                  </w:r>
                </w:p>
              </w:tc>
              <w:tc>
                <w:tcPr>
                  <w:tcW w:w="590" w:type="pc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再生池</w:t>
                  </w:r>
                </w:p>
              </w:tc>
              <w:tc>
                <w:tcPr>
                  <w:tcW w:w="2852" w:type="pct"/>
                  <w:vAlign w:val="center"/>
                </w:tcPr>
                <w:p>
                  <w:pPr>
                    <w:widowControl/>
                    <w:rPr>
                      <w:rFonts w:eastAsiaTheme="minorEastAsia"/>
                      <w:color w:val="auto"/>
                      <w:szCs w:val="21"/>
                    </w:rPr>
                  </w:pPr>
                  <w:r>
                    <w:rPr>
                      <w:rFonts w:eastAsiaTheme="minorEastAsia"/>
                      <w:color w:val="auto"/>
                      <w:szCs w:val="21"/>
                    </w:rPr>
                    <w:t>1座，容积为3m</w:t>
                  </w:r>
                  <w:r>
                    <w:rPr>
                      <w:rFonts w:eastAsiaTheme="minorEastAsia"/>
                      <w:color w:val="auto"/>
                      <w:szCs w:val="21"/>
                      <w:vertAlign w:val="superscript"/>
                    </w:rPr>
                    <w:t>3</w:t>
                  </w:r>
                  <w:r>
                    <w:rPr>
                      <w:rFonts w:eastAsiaTheme="minorEastAsia"/>
                      <w:color w:val="auto"/>
                      <w:szCs w:val="21"/>
                    </w:rPr>
                    <w:t>，在再生池中加入碳酸钙对脱硫废水进行再生处理，处理沉淀后的上清液进入循环池</w:t>
                  </w:r>
                  <w:r>
                    <w:rPr>
                      <w:rFonts w:hint="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continue"/>
                  <w:vAlign w:val="center"/>
                </w:tcPr>
                <w:p>
                  <w:pPr>
                    <w:jc w:val="center"/>
                    <w:rPr>
                      <w:rFonts w:eastAsiaTheme="minorEastAsia"/>
                      <w:snapToGrid w:val="0"/>
                      <w:color w:val="auto"/>
                      <w:kern w:val="0"/>
                      <w:szCs w:val="21"/>
                    </w:rPr>
                  </w:pPr>
                </w:p>
              </w:tc>
              <w:tc>
                <w:tcPr>
                  <w:tcW w:w="297" w:type="pct"/>
                  <w:vMerge w:val="continue"/>
                  <w:vAlign w:val="center"/>
                </w:tcPr>
                <w:p>
                  <w:pPr>
                    <w:pStyle w:val="42"/>
                    <w:tabs>
                      <w:tab w:val="right" w:leader="dot" w:pos="8823"/>
                    </w:tabs>
                    <w:spacing w:before="24" w:after="24" w:line="240" w:lineRule="auto"/>
                    <w:rPr>
                      <w:rFonts w:eastAsiaTheme="minorEastAsia"/>
                      <w:color w:val="auto"/>
                    </w:rPr>
                  </w:pPr>
                </w:p>
              </w:tc>
              <w:tc>
                <w:tcPr>
                  <w:tcW w:w="818" w:type="pct"/>
                  <w:vMerge w:val="continue"/>
                  <w:vAlign w:val="center"/>
                </w:tcPr>
                <w:p>
                  <w:pPr>
                    <w:pStyle w:val="42"/>
                    <w:tabs>
                      <w:tab w:val="right" w:leader="dot" w:pos="8823"/>
                    </w:tabs>
                    <w:spacing w:before="24" w:after="24" w:line="240" w:lineRule="auto"/>
                    <w:rPr>
                      <w:rFonts w:eastAsiaTheme="minorEastAsia"/>
                      <w:color w:val="auto"/>
                    </w:rPr>
                  </w:pPr>
                </w:p>
              </w:tc>
              <w:tc>
                <w:tcPr>
                  <w:tcW w:w="590" w:type="pc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压滤机</w:t>
                  </w:r>
                </w:p>
              </w:tc>
              <w:tc>
                <w:tcPr>
                  <w:tcW w:w="2852" w:type="pct"/>
                  <w:vAlign w:val="center"/>
                </w:tcPr>
                <w:p>
                  <w:pPr>
                    <w:rPr>
                      <w:rFonts w:eastAsiaTheme="minorEastAsia"/>
                      <w:color w:val="auto"/>
                      <w:szCs w:val="21"/>
                    </w:rPr>
                  </w:pPr>
                  <w:r>
                    <w:rPr>
                      <w:rFonts w:eastAsiaTheme="minorEastAsia"/>
                      <w:color w:val="auto"/>
                      <w:szCs w:val="21"/>
                    </w:rPr>
                    <w:t>1台，板框式压滤机，用于去除脱硫废水中沉淀物，压滤产生的脱硫石膏渣排入污泥池</w:t>
                  </w:r>
                  <w:r>
                    <w:rPr>
                      <w:rFonts w:hint="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continue"/>
                  <w:vAlign w:val="center"/>
                </w:tcPr>
                <w:p>
                  <w:pPr>
                    <w:jc w:val="center"/>
                    <w:rPr>
                      <w:rFonts w:eastAsiaTheme="minorEastAsia"/>
                      <w:snapToGrid w:val="0"/>
                      <w:color w:val="auto"/>
                      <w:kern w:val="0"/>
                      <w:szCs w:val="21"/>
                    </w:rPr>
                  </w:pPr>
                </w:p>
              </w:tc>
              <w:tc>
                <w:tcPr>
                  <w:tcW w:w="297" w:type="pct"/>
                  <w:vMerge w:val="continue"/>
                  <w:vAlign w:val="center"/>
                </w:tcPr>
                <w:p>
                  <w:pPr>
                    <w:pStyle w:val="42"/>
                    <w:tabs>
                      <w:tab w:val="right" w:leader="dot" w:pos="8823"/>
                    </w:tabs>
                    <w:spacing w:before="24" w:after="24" w:line="240" w:lineRule="auto"/>
                    <w:rPr>
                      <w:rFonts w:eastAsiaTheme="minorEastAsia"/>
                      <w:color w:val="auto"/>
                    </w:rPr>
                  </w:pPr>
                </w:p>
              </w:tc>
              <w:tc>
                <w:tcPr>
                  <w:tcW w:w="818" w:type="pct"/>
                  <w:vMerge w:val="continue"/>
                  <w:vAlign w:val="center"/>
                </w:tcPr>
                <w:p>
                  <w:pPr>
                    <w:pStyle w:val="42"/>
                    <w:tabs>
                      <w:tab w:val="right" w:leader="dot" w:pos="8823"/>
                    </w:tabs>
                    <w:spacing w:before="24" w:after="24" w:line="240" w:lineRule="auto"/>
                    <w:rPr>
                      <w:rFonts w:eastAsiaTheme="minorEastAsia"/>
                      <w:color w:val="auto"/>
                    </w:rPr>
                  </w:pPr>
                </w:p>
              </w:tc>
              <w:tc>
                <w:tcPr>
                  <w:tcW w:w="590" w:type="pc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循环池</w:t>
                  </w:r>
                </w:p>
              </w:tc>
              <w:tc>
                <w:tcPr>
                  <w:tcW w:w="2852" w:type="pct"/>
                  <w:vAlign w:val="center"/>
                </w:tcPr>
                <w:p>
                  <w:pPr>
                    <w:rPr>
                      <w:rFonts w:eastAsiaTheme="minorEastAsia"/>
                      <w:color w:val="auto"/>
                      <w:szCs w:val="21"/>
                    </w:rPr>
                  </w:pPr>
                  <w:r>
                    <w:rPr>
                      <w:rFonts w:eastAsiaTheme="minorEastAsia"/>
                      <w:color w:val="auto"/>
                      <w:szCs w:val="21"/>
                    </w:rPr>
                    <w:t>1座，容积为3m</w:t>
                  </w:r>
                  <w:r>
                    <w:rPr>
                      <w:rFonts w:eastAsiaTheme="minorEastAsia"/>
                      <w:color w:val="auto"/>
                      <w:szCs w:val="21"/>
                      <w:vertAlign w:val="superscript"/>
                    </w:rPr>
                    <w:t>3</w:t>
                  </w:r>
                  <w:r>
                    <w:rPr>
                      <w:rFonts w:eastAsiaTheme="minorEastAsia"/>
                      <w:color w:val="auto"/>
                      <w:szCs w:val="21"/>
                    </w:rPr>
                    <w:t>，用于脱硫废水循环利用</w:t>
                  </w:r>
                  <w:r>
                    <w:rPr>
                      <w:rFonts w:hint="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continue"/>
                  <w:vAlign w:val="center"/>
                </w:tcPr>
                <w:p>
                  <w:pPr>
                    <w:jc w:val="center"/>
                    <w:rPr>
                      <w:rFonts w:eastAsiaTheme="minorEastAsia"/>
                      <w:snapToGrid w:val="0"/>
                      <w:color w:val="auto"/>
                      <w:kern w:val="0"/>
                      <w:szCs w:val="21"/>
                    </w:rPr>
                  </w:pPr>
                </w:p>
              </w:tc>
              <w:tc>
                <w:tcPr>
                  <w:tcW w:w="297" w:type="pct"/>
                  <w:vMerge w:val="continue"/>
                  <w:vAlign w:val="center"/>
                </w:tcPr>
                <w:p>
                  <w:pPr>
                    <w:pStyle w:val="42"/>
                    <w:tabs>
                      <w:tab w:val="right" w:leader="dot" w:pos="8823"/>
                    </w:tabs>
                    <w:spacing w:before="24" w:after="24" w:line="240" w:lineRule="auto"/>
                    <w:rPr>
                      <w:rFonts w:eastAsiaTheme="minorEastAsia"/>
                      <w:color w:val="auto"/>
                    </w:rPr>
                  </w:pPr>
                </w:p>
              </w:tc>
              <w:tc>
                <w:tcPr>
                  <w:tcW w:w="818" w:type="pc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中和池</w:t>
                  </w:r>
                </w:p>
              </w:tc>
              <w:tc>
                <w:tcPr>
                  <w:tcW w:w="3442" w:type="pct"/>
                  <w:gridSpan w:val="2"/>
                  <w:vAlign w:val="center"/>
                </w:tcPr>
                <w:p>
                  <w:pPr>
                    <w:widowControl/>
                    <w:jc w:val="center"/>
                    <w:rPr>
                      <w:rFonts w:eastAsiaTheme="minorEastAsia"/>
                      <w:color w:val="auto"/>
                      <w:szCs w:val="21"/>
                    </w:rPr>
                  </w:pPr>
                  <w:r>
                    <w:rPr>
                      <w:rFonts w:eastAsiaTheme="minorEastAsia"/>
                      <w:color w:val="auto"/>
                      <w:szCs w:val="21"/>
                    </w:rPr>
                    <w:t>1座，容积1m</w:t>
                  </w:r>
                  <w:r>
                    <w:rPr>
                      <w:rFonts w:eastAsiaTheme="minorEastAsia"/>
                      <w:color w:val="auto"/>
                      <w:szCs w:val="21"/>
                      <w:vertAlign w:val="superscript"/>
                    </w:rPr>
                    <w:t>3</w:t>
                  </w:r>
                  <w:r>
                    <w:rPr>
                      <w:rFonts w:eastAsiaTheme="minorEastAsia"/>
                      <w:color w:val="auto"/>
                      <w:szCs w:val="21"/>
                    </w:rPr>
                    <w:t>，用于处理实验室废水</w:t>
                  </w:r>
                  <w:r>
                    <w:rPr>
                      <w:rFonts w:hint="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continue"/>
                  <w:vAlign w:val="center"/>
                </w:tcPr>
                <w:p>
                  <w:pPr>
                    <w:jc w:val="center"/>
                    <w:rPr>
                      <w:rFonts w:eastAsiaTheme="minorEastAsia"/>
                      <w:snapToGrid w:val="0"/>
                      <w:color w:val="auto"/>
                      <w:kern w:val="0"/>
                      <w:szCs w:val="21"/>
                    </w:rPr>
                  </w:pPr>
                </w:p>
              </w:tc>
              <w:tc>
                <w:tcPr>
                  <w:tcW w:w="297" w:type="pct"/>
                  <w:vMerge w:val="continue"/>
                  <w:vAlign w:val="center"/>
                </w:tcPr>
                <w:p>
                  <w:pPr>
                    <w:pStyle w:val="42"/>
                    <w:tabs>
                      <w:tab w:val="right" w:leader="dot" w:pos="8823"/>
                    </w:tabs>
                    <w:spacing w:before="24" w:after="24" w:line="240" w:lineRule="auto"/>
                    <w:rPr>
                      <w:rFonts w:eastAsiaTheme="minorEastAsia"/>
                      <w:color w:val="auto"/>
                    </w:rPr>
                  </w:pPr>
                </w:p>
              </w:tc>
              <w:tc>
                <w:tcPr>
                  <w:tcW w:w="818" w:type="pc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化粪池</w:t>
                  </w:r>
                </w:p>
              </w:tc>
              <w:tc>
                <w:tcPr>
                  <w:tcW w:w="3442" w:type="pct"/>
                  <w:gridSpan w:val="2"/>
                  <w:vAlign w:val="center"/>
                </w:tcPr>
                <w:p>
                  <w:pPr>
                    <w:widowControl/>
                    <w:jc w:val="center"/>
                    <w:rPr>
                      <w:rFonts w:eastAsiaTheme="minorEastAsia"/>
                      <w:color w:val="auto"/>
                      <w:szCs w:val="21"/>
                    </w:rPr>
                  </w:pPr>
                  <w:r>
                    <w:rPr>
                      <w:rFonts w:eastAsiaTheme="minorEastAsia"/>
                      <w:color w:val="auto"/>
                      <w:szCs w:val="21"/>
                    </w:rPr>
                    <w:t>1座，容积3.5m</w:t>
                  </w:r>
                  <w:r>
                    <w:rPr>
                      <w:rFonts w:eastAsiaTheme="minorEastAsia"/>
                      <w:color w:val="auto"/>
                      <w:szCs w:val="21"/>
                      <w:vertAlign w:val="superscript"/>
                    </w:rPr>
                    <w:t>3</w:t>
                  </w:r>
                  <w:r>
                    <w:rPr>
                      <w:rFonts w:hint="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continue"/>
                  <w:vAlign w:val="center"/>
                </w:tcPr>
                <w:p>
                  <w:pPr>
                    <w:jc w:val="center"/>
                    <w:rPr>
                      <w:rFonts w:eastAsiaTheme="minorEastAsia"/>
                      <w:snapToGrid w:val="0"/>
                      <w:color w:val="auto"/>
                      <w:kern w:val="0"/>
                      <w:szCs w:val="21"/>
                    </w:rPr>
                  </w:pPr>
                </w:p>
              </w:tc>
              <w:tc>
                <w:tcPr>
                  <w:tcW w:w="297" w:type="pct"/>
                  <w:vMerge w:val="continue"/>
                  <w:vAlign w:val="center"/>
                </w:tcPr>
                <w:p>
                  <w:pPr>
                    <w:pStyle w:val="42"/>
                    <w:tabs>
                      <w:tab w:val="right" w:leader="dot" w:pos="8823"/>
                    </w:tabs>
                    <w:spacing w:before="24" w:after="24" w:line="240" w:lineRule="auto"/>
                    <w:rPr>
                      <w:rFonts w:eastAsiaTheme="minorEastAsia"/>
                      <w:color w:val="auto"/>
                    </w:rPr>
                  </w:pPr>
                </w:p>
              </w:tc>
              <w:tc>
                <w:tcPr>
                  <w:tcW w:w="818" w:type="pc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隔油池</w:t>
                  </w:r>
                </w:p>
              </w:tc>
              <w:tc>
                <w:tcPr>
                  <w:tcW w:w="3442" w:type="pct"/>
                  <w:gridSpan w:val="2"/>
                  <w:vAlign w:val="center"/>
                </w:tcPr>
                <w:p>
                  <w:pPr>
                    <w:jc w:val="center"/>
                    <w:rPr>
                      <w:rFonts w:eastAsiaTheme="minorEastAsia"/>
                      <w:color w:val="auto"/>
                      <w:szCs w:val="21"/>
                    </w:rPr>
                  </w:pPr>
                  <w:r>
                    <w:rPr>
                      <w:rFonts w:eastAsiaTheme="minorEastAsia"/>
                      <w:color w:val="auto"/>
                      <w:szCs w:val="21"/>
                    </w:rPr>
                    <w:t>1座，容积为3m</w:t>
                  </w:r>
                  <w:r>
                    <w:rPr>
                      <w:rFonts w:eastAsiaTheme="minorEastAsia"/>
                      <w:color w:val="auto"/>
                      <w:szCs w:val="21"/>
                      <w:vertAlign w:val="superscript"/>
                    </w:rPr>
                    <w:t>3</w:t>
                  </w:r>
                  <w:r>
                    <w:rPr>
                      <w:rFonts w:eastAsiaTheme="minorEastAsia"/>
                      <w:color w:val="auto"/>
                      <w:szCs w:val="21"/>
                    </w:rPr>
                    <w:t>，用于预处理食堂废水</w:t>
                  </w:r>
                  <w:r>
                    <w:rPr>
                      <w:rFonts w:hint="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continue"/>
                  <w:vAlign w:val="center"/>
                </w:tcPr>
                <w:p>
                  <w:pPr>
                    <w:jc w:val="center"/>
                    <w:rPr>
                      <w:rFonts w:eastAsiaTheme="minorEastAsia"/>
                      <w:snapToGrid w:val="0"/>
                      <w:color w:val="auto"/>
                      <w:kern w:val="0"/>
                      <w:szCs w:val="21"/>
                    </w:rPr>
                  </w:pPr>
                </w:p>
              </w:tc>
              <w:tc>
                <w:tcPr>
                  <w:tcW w:w="297" w:type="pct"/>
                  <w:vMerge w:val="restar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一般固废</w:t>
                  </w:r>
                </w:p>
              </w:tc>
              <w:tc>
                <w:tcPr>
                  <w:tcW w:w="818" w:type="pc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污泥池</w:t>
                  </w:r>
                </w:p>
              </w:tc>
              <w:tc>
                <w:tcPr>
                  <w:tcW w:w="3442" w:type="pct"/>
                  <w:gridSpan w:val="2"/>
                  <w:vAlign w:val="center"/>
                </w:tcPr>
                <w:p>
                  <w:pPr>
                    <w:rPr>
                      <w:rFonts w:eastAsiaTheme="minorEastAsia"/>
                      <w:color w:val="auto"/>
                      <w:szCs w:val="21"/>
                    </w:rPr>
                  </w:pPr>
                  <w:r>
                    <w:rPr>
                      <w:rFonts w:eastAsiaTheme="minorEastAsia"/>
                      <w:color w:val="auto"/>
                      <w:szCs w:val="21"/>
                    </w:rPr>
                    <w:t>1座，可移动钢构池体，用于暂存脱硫石膏渣</w:t>
                  </w:r>
                  <w:r>
                    <w:rPr>
                      <w:rFonts w:hint="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continue"/>
                  <w:vAlign w:val="center"/>
                </w:tcPr>
                <w:p>
                  <w:pPr>
                    <w:jc w:val="center"/>
                    <w:rPr>
                      <w:rFonts w:eastAsiaTheme="minorEastAsia"/>
                      <w:snapToGrid w:val="0"/>
                      <w:color w:val="auto"/>
                      <w:kern w:val="0"/>
                      <w:szCs w:val="21"/>
                    </w:rPr>
                  </w:pPr>
                </w:p>
              </w:tc>
              <w:tc>
                <w:tcPr>
                  <w:tcW w:w="297" w:type="pct"/>
                  <w:vMerge w:val="continue"/>
                  <w:vAlign w:val="center"/>
                </w:tcPr>
                <w:p>
                  <w:pPr>
                    <w:pStyle w:val="42"/>
                    <w:tabs>
                      <w:tab w:val="right" w:leader="dot" w:pos="8823"/>
                    </w:tabs>
                    <w:spacing w:before="24" w:after="24" w:line="240" w:lineRule="auto"/>
                    <w:rPr>
                      <w:rFonts w:eastAsiaTheme="minorEastAsia"/>
                      <w:color w:val="auto"/>
                    </w:rPr>
                  </w:pPr>
                </w:p>
              </w:tc>
              <w:tc>
                <w:tcPr>
                  <w:tcW w:w="818" w:type="pc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垃圾房</w:t>
                  </w:r>
                </w:p>
              </w:tc>
              <w:tc>
                <w:tcPr>
                  <w:tcW w:w="3442" w:type="pct"/>
                  <w:gridSpan w:val="2"/>
                  <w:vAlign w:val="center"/>
                </w:tcPr>
                <w:p>
                  <w:pPr>
                    <w:rPr>
                      <w:rFonts w:eastAsiaTheme="minorEastAsia"/>
                      <w:color w:val="auto"/>
                      <w:szCs w:val="21"/>
                    </w:rPr>
                  </w:pPr>
                  <w:r>
                    <w:rPr>
                      <w:rFonts w:eastAsiaTheme="minorEastAsia"/>
                      <w:color w:val="auto"/>
                      <w:szCs w:val="21"/>
                    </w:rPr>
                    <w:t>位于厂区东南角，砖混结构，地面硬化，占地面积30m</w:t>
                  </w:r>
                  <w:r>
                    <w:rPr>
                      <w:rFonts w:eastAsiaTheme="minorEastAsia"/>
                      <w:color w:val="auto"/>
                      <w:szCs w:val="21"/>
                      <w:vertAlign w:val="superscript"/>
                    </w:rPr>
                    <w:t>2</w:t>
                  </w:r>
                  <w:r>
                    <w:rPr>
                      <w:rFonts w:hint="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continue"/>
                  <w:vAlign w:val="center"/>
                </w:tcPr>
                <w:p>
                  <w:pPr>
                    <w:jc w:val="center"/>
                    <w:rPr>
                      <w:rFonts w:eastAsiaTheme="minorEastAsia"/>
                      <w:snapToGrid w:val="0"/>
                      <w:color w:val="auto"/>
                      <w:kern w:val="0"/>
                      <w:szCs w:val="21"/>
                    </w:rPr>
                  </w:pPr>
                </w:p>
              </w:tc>
              <w:tc>
                <w:tcPr>
                  <w:tcW w:w="297" w:type="pct"/>
                  <w:vMerge w:val="restar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危险固废</w:t>
                  </w:r>
                </w:p>
              </w:tc>
              <w:tc>
                <w:tcPr>
                  <w:tcW w:w="818" w:type="pc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事故油池</w:t>
                  </w:r>
                </w:p>
              </w:tc>
              <w:tc>
                <w:tcPr>
                  <w:tcW w:w="3442" w:type="pct"/>
                  <w:gridSpan w:val="2"/>
                  <w:vAlign w:val="center"/>
                </w:tcPr>
                <w:p>
                  <w:pPr>
                    <w:jc w:val="center"/>
                    <w:rPr>
                      <w:rFonts w:eastAsiaTheme="minorEastAsia"/>
                      <w:color w:val="auto"/>
                      <w:szCs w:val="21"/>
                    </w:rPr>
                  </w:pPr>
                  <w:r>
                    <w:rPr>
                      <w:rFonts w:eastAsiaTheme="minorEastAsia"/>
                      <w:color w:val="auto"/>
                      <w:szCs w:val="21"/>
                    </w:rPr>
                    <w:t>位于变压器下方，1座，容积为1.5m</w:t>
                  </w:r>
                  <w:r>
                    <w:rPr>
                      <w:rFonts w:eastAsiaTheme="minorEastAsia"/>
                      <w:color w:val="auto"/>
                      <w:szCs w:val="21"/>
                      <w:vertAlign w:val="superscript"/>
                    </w:rPr>
                    <w:t>3</w:t>
                  </w:r>
                  <w:r>
                    <w:rPr>
                      <w:rFonts w:hint="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443" w:type="pct"/>
                  <w:vMerge w:val="continue"/>
                  <w:vAlign w:val="center"/>
                </w:tcPr>
                <w:p>
                  <w:pPr>
                    <w:jc w:val="center"/>
                    <w:rPr>
                      <w:rFonts w:eastAsiaTheme="minorEastAsia"/>
                      <w:snapToGrid w:val="0"/>
                      <w:color w:val="auto"/>
                      <w:kern w:val="0"/>
                      <w:szCs w:val="21"/>
                    </w:rPr>
                  </w:pPr>
                </w:p>
              </w:tc>
              <w:tc>
                <w:tcPr>
                  <w:tcW w:w="297" w:type="pct"/>
                  <w:vMerge w:val="continue"/>
                  <w:vAlign w:val="center"/>
                </w:tcPr>
                <w:p>
                  <w:pPr>
                    <w:pStyle w:val="42"/>
                    <w:tabs>
                      <w:tab w:val="right" w:leader="dot" w:pos="8823"/>
                    </w:tabs>
                    <w:spacing w:before="24" w:after="24" w:line="240" w:lineRule="auto"/>
                    <w:rPr>
                      <w:rFonts w:eastAsiaTheme="minorEastAsia"/>
                      <w:color w:val="auto"/>
                    </w:rPr>
                  </w:pPr>
                </w:p>
              </w:tc>
              <w:tc>
                <w:tcPr>
                  <w:tcW w:w="818" w:type="pct"/>
                  <w:vAlign w:val="center"/>
                </w:tcPr>
                <w:p>
                  <w:pPr>
                    <w:pStyle w:val="42"/>
                    <w:tabs>
                      <w:tab w:val="right" w:leader="dot" w:pos="8823"/>
                    </w:tabs>
                    <w:spacing w:before="24" w:after="24" w:line="240" w:lineRule="auto"/>
                    <w:rPr>
                      <w:rFonts w:eastAsiaTheme="minorEastAsia"/>
                      <w:color w:val="auto"/>
                    </w:rPr>
                  </w:pPr>
                  <w:r>
                    <w:rPr>
                      <w:rFonts w:eastAsiaTheme="minorEastAsia"/>
                      <w:color w:val="auto"/>
                    </w:rPr>
                    <w:t>危废暂存间</w:t>
                  </w:r>
                </w:p>
              </w:tc>
              <w:tc>
                <w:tcPr>
                  <w:tcW w:w="3442" w:type="pct"/>
                  <w:gridSpan w:val="2"/>
                  <w:vAlign w:val="center"/>
                </w:tcPr>
                <w:p>
                  <w:pPr>
                    <w:rPr>
                      <w:rFonts w:eastAsiaTheme="minorEastAsia"/>
                      <w:color w:val="auto"/>
                      <w:szCs w:val="21"/>
                    </w:rPr>
                  </w:pPr>
                  <w:r>
                    <w:rPr>
                      <w:rFonts w:eastAsiaTheme="minorEastAsia"/>
                      <w:color w:val="auto"/>
                      <w:szCs w:val="21"/>
                    </w:rPr>
                    <w:t>1间，位于原有仓库东侧，占地面积30m</w:t>
                  </w:r>
                  <w:r>
                    <w:rPr>
                      <w:rFonts w:eastAsiaTheme="minorEastAsia"/>
                      <w:color w:val="auto"/>
                      <w:szCs w:val="21"/>
                      <w:vertAlign w:val="superscript"/>
                    </w:rPr>
                    <w:t>2</w:t>
                  </w:r>
                  <w:r>
                    <w:rPr>
                      <w:rFonts w:eastAsiaTheme="minorEastAsia"/>
                      <w:color w:val="auto"/>
                      <w:szCs w:val="21"/>
                    </w:rPr>
                    <w:t>，已</w:t>
                  </w:r>
                  <w:r>
                    <w:rPr>
                      <w:rFonts w:eastAsiaTheme="minorEastAsia"/>
                      <w:color w:val="auto"/>
                      <w:kern w:val="0"/>
                      <w:szCs w:val="21"/>
                    </w:rPr>
                    <w:t>按照</w:t>
                  </w:r>
                  <w:r>
                    <w:rPr>
                      <w:rFonts w:eastAsiaTheme="minorEastAsia"/>
                      <w:color w:val="auto"/>
                      <w:szCs w:val="21"/>
                    </w:rPr>
                    <w:t>《危险废物贮存污染控制标准》（GB18597-2001）建设</w:t>
                  </w:r>
                  <w:r>
                    <w:rPr>
                      <w:rFonts w:hint="eastAsia" w:eastAsiaTheme="minorEastAsia"/>
                      <w:color w:val="auto"/>
                      <w:szCs w:val="21"/>
                    </w:rPr>
                    <w:t>。</w:t>
                  </w:r>
                </w:p>
              </w:tc>
            </w:tr>
          </w:tbl>
          <w:p>
            <w:pPr>
              <w:adjustRightInd w:val="0"/>
              <w:snapToGrid w:val="0"/>
              <w:rPr>
                <w:bCs/>
                <w:color w:val="auto"/>
              </w:rPr>
            </w:pPr>
          </w:p>
          <w:p>
            <w:pPr>
              <w:adjustRightInd w:val="0"/>
              <w:snapToGrid w:val="0"/>
              <w:spacing w:line="360" w:lineRule="auto"/>
              <w:rPr>
                <w:b/>
                <w:color w:val="auto"/>
                <w:sz w:val="24"/>
              </w:rPr>
            </w:pPr>
            <w:r>
              <w:rPr>
                <w:rFonts w:hint="eastAsia"/>
                <w:b/>
                <w:color w:val="auto"/>
                <w:sz w:val="24"/>
              </w:rPr>
              <w:t>2.13</w:t>
            </w:r>
            <w:r>
              <w:rPr>
                <w:b/>
                <w:color w:val="auto"/>
                <w:sz w:val="24"/>
              </w:rPr>
              <w:t>现有工程履行的环评及竣工验收情况</w:t>
            </w:r>
          </w:p>
          <w:p>
            <w:pPr>
              <w:adjustRightInd w:val="0"/>
              <w:snapToGrid w:val="0"/>
              <w:spacing w:line="360" w:lineRule="auto"/>
              <w:ind w:firstLine="480" w:firstLineChars="200"/>
              <w:rPr>
                <w:bCs/>
                <w:color w:val="auto"/>
                <w:sz w:val="24"/>
              </w:rPr>
            </w:pPr>
            <w:r>
              <w:rPr>
                <w:rFonts w:hint="eastAsia"/>
                <w:bCs/>
                <w:color w:val="auto"/>
                <w:sz w:val="24"/>
              </w:rPr>
              <w:t>（1）</w:t>
            </w:r>
            <w:r>
              <w:rPr>
                <w:rFonts w:hint="eastAsia"/>
                <w:color w:val="auto"/>
                <w:kern w:val="0"/>
                <w:sz w:val="24"/>
                <w:lang w:bidi="ar"/>
              </w:rPr>
              <w:t>年产10万吨耐火材料生产线建设项目</w:t>
            </w:r>
          </w:p>
          <w:p>
            <w:pPr>
              <w:adjustRightInd w:val="0"/>
              <w:snapToGrid w:val="0"/>
              <w:spacing w:line="360" w:lineRule="auto"/>
              <w:ind w:firstLine="480" w:firstLineChars="200"/>
              <w:rPr>
                <w:bCs/>
                <w:color w:val="auto"/>
                <w:sz w:val="24"/>
              </w:rPr>
            </w:pPr>
            <w:r>
              <w:rPr>
                <w:rFonts w:hint="eastAsia"/>
                <w:bCs/>
                <w:color w:val="auto"/>
                <w:sz w:val="24"/>
              </w:rPr>
              <w:t>昆明红枫湖耐火材料</w:t>
            </w:r>
            <w:r>
              <w:rPr>
                <w:color w:val="auto"/>
                <w:kern w:val="0"/>
                <w:sz w:val="24"/>
                <w:lang w:bidi="ar"/>
              </w:rPr>
              <w:t>有限公司</w:t>
            </w:r>
            <w:r>
              <w:rPr>
                <w:rFonts w:hint="eastAsia"/>
                <w:color w:val="auto"/>
                <w:kern w:val="0"/>
                <w:sz w:val="24"/>
                <w:lang w:bidi="ar"/>
              </w:rPr>
              <w:t>于2008年3月18日委托云南大学科技咨询发展中心编制完成了《年产10万吨耐火材料生产线建设项目环境影响报告表》，于2008年5月12日取得昆明市环境保护局《关于对&lt;年产10万吨耐火材料生产线建设项目环境影响报告表&gt;的批复》（昆环保复【2008】103号），项目于2008年5月8日建成投入试运行。</w:t>
            </w:r>
            <w:r>
              <w:rPr>
                <w:rFonts w:hint="eastAsia"/>
                <w:bCs/>
                <w:color w:val="auto"/>
                <w:sz w:val="24"/>
              </w:rPr>
              <w:t>昆明红枫湖耐火材料</w:t>
            </w:r>
            <w:r>
              <w:rPr>
                <w:color w:val="auto"/>
                <w:kern w:val="0"/>
                <w:sz w:val="24"/>
                <w:lang w:bidi="ar"/>
              </w:rPr>
              <w:t>有限公司</w:t>
            </w:r>
            <w:r>
              <w:rPr>
                <w:rFonts w:hint="eastAsia"/>
                <w:color w:val="auto"/>
                <w:kern w:val="0"/>
                <w:sz w:val="24"/>
                <w:lang w:bidi="ar"/>
              </w:rPr>
              <w:t>于2012年委托宜良县环境监测站编制了《</w:t>
            </w:r>
            <w:r>
              <w:rPr>
                <w:rFonts w:hint="eastAsia"/>
                <w:bCs/>
                <w:color w:val="auto"/>
                <w:sz w:val="24"/>
              </w:rPr>
              <w:t>年产10万吨耐火材料生产线（一期）建设项目竣工环境保护验收监测报告</w:t>
            </w:r>
            <w:r>
              <w:rPr>
                <w:rFonts w:hint="eastAsia"/>
                <w:color w:val="auto"/>
                <w:kern w:val="0"/>
                <w:sz w:val="24"/>
                <w:lang w:bidi="ar"/>
              </w:rPr>
              <w:t>》，并于2013年8月9日取得宜良县环境保护局《关于对“</w:t>
            </w:r>
            <w:r>
              <w:rPr>
                <w:rFonts w:hint="eastAsia"/>
                <w:bCs/>
                <w:color w:val="auto"/>
                <w:sz w:val="24"/>
              </w:rPr>
              <w:t>年产10万吨耐火材料生产线（一期）建设项目竣工环境保护验收</w:t>
            </w:r>
            <w:r>
              <w:rPr>
                <w:rFonts w:hint="eastAsia"/>
                <w:color w:val="auto"/>
                <w:kern w:val="0"/>
                <w:sz w:val="24"/>
                <w:lang w:bidi="ar"/>
              </w:rPr>
              <w:t>”的审核意见》（宜环保【2013】110号）。</w:t>
            </w:r>
          </w:p>
          <w:p>
            <w:pPr>
              <w:adjustRightInd w:val="0"/>
              <w:snapToGrid w:val="0"/>
              <w:spacing w:line="360" w:lineRule="auto"/>
              <w:ind w:firstLine="480" w:firstLineChars="200"/>
              <w:rPr>
                <w:bCs/>
                <w:color w:val="auto"/>
                <w:sz w:val="24"/>
              </w:rPr>
            </w:pPr>
            <w:r>
              <w:rPr>
                <w:rFonts w:hint="eastAsia"/>
                <w:bCs/>
                <w:color w:val="auto"/>
                <w:sz w:val="24"/>
              </w:rPr>
              <w:t>（2）年产10万吨耐火材料生产线技改项目</w:t>
            </w:r>
          </w:p>
          <w:p>
            <w:pPr>
              <w:adjustRightInd w:val="0"/>
              <w:snapToGrid w:val="0"/>
              <w:spacing w:line="360" w:lineRule="auto"/>
              <w:ind w:firstLine="480" w:firstLineChars="200"/>
              <w:rPr>
                <w:bCs/>
                <w:color w:val="auto"/>
                <w:sz w:val="24"/>
              </w:rPr>
            </w:pPr>
            <w:r>
              <w:rPr>
                <w:rFonts w:hint="eastAsia"/>
                <w:bCs/>
                <w:color w:val="auto"/>
                <w:sz w:val="24"/>
              </w:rPr>
              <w:t>昆明红枫湖耐火材料</w:t>
            </w:r>
            <w:r>
              <w:rPr>
                <w:bCs/>
                <w:color w:val="auto"/>
                <w:sz w:val="24"/>
              </w:rPr>
              <w:t>有限公司</w:t>
            </w:r>
            <w:r>
              <w:rPr>
                <w:rFonts w:hint="eastAsia"/>
                <w:bCs/>
                <w:color w:val="auto"/>
                <w:sz w:val="24"/>
              </w:rPr>
              <w:t>于2020年6月委托北京中环博宏资源环境科技有限公司编制了《年产10万吨耐火材料生产线技改项目环境影响报告表》，于2020年7月5日取得昆明市生态环境局宜良分局《关于对&lt;昆明红枫湖耐火材料有限公司年产10万吨耐火材料生产线技改项目环境影响报告表&gt;的批复》（宜生环【2020】100号），技改项目于2020年7月开工建设，同月完工。昆明红枫湖耐火材料</w:t>
            </w:r>
            <w:r>
              <w:rPr>
                <w:bCs/>
                <w:color w:val="auto"/>
                <w:sz w:val="24"/>
              </w:rPr>
              <w:t>有限公司</w:t>
            </w:r>
            <w:r>
              <w:rPr>
                <w:rFonts w:hint="eastAsia"/>
                <w:bCs/>
                <w:color w:val="auto"/>
                <w:sz w:val="24"/>
              </w:rPr>
              <w:t>于2021年10月委托云南六方合源环保科技有限公司编制完成了《年产10万吨耐火材料生产线技改项目竣工环境保护验收检测报告》，并于2021年11月10日通过了“年产10万吨耐火材料生产线技改项目”竣工环境保护验收。</w:t>
            </w:r>
          </w:p>
          <w:p>
            <w:pPr>
              <w:adjustRightInd w:val="0"/>
              <w:snapToGrid w:val="0"/>
              <w:spacing w:line="360" w:lineRule="auto"/>
              <w:rPr>
                <w:b/>
                <w:color w:val="auto"/>
                <w:sz w:val="24"/>
              </w:rPr>
            </w:pPr>
            <w:r>
              <w:rPr>
                <w:rFonts w:hint="eastAsia"/>
                <w:b/>
                <w:color w:val="auto"/>
                <w:sz w:val="24"/>
              </w:rPr>
              <w:t>2.14</w:t>
            </w:r>
            <w:r>
              <w:rPr>
                <w:b/>
                <w:color w:val="auto"/>
                <w:sz w:val="24"/>
              </w:rPr>
              <w:t>排污许可手续办理情况</w:t>
            </w:r>
          </w:p>
          <w:p>
            <w:pPr>
              <w:adjustRightInd w:val="0"/>
              <w:snapToGrid w:val="0"/>
              <w:spacing w:line="360" w:lineRule="auto"/>
              <w:ind w:firstLine="480" w:firstLineChars="200"/>
              <w:rPr>
                <w:bCs/>
                <w:color w:val="auto"/>
                <w:sz w:val="24"/>
              </w:rPr>
            </w:pPr>
            <w:r>
              <w:rPr>
                <w:rFonts w:hint="eastAsia"/>
                <w:bCs/>
                <w:color w:val="auto"/>
                <w:sz w:val="24"/>
              </w:rPr>
              <w:t>昆明红枫湖耐火材料</w:t>
            </w:r>
            <w:r>
              <w:rPr>
                <w:bCs/>
                <w:color w:val="auto"/>
                <w:sz w:val="24"/>
              </w:rPr>
              <w:t>有限公司</w:t>
            </w:r>
            <w:r>
              <w:rPr>
                <w:rFonts w:hint="eastAsia"/>
                <w:bCs/>
                <w:color w:val="auto"/>
                <w:sz w:val="24"/>
              </w:rPr>
              <w:t>于2021年12月1日取得排污许可证，证书编号：91530125683658150000R。许可排放总量详情如下。</w:t>
            </w:r>
          </w:p>
          <w:p>
            <w:pPr>
              <w:pStyle w:val="47"/>
              <w:adjustRightInd w:val="0"/>
              <w:snapToGrid w:val="0"/>
              <w:spacing w:line="240" w:lineRule="auto"/>
              <w:ind w:firstLine="0"/>
              <w:jc w:val="center"/>
              <w:rPr>
                <w:b/>
                <w:color w:val="auto"/>
                <w:sz w:val="21"/>
                <w:szCs w:val="24"/>
              </w:rPr>
            </w:pPr>
            <w:r>
              <w:rPr>
                <w:rFonts w:hint="eastAsia"/>
                <w:b/>
                <w:color w:val="auto"/>
                <w:sz w:val="21"/>
                <w:szCs w:val="24"/>
              </w:rPr>
              <w:t>表2-1</w:t>
            </w:r>
            <w:r>
              <w:rPr>
                <w:rFonts w:hint="eastAsia"/>
                <w:b/>
                <w:color w:val="auto"/>
                <w:sz w:val="21"/>
                <w:szCs w:val="24"/>
                <w:lang w:val="en-US" w:eastAsia="zh-CN"/>
              </w:rPr>
              <w:t>0</w:t>
            </w:r>
            <w:r>
              <w:rPr>
                <w:rFonts w:hint="eastAsia"/>
                <w:b/>
                <w:color w:val="auto"/>
                <w:sz w:val="21"/>
                <w:szCs w:val="24"/>
              </w:rPr>
              <w:t xml:space="preserve">  许可排放总量情况表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64" w:type="pct"/>
                  <w:shd w:val="clear" w:color="auto" w:fill="auto"/>
                  <w:vAlign w:val="center"/>
                </w:tcPr>
                <w:p>
                  <w:pPr>
                    <w:pStyle w:val="47"/>
                    <w:adjustRightInd w:val="0"/>
                    <w:snapToGrid w:val="0"/>
                    <w:spacing w:line="240" w:lineRule="auto"/>
                    <w:ind w:firstLine="0"/>
                    <w:jc w:val="center"/>
                    <w:rPr>
                      <w:color w:val="auto"/>
                      <w:sz w:val="21"/>
                      <w:szCs w:val="24"/>
                    </w:rPr>
                  </w:pPr>
                  <w:r>
                    <w:rPr>
                      <w:rFonts w:hint="eastAsia"/>
                      <w:color w:val="auto"/>
                      <w:sz w:val="21"/>
                      <w:szCs w:val="24"/>
                    </w:rPr>
                    <w:t>污染物</w:t>
                  </w:r>
                </w:p>
              </w:tc>
              <w:tc>
                <w:tcPr>
                  <w:tcW w:w="3836" w:type="pct"/>
                  <w:shd w:val="clear" w:color="auto" w:fill="auto"/>
                  <w:vAlign w:val="center"/>
                </w:tcPr>
                <w:p>
                  <w:pPr>
                    <w:pStyle w:val="47"/>
                    <w:adjustRightInd w:val="0"/>
                    <w:snapToGrid w:val="0"/>
                    <w:spacing w:line="240" w:lineRule="auto"/>
                    <w:ind w:firstLine="0"/>
                    <w:jc w:val="center"/>
                    <w:rPr>
                      <w:color w:val="auto"/>
                      <w:sz w:val="21"/>
                      <w:szCs w:val="24"/>
                    </w:rPr>
                  </w:pPr>
                  <w:r>
                    <w:rPr>
                      <w:rFonts w:hint="eastAsia"/>
                      <w:color w:val="auto"/>
                      <w:sz w:val="21"/>
                      <w:szCs w:val="24"/>
                    </w:rPr>
                    <w:t>许可排放量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64" w:type="pct"/>
                  <w:shd w:val="clear" w:color="auto" w:fill="auto"/>
                  <w:vAlign w:val="center"/>
                </w:tcPr>
                <w:p>
                  <w:pPr>
                    <w:pStyle w:val="47"/>
                    <w:adjustRightInd w:val="0"/>
                    <w:snapToGrid w:val="0"/>
                    <w:spacing w:line="240" w:lineRule="auto"/>
                    <w:ind w:firstLine="0"/>
                    <w:jc w:val="center"/>
                    <w:rPr>
                      <w:color w:val="auto"/>
                      <w:sz w:val="21"/>
                      <w:szCs w:val="24"/>
                    </w:rPr>
                  </w:pPr>
                  <w:r>
                    <w:rPr>
                      <w:rFonts w:hint="eastAsia"/>
                      <w:color w:val="auto"/>
                      <w:sz w:val="21"/>
                      <w:szCs w:val="24"/>
                    </w:rPr>
                    <w:t>颗粒物</w:t>
                  </w:r>
                </w:p>
              </w:tc>
              <w:tc>
                <w:tcPr>
                  <w:tcW w:w="3836" w:type="pct"/>
                  <w:shd w:val="clear" w:color="auto" w:fill="auto"/>
                  <w:vAlign w:val="center"/>
                </w:tcPr>
                <w:p>
                  <w:pPr>
                    <w:pStyle w:val="47"/>
                    <w:adjustRightInd w:val="0"/>
                    <w:snapToGrid w:val="0"/>
                    <w:spacing w:line="240" w:lineRule="auto"/>
                    <w:ind w:firstLine="0"/>
                    <w:jc w:val="center"/>
                    <w:rPr>
                      <w:color w:val="auto"/>
                      <w:sz w:val="21"/>
                      <w:szCs w:val="24"/>
                    </w:rPr>
                  </w:pPr>
                  <w:r>
                    <w:rPr>
                      <w:rFonts w:hint="eastAsia"/>
                      <w:color w:val="auto"/>
                      <w:sz w:val="21"/>
                      <w:szCs w:val="24"/>
                    </w:rPr>
                    <w:t>2.88t/a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64" w:type="pct"/>
                  <w:shd w:val="clear" w:color="auto" w:fill="auto"/>
                  <w:vAlign w:val="center"/>
                </w:tcPr>
                <w:p>
                  <w:pPr>
                    <w:pStyle w:val="47"/>
                    <w:adjustRightInd w:val="0"/>
                    <w:snapToGrid w:val="0"/>
                    <w:spacing w:line="240" w:lineRule="auto"/>
                    <w:ind w:firstLine="0"/>
                    <w:jc w:val="center"/>
                    <w:rPr>
                      <w:color w:val="auto"/>
                      <w:sz w:val="21"/>
                      <w:szCs w:val="24"/>
                    </w:rPr>
                  </w:pPr>
                  <w:r>
                    <w:rPr>
                      <w:rFonts w:hint="eastAsia"/>
                      <w:color w:val="auto"/>
                      <w:sz w:val="21"/>
                      <w:szCs w:val="24"/>
                    </w:rPr>
                    <w:t>SO</w:t>
                  </w:r>
                  <w:r>
                    <w:rPr>
                      <w:rFonts w:hint="eastAsia"/>
                      <w:color w:val="auto"/>
                      <w:sz w:val="21"/>
                      <w:szCs w:val="24"/>
                      <w:vertAlign w:val="subscript"/>
                    </w:rPr>
                    <w:t>2</w:t>
                  </w:r>
                </w:p>
              </w:tc>
              <w:tc>
                <w:tcPr>
                  <w:tcW w:w="3836" w:type="pct"/>
                  <w:shd w:val="clear" w:color="auto" w:fill="auto"/>
                  <w:vAlign w:val="center"/>
                </w:tcPr>
                <w:p>
                  <w:pPr>
                    <w:pStyle w:val="47"/>
                    <w:adjustRightInd w:val="0"/>
                    <w:snapToGrid w:val="0"/>
                    <w:spacing w:line="240" w:lineRule="auto"/>
                    <w:ind w:firstLine="0"/>
                    <w:jc w:val="center"/>
                    <w:rPr>
                      <w:color w:val="auto"/>
                      <w:sz w:val="21"/>
                      <w:szCs w:val="24"/>
                    </w:rPr>
                  </w:pPr>
                  <w:r>
                    <w:rPr>
                      <w:rFonts w:hint="eastAsia"/>
                      <w:color w:val="auto"/>
                      <w:sz w:val="21"/>
                      <w:szCs w:val="24"/>
                    </w:rPr>
                    <w:t>27.82t/a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164" w:type="pct"/>
                  <w:shd w:val="clear" w:color="auto" w:fill="auto"/>
                  <w:vAlign w:val="center"/>
                </w:tcPr>
                <w:p>
                  <w:pPr>
                    <w:pStyle w:val="47"/>
                    <w:adjustRightInd w:val="0"/>
                    <w:snapToGrid w:val="0"/>
                    <w:spacing w:line="240" w:lineRule="auto"/>
                    <w:ind w:firstLine="0"/>
                    <w:jc w:val="center"/>
                    <w:rPr>
                      <w:color w:val="auto"/>
                      <w:sz w:val="21"/>
                      <w:szCs w:val="24"/>
                    </w:rPr>
                  </w:pPr>
                  <w:r>
                    <w:rPr>
                      <w:rFonts w:hint="eastAsia"/>
                      <w:color w:val="auto"/>
                      <w:sz w:val="21"/>
                      <w:szCs w:val="24"/>
                    </w:rPr>
                    <w:t>NO</w:t>
                  </w:r>
                  <w:r>
                    <w:rPr>
                      <w:rFonts w:hint="eastAsia"/>
                      <w:color w:val="auto"/>
                      <w:sz w:val="21"/>
                      <w:szCs w:val="24"/>
                      <w:vertAlign w:val="subscript"/>
                    </w:rPr>
                    <w:t>x</w:t>
                  </w:r>
                </w:p>
              </w:tc>
              <w:tc>
                <w:tcPr>
                  <w:tcW w:w="3836" w:type="pct"/>
                  <w:shd w:val="clear" w:color="auto" w:fill="auto"/>
                  <w:vAlign w:val="center"/>
                </w:tcPr>
                <w:p>
                  <w:pPr>
                    <w:pStyle w:val="47"/>
                    <w:adjustRightInd w:val="0"/>
                    <w:snapToGrid w:val="0"/>
                    <w:spacing w:line="240" w:lineRule="auto"/>
                    <w:ind w:firstLine="0"/>
                    <w:jc w:val="center"/>
                    <w:rPr>
                      <w:color w:val="auto"/>
                      <w:sz w:val="21"/>
                      <w:szCs w:val="24"/>
                    </w:rPr>
                  </w:pPr>
                  <w:r>
                    <w:rPr>
                      <w:rFonts w:hint="eastAsia"/>
                      <w:color w:val="auto"/>
                      <w:sz w:val="21"/>
                      <w:szCs w:val="24"/>
                    </w:rPr>
                    <w:t>18.69t/a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64" w:type="pct"/>
                  <w:shd w:val="clear" w:color="auto" w:fill="auto"/>
                  <w:vAlign w:val="center"/>
                </w:tcPr>
                <w:p>
                  <w:pPr>
                    <w:pStyle w:val="47"/>
                    <w:adjustRightInd w:val="0"/>
                    <w:snapToGrid w:val="0"/>
                    <w:spacing w:line="240" w:lineRule="auto"/>
                    <w:ind w:firstLine="0"/>
                    <w:jc w:val="center"/>
                    <w:rPr>
                      <w:color w:val="auto"/>
                      <w:sz w:val="21"/>
                      <w:szCs w:val="24"/>
                    </w:rPr>
                  </w:pPr>
                  <w:r>
                    <w:rPr>
                      <w:rFonts w:hint="eastAsia"/>
                      <w:color w:val="auto"/>
                      <w:sz w:val="21"/>
                      <w:szCs w:val="24"/>
                    </w:rPr>
                    <w:t>VOCs</w:t>
                  </w:r>
                </w:p>
              </w:tc>
              <w:tc>
                <w:tcPr>
                  <w:tcW w:w="3836" w:type="pct"/>
                  <w:shd w:val="clear" w:color="auto" w:fill="auto"/>
                  <w:vAlign w:val="center"/>
                </w:tcPr>
                <w:p>
                  <w:pPr>
                    <w:pStyle w:val="47"/>
                    <w:adjustRightInd w:val="0"/>
                    <w:snapToGrid w:val="0"/>
                    <w:spacing w:line="240" w:lineRule="auto"/>
                    <w:ind w:firstLine="0"/>
                    <w:jc w:val="center"/>
                    <w:rPr>
                      <w:color w:val="auto"/>
                      <w:sz w:val="21"/>
                      <w:szCs w:val="24"/>
                    </w:rPr>
                  </w:pPr>
                  <w:r>
                    <w:rPr>
                      <w:rFonts w:hint="eastAsia"/>
                      <w:color w:val="auto"/>
                      <w:sz w:val="21"/>
                      <w:szCs w:val="24"/>
                    </w:rPr>
                    <w:t>/</w:t>
                  </w:r>
                </w:p>
              </w:tc>
            </w:tr>
          </w:tbl>
          <w:p>
            <w:pPr>
              <w:pStyle w:val="47"/>
              <w:adjustRightInd w:val="0"/>
              <w:snapToGrid w:val="0"/>
              <w:spacing w:line="240" w:lineRule="auto"/>
              <w:ind w:firstLine="0"/>
              <w:rPr>
                <w:b/>
                <w:color w:val="auto"/>
                <w:sz w:val="21"/>
                <w:szCs w:val="24"/>
              </w:rPr>
            </w:pPr>
          </w:p>
          <w:p>
            <w:pPr>
              <w:pStyle w:val="47"/>
              <w:adjustRightInd w:val="0"/>
              <w:snapToGrid w:val="0"/>
              <w:ind w:firstLine="0"/>
              <w:rPr>
                <w:b/>
                <w:color w:val="auto"/>
                <w:szCs w:val="24"/>
              </w:rPr>
            </w:pPr>
            <w:r>
              <w:rPr>
                <w:rFonts w:hint="eastAsia"/>
                <w:b/>
                <w:color w:val="auto"/>
                <w:szCs w:val="24"/>
              </w:rPr>
              <w:t>2.15与项目有关的原有污染物实际排放及治理情况</w:t>
            </w:r>
          </w:p>
          <w:p>
            <w:pPr>
              <w:pStyle w:val="47"/>
              <w:adjustRightInd w:val="0"/>
              <w:snapToGrid w:val="0"/>
              <w:ind w:firstLine="0"/>
              <w:rPr>
                <w:b/>
                <w:color w:val="auto"/>
                <w:szCs w:val="24"/>
              </w:rPr>
            </w:pPr>
            <w:r>
              <w:rPr>
                <w:rFonts w:hint="eastAsia"/>
                <w:b/>
                <w:color w:val="auto"/>
                <w:szCs w:val="24"/>
              </w:rPr>
              <w:t>2.15.1废气</w:t>
            </w:r>
          </w:p>
          <w:p>
            <w:pPr>
              <w:adjustRightInd w:val="0"/>
              <w:snapToGrid w:val="0"/>
              <w:spacing w:line="360" w:lineRule="auto"/>
              <w:ind w:firstLine="480" w:firstLineChars="200"/>
              <w:rPr>
                <w:bCs/>
                <w:color w:val="auto"/>
                <w:sz w:val="24"/>
              </w:rPr>
            </w:pPr>
            <w:r>
              <w:rPr>
                <w:rFonts w:hint="eastAsia"/>
                <w:bCs/>
                <w:color w:val="auto"/>
                <w:sz w:val="24"/>
              </w:rPr>
              <w:t>（1）无组织粉尘</w:t>
            </w:r>
          </w:p>
          <w:p>
            <w:pPr>
              <w:adjustRightInd w:val="0"/>
              <w:snapToGrid w:val="0"/>
              <w:spacing w:line="360" w:lineRule="auto"/>
              <w:ind w:firstLine="481" w:firstLineChars="200"/>
              <w:rPr>
                <w:bCs/>
                <w:color w:val="auto"/>
                <w:sz w:val="24"/>
              </w:rPr>
            </w:pPr>
            <w:r>
              <w:rPr>
                <w:rFonts w:hint="eastAsia"/>
                <w:b/>
                <w:color w:val="auto"/>
                <w:sz w:val="24"/>
              </w:rPr>
              <w:t>①堆场扬尘：</w:t>
            </w:r>
            <w:r>
              <w:rPr>
                <w:rFonts w:hint="eastAsia"/>
                <w:bCs/>
                <w:color w:val="auto"/>
                <w:sz w:val="24"/>
              </w:rPr>
              <w:t>现有项目原料堆棚及煤堆棚均设有顶棚和三面围挡，总占地面积为</w:t>
            </w:r>
            <w:r>
              <w:rPr>
                <w:bCs/>
                <w:color w:val="auto"/>
                <w:sz w:val="24"/>
              </w:rPr>
              <w:t>4370m</w:t>
            </w:r>
            <w:r>
              <w:rPr>
                <w:bCs/>
                <w:color w:val="auto"/>
                <w:sz w:val="24"/>
                <w:vertAlign w:val="superscript"/>
              </w:rPr>
              <w:t>2</w:t>
            </w:r>
            <w:r>
              <w:rPr>
                <w:rFonts w:hint="eastAsia"/>
                <w:bCs/>
                <w:color w:val="auto"/>
                <w:sz w:val="24"/>
              </w:rPr>
              <w:t>，物料含水率为</w:t>
            </w:r>
            <w:r>
              <w:rPr>
                <w:bCs/>
                <w:color w:val="auto"/>
                <w:sz w:val="24"/>
              </w:rPr>
              <w:t>10%</w:t>
            </w:r>
            <w:r>
              <w:rPr>
                <w:rFonts w:hint="eastAsia"/>
                <w:bCs/>
                <w:color w:val="auto"/>
                <w:sz w:val="24"/>
              </w:rPr>
              <w:t>，堆场扬尘主要产生于卸车、堆放、上料等环节。堆场粉尘参考日本三菱重工业公司长崎研究所煤尘污染起尘量的计算公式计算。</w:t>
            </w:r>
          </w:p>
          <w:p>
            <w:pPr>
              <w:adjustRightInd w:val="0"/>
              <w:snapToGrid w:val="0"/>
              <w:spacing w:line="360" w:lineRule="auto"/>
              <w:jc w:val="center"/>
              <w:rPr>
                <w:bCs/>
                <w:color w:val="auto"/>
                <w:sz w:val="24"/>
              </w:rPr>
            </w:pPr>
            <w:r>
              <w:rPr>
                <w:rFonts w:hint="eastAsia"/>
                <w:bCs/>
                <w:color w:val="auto"/>
                <w:sz w:val="24"/>
              </w:rPr>
              <w:t>Q</w:t>
            </w:r>
            <w:r>
              <w:rPr>
                <w:rFonts w:hint="eastAsia"/>
                <w:bCs/>
                <w:color w:val="auto"/>
                <w:sz w:val="24"/>
                <w:vertAlign w:val="subscript"/>
              </w:rPr>
              <w:t>p</w:t>
            </w:r>
            <w:r>
              <w:rPr>
                <w:rFonts w:hint="eastAsia"/>
                <w:bCs/>
                <w:color w:val="auto"/>
                <w:sz w:val="24"/>
              </w:rPr>
              <w:t>=β×（W/4）</w:t>
            </w:r>
            <w:r>
              <w:rPr>
                <w:rFonts w:hint="eastAsia"/>
                <w:bCs/>
                <w:color w:val="auto"/>
                <w:sz w:val="24"/>
                <w:vertAlign w:val="superscript"/>
              </w:rPr>
              <w:t>-6</w:t>
            </w:r>
            <w:r>
              <w:rPr>
                <w:rFonts w:hint="eastAsia"/>
                <w:bCs/>
                <w:color w:val="auto"/>
                <w:sz w:val="24"/>
              </w:rPr>
              <w:t>×U</w:t>
            </w:r>
            <w:r>
              <w:rPr>
                <w:rFonts w:hint="eastAsia"/>
                <w:bCs/>
                <w:color w:val="auto"/>
                <w:sz w:val="24"/>
                <w:vertAlign w:val="superscript"/>
              </w:rPr>
              <w:t>5</w:t>
            </w:r>
            <w:r>
              <w:rPr>
                <w:rFonts w:hint="eastAsia"/>
                <w:bCs/>
                <w:color w:val="auto"/>
                <w:sz w:val="24"/>
              </w:rPr>
              <w:t>×A</w:t>
            </w:r>
            <w:r>
              <w:rPr>
                <w:rFonts w:hint="eastAsia"/>
                <w:bCs/>
                <w:color w:val="auto"/>
                <w:sz w:val="24"/>
                <w:vertAlign w:val="subscript"/>
              </w:rPr>
              <w:t>p</w:t>
            </w:r>
          </w:p>
          <w:p>
            <w:pPr>
              <w:adjustRightInd w:val="0"/>
              <w:snapToGrid w:val="0"/>
              <w:spacing w:line="360" w:lineRule="auto"/>
              <w:ind w:firstLine="480" w:firstLineChars="200"/>
              <w:rPr>
                <w:bCs/>
                <w:color w:val="auto"/>
                <w:sz w:val="24"/>
              </w:rPr>
            </w:pPr>
            <w:r>
              <w:rPr>
                <w:rFonts w:hint="eastAsia"/>
                <w:bCs/>
                <w:color w:val="auto"/>
                <w:sz w:val="24"/>
              </w:rPr>
              <w:t>式中：Q</w:t>
            </w:r>
            <w:r>
              <w:rPr>
                <w:rFonts w:hint="eastAsia"/>
                <w:bCs/>
                <w:color w:val="auto"/>
                <w:sz w:val="24"/>
                <w:vertAlign w:val="subscript"/>
              </w:rPr>
              <w:t>p</w:t>
            </w:r>
            <w:r>
              <w:rPr>
                <w:rFonts w:hint="eastAsia"/>
                <w:bCs/>
                <w:color w:val="auto"/>
                <w:sz w:val="24"/>
              </w:rPr>
              <w:t>——起尘量，mg/s；</w:t>
            </w:r>
          </w:p>
          <w:p>
            <w:pPr>
              <w:adjustRightInd w:val="0"/>
              <w:snapToGrid w:val="0"/>
              <w:spacing w:line="360" w:lineRule="auto"/>
              <w:ind w:firstLine="480" w:firstLineChars="200"/>
              <w:rPr>
                <w:bCs/>
                <w:color w:val="auto"/>
                <w:sz w:val="24"/>
              </w:rPr>
            </w:pPr>
            <w:r>
              <w:rPr>
                <w:rFonts w:hint="eastAsia"/>
                <w:bCs/>
                <w:color w:val="auto"/>
                <w:sz w:val="24"/>
              </w:rPr>
              <w:t xml:space="preserve">      β——经验系数，8.0×10</w:t>
            </w:r>
            <w:r>
              <w:rPr>
                <w:rFonts w:hint="eastAsia"/>
                <w:bCs/>
                <w:color w:val="auto"/>
                <w:sz w:val="24"/>
                <w:vertAlign w:val="superscript"/>
              </w:rPr>
              <w:t>-3</w:t>
            </w:r>
            <w:r>
              <w:rPr>
                <w:rFonts w:hint="eastAsia"/>
                <w:bCs/>
                <w:color w:val="auto"/>
                <w:sz w:val="24"/>
              </w:rPr>
              <w:t>；</w:t>
            </w:r>
          </w:p>
          <w:p>
            <w:pPr>
              <w:adjustRightInd w:val="0"/>
              <w:snapToGrid w:val="0"/>
              <w:spacing w:line="360" w:lineRule="auto"/>
              <w:ind w:firstLine="480" w:firstLineChars="200"/>
              <w:rPr>
                <w:bCs/>
                <w:color w:val="auto"/>
                <w:sz w:val="24"/>
              </w:rPr>
            </w:pPr>
            <w:r>
              <w:rPr>
                <w:rFonts w:hint="eastAsia"/>
                <w:bCs/>
                <w:color w:val="auto"/>
                <w:sz w:val="24"/>
              </w:rPr>
              <w:t xml:space="preserve">      W——物料含水率，%，10；</w:t>
            </w:r>
          </w:p>
          <w:p>
            <w:pPr>
              <w:adjustRightInd w:val="0"/>
              <w:snapToGrid w:val="0"/>
              <w:spacing w:line="360" w:lineRule="auto"/>
              <w:ind w:firstLine="480" w:firstLineChars="200"/>
              <w:rPr>
                <w:bCs/>
                <w:color w:val="auto"/>
                <w:sz w:val="24"/>
              </w:rPr>
            </w:pPr>
            <w:r>
              <w:rPr>
                <w:rFonts w:hint="eastAsia"/>
                <w:bCs/>
                <w:color w:val="auto"/>
                <w:sz w:val="24"/>
              </w:rPr>
              <w:t xml:space="preserve">      U——堆场平均风速，m/s，取宜良县平均风速2.8m/s；</w:t>
            </w:r>
          </w:p>
          <w:p>
            <w:pPr>
              <w:adjustRightInd w:val="0"/>
              <w:snapToGrid w:val="0"/>
              <w:spacing w:line="360" w:lineRule="auto"/>
              <w:ind w:firstLine="480" w:firstLineChars="200"/>
              <w:rPr>
                <w:bCs/>
                <w:color w:val="auto"/>
                <w:sz w:val="24"/>
              </w:rPr>
            </w:pPr>
            <w:r>
              <w:rPr>
                <w:rFonts w:hint="eastAsia"/>
                <w:bCs/>
                <w:color w:val="auto"/>
                <w:sz w:val="24"/>
              </w:rPr>
              <w:t xml:space="preserve">      A</w:t>
            </w:r>
            <w:r>
              <w:rPr>
                <w:rFonts w:hint="eastAsia"/>
                <w:bCs/>
                <w:color w:val="auto"/>
                <w:sz w:val="24"/>
                <w:vertAlign w:val="subscript"/>
              </w:rPr>
              <w:t>p</w:t>
            </w:r>
            <w:r>
              <w:rPr>
                <w:rFonts w:hint="eastAsia"/>
                <w:bCs/>
                <w:color w:val="auto"/>
                <w:sz w:val="24"/>
              </w:rPr>
              <w:t>——堆场面积，m</w:t>
            </w:r>
            <w:r>
              <w:rPr>
                <w:rFonts w:hint="eastAsia"/>
                <w:bCs/>
                <w:color w:val="auto"/>
                <w:sz w:val="24"/>
                <w:vertAlign w:val="superscript"/>
              </w:rPr>
              <w:t>2</w:t>
            </w:r>
            <w:r>
              <w:rPr>
                <w:rFonts w:hint="eastAsia"/>
                <w:bCs/>
                <w:color w:val="auto"/>
                <w:sz w:val="24"/>
              </w:rPr>
              <w:t>；</w:t>
            </w:r>
          </w:p>
          <w:p>
            <w:pPr>
              <w:adjustRightInd w:val="0"/>
              <w:snapToGrid w:val="0"/>
              <w:spacing w:line="360" w:lineRule="auto"/>
              <w:ind w:firstLine="480" w:firstLineChars="200"/>
              <w:rPr>
                <w:bCs/>
                <w:color w:val="auto"/>
                <w:sz w:val="24"/>
              </w:rPr>
            </w:pPr>
            <w:r>
              <w:rPr>
                <w:rFonts w:hint="eastAsia"/>
                <w:bCs/>
                <w:color w:val="auto"/>
                <w:sz w:val="24"/>
              </w:rPr>
              <w:t>经计算，堆场无组织粉尘起尘量为24.64</w:t>
            </w:r>
            <w:r>
              <w:rPr>
                <w:bCs/>
                <w:color w:val="auto"/>
                <w:sz w:val="24"/>
              </w:rPr>
              <w:t>mg/s</w:t>
            </w:r>
            <w:r>
              <w:rPr>
                <w:rFonts w:hint="eastAsia"/>
                <w:bCs/>
                <w:color w:val="auto"/>
                <w:sz w:val="24"/>
              </w:rPr>
              <w:t>，原料堆场起尘按最大可能起尘计， 每天</w:t>
            </w:r>
            <w:r>
              <w:rPr>
                <w:bCs/>
                <w:color w:val="auto"/>
                <w:sz w:val="24"/>
              </w:rPr>
              <w:t>24</w:t>
            </w:r>
            <w:r>
              <w:rPr>
                <w:rFonts w:hint="eastAsia"/>
                <w:bCs/>
                <w:color w:val="auto"/>
                <w:sz w:val="24"/>
              </w:rPr>
              <w:t>小时，堆场起尘量2.13</w:t>
            </w:r>
            <w:r>
              <w:rPr>
                <w:bCs/>
                <w:color w:val="auto"/>
                <w:sz w:val="24"/>
              </w:rPr>
              <w:t>kg/d</w:t>
            </w:r>
            <w:r>
              <w:rPr>
                <w:rFonts w:hint="eastAsia"/>
                <w:bCs/>
                <w:color w:val="auto"/>
                <w:sz w:val="24"/>
              </w:rPr>
              <w:t>，年起尘量</w:t>
            </w:r>
            <w:r>
              <w:rPr>
                <w:bCs/>
                <w:color w:val="auto"/>
                <w:sz w:val="24"/>
              </w:rPr>
              <w:t>0</w:t>
            </w:r>
            <w:r>
              <w:rPr>
                <w:rFonts w:hint="eastAsia"/>
                <w:bCs/>
                <w:color w:val="auto"/>
                <w:sz w:val="24"/>
              </w:rPr>
              <w:t>.64</w:t>
            </w:r>
            <w:r>
              <w:rPr>
                <w:bCs/>
                <w:color w:val="auto"/>
                <w:sz w:val="24"/>
              </w:rPr>
              <w:t>t/a</w:t>
            </w:r>
            <w:r>
              <w:rPr>
                <w:rFonts w:hint="eastAsia"/>
                <w:bCs/>
                <w:color w:val="auto"/>
                <w:sz w:val="24"/>
              </w:rPr>
              <w:t>。堆场用彩钢瓦顶棚覆盖，并在上料料斗顶部加装了洒水降尘设施，粉尘的排放量可降低</w:t>
            </w:r>
            <w:r>
              <w:rPr>
                <w:bCs/>
                <w:color w:val="auto"/>
                <w:sz w:val="24"/>
              </w:rPr>
              <w:t>80%</w:t>
            </w:r>
            <w:r>
              <w:rPr>
                <w:rFonts w:hint="eastAsia"/>
                <w:bCs/>
                <w:color w:val="auto"/>
                <w:sz w:val="24"/>
              </w:rPr>
              <w:t>，则堆场无组织粉尘排放量0.43</w:t>
            </w:r>
            <w:r>
              <w:rPr>
                <w:bCs/>
                <w:color w:val="auto"/>
                <w:sz w:val="24"/>
              </w:rPr>
              <w:t>kg/d</w:t>
            </w:r>
            <w:r>
              <w:rPr>
                <w:rFonts w:hint="eastAsia"/>
                <w:bCs/>
                <w:color w:val="auto"/>
                <w:sz w:val="24"/>
              </w:rPr>
              <w:t>，0.13</w:t>
            </w:r>
            <w:r>
              <w:rPr>
                <w:bCs/>
                <w:color w:val="auto"/>
                <w:sz w:val="24"/>
              </w:rPr>
              <w:t>t/a</w:t>
            </w:r>
            <w:r>
              <w:rPr>
                <w:rFonts w:hint="eastAsia"/>
                <w:bCs/>
                <w:color w:val="auto"/>
                <w:sz w:val="24"/>
              </w:rPr>
              <w:t>。</w:t>
            </w:r>
          </w:p>
          <w:p>
            <w:pPr>
              <w:adjustRightInd w:val="0"/>
              <w:snapToGrid w:val="0"/>
              <w:spacing w:line="360" w:lineRule="auto"/>
              <w:ind w:firstLine="481" w:firstLineChars="200"/>
              <w:rPr>
                <w:b/>
                <w:color w:val="auto"/>
                <w:sz w:val="24"/>
              </w:rPr>
            </w:pPr>
            <w:r>
              <w:rPr>
                <w:rFonts w:hint="eastAsia"/>
                <w:b/>
                <w:color w:val="auto"/>
                <w:sz w:val="24"/>
              </w:rPr>
              <w:t>②破碎研磨粉尘</w:t>
            </w:r>
          </w:p>
          <w:p>
            <w:pPr>
              <w:adjustRightInd w:val="0"/>
              <w:snapToGrid w:val="0"/>
              <w:spacing w:line="360" w:lineRule="auto"/>
              <w:ind w:firstLine="480" w:firstLineChars="200"/>
              <w:rPr>
                <w:bCs/>
                <w:color w:val="auto"/>
                <w:sz w:val="24"/>
              </w:rPr>
            </w:pPr>
            <w:r>
              <w:rPr>
                <w:rFonts w:hint="eastAsia"/>
                <w:bCs/>
                <w:color w:val="auto"/>
                <w:sz w:val="24"/>
              </w:rPr>
              <w:t>破碎原料进行破碎研磨的过程中会产生粉尘，</w:t>
            </w:r>
            <w:r>
              <w:rPr>
                <w:bCs/>
                <w:color w:val="auto"/>
                <w:sz w:val="24"/>
              </w:rPr>
              <w:t>本次核算参照《逸散性工业粉尘控制技术》（中国环境科学出版社）中表18-1中给出的粒料加工逸尘排放因子</w:t>
            </w:r>
            <w:r>
              <w:rPr>
                <w:rFonts w:hint="eastAsia"/>
                <w:bCs/>
                <w:color w:val="auto"/>
                <w:sz w:val="24"/>
              </w:rPr>
              <w:t>，一级破碎粉尘的产生量按照0.125kg/t计，现有项目破碎研磨加工量为4万t/a，则破碎研磨粉尘产生量为5t/a。破碎研磨粉尘经集气罩收集进入脉冲袋式除尘器（处理效率99%）处理后无组织排放，排放量为0.05t/a。</w:t>
            </w:r>
          </w:p>
          <w:p>
            <w:pPr>
              <w:adjustRightInd w:val="0"/>
              <w:snapToGrid w:val="0"/>
              <w:spacing w:line="360" w:lineRule="auto"/>
              <w:ind w:firstLine="480" w:firstLineChars="200"/>
              <w:rPr>
                <w:bCs/>
                <w:color w:val="auto"/>
                <w:sz w:val="24"/>
              </w:rPr>
            </w:pPr>
            <w:r>
              <w:rPr>
                <w:rFonts w:hint="eastAsia"/>
                <w:bCs/>
                <w:color w:val="auto"/>
                <w:sz w:val="24"/>
              </w:rPr>
              <w:t>本次环评收集了现有项目近一年监测数据，详情如下：</w:t>
            </w:r>
          </w:p>
          <w:p>
            <w:pPr>
              <w:adjustRightInd w:val="0"/>
              <w:snapToGrid w:val="0"/>
              <w:jc w:val="center"/>
              <w:rPr>
                <w:b/>
                <w:bCs/>
                <w:color w:val="auto"/>
              </w:rPr>
            </w:pPr>
            <w:r>
              <w:rPr>
                <w:rFonts w:hint="eastAsia"/>
                <w:b/>
                <w:bCs/>
                <w:color w:val="auto"/>
              </w:rPr>
              <w:t>表2-1</w:t>
            </w:r>
            <w:r>
              <w:rPr>
                <w:rFonts w:hint="eastAsia"/>
                <w:b/>
                <w:bCs/>
                <w:color w:val="auto"/>
                <w:lang w:val="en-US" w:eastAsia="zh-CN"/>
              </w:rPr>
              <w:t>1</w:t>
            </w:r>
            <w:r>
              <w:rPr>
                <w:rFonts w:hint="eastAsia"/>
                <w:b/>
                <w:bCs/>
                <w:color w:val="auto"/>
              </w:rPr>
              <w:t xml:space="preserve">  近一年厂界无组织颗粒物监测数据统计表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1503"/>
              <w:gridCol w:w="1836"/>
              <w:gridCol w:w="1503"/>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shd w:val="clear" w:color="auto" w:fill="auto"/>
                  <w:vAlign w:val="center"/>
                </w:tcPr>
                <w:p>
                  <w:pPr>
                    <w:adjustRightInd w:val="0"/>
                    <w:snapToGrid w:val="0"/>
                    <w:jc w:val="center"/>
                    <w:rPr>
                      <w:bCs/>
                      <w:color w:val="auto"/>
                      <w:szCs w:val="21"/>
                    </w:rPr>
                  </w:pPr>
                  <w:r>
                    <w:rPr>
                      <w:rFonts w:hint="eastAsia"/>
                      <w:bCs/>
                      <w:color w:val="auto"/>
                      <w:szCs w:val="21"/>
                    </w:rPr>
                    <w:t>数据来源</w:t>
                  </w:r>
                </w:p>
              </w:tc>
              <w:tc>
                <w:tcPr>
                  <w:tcW w:w="1993" w:type="pct"/>
                  <w:gridSpan w:val="2"/>
                  <w:shd w:val="clear" w:color="auto" w:fill="auto"/>
                  <w:vAlign w:val="center"/>
                </w:tcPr>
                <w:p>
                  <w:pPr>
                    <w:adjustRightInd w:val="0"/>
                    <w:snapToGrid w:val="0"/>
                    <w:jc w:val="center"/>
                    <w:rPr>
                      <w:bCs/>
                      <w:color w:val="auto"/>
                      <w:szCs w:val="21"/>
                    </w:rPr>
                  </w:pPr>
                  <w:r>
                    <w:rPr>
                      <w:rFonts w:hint="eastAsia"/>
                      <w:bCs/>
                      <w:color w:val="auto"/>
                      <w:szCs w:val="21"/>
                    </w:rPr>
                    <w:t>监测点位</w:t>
                  </w:r>
                </w:p>
              </w:tc>
              <w:tc>
                <w:tcPr>
                  <w:tcW w:w="897" w:type="pct"/>
                  <w:shd w:val="clear" w:color="auto" w:fill="auto"/>
                  <w:vAlign w:val="center"/>
                </w:tcPr>
                <w:p>
                  <w:pPr>
                    <w:adjustRightInd w:val="0"/>
                    <w:snapToGrid w:val="0"/>
                    <w:jc w:val="center"/>
                    <w:rPr>
                      <w:bCs/>
                      <w:color w:val="auto"/>
                      <w:szCs w:val="21"/>
                    </w:rPr>
                  </w:pPr>
                  <w:r>
                    <w:rPr>
                      <w:rFonts w:hint="eastAsia"/>
                      <w:bCs/>
                      <w:color w:val="auto"/>
                      <w:szCs w:val="21"/>
                    </w:rPr>
                    <w:t>监测时间</w:t>
                  </w:r>
                </w:p>
              </w:tc>
              <w:tc>
                <w:tcPr>
                  <w:tcW w:w="1033" w:type="pct"/>
                  <w:vAlign w:val="center"/>
                </w:tcPr>
                <w:p>
                  <w:pPr>
                    <w:adjustRightInd w:val="0"/>
                    <w:snapToGrid w:val="0"/>
                    <w:jc w:val="center"/>
                    <w:rPr>
                      <w:bCs/>
                      <w:color w:val="auto"/>
                      <w:szCs w:val="21"/>
                    </w:rPr>
                  </w:pPr>
                  <w:r>
                    <w:rPr>
                      <w:rFonts w:hint="eastAsia"/>
                      <w:bCs/>
                      <w:color w:val="auto"/>
                      <w:szCs w:val="21"/>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restart"/>
                  <w:shd w:val="clear" w:color="auto" w:fill="auto"/>
                  <w:vAlign w:val="center"/>
                </w:tcPr>
                <w:p>
                  <w:pPr>
                    <w:adjustRightInd w:val="0"/>
                    <w:snapToGrid w:val="0"/>
                    <w:jc w:val="center"/>
                    <w:rPr>
                      <w:bCs/>
                      <w:color w:val="auto"/>
                      <w:szCs w:val="21"/>
                    </w:rPr>
                  </w:pPr>
                  <w:r>
                    <w:rPr>
                      <w:rFonts w:hint="eastAsia"/>
                      <w:bCs/>
                      <w:color w:val="auto"/>
                      <w:szCs w:val="21"/>
                    </w:rPr>
                    <w:t>《年产10万吨耐火材料生产线技改项目竣工环保验收检测》</w:t>
                  </w:r>
                </w:p>
              </w:tc>
              <w:tc>
                <w:tcPr>
                  <w:tcW w:w="897" w:type="pct"/>
                  <w:vMerge w:val="restart"/>
                  <w:shd w:val="clear" w:color="auto" w:fill="auto"/>
                  <w:vAlign w:val="center"/>
                </w:tcPr>
                <w:p>
                  <w:pPr>
                    <w:adjustRightInd w:val="0"/>
                    <w:snapToGrid w:val="0"/>
                    <w:jc w:val="center"/>
                    <w:rPr>
                      <w:bCs/>
                      <w:color w:val="auto"/>
                      <w:szCs w:val="21"/>
                    </w:rPr>
                  </w:pPr>
                  <w:r>
                    <w:rPr>
                      <w:rFonts w:hint="eastAsia"/>
                      <w:bCs/>
                      <w:color w:val="auto"/>
                      <w:szCs w:val="21"/>
                    </w:rPr>
                    <w:t>HQ1厂界上风向处</w:t>
                  </w: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HQ1-1-1</w:t>
                  </w:r>
                </w:p>
              </w:tc>
              <w:tc>
                <w:tcPr>
                  <w:tcW w:w="897" w:type="pct"/>
                  <w:vMerge w:val="restart"/>
                  <w:shd w:val="clear" w:color="auto" w:fill="auto"/>
                  <w:vAlign w:val="center"/>
                </w:tcPr>
                <w:p>
                  <w:pPr>
                    <w:adjustRightInd w:val="0"/>
                    <w:snapToGrid w:val="0"/>
                    <w:jc w:val="center"/>
                    <w:rPr>
                      <w:bCs/>
                      <w:color w:val="auto"/>
                      <w:szCs w:val="21"/>
                    </w:rPr>
                  </w:pPr>
                  <w:r>
                    <w:rPr>
                      <w:rFonts w:hint="eastAsia"/>
                      <w:bCs/>
                      <w:color w:val="auto"/>
                      <w:szCs w:val="21"/>
                    </w:rPr>
                    <w:t>2021.10.13</w:t>
                  </w:r>
                </w:p>
              </w:tc>
              <w:tc>
                <w:tcPr>
                  <w:tcW w:w="1033" w:type="pct"/>
                  <w:vAlign w:val="center"/>
                </w:tcPr>
                <w:p>
                  <w:pPr>
                    <w:adjustRightInd w:val="0"/>
                    <w:snapToGrid w:val="0"/>
                    <w:jc w:val="center"/>
                    <w:rPr>
                      <w:bCs/>
                      <w:color w:val="auto"/>
                      <w:szCs w:val="21"/>
                    </w:rPr>
                  </w:pPr>
                  <w:r>
                    <w:rPr>
                      <w:rFonts w:hint="eastAsia"/>
                      <w:bCs/>
                      <w:color w:val="auto"/>
                      <w:szCs w:val="21"/>
                    </w:rPr>
                    <w:t>0.207mg/m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HQ1-1-2</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0.224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HQ1-1-3</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0.207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restart"/>
                  <w:shd w:val="clear" w:color="auto" w:fill="auto"/>
                  <w:vAlign w:val="center"/>
                </w:tcPr>
                <w:p>
                  <w:pPr>
                    <w:adjustRightInd w:val="0"/>
                    <w:snapToGrid w:val="0"/>
                    <w:jc w:val="center"/>
                    <w:rPr>
                      <w:bCs/>
                      <w:color w:val="auto"/>
                      <w:szCs w:val="21"/>
                    </w:rPr>
                  </w:pPr>
                  <w:r>
                    <w:rPr>
                      <w:rFonts w:hint="eastAsia"/>
                      <w:bCs/>
                      <w:color w:val="auto"/>
                      <w:szCs w:val="21"/>
                    </w:rPr>
                    <w:t>HQ2厂界下风向处</w:t>
                  </w: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HQ2-1-1</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0.448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HQ2-1-2</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0.397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HQ2-1-3</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0.339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restart"/>
                  <w:shd w:val="clear" w:color="auto" w:fill="auto"/>
                  <w:vAlign w:val="center"/>
                </w:tcPr>
                <w:p>
                  <w:pPr>
                    <w:adjustRightInd w:val="0"/>
                    <w:snapToGrid w:val="0"/>
                    <w:jc w:val="center"/>
                    <w:rPr>
                      <w:bCs/>
                      <w:color w:val="auto"/>
                      <w:szCs w:val="21"/>
                    </w:rPr>
                  </w:pPr>
                  <w:r>
                    <w:rPr>
                      <w:rFonts w:hint="eastAsia"/>
                      <w:bCs/>
                      <w:color w:val="auto"/>
                      <w:szCs w:val="21"/>
                    </w:rPr>
                    <w:t>HQ3厂界下风向处</w:t>
                  </w: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HQ3-1-1</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0.328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HQ3-1-2</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0.379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HQ3-1-3</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0.431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restart"/>
                  <w:shd w:val="clear" w:color="auto" w:fill="auto"/>
                  <w:vAlign w:val="center"/>
                </w:tcPr>
                <w:p>
                  <w:pPr>
                    <w:adjustRightInd w:val="0"/>
                    <w:snapToGrid w:val="0"/>
                    <w:jc w:val="center"/>
                    <w:rPr>
                      <w:bCs/>
                      <w:color w:val="auto"/>
                      <w:szCs w:val="21"/>
                    </w:rPr>
                  </w:pPr>
                  <w:r>
                    <w:rPr>
                      <w:rFonts w:hint="eastAsia"/>
                      <w:bCs/>
                      <w:color w:val="auto"/>
                      <w:szCs w:val="21"/>
                    </w:rPr>
                    <w:t>HQ4厂界下风向处</w:t>
                  </w: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HQ4-1-1</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0.373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HQ4-1-2</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0.407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HQ4-1-3</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0.390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restart"/>
                  <w:shd w:val="clear" w:color="auto" w:fill="auto"/>
                  <w:vAlign w:val="center"/>
                </w:tcPr>
                <w:p>
                  <w:pPr>
                    <w:adjustRightInd w:val="0"/>
                    <w:snapToGrid w:val="0"/>
                    <w:jc w:val="center"/>
                    <w:rPr>
                      <w:bCs/>
                      <w:color w:val="auto"/>
                      <w:szCs w:val="21"/>
                    </w:rPr>
                  </w:pPr>
                  <w:r>
                    <w:rPr>
                      <w:rFonts w:hint="eastAsia"/>
                      <w:bCs/>
                      <w:color w:val="auto"/>
                      <w:szCs w:val="21"/>
                    </w:rPr>
                    <w:t>HQ1厂界上风向处</w:t>
                  </w: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HQ1-2-1</w:t>
                  </w:r>
                </w:p>
              </w:tc>
              <w:tc>
                <w:tcPr>
                  <w:tcW w:w="897" w:type="pct"/>
                  <w:vMerge w:val="restart"/>
                  <w:shd w:val="clear" w:color="auto" w:fill="auto"/>
                  <w:vAlign w:val="center"/>
                </w:tcPr>
                <w:p>
                  <w:pPr>
                    <w:adjustRightInd w:val="0"/>
                    <w:snapToGrid w:val="0"/>
                    <w:jc w:val="center"/>
                    <w:rPr>
                      <w:bCs/>
                      <w:color w:val="auto"/>
                      <w:szCs w:val="21"/>
                    </w:rPr>
                  </w:pPr>
                  <w:r>
                    <w:rPr>
                      <w:rFonts w:hint="eastAsia"/>
                      <w:bCs/>
                      <w:color w:val="auto"/>
                      <w:szCs w:val="21"/>
                    </w:rPr>
                    <w:t>2021.10.14</w:t>
                  </w:r>
                </w:p>
              </w:tc>
              <w:tc>
                <w:tcPr>
                  <w:tcW w:w="1033" w:type="pct"/>
                  <w:vAlign w:val="center"/>
                </w:tcPr>
                <w:p>
                  <w:pPr>
                    <w:adjustRightInd w:val="0"/>
                    <w:snapToGrid w:val="0"/>
                    <w:jc w:val="center"/>
                    <w:rPr>
                      <w:bCs/>
                      <w:color w:val="auto"/>
                      <w:szCs w:val="21"/>
                    </w:rPr>
                  </w:pPr>
                  <w:r>
                    <w:rPr>
                      <w:rFonts w:hint="eastAsia"/>
                      <w:bCs/>
                      <w:color w:val="auto"/>
                      <w:szCs w:val="21"/>
                    </w:rPr>
                    <w:t>0.172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HQ1-2-2</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0.186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HQ1-2-3</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0.190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restart"/>
                  <w:shd w:val="clear" w:color="auto" w:fill="auto"/>
                  <w:vAlign w:val="center"/>
                </w:tcPr>
                <w:p>
                  <w:pPr>
                    <w:adjustRightInd w:val="0"/>
                    <w:snapToGrid w:val="0"/>
                    <w:jc w:val="center"/>
                    <w:rPr>
                      <w:bCs/>
                      <w:color w:val="auto"/>
                      <w:szCs w:val="21"/>
                    </w:rPr>
                  </w:pPr>
                  <w:r>
                    <w:rPr>
                      <w:rFonts w:hint="eastAsia"/>
                      <w:bCs/>
                      <w:color w:val="auto"/>
                      <w:szCs w:val="21"/>
                    </w:rPr>
                    <w:t>HQ2厂界下风向处</w:t>
                  </w: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HQ2-2-1</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0.362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HQ2-2-2</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0.345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HQ2-2-3</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0.328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restart"/>
                  <w:shd w:val="clear" w:color="auto" w:fill="auto"/>
                  <w:vAlign w:val="center"/>
                </w:tcPr>
                <w:p>
                  <w:pPr>
                    <w:adjustRightInd w:val="0"/>
                    <w:snapToGrid w:val="0"/>
                    <w:jc w:val="center"/>
                    <w:rPr>
                      <w:bCs/>
                      <w:color w:val="auto"/>
                      <w:szCs w:val="21"/>
                    </w:rPr>
                  </w:pPr>
                  <w:r>
                    <w:rPr>
                      <w:rFonts w:hint="eastAsia"/>
                      <w:bCs/>
                      <w:color w:val="auto"/>
                      <w:szCs w:val="21"/>
                    </w:rPr>
                    <w:t>HQ3厂界下风向处</w:t>
                  </w: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HQ3-2-1</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0.424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HQ3-2-2</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0.345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HQ3-2-3</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0.328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restart"/>
                  <w:shd w:val="clear" w:color="auto" w:fill="auto"/>
                  <w:vAlign w:val="center"/>
                </w:tcPr>
                <w:p>
                  <w:pPr>
                    <w:adjustRightInd w:val="0"/>
                    <w:snapToGrid w:val="0"/>
                    <w:jc w:val="center"/>
                    <w:rPr>
                      <w:bCs/>
                      <w:color w:val="auto"/>
                      <w:szCs w:val="21"/>
                    </w:rPr>
                  </w:pPr>
                  <w:r>
                    <w:rPr>
                      <w:rFonts w:hint="eastAsia"/>
                      <w:bCs/>
                      <w:color w:val="auto"/>
                      <w:szCs w:val="21"/>
                    </w:rPr>
                    <w:t>HQ4厂界下风向处</w:t>
                  </w: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HQ4-2-1</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0.407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HQ4-2-2</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0.424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HQ4-2-3</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0.390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restart"/>
                  <w:shd w:val="clear" w:color="auto" w:fill="auto"/>
                  <w:vAlign w:val="center"/>
                </w:tcPr>
                <w:p>
                  <w:pPr>
                    <w:adjustRightInd w:val="0"/>
                    <w:snapToGrid w:val="0"/>
                    <w:jc w:val="center"/>
                    <w:rPr>
                      <w:bCs/>
                      <w:color w:val="auto"/>
                      <w:szCs w:val="21"/>
                    </w:rPr>
                  </w:pPr>
                  <w:r>
                    <w:rPr>
                      <w:rFonts w:hint="eastAsia"/>
                      <w:bCs/>
                      <w:color w:val="auto"/>
                      <w:szCs w:val="21"/>
                    </w:rPr>
                    <w:t>《昆明红枫湖耐火材料有限公司2022年2季度委托自行监测》</w:t>
                  </w:r>
                </w:p>
              </w:tc>
              <w:tc>
                <w:tcPr>
                  <w:tcW w:w="897" w:type="pct"/>
                  <w:vMerge w:val="restart"/>
                  <w:shd w:val="clear" w:color="auto" w:fill="auto"/>
                  <w:vAlign w:val="center"/>
                </w:tcPr>
                <w:p>
                  <w:pPr>
                    <w:adjustRightInd w:val="0"/>
                    <w:snapToGrid w:val="0"/>
                    <w:jc w:val="center"/>
                    <w:rPr>
                      <w:bCs/>
                      <w:color w:val="auto"/>
                      <w:szCs w:val="21"/>
                    </w:rPr>
                  </w:pPr>
                  <w:r>
                    <w:rPr>
                      <w:rFonts w:hint="eastAsia"/>
                      <w:bCs/>
                      <w:color w:val="auto"/>
                      <w:szCs w:val="21"/>
                    </w:rPr>
                    <w:t>HQ1厂界上风向处</w:t>
                  </w: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HQ1-1-1</w:t>
                  </w:r>
                </w:p>
              </w:tc>
              <w:tc>
                <w:tcPr>
                  <w:tcW w:w="897" w:type="pct"/>
                  <w:vMerge w:val="restart"/>
                  <w:shd w:val="clear" w:color="auto" w:fill="auto"/>
                  <w:vAlign w:val="center"/>
                </w:tcPr>
                <w:p>
                  <w:pPr>
                    <w:adjustRightInd w:val="0"/>
                    <w:snapToGrid w:val="0"/>
                    <w:jc w:val="center"/>
                    <w:rPr>
                      <w:bCs/>
                      <w:color w:val="auto"/>
                      <w:szCs w:val="21"/>
                    </w:rPr>
                  </w:pPr>
                  <w:r>
                    <w:rPr>
                      <w:rFonts w:hint="eastAsia"/>
                      <w:bCs/>
                      <w:color w:val="auto"/>
                      <w:szCs w:val="21"/>
                    </w:rPr>
                    <w:t>2022.5.23</w:t>
                  </w:r>
                </w:p>
              </w:tc>
              <w:tc>
                <w:tcPr>
                  <w:tcW w:w="1033" w:type="pct"/>
                  <w:vAlign w:val="center"/>
                </w:tcPr>
                <w:p>
                  <w:pPr>
                    <w:adjustRightInd w:val="0"/>
                    <w:snapToGrid w:val="0"/>
                    <w:jc w:val="center"/>
                    <w:rPr>
                      <w:bCs/>
                      <w:color w:val="auto"/>
                      <w:szCs w:val="21"/>
                    </w:rPr>
                  </w:pPr>
                  <w:r>
                    <w:rPr>
                      <w:rFonts w:hint="eastAsia"/>
                      <w:bCs/>
                      <w:color w:val="auto"/>
                      <w:szCs w:val="21"/>
                    </w:rPr>
                    <w:t>0.153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HQ1-1-2</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0.186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HQ1-1-3</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0.169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1993" w:type="pct"/>
                  <w:gridSpan w:val="2"/>
                  <w:shd w:val="clear" w:color="auto" w:fill="auto"/>
                  <w:vAlign w:val="center"/>
                </w:tcPr>
                <w:p>
                  <w:pPr>
                    <w:adjustRightInd w:val="0"/>
                    <w:snapToGrid w:val="0"/>
                    <w:jc w:val="center"/>
                    <w:rPr>
                      <w:bCs/>
                      <w:color w:val="auto"/>
                      <w:szCs w:val="21"/>
                    </w:rPr>
                  </w:pPr>
                  <w:r>
                    <w:rPr>
                      <w:rFonts w:hint="eastAsia"/>
                      <w:bCs/>
                      <w:color w:val="auto"/>
                      <w:szCs w:val="21"/>
                    </w:rPr>
                    <w:t>平均值</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0.169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restart"/>
                  <w:shd w:val="clear" w:color="auto" w:fill="auto"/>
                  <w:vAlign w:val="center"/>
                </w:tcPr>
                <w:p>
                  <w:pPr>
                    <w:adjustRightInd w:val="0"/>
                    <w:snapToGrid w:val="0"/>
                    <w:jc w:val="center"/>
                    <w:rPr>
                      <w:bCs/>
                      <w:color w:val="auto"/>
                      <w:szCs w:val="21"/>
                    </w:rPr>
                  </w:pPr>
                  <w:r>
                    <w:rPr>
                      <w:rFonts w:hint="eastAsia"/>
                      <w:bCs/>
                      <w:color w:val="auto"/>
                      <w:szCs w:val="21"/>
                    </w:rPr>
                    <w:t>HQ2厂界下风向处</w:t>
                  </w: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HQ2-1-1</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0.390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HQ2-1-2</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0.373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HQ2-1-3</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0.379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1993" w:type="pct"/>
                  <w:gridSpan w:val="2"/>
                  <w:shd w:val="clear" w:color="auto" w:fill="auto"/>
                  <w:vAlign w:val="center"/>
                </w:tcPr>
                <w:p>
                  <w:pPr>
                    <w:adjustRightInd w:val="0"/>
                    <w:snapToGrid w:val="0"/>
                    <w:jc w:val="center"/>
                    <w:rPr>
                      <w:bCs/>
                      <w:color w:val="auto"/>
                      <w:szCs w:val="21"/>
                    </w:rPr>
                  </w:pPr>
                  <w:r>
                    <w:rPr>
                      <w:rFonts w:hint="eastAsia"/>
                      <w:bCs/>
                      <w:color w:val="auto"/>
                      <w:szCs w:val="21"/>
                    </w:rPr>
                    <w:t>平均值</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0.381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restart"/>
                  <w:shd w:val="clear" w:color="auto" w:fill="auto"/>
                  <w:vAlign w:val="center"/>
                </w:tcPr>
                <w:p>
                  <w:pPr>
                    <w:adjustRightInd w:val="0"/>
                    <w:snapToGrid w:val="0"/>
                    <w:jc w:val="center"/>
                    <w:rPr>
                      <w:bCs/>
                      <w:color w:val="auto"/>
                      <w:szCs w:val="21"/>
                    </w:rPr>
                  </w:pPr>
                  <w:r>
                    <w:rPr>
                      <w:rFonts w:hint="eastAsia"/>
                      <w:bCs/>
                      <w:color w:val="auto"/>
                      <w:szCs w:val="21"/>
                    </w:rPr>
                    <w:t>HQ3厂界下风向处</w:t>
                  </w: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HQ3-1-1</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0.356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HQ3-1-2</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0.373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HQ3-1-3</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0.356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1993" w:type="pct"/>
                  <w:gridSpan w:val="2"/>
                  <w:shd w:val="clear" w:color="auto" w:fill="auto"/>
                  <w:vAlign w:val="center"/>
                </w:tcPr>
                <w:p>
                  <w:pPr>
                    <w:adjustRightInd w:val="0"/>
                    <w:snapToGrid w:val="0"/>
                    <w:jc w:val="center"/>
                    <w:rPr>
                      <w:bCs/>
                      <w:color w:val="auto"/>
                      <w:szCs w:val="21"/>
                    </w:rPr>
                  </w:pPr>
                  <w:r>
                    <w:rPr>
                      <w:rFonts w:hint="eastAsia"/>
                      <w:bCs/>
                      <w:color w:val="auto"/>
                      <w:szCs w:val="21"/>
                    </w:rPr>
                    <w:t>平均值</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0.362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restart"/>
                  <w:shd w:val="clear" w:color="auto" w:fill="auto"/>
                  <w:vAlign w:val="center"/>
                </w:tcPr>
                <w:p>
                  <w:pPr>
                    <w:adjustRightInd w:val="0"/>
                    <w:snapToGrid w:val="0"/>
                    <w:jc w:val="center"/>
                    <w:rPr>
                      <w:bCs/>
                      <w:color w:val="auto"/>
                      <w:szCs w:val="21"/>
                    </w:rPr>
                  </w:pPr>
                  <w:r>
                    <w:rPr>
                      <w:rFonts w:hint="eastAsia"/>
                      <w:bCs/>
                      <w:color w:val="auto"/>
                      <w:szCs w:val="21"/>
                    </w:rPr>
                    <w:t>HQ4厂界下风向处</w:t>
                  </w: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HQ4-1-1</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0.356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HQ4-1-2</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0.397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HQ4-1-3</w:t>
                  </w:r>
                </w:p>
              </w:tc>
              <w:tc>
                <w:tcPr>
                  <w:tcW w:w="897" w:type="pct"/>
                  <w:vMerge w:val="continue"/>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0.373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1993" w:type="pct"/>
                  <w:gridSpan w:val="2"/>
                  <w:shd w:val="clear" w:color="auto" w:fill="auto"/>
                  <w:vAlign w:val="center"/>
                </w:tcPr>
                <w:p>
                  <w:pPr>
                    <w:adjustRightInd w:val="0"/>
                    <w:snapToGrid w:val="0"/>
                    <w:jc w:val="center"/>
                    <w:rPr>
                      <w:bCs/>
                      <w:color w:val="auto"/>
                      <w:szCs w:val="21"/>
                    </w:rPr>
                  </w:pPr>
                  <w:r>
                    <w:rPr>
                      <w:rFonts w:hint="eastAsia"/>
                      <w:bCs/>
                      <w:color w:val="auto"/>
                      <w:szCs w:val="21"/>
                    </w:rPr>
                    <w:t>平均值</w:t>
                  </w:r>
                </w:p>
              </w:tc>
              <w:tc>
                <w:tcPr>
                  <w:tcW w:w="897" w:type="pct"/>
                  <w:shd w:val="clear" w:color="auto" w:fill="auto"/>
                  <w:vAlign w:val="center"/>
                </w:tcPr>
                <w:p>
                  <w:pPr>
                    <w:adjustRightInd w:val="0"/>
                    <w:snapToGrid w:val="0"/>
                    <w:jc w:val="center"/>
                    <w:rPr>
                      <w:bCs/>
                      <w:color w:val="auto"/>
                      <w:szCs w:val="21"/>
                    </w:rPr>
                  </w:pPr>
                </w:p>
              </w:tc>
              <w:tc>
                <w:tcPr>
                  <w:tcW w:w="1033" w:type="pct"/>
                  <w:vAlign w:val="center"/>
                </w:tcPr>
                <w:p>
                  <w:pPr>
                    <w:adjustRightInd w:val="0"/>
                    <w:snapToGrid w:val="0"/>
                    <w:jc w:val="center"/>
                    <w:rPr>
                      <w:bCs/>
                      <w:color w:val="auto"/>
                      <w:szCs w:val="21"/>
                    </w:rPr>
                  </w:pPr>
                  <w:r>
                    <w:rPr>
                      <w:rFonts w:hint="eastAsia"/>
                      <w:bCs/>
                      <w:color w:val="auto"/>
                      <w:szCs w:val="21"/>
                    </w:rPr>
                    <w:t>0.375 mg/m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restart"/>
                  <w:shd w:val="clear" w:color="auto" w:fill="auto"/>
                  <w:vAlign w:val="center"/>
                </w:tcPr>
                <w:p>
                  <w:pPr>
                    <w:adjustRightInd w:val="0"/>
                    <w:snapToGrid w:val="0"/>
                    <w:jc w:val="center"/>
                    <w:rPr>
                      <w:bCs/>
                      <w:color w:val="auto"/>
                      <w:szCs w:val="21"/>
                    </w:rPr>
                  </w:pPr>
                  <w:r>
                    <w:rPr>
                      <w:rFonts w:hint="eastAsia"/>
                      <w:bCs/>
                      <w:color w:val="auto"/>
                      <w:szCs w:val="21"/>
                    </w:rPr>
                    <w:t>《宜良年产10万吨耐火材料生产线改建项目环境质量现状监测》</w:t>
                  </w:r>
                </w:p>
              </w:tc>
              <w:tc>
                <w:tcPr>
                  <w:tcW w:w="897" w:type="pct"/>
                  <w:vMerge w:val="restart"/>
                  <w:shd w:val="clear" w:color="auto" w:fill="auto"/>
                  <w:vAlign w:val="center"/>
                </w:tcPr>
                <w:p>
                  <w:pPr>
                    <w:adjustRightInd w:val="0"/>
                    <w:snapToGrid w:val="0"/>
                    <w:jc w:val="center"/>
                    <w:rPr>
                      <w:bCs/>
                      <w:color w:val="auto"/>
                      <w:szCs w:val="21"/>
                    </w:rPr>
                  </w:pPr>
                  <w:r>
                    <w:rPr>
                      <w:rFonts w:hint="eastAsia"/>
                      <w:bCs/>
                      <w:color w:val="auto"/>
                      <w:szCs w:val="21"/>
                    </w:rPr>
                    <w:t>当季主导风向下风向50m处</w:t>
                  </w: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HJ202208</w:t>
                  </w:r>
                </w:p>
                <w:p>
                  <w:pPr>
                    <w:adjustRightInd w:val="0"/>
                    <w:snapToGrid w:val="0"/>
                    <w:jc w:val="center"/>
                    <w:rPr>
                      <w:bCs/>
                      <w:color w:val="auto"/>
                      <w:szCs w:val="21"/>
                    </w:rPr>
                  </w:pPr>
                  <w:r>
                    <w:rPr>
                      <w:rFonts w:hint="eastAsia"/>
                      <w:bCs/>
                      <w:color w:val="auto"/>
                      <w:szCs w:val="21"/>
                    </w:rPr>
                    <w:t>13202</w:t>
                  </w:r>
                </w:p>
              </w:tc>
              <w:tc>
                <w:tcPr>
                  <w:tcW w:w="897" w:type="pct"/>
                  <w:shd w:val="clear" w:color="auto" w:fill="auto"/>
                  <w:vAlign w:val="center"/>
                </w:tcPr>
                <w:p>
                  <w:pPr>
                    <w:adjustRightInd w:val="0"/>
                    <w:snapToGrid w:val="0"/>
                    <w:jc w:val="center"/>
                    <w:rPr>
                      <w:bCs/>
                      <w:color w:val="auto"/>
                      <w:szCs w:val="21"/>
                    </w:rPr>
                  </w:pPr>
                  <w:r>
                    <w:rPr>
                      <w:rFonts w:hint="eastAsia"/>
                      <w:bCs/>
                      <w:color w:val="auto"/>
                      <w:szCs w:val="21"/>
                    </w:rPr>
                    <w:t>2022.8.12~</w:t>
                  </w:r>
                </w:p>
                <w:p>
                  <w:pPr>
                    <w:adjustRightInd w:val="0"/>
                    <w:snapToGrid w:val="0"/>
                    <w:jc w:val="center"/>
                    <w:rPr>
                      <w:bCs/>
                      <w:color w:val="auto"/>
                      <w:szCs w:val="21"/>
                    </w:rPr>
                  </w:pPr>
                  <w:r>
                    <w:rPr>
                      <w:rFonts w:hint="eastAsia"/>
                      <w:bCs/>
                      <w:color w:val="auto"/>
                      <w:szCs w:val="21"/>
                    </w:rPr>
                    <w:t>2022.8.13</w:t>
                  </w:r>
                </w:p>
              </w:tc>
              <w:tc>
                <w:tcPr>
                  <w:tcW w:w="1033" w:type="pct"/>
                  <w:vAlign w:val="center"/>
                </w:tcPr>
                <w:p>
                  <w:pPr>
                    <w:adjustRightInd w:val="0"/>
                    <w:snapToGrid w:val="0"/>
                    <w:jc w:val="center"/>
                    <w:rPr>
                      <w:bCs/>
                      <w:color w:val="auto"/>
                      <w:szCs w:val="21"/>
                    </w:rPr>
                  </w:pPr>
                  <w:r>
                    <w:rPr>
                      <w:rFonts w:hint="eastAsia"/>
                      <w:bCs/>
                      <w:color w:val="auto"/>
                      <w:szCs w:val="21"/>
                    </w:rPr>
                    <w:t>158ug/m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HJ202208</w:t>
                  </w:r>
                </w:p>
                <w:p>
                  <w:pPr>
                    <w:adjustRightInd w:val="0"/>
                    <w:snapToGrid w:val="0"/>
                    <w:jc w:val="center"/>
                    <w:rPr>
                      <w:bCs/>
                      <w:color w:val="auto"/>
                      <w:szCs w:val="21"/>
                    </w:rPr>
                  </w:pPr>
                  <w:r>
                    <w:rPr>
                      <w:rFonts w:hint="eastAsia"/>
                      <w:bCs/>
                      <w:color w:val="auto"/>
                      <w:szCs w:val="21"/>
                    </w:rPr>
                    <w:t>14074</w:t>
                  </w:r>
                </w:p>
              </w:tc>
              <w:tc>
                <w:tcPr>
                  <w:tcW w:w="897" w:type="pct"/>
                  <w:shd w:val="clear" w:color="auto" w:fill="auto"/>
                  <w:vAlign w:val="center"/>
                </w:tcPr>
                <w:p>
                  <w:pPr>
                    <w:adjustRightInd w:val="0"/>
                    <w:snapToGrid w:val="0"/>
                    <w:jc w:val="center"/>
                    <w:rPr>
                      <w:bCs/>
                      <w:color w:val="auto"/>
                      <w:szCs w:val="21"/>
                    </w:rPr>
                  </w:pPr>
                  <w:r>
                    <w:rPr>
                      <w:rFonts w:hint="eastAsia"/>
                      <w:bCs/>
                      <w:color w:val="auto"/>
                      <w:szCs w:val="21"/>
                    </w:rPr>
                    <w:t>2022.8.13~</w:t>
                  </w:r>
                </w:p>
                <w:p>
                  <w:pPr>
                    <w:adjustRightInd w:val="0"/>
                    <w:snapToGrid w:val="0"/>
                    <w:jc w:val="center"/>
                    <w:rPr>
                      <w:bCs/>
                      <w:color w:val="auto"/>
                      <w:szCs w:val="21"/>
                    </w:rPr>
                  </w:pPr>
                  <w:r>
                    <w:rPr>
                      <w:rFonts w:hint="eastAsia"/>
                      <w:bCs/>
                      <w:color w:val="auto"/>
                      <w:szCs w:val="21"/>
                    </w:rPr>
                    <w:t>2022.8-14</w:t>
                  </w:r>
                </w:p>
              </w:tc>
              <w:tc>
                <w:tcPr>
                  <w:tcW w:w="1033" w:type="pct"/>
                  <w:vAlign w:val="center"/>
                </w:tcPr>
                <w:p>
                  <w:pPr>
                    <w:adjustRightInd w:val="0"/>
                    <w:snapToGrid w:val="0"/>
                    <w:jc w:val="center"/>
                    <w:rPr>
                      <w:bCs/>
                      <w:color w:val="auto"/>
                      <w:szCs w:val="21"/>
                    </w:rPr>
                  </w:pPr>
                  <w:r>
                    <w:rPr>
                      <w:rFonts w:hint="eastAsia"/>
                      <w:bCs/>
                      <w:color w:val="auto"/>
                      <w:szCs w:val="21"/>
                    </w:rPr>
                    <w:t>189 ug/m</w:t>
                  </w:r>
                  <w:r>
                    <w:rPr>
                      <w:rFonts w:hint="eastAsia"/>
                      <w:bCs/>
                      <w:color w:val="auto"/>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7" w:type="pct"/>
                  <w:vMerge w:val="continue"/>
                  <w:shd w:val="clear" w:color="auto" w:fill="auto"/>
                  <w:vAlign w:val="center"/>
                </w:tcPr>
                <w:p>
                  <w:pPr>
                    <w:adjustRightInd w:val="0"/>
                    <w:snapToGrid w:val="0"/>
                    <w:jc w:val="center"/>
                    <w:rPr>
                      <w:bCs/>
                      <w:color w:val="auto"/>
                      <w:szCs w:val="21"/>
                    </w:rPr>
                  </w:pPr>
                </w:p>
              </w:tc>
              <w:tc>
                <w:tcPr>
                  <w:tcW w:w="897" w:type="pct"/>
                  <w:vMerge w:val="continue"/>
                  <w:shd w:val="clear" w:color="auto" w:fill="auto"/>
                  <w:vAlign w:val="center"/>
                </w:tcPr>
                <w:p>
                  <w:pPr>
                    <w:adjustRightInd w:val="0"/>
                    <w:snapToGrid w:val="0"/>
                    <w:jc w:val="center"/>
                    <w:rPr>
                      <w:bCs/>
                      <w:color w:val="auto"/>
                      <w:szCs w:val="21"/>
                    </w:rPr>
                  </w:pPr>
                </w:p>
              </w:tc>
              <w:tc>
                <w:tcPr>
                  <w:tcW w:w="1096" w:type="pct"/>
                  <w:shd w:val="clear" w:color="auto" w:fill="auto"/>
                  <w:vAlign w:val="center"/>
                </w:tcPr>
                <w:p>
                  <w:pPr>
                    <w:adjustRightInd w:val="0"/>
                    <w:snapToGrid w:val="0"/>
                    <w:jc w:val="center"/>
                    <w:rPr>
                      <w:bCs/>
                      <w:color w:val="auto"/>
                      <w:szCs w:val="21"/>
                    </w:rPr>
                  </w:pPr>
                  <w:r>
                    <w:rPr>
                      <w:rFonts w:hint="eastAsia"/>
                      <w:bCs/>
                      <w:color w:val="auto"/>
                      <w:szCs w:val="21"/>
                    </w:rPr>
                    <w:t>HJ202208</w:t>
                  </w:r>
                </w:p>
                <w:p>
                  <w:pPr>
                    <w:adjustRightInd w:val="0"/>
                    <w:snapToGrid w:val="0"/>
                    <w:jc w:val="center"/>
                    <w:rPr>
                      <w:bCs/>
                      <w:color w:val="auto"/>
                      <w:szCs w:val="21"/>
                    </w:rPr>
                  </w:pPr>
                  <w:r>
                    <w:rPr>
                      <w:rFonts w:hint="eastAsia"/>
                      <w:bCs/>
                      <w:color w:val="auto"/>
                      <w:szCs w:val="21"/>
                    </w:rPr>
                    <w:t>15128</w:t>
                  </w:r>
                </w:p>
              </w:tc>
              <w:tc>
                <w:tcPr>
                  <w:tcW w:w="897" w:type="pct"/>
                  <w:shd w:val="clear" w:color="auto" w:fill="auto"/>
                  <w:vAlign w:val="center"/>
                </w:tcPr>
                <w:p>
                  <w:pPr>
                    <w:adjustRightInd w:val="0"/>
                    <w:snapToGrid w:val="0"/>
                    <w:jc w:val="center"/>
                    <w:rPr>
                      <w:bCs/>
                      <w:color w:val="auto"/>
                      <w:szCs w:val="21"/>
                    </w:rPr>
                  </w:pPr>
                  <w:r>
                    <w:rPr>
                      <w:rFonts w:hint="eastAsia"/>
                      <w:bCs/>
                      <w:color w:val="auto"/>
                      <w:szCs w:val="21"/>
                    </w:rPr>
                    <w:t>2022.8.14~</w:t>
                  </w:r>
                </w:p>
                <w:p>
                  <w:pPr>
                    <w:adjustRightInd w:val="0"/>
                    <w:snapToGrid w:val="0"/>
                    <w:jc w:val="center"/>
                    <w:rPr>
                      <w:bCs/>
                      <w:color w:val="auto"/>
                      <w:szCs w:val="21"/>
                    </w:rPr>
                  </w:pPr>
                  <w:r>
                    <w:rPr>
                      <w:rFonts w:hint="eastAsia"/>
                      <w:bCs/>
                      <w:color w:val="auto"/>
                      <w:szCs w:val="21"/>
                    </w:rPr>
                    <w:t>2022.8.15</w:t>
                  </w:r>
                </w:p>
              </w:tc>
              <w:tc>
                <w:tcPr>
                  <w:tcW w:w="1033" w:type="pct"/>
                  <w:vAlign w:val="center"/>
                </w:tcPr>
                <w:p>
                  <w:pPr>
                    <w:adjustRightInd w:val="0"/>
                    <w:snapToGrid w:val="0"/>
                    <w:jc w:val="center"/>
                    <w:rPr>
                      <w:bCs/>
                      <w:color w:val="auto"/>
                      <w:szCs w:val="21"/>
                    </w:rPr>
                  </w:pPr>
                  <w:r>
                    <w:rPr>
                      <w:rFonts w:hint="eastAsia"/>
                      <w:bCs/>
                      <w:color w:val="auto"/>
                      <w:szCs w:val="21"/>
                    </w:rPr>
                    <w:t>192 ug/m</w:t>
                  </w:r>
                  <w:r>
                    <w:rPr>
                      <w:rFonts w:hint="eastAsia"/>
                      <w:bCs/>
                      <w:color w:val="auto"/>
                      <w:szCs w:val="21"/>
                      <w:vertAlign w:val="superscript"/>
                    </w:rPr>
                    <w:t>3</w:t>
                  </w:r>
                </w:p>
              </w:tc>
            </w:tr>
          </w:tbl>
          <w:p>
            <w:pPr>
              <w:adjustRightInd w:val="0"/>
              <w:snapToGrid w:val="0"/>
              <w:ind w:firstLine="420" w:firstLineChars="200"/>
              <w:rPr>
                <w:bCs/>
                <w:color w:val="auto"/>
              </w:rPr>
            </w:pPr>
          </w:p>
          <w:p>
            <w:pPr>
              <w:adjustRightInd w:val="0"/>
              <w:snapToGrid w:val="0"/>
              <w:spacing w:line="360" w:lineRule="auto"/>
              <w:ind w:firstLine="480" w:firstLineChars="200"/>
              <w:rPr>
                <w:bCs/>
                <w:color w:val="auto"/>
                <w:sz w:val="24"/>
              </w:rPr>
            </w:pPr>
            <w:r>
              <w:rPr>
                <w:rFonts w:hint="eastAsia"/>
                <w:bCs/>
                <w:color w:val="auto"/>
                <w:sz w:val="24"/>
              </w:rPr>
              <w:t>根据近一年收集监测资料数据分析，项目总悬浮颗粒物浓度均可达到《大气污染物综合排放标准》（GB16297-1996）表2无组织排放监控浓度限值（1mg/m</w:t>
            </w:r>
            <w:r>
              <w:rPr>
                <w:rFonts w:hint="eastAsia"/>
                <w:bCs/>
                <w:color w:val="auto"/>
                <w:sz w:val="24"/>
                <w:vertAlign w:val="superscript"/>
              </w:rPr>
              <w:t>3</w:t>
            </w:r>
            <w:r>
              <w:rPr>
                <w:rFonts w:hint="eastAsia"/>
                <w:bCs/>
                <w:color w:val="auto"/>
                <w:sz w:val="24"/>
              </w:rPr>
              <w:t>）。</w:t>
            </w:r>
          </w:p>
          <w:p>
            <w:pPr>
              <w:adjustRightInd w:val="0"/>
              <w:snapToGrid w:val="0"/>
              <w:spacing w:line="360" w:lineRule="auto"/>
              <w:ind w:firstLine="480" w:firstLineChars="200"/>
              <w:rPr>
                <w:bCs/>
                <w:color w:val="auto"/>
                <w:sz w:val="24"/>
              </w:rPr>
            </w:pPr>
            <w:r>
              <w:rPr>
                <w:rFonts w:hint="eastAsia"/>
                <w:bCs/>
                <w:color w:val="auto"/>
                <w:sz w:val="24"/>
              </w:rPr>
              <w:t>（3）有组织废气</w:t>
            </w:r>
          </w:p>
          <w:p>
            <w:pPr>
              <w:adjustRightInd w:val="0"/>
              <w:snapToGrid w:val="0"/>
              <w:spacing w:line="360" w:lineRule="auto"/>
              <w:ind w:firstLine="481" w:firstLineChars="200"/>
              <w:rPr>
                <w:rFonts w:ascii="宋体" w:hAnsi="宋体" w:cs="宋体"/>
                <w:color w:val="auto"/>
                <w:sz w:val="24"/>
              </w:rPr>
            </w:pPr>
            <w:r>
              <w:rPr>
                <w:rFonts w:hint="eastAsia" w:ascii="宋体" w:hAnsi="宋体" w:cs="宋体"/>
                <w:b/>
                <w:color w:val="auto"/>
                <w:sz w:val="24"/>
              </w:rPr>
              <w:t>①现有排口基本情况：</w:t>
            </w:r>
            <w:r>
              <w:rPr>
                <w:rFonts w:hint="eastAsia" w:ascii="宋体" w:hAnsi="宋体" w:cs="宋体"/>
                <w:color w:val="auto"/>
                <w:sz w:val="24"/>
              </w:rPr>
              <w:t>现有项目共设置1个有组织排放口，为窑烧烟气排放口（DA001），为一般排放口。现有排放（DA001）基本情况如下：</w:t>
            </w:r>
          </w:p>
          <w:p>
            <w:pPr>
              <w:adjustRightInd w:val="0"/>
              <w:snapToGrid w:val="0"/>
              <w:jc w:val="center"/>
              <w:rPr>
                <w:rFonts w:ascii="宋体" w:hAnsi="宋体" w:cs="宋体"/>
                <w:b/>
                <w:color w:val="auto"/>
              </w:rPr>
            </w:pPr>
            <w:r>
              <w:rPr>
                <w:rFonts w:hint="eastAsia" w:ascii="宋体" w:hAnsi="宋体" w:cs="宋体"/>
                <w:b/>
                <w:color w:val="auto"/>
              </w:rPr>
              <w:t>表2-1</w:t>
            </w:r>
            <w:r>
              <w:rPr>
                <w:rFonts w:hint="eastAsia" w:ascii="宋体" w:hAnsi="宋体" w:cs="宋体"/>
                <w:b/>
                <w:color w:val="auto"/>
                <w:lang w:val="en-US" w:eastAsia="zh-CN"/>
              </w:rPr>
              <w:t>2</w:t>
            </w:r>
            <w:r>
              <w:rPr>
                <w:rFonts w:hint="eastAsia" w:ascii="宋体" w:hAnsi="宋体" w:cs="宋体"/>
                <w:b/>
                <w:color w:val="auto"/>
              </w:rPr>
              <w:t xml:space="preserve">  现有排口基本情况表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457"/>
              <w:gridCol w:w="1404"/>
              <w:gridCol w:w="1680"/>
              <w:gridCol w:w="1402"/>
              <w:gridCol w:w="1469"/>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78" w:type="pct"/>
                  <w:gridSpan w:val="3"/>
                  <w:vAlign w:val="center"/>
                </w:tcPr>
                <w:p>
                  <w:pPr>
                    <w:pStyle w:val="16"/>
                    <w:adjustRightInd w:val="0"/>
                    <w:jc w:val="center"/>
                    <w:rPr>
                      <w:bCs/>
                      <w:color w:val="auto"/>
                      <w:sz w:val="21"/>
                      <w:szCs w:val="21"/>
                    </w:rPr>
                  </w:pPr>
                  <w:r>
                    <w:rPr>
                      <w:bCs/>
                      <w:color w:val="auto"/>
                      <w:sz w:val="21"/>
                      <w:szCs w:val="21"/>
                    </w:rPr>
                    <w:t>产排污节点</w:t>
                  </w:r>
                </w:p>
              </w:tc>
              <w:tc>
                <w:tcPr>
                  <w:tcW w:w="3622" w:type="pct"/>
                  <w:gridSpan w:val="4"/>
                  <w:vAlign w:val="center"/>
                </w:tcPr>
                <w:p>
                  <w:pPr>
                    <w:pStyle w:val="16"/>
                    <w:adjustRightInd w:val="0"/>
                    <w:jc w:val="center"/>
                    <w:rPr>
                      <w:bCs/>
                      <w:color w:val="auto"/>
                      <w:sz w:val="21"/>
                      <w:szCs w:val="21"/>
                    </w:rPr>
                  </w:pPr>
                  <w:r>
                    <w:rPr>
                      <w:bCs/>
                      <w:color w:val="auto"/>
                      <w:sz w:val="21"/>
                      <w:szCs w:val="21"/>
                    </w:rPr>
                    <w:t>焙烧、烘干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78" w:type="pct"/>
                  <w:gridSpan w:val="3"/>
                  <w:vAlign w:val="center"/>
                </w:tcPr>
                <w:p>
                  <w:pPr>
                    <w:pStyle w:val="16"/>
                    <w:adjustRightInd w:val="0"/>
                    <w:jc w:val="center"/>
                    <w:rPr>
                      <w:bCs/>
                      <w:color w:val="auto"/>
                      <w:sz w:val="21"/>
                      <w:szCs w:val="21"/>
                    </w:rPr>
                  </w:pPr>
                  <w:r>
                    <w:rPr>
                      <w:bCs/>
                      <w:color w:val="auto"/>
                      <w:sz w:val="21"/>
                      <w:szCs w:val="21"/>
                    </w:rPr>
                    <w:t>污染物种类</w:t>
                  </w:r>
                </w:p>
              </w:tc>
              <w:tc>
                <w:tcPr>
                  <w:tcW w:w="1003" w:type="pct"/>
                  <w:vAlign w:val="center"/>
                </w:tcPr>
                <w:p>
                  <w:pPr>
                    <w:pStyle w:val="16"/>
                    <w:adjustRightInd w:val="0"/>
                    <w:jc w:val="center"/>
                    <w:rPr>
                      <w:bCs/>
                      <w:color w:val="auto"/>
                      <w:sz w:val="21"/>
                      <w:szCs w:val="21"/>
                    </w:rPr>
                  </w:pPr>
                  <w:r>
                    <w:rPr>
                      <w:bCs/>
                      <w:color w:val="auto"/>
                      <w:sz w:val="21"/>
                      <w:szCs w:val="21"/>
                    </w:rPr>
                    <w:t>颗粒物</w:t>
                  </w:r>
                </w:p>
              </w:tc>
              <w:tc>
                <w:tcPr>
                  <w:tcW w:w="837" w:type="pct"/>
                  <w:vAlign w:val="center"/>
                </w:tcPr>
                <w:p>
                  <w:pPr>
                    <w:pStyle w:val="16"/>
                    <w:adjustRightInd w:val="0"/>
                    <w:jc w:val="center"/>
                    <w:rPr>
                      <w:bCs/>
                      <w:color w:val="auto"/>
                      <w:sz w:val="21"/>
                      <w:szCs w:val="21"/>
                    </w:rPr>
                  </w:pPr>
                  <w:r>
                    <w:rPr>
                      <w:bCs/>
                      <w:color w:val="auto"/>
                      <w:sz w:val="21"/>
                      <w:szCs w:val="21"/>
                    </w:rPr>
                    <w:t>SO</w:t>
                  </w:r>
                  <w:r>
                    <w:rPr>
                      <w:bCs/>
                      <w:color w:val="auto"/>
                      <w:sz w:val="21"/>
                      <w:szCs w:val="21"/>
                      <w:vertAlign w:val="subscript"/>
                    </w:rPr>
                    <w:t>2</w:t>
                  </w:r>
                </w:p>
              </w:tc>
              <w:tc>
                <w:tcPr>
                  <w:tcW w:w="877" w:type="pct"/>
                  <w:vAlign w:val="center"/>
                </w:tcPr>
                <w:p>
                  <w:pPr>
                    <w:pStyle w:val="16"/>
                    <w:adjustRightInd w:val="0"/>
                    <w:jc w:val="center"/>
                    <w:rPr>
                      <w:bCs/>
                      <w:color w:val="auto"/>
                      <w:sz w:val="21"/>
                      <w:szCs w:val="21"/>
                    </w:rPr>
                  </w:pPr>
                  <w:r>
                    <w:rPr>
                      <w:bCs/>
                      <w:color w:val="auto"/>
                      <w:sz w:val="21"/>
                      <w:szCs w:val="21"/>
                    </w:rPr>
                    <w:t>NO</w:t>
                  </w:r>
                  <w:r>
                    <w:rPr>
                      <w:bCs/>
                      <w:color w:val="auto"/>
                      <w:sz w:val="21"/>
                      <w:szCs w:val="21"/>
                      <w:vertAlign w:val="subscript"/>
                    </w:rPr>
                    <w:t>x</w:t>
                  </w:r>
                </w:p>
              </w:tc>
              <w:tc>
                <w:tcPr>
                  <w:tcW w:w="905" w:type="pct"/>
                  <w:vAlign w:val="center"/>
                </w:tcPr>
                <w:p>
                  <w:pPr>
                    <w:pStyle w:val="16"/>
                    <w:adjustRightInd w:val="0"/>
                    <w:jc w:val="center"/>
                    <w:rPr>
                      <w:rFonts w:hint="eastAsia" w:eastAsia="宋体"/>
                      <w:bCs/>
                      <w:color w:val="auto"/>
                      <w:sz w:val="21"/>
                      <w:szCs w:val="21"/>
                      <w:lang w:eastAsia="zh-CN"/>
                    </w:rPr>
                  </w:pPr>
                  <w:r>
                    <w:rPr>
                      <w:rFonts w:hint="eastAsia"/>
                      <w:bCs/>
                      <w:color w:val="auto"/>
                      <w:sz w:val="21"/>
                      <w:szCs w:val="21"/>
                      <w:lang w:eastAsia="zh-CN"/>
                    </w:rPr>
                    <w:t>氟及其化合物（以F计）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78" w:type="pct"/>
                  <w:gridSpan w:val="3"/>
                  <w:vAlign w:val="center"/>
                </w:tcPr>
                <w:p>
                  <w:pPr>
                    <w:pStyle w:val="16"/>
                    <w:adjustRightInd w:val="0"/>
                    <w:jc w:val="center"/>
                    <w:rPr>
                      <w:bCs/>
                      <w:color w:val="auto"/>
                      <w:sz w:val="21"/>
                      <w:szCs w:val="21"/>
                    </w:rPr>
                  </w:pPr>
                  <w:r>
                    <w:rPr>
                      <w:bCs/>
                      <w:color w:val="auto"/>
                      <w:sz w:val="21"/>
                      <w:szCs w:val="21"/>
                    </w:rPr>
                    <w:t>排放形式</w:t>
                  </w:r>
                </w:p>
              </w:tc>
              <w:tc>
                <w:tcPr>
                  <w:tcW w:w="3622" w:type="pct"/>
                  <w:gridSpan w:val="4"/>
                  <w:vAlign w:val="center"/>
                </w:tcPr>
                <w:p>
                  <w:pPr>
                    <w:pStyle w:val="16"/>
                    <w:adjustRightInd w:val="0"/>
                    <w:jc w:val="center"/>
                    <w:rPr>
                      <w:bCs/>
                      <w:color w:val="auto"/>
                      <w:sz w:val="21"/>
                      <w:szCs w:val="21"/>
                    </w:rPr>
                  </w:pPr>
                  <w:r>
                    <w:rPr>
                      <w:bCs/>
                      <w:color w:val="auto"/>
                      <w:sz w:val="21"/>
                      <w:szCs w:val="21"/>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7" w:type="pct"/>
                  <w:vMerge w:val="restart"/>
                  <w:vAlign w:val="center"/>
                </w:tcPr>
                <w:p>
                  <w:pPr>
                    <w:pStyle w:val="16"/>
                    <w:adjustRightInd w:val="0"/>
                    <w:jc w:val="center"/>
                    <w:rPr>
                      <w:bCs/>
                      <w:color w:val="auto"/>
                      <w:sz w:val="21"/>
                      <w:szCs w:val="21"/>
                    </w:rPr>
                  </w:pPr>
                  <w:r>
                    <w:rPr>
                      <w:bCs/>
                      <w:color w:val="auto"/>
                      <w:sz w:val="21"/>
                      <w:szCs w:val="21"/>
                    </w:rPr>
                    <w:t>治理设施</w:t>
                  </w:r>
                </w:p>
              </w:tc>
              <w:tc>
                <w:tcPr>
                  <w:tcW w:w="1111" w:type="pct"/>
                  <w:gridSpan w:val="2"/>
                  <w:vAlign w:val="center"/>
                </w:tcPr>
                <w:p>
                  <w:pPr>
                    <w:pStyle w:val="16"/>
                    <w:adjustRightInd w:val="0"/>
                    <w:jc w:val="center"/>
                    <w:rPr>
                      <w:bCs/>
                      <w:color w:val="auto"/>
                      <w:sz w:val="21"/>
                      <w:szCs w:val="21"/>
                    </w:rPr>
                  </w:pPr>
                  <w:r>
                    <w:rPr>
                      <w:bCs/>
                      <w:color w:val="auto"/>
                      <w:sz w:val="21"/>
                      <w:szCs w:val="21"/>
                    </w:rPr>
                    <w:t>名称</w:t>
                  </w:r>
                </w:p>
              </w:tc>
              <w:tc>
                <w:tcPr>
                  <w:tcW w:w="3622" w:type="pct"/>
                  <w:gridSpan w:val="4"/>
                  <w:vAlign w:val="center"/>
                </w:tcPr>
                <w:p>
                  <w:pPr>
                    <w:pStyle w:val="16"/>
                    <w:adjustRightInd w:val="0"/>
                    <w:jc w:val="center"/>
                    <w:rPr>
                      <w:rFonts w:hint="eastAsia" w:eastAsia="宋体"/>
                      <w:bCs/>
                      <w:color w:val="auto"/>
                      <w:sz w:val="21"/>
                      <w:szCs w:val="21"/>
                      <w:lang w:eastAsia="zh-CN"/>
                    </w:rPr>
                  </w:pPr>
                  <w:r>
                    <w:rPr>
                      <w:rFonts w:hint="eastAsia"/>
                      <w:bCs/>
                      <w:color w:val="auto"/>
                      <w:sz w:val="21"/>
                      <w:szCs w:val="21"/>
                      <w:lang w:eastAsia="zh-CN"/>
                    </w:rPr>
                    <w:t>石灰石膏法脱硫塔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7" w:type="pct"/>
                  <w:vMerge w:val="continue"/>
                  <w:vAlign w:val="center"/>
                </w:tcPr>
                <w:p>
                  <w:pPr>
                    <w:pStyle w:val="16"/>
                    <w:adjustRightInd w:val="0"/>
                    <w:jc w:val="center"/>
                    <w:rPr>
                      <w:bCs/>
                      <w:color w:val="auto"/>
                      <w:sz w:val="21"/>
                      <w:szCs w:val="21"/>
                    </w:rPr>
                  </w:pPr>
                </w:p>
              </w:tc>
              <w:tc>
                <w:tcPr>
                  <w:tcW w:w="1111" w:type="pct"/>
                  <w:gridSpan w:val="2"/>
                  <w:vAlign w:val="center"/>
                </w:tcPr>
                <w:p>
                  <w:pPr>
                    <w:pStyle w:val="16"/>
                    <w:adjustRightInd w:val="0"/>
                    <w:jc w:val="center"/>
                    <w:rPr>
                      <w:bCs/>
                      <w:color w:val="auto"/>
                      <w:sz w:val="21"/>
                      <w:szCs w:val="21"/>
                    </w:rPr>
                  </w:pPr>
                  <w:r>
                    <w:rPr>
                      <w:bCs/>
                      <w:color w:val="auto"/>
                      <w:sz w:val="21"/>
                      <w:szCs w:val="21"/>
                    </w:rPr>
                    <w:t>收集效率</w:t>
                  </w:r>
                </w:p>
              </w:tc>
              <w:tc>
                <w:tcPr>
                  <w:tcW w:w="3622" w:type="pct"/>
                  <w:gridSpan w:val="4"/>
                  <w:vAlign w:val="center"/>
                </w:tcPr>
                <w:p>
                  <w:pPr>
                    <w:pStyle w:val="16"/>
                    <w:adjustRightInd w:val="0"/>
                    <w:jc w:val="center"/>
                    <w:rPr>
                      <w:bCs/>
                      <w:color w:val="auto"/>
                      <w:sz w:val="21"/>
                      <w:szCs w:val="21"/>
                    </w:rPr>
                  </w:pPr>
                  <w:r>
                    <w:rPr>
                      <w:bCs/>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7" w:type="pct"/>
                  <w:vMerge w:val="continue"/>
                  <w:vAlign w:val="center"/>
                </w:tcPr>
                <w:p>
                  <w:pPr>
                    <w:pStyle w:val="16"/>
                    <w:adjustRightInd w:val="0"/>
                    <w:jc w:val="center"/>
                    <w:rPr>
                      <w:bCs/>
                      <w:color w:val="auto"/>
                      <w:sz w:val="21"/>
                      <w:szCs w:val="21"/>
                    </w:rPr>
                  </w:pPr>
                </w:p>
              </w:tc>
              <w:tc>
                <w:tcPr>
                  <w:tcW w:w="1111" w:type="pct"/>
                  <w:gridSpan w:val="2"/>
                  <w:vAlign w:val="center"/>
                </w:tcPr>
                <w:p>
                  <w:pPr>
                    <w:pStyle w:val="16"/>
                    <w:adjustRightInd w:val="0"/>
                    <w:jc w:val="center"/>
                    <w:rPr>
                      <w:bCs/>
                      <w:color w:val="auto"/>
                      <w:sz w:val="21"/>
                      <w:szCs w:val="21"/>
                    </w:rPr>
                  </w:pPr>
                  <w:r>
                    <w:rPr>
                      <w:bCs/>
                      <w:color w:val="auto"/>
                      <w:sz w:val="21"/>
                      <w:szCs w:val="21"/>
                    </w:rPr>
                    <w:t>去除效率</w:t>
                  </w:r>
                </w:p>
              </w:tc>
              <w:tc>
                <w:tcPr>
                  <w:tcW w:w="1003" w:type="pct"/>
                  <w:vAlign w:val="center"/>
                </w:tcPr>
                <w:p>
                  <w:pPr>
                    <w:pStyle w:val="16"/>
                    <w:adjustRightInd w:val="0"/>
                    <w:jc w:val="center"/>
                    <w:rPr>
                      <w:bCs/>
                      <w:color w:val="auto"/>
                      <w:sz w:val="21"/>
                      <w:szCs w:val="21"/>
                    </w:rPr>
                  </w:pPr>
                  <w:r>
                    <w:rPr>
                      <w:bCs/>
                      <w:color w:val="auto"/>
                      <w:sz w:val="21"/>
                      <w:szCs w:val="21"/>
                    </w:rPr>
                    <w:t>80%</w:t>
                  </w:r>
                </w:p>
              </w:tc>
              <w:tc>
                <w:tcPr>
                  <w:tcW w:w="837" w:type="pct"/>
                  <w:vAlign w:val="center"/>
                </w:tcPr>
                <w:p>
                  <w:pPr>
                    <w:pStyle w:val="16"/>
                    <w:adjustRightInd w:val="0"/>
                    <w:jc w:val="center"/>
                    <w:rPr>
                      <w:bCs/>
                      <w:color w:val="auto"/>
                      <w:sz w:val="21"/>
                      <w:szCs w:val="21"/>
                    </w:rPr>
                  </w:pPr>
                  <w:r>
                    <w:rPr>
                      <w:bCs/>
                      <w:color w:val="auto"/>
                      <w:sz w:val="21"/>
                      <w:szCs w:val="21"/>
                    </w:rPr>
                    <w:t>90%</w:t>
                  </w:r>
                </w:p>
              </w:tc>
              <w:tc>
                <w:tcPr>
                  <w:tcW w:w="877" w:type="pct"/>
                  <w:vAlign w:val="center"/>
                </w:tcPr>
                <w:p>
                  <w:pPr>
                    <w:pStyle w:val="16"/>
                    <w:adjustRightInd w:val="0"/>
                    <w:jc w:val="center"/>
                    <w:rPr>
                      <w:bCs/>
                      <w:color w:val="auto"/>
                      <w:sz w:val="21"/>
                      <w:szCs w:val="21"/>
                    </w:rPr>
                  </w:pPr>
                  <w:r>
                    <w:rPr>
                      <w:bCs/>
                      <w:color w:val="auto"/>
                      <w:sz w:val="21"/>
                      <w:szCs w:val="21"/>
                    </w:rPr>
                    <w:t>10%</w:t>
                  </w:r>
                </w:p>
              </w:tc>
              <w:tc>
                <w:tcPr>
                  <w:tcW w:w="905" w:type="pct"/>
                  <w:vAlign w:val="center"/>
                </w:tcPr>
                <w:p>
                  <w:pPr>
                    <w:pStyle w:val="16"/>
                    <w:adjustRightInd w:val="0"/>
                    <w:jc w:val="center"/>
                    <w:rPr>
                      <w:bCs/>
                      <w:color w:val="auto"/>
                      <w:sz w:val="21"/>
                      <w:szCs w:val="21"/>
                    </w:rPr>
                  </w:pPr>
                  <w:r>
                    <w:rPr>
                      <w:bCs/>
                      <w:color w:val="auto"/>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7" w:type="pct"/>
                  <w:vMerge w:val="continue"/>
                  <w:vAlign w:val="center"/>
                </w:tcPr>
                <w:p>
                  <w:pPr>
                    <w:pStyle w:val="16"/>
                    <w:adjustRightInd w:val="0"/>
                    <w:jc w:val="center"/>
                    <w:rPr>
                      <w:bCs/>
                      <w:color w:val="auto"/>
                      <w:sz w:val="21"/>
                      <w:szCs w:val="21"/>
                    </w:rPr>
                  </w:pPr>
                </w:p>
              </w:tc>
              <w:tc>
                <w:tcPr>
                  <w:tcW w:w="1111" w:type="pct"/>
                  <w:gridSpan w:val="2"/>
                  <w:vAlign w:val="center"/>
                </w:tcPr>
                <w:p>
                  <w:pPr>
                    <w:pStyle w:val="16"/>
                    <w:adjustRightInd w:val="0"/>
                    <w:jc w:val="center"/>
                    <w:rPr>
                      <w:bCs/>
                      <w:color w:val="auto"/>
                      <w:sz w:val="21"/>
                      <w:szCs w:val="21"/>
                    </w:rPr>
                  </w:pPr>
                  <w:r>
                    <w:rPr>
                      <w:bCs/>
                      <w:color w:val="auto"/>
                      <w:sz w:val="21"/>
                      <w:szCs w:val="21"/>
                    </w:rPr>
                    <w:t>是否为可行技术</w:t>
                  </w:r>
                </w:p>
              </w:tc>
              <w:tc>
                <w:tcPr>
                  <w:tcW w:w="1003" w:type="pct"/>
                  <w:vAlign w:val="center"/>
                </w:tcPr>
                <w:p>
                  <w:pPr>
                    <w:pStyle w:val="16"/>
                    <w:adjustRightInd w:val="0"/>
                    <w:jc w:val="center"/>
                    <w:rPr>
                      <w:bCs/>
                      <w:color w:val="auto"/>
                      <w:sz w:val="21"/>
                      <w:szCs w:val="21"/>
                    </w:rPr>
                  </w:pPr>
                  <w:r>
                    <w:rPr>
                      <w:bCs/>
                      <w:color w:val="auto"/>
                      <w:sz w:val="21"/>
                      <w:szCs w:val="21"/>
                    </w:rPr>
                    <w:t>是</w:t>
                  </w:r>
                </w:p>
              </w:tc>
              <w:tc>
                <w:tcPr>
                  <w:tcW w:w="837" w:type="pct"/>
                  <w:vAlign w:val="center"/>
                </w:tcPr>
                <w:p>
                  <w:pPr>
                    <w:pStyle w:val="16"/>
                    <w:adjustRightInd w:val="0"/>
                    <w:jc w:val="center"/>
                    <w:rPr>
                      <w:bCs/>
                      <w:color w:val="auto"/>
                      <w:sz w:val="21"/>
                      <w:szCs w:val="21"/>
                    </w:rPr>
                  </w:pPr>
                  <w:r>
                    <w:rPr>
                      <w:bCs/>
                      <w:color w:val="auto"/>
                      <w:sz w:val="21"/>
                      <w:szCs w:val="21"/>
                    </w:rPr>
                    <w:t>是</w:t>
                  </w:r>
                </w:p>
              </w:tc>
              <w:tc>
                <w:tcPr>
                  <w:tcW w:w="877" w:type="pct"/>
                  <w:vAlign w:val="center"/>
                </w:tcPr>
                <w:p>
                  <w:pPr>
                    <w:pStyle w:val="16"/>
                    <w:adjustRightInd w:val="0"/>
                    <w:jc w:val="center"/>
                    <w:rPr>
                      <w:bCs/>
                      <w:color w:val="auto"/>
                      <w:sz w:val="21"/>
                      <w:szCs w:val="21"/>
                    </w:rPr>
                  </w:pPr>
                  <w:r>
                    <w:rPr>
                      <w:bCs/>
                      <w:color w:val="auto"/>
                      <w:sz w:val="21"/>
                      <w:szCs w:val="21"/>
                    </w:rPr>
                    <w:t>/</w:t>
                  </w:r>
                </w:p>
              </w:tc>
              <w:tc>
                <w:tcPr>
                  <w:tcW w:w="905" w:type="pct"/>
                  <w:vAlign w:val="center"/>
                </w:tcPr>
                <w:p>
                  <w:pPr>
                    <w:pStyle w:val="16"/>
                    <w:adjustRightInd w:val="0"/>
                    <w:jc w:val="center"/>
                    <w:rPr>
                      <w:bCs/>
                      <w:color w:val="auto"/>
                      <w:sz w:val="21"/>
                      <w:szCs w:val="21"/>
                    </w:rPr>
                  </w:pPr>
                  <w:r>
                    <w:rPr>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7" w:type="pct"/>
                  <w:vMerge w:val="restart"/>
                  <w:vAlign w:val="center"/>
                </w:tcPr>
                <w:p>
                  <w:pPr>
                    <w:pStyle w:val="16"/>
                    <w:adjustRightInd w:val="0"/>
                    <w:jc w:val="center"/>
                    <w:rPr>
                      <w:bCs/>
                      <w:color w:val="auto"/>
                      <w:sz w:val="21"/>
                      <w:szCs w:val="21"/>
                    </w:rPr>
                  </w:pPr>
                  <w:r>
                    <w:rPr>
                      <w:bCs/>
                      <w:color w:val="auto"/>
                      <w:sz w:val="21"/>
                      <w:szCs w:val="21"/>
                    </w:rPr>
                    <w:t>排放口基本情况</w:t>
                  </w:r>
                </w:p>
              </w:tc>
              <w:tc>
                <w:tcPr>
                  <w:tcW w:w="1111" w:type="pct"/>
                  <w:gridSpan w:val="2"/>
                  <w:vAlign w:val="center"/>
                </w:tcPr>
                <w:p>
                  <w:pPr>
                    <w:pStyle w:val="16"/>
                    <w:adjustRightInd w:val="0"/>
                    <w:jc w:val="center"/>
                    <w:rPr>
                      <w:bCs/>
                      <w:color w:val="auto"/>
                      <w:sz w:val="21"/>
                      <w:szCs w:val="21"/>
                    </w:rPr>
                  </w:pPr>
                  <w:r>
                    <w:rPr>
                      <w:bCs/>
                      <w:color w:val="auto"/>
                      <w:sz w:val="21"/>
                      <w:szCs w:val="21"/>
                    </w:rPr>
                    <w:t>高度（m）</w:t>
                  </w:r>
                </w:p>
              </w:tc>
              <w:tc>
                <w:tcPr>
                  <w:tcW w:w="3622" w:type="pct"/>
                  <w:gridSpan w:val="4"/>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7" w:type="pct"/>
                  <w:vMerge w:val="continue"/>
                  <w:vAlign w:val="center"/>
                </w:tcPr>
                <w:p>
                  <w:pPr>
                    <w:pStyle w:val="16"/>
                    <w:adjustRightInd w:val="0"/>
                    <w:jc w:val="center"/>
                    <w:rPr>
                      <w:bCs/>
                      <w:color w:val="auto"/>
                      <w:sz w:val="21"/>
                      <w:szCs w:val="21"/>
                    </w:rPr>
                  </w:pPr>
                </w:p>
              </w:tc>
              <w:tc>
                <w:tcPr>
                  <w:tcW w:w="1111" w:type="pct"/>
                  <w:gridSpan w:val="2"/>
                  <w:vAlign w:val="center"/>
                </w:tcPr>
                <w:p>
                  <w:pPr>
                    <w:pStyle w:val="16"/>
                    <w:adjustRightInd w:val="0"/>
                    <w:jc w:val="center"/>
                    <w:rPr>
                      <w:bCs/>
                      <w:color w:val="auto"/>
                      <w:sz w:val="21"/>
                      <w:szCs w:val="21"/>
                    </w:rPr>
                  </w:pPr>
                  <w:r>
                    <w:rPr>
                      <w:bCs/>
                      <w:color w:val="auto"/>
                      <w:sz w:val="21"/>
                      <w:szCs w:val="21"/>
                    </w:rPr>
                    <w:t>内径（m）</w:t>
                  </w:r>
                </w:p>
              </w:tc>
              <w:tc>
                <w:tcPr>
                  <w:tcW w:w="3622" w:type="pct"/>
                  <w:gridSpan w:val="4"/>
                  <w:vAlign w:val="center"/>
                </w:tcPr>
                <w:p>
                  <w:pPr>
                    <w:pStyle w:val="16"/>
                    <w:adjustRightInd w:val="0"/>
                    <w:jc w:val="center"/>
                    <w:rPr>
                      <w:bCs/>
                      <w:color w:val="auto"/>
                      <w:sz w:val="21"/>
                      <w:szCs w:val="21"/>
                    </w:rPr>
                  </w:pPr>
                  <w:r>
                    <w:rPr>
                      <w:bCs/>
                      <w:color w:val="auto"/>
                      <w:sz w:val="21"/>
                      <w:szCs w:val="21"/>
                    </w:rPr>
                    <w:t>1</w:t>
                  </w:r>
                  <w:r>
                    <w:rPr>
                      <w:rFonts w:hint="eastAsia"/>
                      <w:bCs/>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7" w:type="pct"/>
                  <w:vMerge w:val="continue"/>
                  <w:vAlign w:val="center"/>
                </w:tcPr>
                <w:p>
                  <w:pPr>
                    <w:pStyle w:val="16"/>
                    <w:adjustRightInd w:val="0"/>
                    <w:jc w:val="center"/>
                    <w:rPr>
                      <w:bCs/>
                      <w:color w:val="auto"/>
                      <w:sz w:val="21"/>
                      <w:szCs w:val="21"/>
                    </w:rPr>
                  </w:pPr>
                </w:p>
              </w:tc>
              <w:tc>
                <w:tcPr>
                  <w:tcW w:w="1111" w:type="pct"/>
                  <w:gridSpan w:val="2"/>
                  <w:vAlign w:val="center"/>
                </w:tcPr>
                <w:p>
                  <w:pPr>
                    <w:pStyle w:val="16"/>
                    <w:adjustRightInd w:val="0"/>
                    <w:jc w:val="center"/>
                    <w:rPr>
                      <w:bCs/>
                      <w:color w:val="auto"/>
                      <w:sz w:val="21"/>
                      <w:szCs w:val="21"/>
                    </w:rPr>
                  </w:pPr>
                  <w:r>
                    <w:rPr>
                      <w:bCs/>
                      <w:color w:val="auto"/>
                      <w:sz w:val="21"/>
                      <w:szCs w:val="21"/>
                    </w:rPr>
                    <w:t>温度（℃）</w:t>
                  </w:r>
                </w:p>
              </w:tc>
              <w:tc>
                <w:tcPr>
                  <w:tcW w:w="3622" w:type="pct"/>
                  <w:gridSpan w:val="4"/>
                  <w:vAlign w:val="center"/>
                </w:tcPr>
                <w:p>
                  <w:pPr>
                    <w:pStyle w:val="16"/>
                    <w:adjustRightInd w:val="0"/>
                    <w:jc w:val="center"/>
                    <w:rPr>
                      <w:bCs/>
                      <w:color w:val="auto"/>
                      <w:sz w:val="21"/>
                      <w:szCs w:val="21"/>
                    </w:rPr>
                  </w:pPr>
                  <w:r>
                    <w:rPr>
                      <w:bCs/>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7" w:type="pct"/>
                  <w:vMerge w:val="continue"/>
                  <w:vAlign w:val="center"/>
                </w:tcPr>
                <w:p>
                  <w:pPr>
                    <w:pStyle w:val="16"/>
                    <w:adjustRightInd w:val="0"/>
                    <w:jc w:val="center"/>
                    <w:rPr>
                      <w:bCs/>
                      <w:color w:val="auto"/>
                      <w:sz w:val="21"/>
                      <w:szCs w:val="21"/>
                    </w:rPr>
                  </w:pPr>
                </w:p>
              </w:tc>
              <w:tc>
                <w:tcPr>
                  <w:tcW w:w="1111" w:type="pct"/>
                  <w:gridSpan w:val="2"/>
                  <w:vAlign w:val="center"/>
                </w:tcPr>
                <w:p>
                  <w:pPr>
                    <w:pStyle w:val="16"/>
                    <w:adjustRightInd w:val="0"/>
                    <w:jc w:val="center"/>
                    <w:rPr>
                      <w:bCs/>
                      <w:color w:val="auto"/>
                      <w:sz w:val="21"/>
                      <w:szCs w:val="21"/>
                    </w:rPr>
                  </w:pPr>
                  <w:r>
                    <w:rPr>
                      <w:bCs/>
                      <w:color w:val="auto"/>
                      <w:sz w:val="21"/>
                      <w:szCs w:val="21"/>
                    </w:rPr>
                    <w:t>编号</w:t>
                  </w:r>
                </w:p>
              </w:tc>
              <w:tc>
                <w:tcPr>
                  <w:tcW w:w="3622" w:type="pct"/>
                  <w:gridSpan w:val="4"/>
                  <w:vAlign w:val="center"/>
                </w:tcPr>
                <w:p>
                  <w:pPr>
                    <w:pStyle w:val="16"/>
                    <w:adjustRightInd w:val="0"/>
                    <w:jc w:val="center"/>
                    <w:rPr>
                      <w:bCs/>
                      <w:color w:val="auto"/>
                      <w:sz w:val="21"/>
                      <w:szCs w:val="21"/>
                    </w:rPr>
                  </w:pPr>
                  <w:r>
                    <w:rPr>
                      <w:bCs/>
                      <w:color w:val="auto"/>
                      <w:sz w:val="21"/>
                      <w:szCs w:val="21"/>
                    </w:rPr>
                    <w:t>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7" w:type="pct"/>
                  <w:vMerge w:val="continue"/>
                  <w:vAlign w:val="center"/>
                </w:tcPr>
                <w:p>
                  <w:pPr>
                    <w:pStyle w:val="16"/>
                    <w:adjustRightInd w:val="0"/>
                    <w:jc w:val="center"/>
                    <w:rPr>
                      <w:bCs/>
                      <w:color w:val="auto"/>
                      <w:sz w:val="21"/>
                      <w:szCs w:val="21"/>
                    </w:rPr>
                  </w:pPr>
                </w:p>
              </w:tc>
              <w:tc>
                <w:tcPr>
                  <w:tcW w:w="1111" w:type="pct"/>
                  <w:gridSpan w:val="2"/>
                  <w:vAlign w:val="center"/>
                </w:tcPr>
                <w:p>
                  <w:pPr>
                    <w:pStyle w:val="16"/>
                    <w:adjustRightInd w:val="0"/>
                    <w:jc w:val="center"/>
                    <w:rPr>
                      <w:bCs/>
                      <w:color w:val="auto"/>
                      <w:sz w:val="21"/>
                      <w:szCs w:val="21"/>
                    </w:rPr>
                  </w:pPr>
                  <w:r>
                    <w:rPr>
                      <w:bCs/>
                      <w:color w:val="auto"/>
                      <w:sz w:val="21"/>
                      <w:szCs w:val="21"/>
                    </w:rPr>
                    <w:t>类型</w:t>
                  </w:r>
                </w:p>
              </w:tc>
              <w:tc>
                <w:tcPr>
                  <w:tcW w:w="3622" w:type="pct"/>
                  <w:gridSpan w:val="4"/>
                  <w:vAlign w:val="center"/>
                </w:tcPr>
                <w:p>
                  <w:pPr>
                    <w:pStyle w:val="16"/>
                    <w:adjustRightInd w:val="0"/>
                    <w:jc w:val="center"/>
                    <w:rPr>
                      <w:bCs/>
                      <w:color w:val="auto"/>
                      <w:sz w:val="21"/>
                      <w:szCs w:val="21"/>
                    </w:rPr>
                  </w:pPr>
                  <w:r>
                    <w:rPr>
                      <w:rFonts w:hint="eastAsia"/>
                      <w:bCs/>
                      <w:color w:val="auto"/>
                      <w:sz w:val="21"/>
                      <w:szCs w:val="21"/>
                    </w:rPr>
                    <w:t>一般</w:t>
                  </w:r>
                  <w:r>
                    <w:rPr>
                      <w:bCs/>
                      <w:color w:val="auto"/>
                      <w:sz w:val="21"/>
                      <w:szCs w:val="21"/>
                    </w:rPr>
                    <w:t>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7" w:type="pct"/>
                  <w:vMerge w:val="continue"/>
                  <w:vAlign w:val="center"/>
                </w:tcPr>
                <w:p>
                  <w:pPr>
                    <w:pStyle w:val="16"/>
                    <w:adjustRightInd w:val="0"/>
                    <w:jc w:val="center"/>
                    <w:rPr>
                      <w:bCs/>
                      <w:color w:val="auto"/>
                      <w:sz w:val="21"/>
                      <w:szCs w:val="21"/>
                    </w:rPr>
                  </w:pPr>
                </w:p>
              </w:tc>
              <w:tc>
                <w:tcPr>
                  <w:tcW w:w="273" w:type="pct"/>
                  <w:vMerge w:val="restart"/>
                  <w:vAlign w:val="center"/>
                </w:tcPr>
                <w:p>
                  <w:pPr>
                    <w:pStyle w:val="16"/>
                    <w:adjustRightInd w:val="0"/>
                    <w:jc w:val="center"/>
                    <w:rPr>
                      <w:bCs/>
                      <w:color w:val="auto"/>
                      <w:sz w:val="21"/>
                      <w:szCs w:val="21"/>
                    </w:rPr>
                  </w:pPr>
                  <w:r>
                    <w:rPr>
                      <w:bCs/>
                      <w:color w:val="auto"/>
                      <w:sz w:val="21"/>
                      <w:szCs w:val="21"/>
                    </w:rPr>
                    <w:t>坐标</w:t>
                  </w:r>
                </w:p>
              </w:tc>
              <w:tc>
                <w:tcPr>
                  <w:tcW w:w="838" w:type="pct"/>
                  <w:vAlign w:val="center"/>
                </w:tcPr>
                <w:p>
                  <w:pPr>
                    <w:pStyle w:val="16"/>
                    <w:adjustRightInd w:val="0"/>
                    <w:jc w:val="center"/>
                    <w:rPr>
                      <w:bCs/>
                      <w:color w:val="auto"/>
                      <w:sz w:val="21"/>
                      <w:szCs w:val="21"/>
                    </w:rPr>
                  </w:pPr>
                  <w:r>
                    <w:rPr>
                      <w:bCs/>
                      <w:color w:val="auto"/>
                      <w:sz w:val="21"/>
                      <w:szCs w:val="21"/>
                    </w:rPr>
                    <w:t>E</w:t>
                  </w:r>
                </w:p>
              </w:tc>
              <w:tc>
                <w:tcPr>
                  <w:tcW w:w="3622" w:type="pct"/>
                  <w:gridSpan w:val="4"/>
                  <w:vAlign w:val="center"/>
                </w:tcPr>
                <w:p>
                  <w:pPr>
                    <w:pStyle w:val="16"/>
                    <w:adjustRightInd w:val="0"/>
                    <w:jc w:val="center"/>
                    <w:rPr>
                      <w:bCs/>
                      <w:color w:val="auto"/>
                      <w:sz w:val="21"/>
                      <w:szCs w:val="21"/>
                    </w:rPr>
                  </w:pPr>
                  <w:r>
                    <w:rPr>
                      <w:bCs/>
                      <w:color w:val="auto"/>
                      <w:sz w:val="21"/>
                      <w:szCs w:val="21"/>
                    </w:rPr>
                    <w:t>103.213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7" w:type="pct"/>
                  <w:vMerge w:val="continue"/>
                  <w:vAlign w:val="center"/>
                </w:tcPr>
                <w:p>
                  <w:pPr>
                    <w:pStyle w:val="16"/>
                    <w:adjustRightInd w:val="0"/>
                    <w:jc w:val="center"/>
                    <w:rPr>
                      <w:bCs/>
                      <w:color w:val="auto"/>
                      <w:sz w:val="21"/>
                      <w:szCs w:val="21"/>
                    </w:rPr>
                  </w:pPr>
                </w:p>
              </w:tc>
              <w:tc>
                <w:tcPr>
                  <w:tcW w:w="273" w:type="pct"/>
                  <w:vMerge w:val="continue"/>
                  <w:vAlign w:val="center"/>
                </w:tcPr>
                <w:p>
                  <w:pPr>
                    <w:pStyle w:val="16"/>
                    <w:adjustRightInd w:val="0"/>
                    <w:jc w:val="center"/>
                    <w:rPr>
                      <w:bCs/>
                      <w:color w:val="auto"/>
                      <w:sz w:val="21"/>
                      <w:szCs w:val="21"/>
                    </w:rPr>
                  </w:pPr>
                </w:p>
              </w:tc>
              <w:tc>
                <w:tcPr>
                  <w:tcW w:w="838" w:type="pct"/>
                  <w:vAlign w:val="center"/>
                </w:tcPr>
                <w:p>
                  <w:pPr>
                    <w:pStyle w:val="16"/>
                    <w:adjustRightInd w:val="0"/>
                    <w:jc w:val="center"/>
                    <w:rPr>
                      <w:bCs/>
                      <w:color w:val="auto"/>
                      <w:sz w:val="21"/>
                      <w:szCs w:val="21"/>
                    </w:rPr>
                  </w:pPr>
                  <w:r>
                    <w:rPr>
                      <w:bCs/>
                      <w:color w:val="auto"/>
                      <w:sz w:val="21"/>
                      <w:szCs w:val="21"/>
                    </w:rPr>
                    <w:t>N</w:t>
                  </w:r>
                </w:p>
              </w:tc>
              <w:tc>
                <w:tcPr>
                  <w:tcW w:w="3622" w:type="pct"/>
                  <w:gridSpan w:val="4"/>
                  <w:vAlign w:val="center"/>
                </w:tcPr>
                <w:p>
                  <w:pPr>
                    <w:pStyle w:val="16"/>
                    <w:adjustRightInd w:val="0"/>
                    <w:jc w:val="center"/>
                    <w:rPr>
                      <w:bCs/>
                      <w:color w:val="auto"/>
                      <w:sz w:val="21"/>
                      <w:szCs w:val="21"/>
                    </w:rPr>
                  </w:pPr>
                  <w:r>
                    <w:rPr>
                      <w:bCs/>
                      <w:color w:val="auto"/>
                      <w:sz w:val="21"/>
                      <w:szCs w:val="21"/>
                    </w:rPr>
                    <w:t>25.004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78" w:type="pct"/>
                  <w:gridSpan w:val="3"/>
                  <w:vAlign w:val="center"/>
                </w:tcPr>
                <w:p>
                  <w:pPr>
                    <w:pStyle w:val="16"/>
                    <w:adjustRightInd w:val="0"/>
                    <w:jc w:val="center"/>
                    <w:rPr>
                      <w:bCs/>
                      <w:color w:val="auto"/>
                      <w:sz w:val="21"/>
                      <w:szCs w:val="21"/>
                    </w:rPr>
                  </w:pPr>
                  <w:r>
                    <w:rPr>
                      <w:bCs/>
                      <w:color w:val="auto"/>
                      <w:sz w:val="21"/>
                      <w:szCs w:val="21"/>
                    </w:rPr>
                    <w:t>排放标准</w:t>
                  </w:r>
                </w:p>
              </w:tc>
              <w:tc>
                <w:tcPr>
                  <w:tcW w:w="3622" w:type="pct"/>
                  <w:gridSpan w:val="4"/>
                  <w:vAlign w:val="center"/>
                </w:tcPr>
                <w:p>
                  <w:pPr>
                    <w:pStyle w:val="16"/>
                    <w:adjustRightInd w:val="0"/>
                    <w:jc w:val="center"/>
                    <w:rPr>
                      <w:color w:val="auto"/>
                      <w:sz w:val="21"/>
                      <w:szCs w:val="22"/>
                    </w:rPr>
                  </w:pPr>
                  <w:r>
                    <w:rPr>
                      <w:rFonts w:hint="eastAsia"/>
                      <w:color w:val="auto"/>
                      <w:sz w:val="21"/>
                      <w:szCs w:val="22"/>
                    </w:rPr>
                    <w:t>《砖瓦工业大气污染物排放标准》（GB29620-2013）及其修改单</w:t>
                  </w:r>
                </w:p>
              </w:tc>
            </w:tr>
          </w:tbl>
          <w:p>
            <w:pPr>
              <w:adjustRightInd w:val="0"/>
              <w:snapToGrid w:val="0"/>
              <w:rPr>
                <w:rFonts w:ascii="宋体" w:hAnsi="宋体" w:cs="宋体"/>
                <w:color w:val="auto"/>
                <w:sz w:val="22"/>
              </w:rPr>
            </w:pP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②稳定达标排放判定</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本次环评收集了近一年在线监测数据、委托性检测数据和其他检测数据作为现有项目稳定达标排放判定依据，监测情况如下：</w:t>
            </w:r>
          </w:p>
          <w:p>
            <w:pPr>
              <w:adjustRightInd w:val="0"/>
              <w:snapToGrid w:val="0"/>
              <w:jc w:val="center"/>
              <w:rPr>
                <w:b/>
                <w:color w:val="auto"/>
              </w:rPr>
            </w:pPr>
            <w:r>
              <w:rPr>
                <w:b/>
                <w:color w:val="auto"/>
              </w:rPr>
              <w:t>表2-1</w:t>
            </w:r>
            <w:r>
              <w:rPr>
                <w:rFonts w:hint="eastAsia"/>
                <w:b/>
                <w:color w:val="auto"/>
                <w:lang w:val="en-US" w:eastAsia="zh-CN"/>
              </w:rPr>
              <w:t>3</w:t>
            </w:r>
            <w:r>
              <w:rPr>
                <w:b/>
                <w:color w:val="auto"/>
              </w:rPr>
              <w:t xml:space="preserve">  2021年8月~2022年8月在线监测数据统计表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779"/>
              <w:gridCol w:w="702"/>
              <w:gridCol w:w="704"/>
              <w:gridCol w:w="779"/>
              <w:gridCol w:w="779"/>
              <w:gridCol w:w="779"/>
              <w:gridCol w:w="779"/>
              <w:gridCol w:w="704"/>
              <w:gridCol w:w="779"/>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7" w:type="pct"/>
                  <w:vMerge w:val="restart"/>
                  <w:shd w:val="clear" w:color="auto" w:fill="auto"/>
                  <w:vAlign w:val="center"/>
                </w:tcPr>
                <w:p>
                  <w:pPr>
                    <w:jc w:val="center"/>
                    <w:rPr>
                      <w:color w:val="auto"/>
                      <w:sz w:val="15"/>
                      <w:szCs w:val="18"/>
                    </w:rPr>
                  </w:pPr>
                  <w:r>
                    <w:rPr>
                      <w:color w:val="auto"/>
                      <w:sz w:val="15"/>
                      <w:szCs w:val="18"/>
                    </w:rPr>
                    <w:t>时间</w:t>
                  </w:r>
                </w:p>
              </w:tc>
              <w:tc>
                <w:tcPr>
                  <w:tcW w:w="1304" w:type="pct"/>
                  <w:gridSpan w:val="3"/>
                  <w:shd w:val="clear" w:color="auto" w:fill="auto"/>
                  <w:vAlign w:val="center"/>
                </w:tcPr>
                <w:p>
                  <w:pPr>
                    <w:jc w:val="center"/>
                    <w:rPr>
                      <w:color w:val="auto"/>
                      <w:sz w:val="15"/>
                      <w:szCs w:val="18"/>
                    </w:rPr>
                  </w:pPr>
                  <w:r>
                    <w:rPr>
                      <w:color w:val="auto"/>
                      <w:sz w:val="15"/>
                      <w:szCs w:val="18"/>
                    </w:rPr>
                    <w:t>颗粒物</w:t>
                  </w:r>
                </w:p>
              </w:tc>
              <w:tc>
                <w:tcPr>
                  <w:tcW w:w="1395" w:type="pct"/>
                  <w:gridSpan w:val="3"/>
                  <w:shd w:val="clear" w:color="auto" w:fill="auto"/>
                  <w:vAlign w:val="center"/>
                </w:tcPr>
                <w:p>
                  <w:pPr>
                    <w:jc w:val="center"/>
                    <w:rPr>
                      <w:color w:val="auto"/>
                      <w:sz w:val="15"/>
                      <w:szCs w:val="18"/>
                    </w:rPr>
                  </w:pPr>
                  <w:r>
                    <w:rPr>
                      <w:rFonts w:hint="eastAsia"/>
                      <w:color w:val="auto"/>
                      <w:sz w:val="15"/>
                      <w:szCs w:val="18"/>
                    </w:rPr>
                    <w:t>二氧化硫</w:t>
                  </w:r>
                </w:p>
              </w:tc>
              <w:tc>
                <w:tcPr>
                  <w:tcW w:w="1350" w:type="pct"/>
                  <w:gridSpan w:val="3"/>
                  <w:shd w:val="clear" w:color="auto" w:fill="auto"/>
                  <w:vAlign w:val="center"/>
                </w:tcPr>
                <w:p>
                  <w:pPr>
                    <w:jc w:val="center"/>
                    <w:rPr>
                      <w:color w:val="auto"/>
                      <w:sz w:val="15"/>
                      <w:szCs w:val="18"/>
                    </w:rPr>
                  </w:pPr>
                  <w:r>
                    <w:rPr>
                      <w:color w:val="auto"/>
                      <w:sz w:val="15"/>
                      <w:szCs w:val="18"/>
                    </w:rPr>
                    <w:t>氮氧化物</w:t>
                  </w:r>
                </w:p>
              </w:tc>
              <w:tc>
                <w:tcPr>
                  <w:tcW w:w="465" w:type="pct"/>
                  <w:vMerge w:val="restart"/>
                  <w:shd w:val="clear" w:color="auto" w:fill="auto"/>
                  <w:vAlign w:val="center"/>
                </w:tcPr>
                <w:p>
                  <w:pPr>
                    <w:jc w:val="center"/>
                    <w:rPr>
                      <w:color w:val="auto"/>
                      <w:sz w:val="15"/>
                      <w:szCs w:val="18"/>
                    </w:rPr>
                  </w:pPr>
                  <w:r>
                    <w:rPr>
                      <w:rFonts w:hint="eastAsia"/>
                      <w:color w:val="auto"/>
                      <w:sz w:val="15"/>
                      <w:szCs w:val="18"/>
                    </w:rPr>
                    <w:t>月</w:t>
                  </w:r>
                  <w:r>
                    <w:rPr>
                      <w:color w:val="auto"/>
                      <w:sz w:val="15"/>
                      <w:szCs w:val="18"/>
                    </w:rPr>
                    <w:t>总标杆流量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7" w:type="pct"/>
                  <w:vMerge w:val="continue"/>
                  <w:shd w:val="clear" w:color="auto" w:fill="auto"/>
                  <w:vAlign w:val="center"/>
                </w:tcPr>
                <w:p>
                  <w:pPr>
                    <w:jc w:val="center"/>
                    <w:rPr>
                      <w:color w:val="auto"/>
                      <w:sz w:val="15"/>
                      <w:szCs w:val="18"/>
                    </w:rPr>
                  </w:pPr>
                </w:p>
              </w:tc>
              <w:tc>
                <w:tcPr>
                  <w:tcW w:w="465" w:type="pct"/>
                  <w:shd w:val="clear" w:color="auto" w:fill="auto"/>
                  <w:vAlign w:val="center"/>
                </w:tcPr>
                <w:p>
                  <w:pPr>
                    <w:jc w:val="center"/>
                    <w:rPr>
                      <w:color w:val="auto"/>
                      <w:sz w:val="15"/>
                      <w:szCs w:val="18"/>
                    </w:rPr>
                  </w:pPr>
                  <w:r>
                    <w:rPr>
                      <w:color w:val="auto"/>
                      <w:sz w:val="15"/>
                      <w:szCs w:val="18"/>
                    </w:rPr>
                    <w:t>日平均实测浓度</w:t>
                  </w:r>
                </w:p>
              </w:tc>
              <w:tc>
                <w:tcPr>
                  <w:tcW w:w="419" w:type="pct"/>
                  <w:shd w:val="clear" w:color="auto" w:fill="auto"/>
                  <w:vAlign w:val="center"/>
                </w:tcPr>
                <w:p>
                  <w:pPr>
                    <w:jc w:val="center"/>
                    <w:rPr>
                      <w:color w:val="auto"/>
                      <w:sz w:val="15"/>
                      <w:szCs w:val="18"/>
                    </w:rPr>
                  </w:pPr>
                  <w:r>
                    <w:rPr>
                      <w:color w:val="auto"/>
                      <w:sz w:val="15"/>
                      <w:szCs w:val="18"/>
                    </w:rPr>
                    <w:t>日平均折算浓度</w:t>
                  </w:r>
                </w:p>
              </w:tc>
              <w:tc>
                <w:tcPr>
                  <w:tcW w:w="420" w:type="pct"/>
                  <w:shd w:val="clear" w:color="auto" w:fill="auto"/>
                  <w:vAlign w:val="center"/>
                </w:tcPr>
                <w:p>
                  <w:pPr>
                    <w:jc w:val="center"/>
                    <w:rPr>
                      <w:color w:val="auto"/>
                      <w:sz w:val="15"/>
                      <w:szCs w:val="18"/>
                    </w:rPr>
                  </w:pPr>
                  <w:r>
                    <w:rPr>
                      <w:color w:val="auto"/>
                      <w:sz w:val="15"/>
                      <w:szCs w:val="18"/>
                    </w:rPr>
                    <w:t>月总排放量</w:t>
                  </w:r>
                </w:p>
              </w:tc>
              <w:tc>
                <w:tcPr>
                  <w:tcW w:w="465" w:type="pct"/>
                  <w:shd w:val="clear" w:color="auto" w:fill="auto"/>
                  <w:vAlign w:val="center"/>
                </w:tcPr>
                <w:p>
                  <w:pPr>
                    <w:jc w:val="center"/>
                    <w:rPr>
                      <w:color w:val="auto"/>
                      <w:sz w:val="15"/>
                      <w:szCs w:val="18"/>
                    </w:rPr>
                  </w:pPr>
                  <w:r>
                    <w:rPr>
                      <w:color w:val="auto"/>
                      <w:sz w:val="15"/>
                      <w:szCs w:val="18"/>
                    </w:rPr>
                    <w:t>日平均实测浓度</w:t>
                  </w:r>
                </w:p>
              </w:tc>
              <w:tc>
                <w:tcPr>
                  <w:tcW w:w="465" w:type="pct"/>
                  <w:shd w:val="clear" w:color="auto" w:fill="auto"/>
                  <w:vAlign w:val="center"/>
                </w:tcPr>
                <w:p>
                  <w:pPr>
                    <w:jc w:val="center"/>
                    <w:rPr>
                      <w:color w:val="auto"/>
                      <w:sz w:val="15"/>
                      <w:szCs w:val="18"/>
                    </w:rPr>
                  </w:pPr>
                  <w:r>
                    <w:rPr>
                      <w:color w:val="auto"/>
                      <w:sz w:val="15"/>
                      <w:szCs w:val="18"/>
                    </w:rPr>
                    <w:t>日平均折算浓度</w:t>
                  </w:r>
                </w:p>
              </w:tc>
              <w:tc>
                <w:tcPr>
                  <w:tcW w:w="465" w:type="pct"/>
                  <w:shd w:val="clear" w:color="auto" w:fill="auto"/>
                  <w:vAlign w:val="center"/>
                </w:tcPr>
                <w:p>
                  <w:pPr>
                    <w:jc w:val="center"/>
                    <w:rPr>
                      <w:color w:val="auto"/>
                      <w:sz w:val="15"/>
                      <w:szCs w:val="18"/>
                    </w:rPr>
                  </w:pPr>
                  <w:r>
                    <w:rPr>
                      <w:color w:val="auto"/>
                      <w:sz w:val="15"/>
                      <w:szCs w:val="18"/>
                    </w:rPr>
                    <w:t>月总排放量</w:t>
                  </w:r>
                </w:p>
              </w:tc>
              <w:tc>
                <w:tcPr>
                  <w:tcW w:w="465" w:type="pct"/>
                  <w:shd w:val="clear" w:color="auto" w:fill="auto"/>
                  <w:vAlign w:val="center"/>
                </w:tcPr>
                <w:p>
                  <w:pPr>
                    <w:jc w:val="center"/>
                    <w:rPr>
                      <w:color w:val="auto"/>
                      <w:sz w:val="15"/>
                      <w:szCs w:val="18"/>
                    </w:rPr>
                  </w:pPr>
                  <w:r>
                    <w:rPr>
                      <w:color w:val="auto"/>
                      <w:sz w:val="15"/>
                      <w:szCs w:val="18"/>
                    </w:rPr>
                    <w:t>日平均实测浓度</w:t>
                  </w:r>
                </w:p>
              </w:tc>
              <w:tc>
                <w:tcPr>
                  <w:tcW w:w="420" w:type="pct"/>
                  <w:shd w:val="clear" w:color="auto" w:fill="auto"/>
                  <w:vAlign w:val="center"/>
                </w:tcPr>
                <w:p>
                  <w:pPr>
                    <w:jc w:val="center"/>
                    <w:rPr>
                      <w:color w:val="auto"/>
                      <w:sz w:val="15"/>
                      <w:szCs w:val="18"/>
                    </w:rPr>
                  </w:pPr>
                  <w:r>
                    <w:rPr>
                      <w:color w:val="auto"/>
                      <w:sz w:val="15"/>
                      <w:szCs w:val="18"/>
                    </w:rPr>
                    <w:t>日平均折算浓度</w:t>
                  </w:r>
                </w:p>
              </w:tc>
              <w:tc>
                <w:tcPr>
                  <w:tcW w:w="465" w:type="pct"/>
                  <w:shd w:val="clear" w:color="auto" w:fill="auto"/>
                  <w:vAlign w:val="center"/>
                </w:tcPr>
                <w:p>
                  <w:pPr>
                    <w:jc w:val="center"/>
                    <w:rPr>
                      <w:color w:val="auto"/>
                      <w:sz w:val="15"/>
                      <w:szCs w:val="18"/>
                    </w:rPr>
                  </w:pPr>
                  <w:r>
                    <w:rPr>
                      <w:color w:val="auto"/>
                      <w:sz w:val="15"/>
                      <w:szCs w:val="18"/>
                    </w:rPr>
                    <w:t>月总排放量</w:t>
                  </w:r>
                </w:p>
              </w:tc>
              <w:tc>
                <w:tcPr>
                  <w:tcW w:w="465" w:type="pct"/>
                  <w:vMerge w:val="continue"/>
                  <w:shd w:val="clear" w:color="auto" w:fill="auto"/>
                  <w:vAlign w:val="center"/>
                </w:tcPr>
                <w:p>
                  <w:pPr>
                    <w:jc w:val="center"/>
                    <w:rPr>
                      <w:color w:val="auto"/>
                      <w:sz w:val="15"/>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7" w:type="pct"/>
                  <w:vMerge w:val="continue"/>
                  <w:shd w:val="clear" w:color="auto" w:fill="auto"/>
                  <w:vAlign w:val="center"/>
                </w:tcPr>
                <w:p>
                  <w:pPr>
                    <w:jc w:val="center"/>
                    <w:rPr>
                      <w:color w:val="auto"/>
                      <w:sz w:val="15"/>
                      <w:szCs w:val="18"/>
                    </w:rPr>
                  </w:pPr>
                </w:p>
              </w:tc>
              <w:tc>
                <w:tcPr>
                  <w:tcW w:w="465" w:type="pct"/>
                  <w:shd w:val="clear" w:color="auto" w:fill="auto"/>
                  <w:vAlign w:val="center"/>
                </w:tcPr>
                <w:p>
                  <w:pPr>
                    <w:jc w:val="center"/>
                    <w:rPr>
                      <w:color w:val="auto"/>
                      <w:sz w:val="15"/>
                      <w:szCs w:val="18"/>
                    </w:rPr>
                  </w:pPr>
                  <w:r>
                    <w:rPr>
                      <w:color w:val="auto"/>
                      <w:sz w:val="15"/>
                      <w:szCs w:val="18"/>
                    </w:rPr>
                    <w:t>mg/m</w:t>
                  </w:r>
                  <w:r>
                    <w:rPr>
                      <w:color w:val="auto"/>
                      <w:sz w:val="15"/>
                      <w:szCs w:val="18"/>
                      <w:vertAlign w:val="superscript"/>
                    </w:rPr>
                    <w:t>3</w:t>
                  </w:r>
                </w:p>
              </w:tc>
              <w:tc>
                <w:tcPr>
                  <w:tcW w:w="419" w:type="pct"/>
                  <w:shd w:val="clear" w:color="auto" w:fill="auto"/>
                  <w:vAlign w:val="center"/>
                </w:tcPr>
                <w:p>
                  <w:pPr>
                    <w:jc w:val="center"/>
                    <w:rPr>
                      <w:color w:val="auto"/>
                      <w:sz w:val="15"/>
                      <w:szCs w:val="18"/>
                    </w:rPr>
                  </w:pPr>
                  <w:r>
                    <w:rPr>
                      <w:color w:val="auto"/>
                      <w:sz w:val="15"/>
                      <w:szCs w:val="18"/>
                    </w:rPr>
                    <w:t>mg/m</w:t>
                  </w:r>
                  <w:r>
                    <w:rPr>
                      <w:color w:val="auto"/>
                      <w:sz w:val="15"/>
                      <w:szCs w:val="18"/>
                      <w:vertAlign w:val="superscript"/>
                    </w:rPr>
                    <w:t>3</w:t>
                  </w:r>
                </w:p>
              </w:tc>
              <w:tc>
                <w:tcPr>
                  <w:tcW w:w="420" w:type="pct"/>
                  <w:shd w:val="clear" w:color="auto" w:fill="auto"/>
                  <w:vAlign w:val="center"/>
                </w:tcPr>
                <w:p>
                  <w:pPr>
                    <w:jc w:val="center"/>
                    <w:rPr>
                      <w:color w:val="auto"/>
                      <w:sz w:val="15"/>
                      <w:szCs w:val="18"/>
                    </w:rPr>
                  </w:pPr>
                  <w:r>
                    <w:rPr>
                      <w:color w:val="auto"/>
                      <w:sz w:val="15"/>
                      <w:szCs w:val="18"/>
                    </w:rPr>
                    <w:t>kg</w:t>
                  </w:r>
                  <w:r>
                    <w:rPr>
                      <w:rFonts w:hint="eastAsia"/>
                      <w:color w:val="auto"/>
                      <w:sz w:val="15"/>
                      <w:szCs w:val="18"/>
                    </w:rPr>
                    <w:t>/d</w:t>
                  </w:r>
                </w:p>
              </w:tc>
              <w:tc>
                <w:tcPr>
                  <w:tcW w:w="465" w:type="pct"/>
                  <w:shd w:val="clear" w:color="auto" w:fill="auto"/>
                  <w:vAlign w:val="center"/>
                </w:tcPr>
                <w:p>
                  <w:pPr>
                    <w:jc w:val="center"/>
                    <w:rPr>
                      <w:color w:val="auto"/>
                      <w:sz w:val="15"/>
                      <w:szCs w:val="18"/>
                    </w:rPr>
                  </w:pPr>
                  <w:r>
                    <w:rPr>
                      <w:color w:val="auto"/>
                      <w:sz w:val="15"/>
                      <w:szCs w:val="18"/>
                    </w:rPr>
                    <w:t>mg/m</w:t>
                  </w:r>
                  <w:r>
                    <w:rPr>
                      <w:color w:val="auto"/>
                      <w:sz w:val="15"/>
                      <w:szCs w:val="18"/>
                      <w:vertAlign w:val="superscript"/>
                    </w:rPr>
                    <w:t>3</w:t>
                  </w:r>
                </w:p>
              </w:tc>
              <w:tc>
                <w:tcPr>
                  <w:tcW w:w="465" w:type="pct"/>
                  <w:shd w:val="clear" w:color="auto" w:fill="auto"/>
                  <w:vAlign w:val="center"/>
                </w:tcPr>
                <w:p>
                  <w:pPr>
                    <w:jc w:val="center"/>
                    <w:rPr>
                      <w:color w:val="auto"/>
                      <w:sz w:val="15"/>
                      <w:szCs w:val="18"/>
                    </w:rPr>
                  </w:pPr>
                  <w:r>
                    <w:rPr>
                      <w:color w:val="auto"/>
                      <w:sz w:val="15"/>
                      <w:szCs w:val="18"/>
                    </w:rPr>
                    <w:t>mg/m</w:t>
                  </w:r>
                  <w:r>
                    <w:rPr>
                      <w:color w:val="auto"/>
                      <w:sz w:val="15"/>
                      <w:szCs w:val="18"/>
                      <w:vertAlign w:val="superscript"/>
                    </w:rPr>
                    <w:t>3</w:t>
                  </w:r>
                </w:p>
              </w:tc>
              <w:tc>
                <w:tcPr>
                  <w:tcW w:w="465" w:type="pct"/>
                  <w:shd w:val="clear" w:color="auto" w:fill="auto"/>
                  <w:vAlign w:val="center"/>
                </w:tcPr>
                <w:p>
                  <w:pPr>
                    <w:jc w:val="center"/>
                    <w:rPr>
                      <w:color w:val="auto"/>
                      <w:sz w:val="15"/>
                      <w:szCs w:val="18"/>
                    </w:rPr>
                  </w:pPr>
                  <w:r>
                    <w:rPr>
                      <w:color w:val="auto"/>
                      <w:sz w:val="15"/>
                      <w:szCs w:val="18"/>
                    </w:rPr>
                    <w:t>kg</w:t>
                  </w:r>
                  <w:r>
                    <w:rPr>
                      <w:rFonts w:hint="eastAsia"/>
                      <w:color w:val="auto"/>
                      <w:sz w:val="15"/>
                      <w:szCs w:val="18"/>
                    </w:rPr>
                    <w:t>/d</w:t>
                  </w:r>
                </w:p>
              </w:tc>
              <w:tc>
                <w:tcPr>
                  <w:tcW w:w="465" w:type="pct"/>
                  <w:shd w:val="clear" w:color="auto" w:fill="auto"/>
                  <w:vAlign w:val="center"/>
                </w:tcPr>
                <w:p>
                  <w:pPr>
                    <w:jc w:val="center"/>
                    <w:rPr>
                      <w:color w:val="auto"/>
                      <w:sz w:val="15"/>
                      <w:szCs w:val="18"/>
                    </w:rPr>
                  </w:pPr>
                  <w:r>
                    <w:rPr>
                      <w:color w:val="auto"/>
                      <w:sz w:val="15"/>
                      <w:szCs w:val="18"/>
                    </w:rPr>
                    <w:t>mg/m</w:t>
                  </w:r>
                  <w:r>
                    <w:rPr>
                      <w:color w:val="auto"/>
                      <w:sz w:val="15"/>
                      <w:szCs w:val="18"/>
                      <w:vertAlign w:val="superscript"/>
                    </w:rPr>
                    <w:t>3</w:t>
                  </w:r>
                </w:p>
              </w:tc>
              <w:tc>
                <w:tcPr>
                  <w:tcW w:w="420" w:type="pct"/>
                  <w:shd w:val="clear" w:color="auto" w:fill="auto"/>
                  <w:vAlign w:val="center"/>
                </w:tcPr>
                <w:p>
                  <w:pPr>
                    <w:jc w:val="center"/>
                    <w:rPr>
                      <w:color w:val="auto"/>
                      <w:sz w:val="15"/>
                      <w:szCs w:val="18"/>
                    </w:rPr>
                  </w:pPr>
                  <w:r>
                    <w:rPr>
                      <w:color w:val="auto"/>
                      <w:sz w:val="15"/>
                      <w:szCs w:val="18"/>
                    </w:rPr>
                    <w:t>mg/m</w:t>
                  </w:r>
                  <w:r>
                    <w:rPr>
                      <w:color w:val="auto"/>
                      <w:sz w:val="15"/>
                      <w:szCs w:val="18"/>
                      <w:vertAlign w:val="superscript"/>
                    </w:rPr>
                    <w:t>3</w:t>
                  </w:r>
                </w:p>
              </w:tc>
              <w:tc>
                <w:tcPr>
                  <w:tcW w:w="465" w:type="pct"/>
                  <w:shd w:val="clear" w:color="auto" w:fill="auto"/>
                  <w:vAlign w:val="center"/>
                </w:tcPr>
                <w:p>
                  <w:pPr>
                    <w:jc w:val="center"/>
                    <w:rPr>
                      <w:color w:val="auto"/>
                      <w:sz w:val="15"/>
                      <w:szCs w:val="18"/>
                    </w:rPr>
                  </w:pPr>
                  <w:r>
                    <w:rPr>
                      <w:color w:val="auto"/>
                      <w:sz w:val="15"/>
                      <w:szCs w:val="18"/>
                    </w:rPr>
                    <w:t>kg</w:t>
                  </w:r>
                  <w:r>
                    <w:rPr>
                      <w:rFonts w:hint="eastAsia"/>
                      <w:color w:val="auto"/>
                      <w:sz w:val="15"/>
                      <w:szCs w:val="18"/>
                    </w:rPr>
                    <w:t>/d</w:t>
                  </w:r>
                </w:p>
              </w:tc>
              <w:tc>
                <w:tcPr>
                  <w:tcW w:w="465" w:type="pct"/>
                  <w:shd w:val="clear" w:color="auto" w:fill="auto"/>
                  <w:vAlign w:val="center"/>
                </w:tcPr>
                <w:p>
                  <w:pPr>
                    <w:jc w:val="center"/>
                    <w:rPr>
                      <w:color w:val="auto"/>
                      <w:sz w:val="15"/>
                      <w:szCs w:val="18"/>
                    </w:rPr>
                  </w:pPr>
                  <w:r>
                    <w:rPr>
                      <w:rFonts w:hint="eastAsia"/>
                      <w:color w:val="auto"/>
                      <w:sz w:val="15"/>
                      <w:szCs w:val="18"/>
                    </w:rPr>
                    <w:t>*10</w:t>
                  </w:r>
                  <w:r>
                    <w:rPr>
                      <w:rFonts w:hint="eastAsia"/>
                      <w:color w:val="auto"/>
                      <w:sz w:val="15"/>
                      <w:szCs w:val="18"/>
                      <w:vertAlign w:val="superscript"/>
                    </w:rPr>
                    <w:t>4</w:t>
                  </w:r>
                  <w:r>
                    <w:rPr>
                      <w:rFonts w:hint="eastAsia"/>
                      <w:color w:val="auto"/>
                      <w:sz w:val="15"/>
                      <w:szCs w:val="18"/>
                    </w:rPr>
                    <w:t>m</w:t>
                  </w:r>
                  <w:r>
                    <w:rPr>
                      <w:rFonts w:hint="eastAsia"/>
                      <w:color w:val="auto"/>
                      <w:sz w:val="15"/>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7" w:type="pct"/>
                  <w:shd w:val="clear" w:color="auto" w:fill="auto"/>
                  <w:vAlign w:val="center"/>
                </w:tcPr>
                <w:p>
                  <w:pPr>
                    <w:jc w:val="center"/>
                    <w:rPr>
                      <w:color w:val="auto"/>
                      <w:sz w:val="15"/>
                      <w:szCs w:val="18"/>
                    </w:rPr>
                  </w:pPr>
                  <w:r>
                    <w:rPr>
                      <w:rFonts w:hint="eastAsia"/>
                      <w:color w:val="auto"/>
                      <w:sz w:val="15"/>
                      <w:szCs w:val="18"/>
                    </w:rPr>
                    <w:t>2021年</w:t>
                  </w:r>
                </w:p>
                <w:p>
                  <w:pPr>
                    <w:jc w:val="center"/>
                    <w:rPr>
                      <w:color w:val="auto"/>
                      <w:sz w:val="15"/>
                      <w:szCs w:val="18"/>
                    </w:rPr>
                  </w:pPr>
                  <w:r>
                    <w:rPr>
                      <w:rFonts w:hint="eastAsia"/>
                      <w:color w:val="auto"/>
                      <w:sz w:val="15"/>
                      <w:szCs w:val="18"/>
                    </w:rPr>
                    <w:t>8月</w:t>
                  </w:r>
                </w:p>
              </w:tc>
              <w:tc>
                <w:tcPr>
                  <w:tcW w:w="465" w:type="pct"/>
                  <w:shd w:val="clear" w:color="auto" w:fill="auto"/>
                  <w:vAlign w:val="center"/>
                </w:tcPr>
                <w:p>
                  <w:pPr>
                    <w:jc w:val="center"/>
                    <w:rPr>
                      <w:color w:val="auto"/>
                      <w:sz w:val="15"/>
                      <w:szCs w:val="18"/>
                    </w:rPr>
                  </w:pPr>
                  <w:r>
                    <w:rPr>
                      <w:rFonts w:hint="eastAsia"/>
                      <w:color w:val="auto"/>
                      <w:sz w:val="15"/>
                      <w:szCs w:val="18"/>
                    </w:rPr>
                    <w:t>7.18</w:t>
                  </w:r>
                </w:p>
              </w:tc>
              <w:tc>
                <w:tcPr>
                  <w:tcW w:w="419" w:type="pct"/>
                  <w:shd w:val="clear" w:color="auto" w:fill="auto"/>
                  <w:vAlign w:val="center"/>
                </w:tcPr>
                <w:p>
                  <w:pPr>
                    <w:jc w:val="center"/>
                    <w:rPr>
                      <w:color w:val="auto"/>
                      <w:sz w:val="15"/>
                      <w:szCs w:val="18"/>
                    </w:rPr>
                  </w:pPr>
                  <w:r>
                    <w:rPr>
                      <w:rFonts w:hint="eastAsia"/>
                      <w:color w:val="auto"/>
                      <w:sz w:val="15"/>
                      <w:szCs w:val="18"/>
                    </w:rPr>
                    <w:t>4.99</w:t>
                  </w:r>
                </w:p>
              </w:tc>
              <w:tc>
                <w:tcPr>
                  <w:tcW w:w="420" w:type="pct"/>
                  <w:shd w:val="clear" w:color="auto" w:fill="auto"/>
                  <w:vAlign w:val="center"/>
                </w:tcPr>
                <w:p>
                  <w:pPr>
                    <w:jc w:val="center"/>
                    <w:rPr>
                      <w:color w:val="auto"/>
                      <w:sz w:val="15"/>
                      <w:szCs w:val="18"/>
                    </w:rPr>
                  </w:pPr>
                  <w:r>
                    <w:rPr>
                      <w:rFonts w:hint="eastAsia"/>
                      <w:color w:val="auto"/>
                      <w:sz w:val="15"/>
                      <w:szCs w:val="18"/>
                    </w:rPr>
                    <w:t>0.07</w:t>
                  </w:r>
                </w:p>
              </w:tc>
              <w:tc>
                <w:tcPr>
                  <w:tcW w:w="465" w:type="pct"/>
                  <w:shd w:val="clear" w:color="auto" w:fill="auto"/>
                  <w:vAlign w:val="center"/>
                </w:tcPr>
                <w:p>
                  <w:pPr>
                    <w:jc w:val="center"/>
                    <w:rPr>
                      <w:color w:val="auto"/>
                      <w:sz w:val="15"/>
                      <w:szCs w:val="18"/>
                    </w:rPr>
                  </w:pPr>
                  <w:r>
                    <w:rPr>
                      <w:rFonts w:hint="eastAsia"/>
                      <w:color w:val="auto"/>
                      <w:sz w:val="15"/>
                      <w:szCs w:val="18"/>
                    </w:rPr>
                    <w:t>128.91</w:t>
                  </w:r>
                </w:p>
              </w:tc>
              <w:tc>
                <w:tcPr>
                  <w:tcW w:w="465" w:type="pct"/>
                  <w:shd w:val="clear" w:color="auto" w:fill="auto"/>
                  <w:vAlign w:val="center"/>
                </w:tcPr>
                <w:p>
                  <w:pPr>
                    <w:jc w:val="center"/>
                    <w:rPr>
                      <w:color w:val="auto"/>
                      <w:sz w:val="15"/>
                      <w:szCs w:val="18"/>
                    </w:rPr>
                  </w:pPr>
                  <w:r>
                    <w:rPr>
                      <w:rFonts w:hint="eastAsia"/>
                      <w:color w:val="auto"/>
                      <w:sz w:val="15"/>
                      <w:szCs w:val="18"/>
                    </w:rPr>
                    <w:t>79.23</w:t>
                  </w:r>
                </w:p>
              </w:tc>
              <w:tc>
                <w:tcPr>
                  <w:tcW w:w="465" w:type="pct"/>
                  <w:shd w:val="clear" w:color="auto" w:fill="auto"/>
                  <w:vAlign w:val="center"/>
                </w:tcPr>
                <w:p>
                  <w:pPr>
                    <w:jc w:val="center"/>
                    <w:rPr>
                      <w:color w:val="auto"/>
                      <w:sz w:val="15"/>
                      <w:szCs w:val="18"/>
                    </w:rPr>
                  </w:pPr>
                  <w:r>
                    <w:rPr>
                      <w:rFonts w:hint="eastAsia"/>
                      <w:color w:val="auto"/>
                      <w:sz w:val="15"/>
                      <w:szCs w:val="18"/>
                    </w:rPr>
                    <w:t>1.00</w:t>
                  </w:r>
                </w:p>
              </w:tc>
              <w:tc>
                <w:tcPr>
                  <w:tcW w:w="465" w:type="pct"/>
                  <w:shd w:val="clear" w:color="auto" w:fill="auto"/>
                  <w:vAlign w:val="center"/>
                </w:tcPr>
                <w:p>
                  <w:pPr>
                    <w:jc w:val="center"/>
                    <w:rPr>
                      <w:color w:val="auto"/>
                      <w:sz w:val="15"/>
                      <w:szCs w:val="18"/>
                    </w:rPr>
                  </w:pPr>
                  <w:r>
                    <w:rPr>
                      <w:rFonts w:hint="eastAsia"/>
                      <w:color w:val="auto"/>
                      <w:sz w:val="15"/>
                      <w:szCs w:val="18"/>
                    </w:rPr>
                    <w:t>163.27</w:t>
                  </w:r>
                </w:p>
              </w:tc>
              <w:tc>
                <w:tcPr>
                  <w:tcW w:w="420" w:type="pct"/>
                  <w:shd w:val="clear" w:color="auto" w:fill="auto"/>
                  <w:vAlign w:val="center"/>
                </w:tcPr>
                <w:p>
                  <w:pPr>
                    <w:jc w:val="center"/>
                    <w:rPr>
                      <w:color w:val="auto"/>
                      <w:sz w:val="15"/>
                      <w:szCs w:val="18"/>
                    </w:rPr>
                  </w:pPr>
                  <w:r>
                    <w:rPr>
                      <w:rFonts w:hint="eastAsia"/>
                      <w:color w:val="auto"/>
                      <w:sz w:val="15"/>
                      <w:szCs w:val="18"/>
                    </w:rPr>
                    <w:t>109.23</w:t>
                  </w:r>
                </w:p>
              </w:tc>
              <w:tc>
                <w:tcPr>
                  <w:tcW w:w="465" w:type="pct"/>
                  <w:shd w:val="clear" w:color="auto" w:fill="auto"/>
                  <w:vAlign w:val="center"/>
                </w:tcPr>
                <w:p>
                  <w:pPr>
                    <w:jc w:val="center"/>
                    <w:rPr>
                      <w:color w:val="auto"/>
                      <w:sz w:val="15"/>
                      <w:szCs w:val="18"/>
                    </w:rPr>
                  </w:pPr>
                  <w:r>
                    <w:rPr>
                      <w:rFonts w:hint="eastAsia"/>
                      <w:color w:val="auto"/>
                      <w:sz w:val="15"/>
                      <w:szCs w:val="18"/>
                    </w:rPr>
                    <w:t>1.93</w:t>
                  </w:r>
                </w:p>
              </w:tc>
              <w:tc>
                <w:tcPr>
                  <w:tcW w:w="465" w:type="pct"/>
                  <w:shd w:val="clear" w:color="auto" w:fill="auto"/>
                  <w:vAlign w:val="center"/>
                </w:tcPr>
                <w:p>
                  <w:pPr>
                    <w:jc w:val="center"/>
                    <w:rPr>
                      <w:color w:val="auto"/>
                      <w:sz w:val="15"/>
                      <w:szCs w:val="18"/>
                    </w:rPr>
                  </w:pPr>
                  <w:r>
                    <w:rPr>
                      <w:rFonts w:hint="eastAsia"/>
                      <w:color w:val="auto"/>
                      <w:sz w:val="15"/>
                      <w:szCs w:val="18"/>
                    </w:rPr>
                    <w:t>997.47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7" w:type="pct"/>
                  <w:shd w:val="clear" w:color="auto" w:fill="auto"/>
                  <w:vAlign w:val="center"/>
                </w:tcPr>
                <w:p>
                  <w:pPr>
                    <w:jc w:val="center"/>
                    <w:rPr>
                      <w:color w:val="auto"/>
                      <w:sz w:val="15"/>
                      <w:szCs w:val="18"/>
                    </w:rPr>
                  </w:pPr>
                  <w:r>
                    <w:rPr>
                      <w:rFonts w:hint="eastAsia"/>
                      <w:color w:val="auto"/>
                      <w:sz w:val="15"/>
                      <w:szCs w:val="18"/>
                    </w:rPr>
                    <w:t>2021年</w:t>
                  </w:r>
                </w:p>
                <w:p>
                  <w:pPr>
                    <w:jc w:val="center"/>
                    <w:rPr>
                      <w:color w:val="auto"/>
                      <w:sz w:val="15"/>
                      <w:szCs w:val="18"/>
                    </w:rPr>
                  </w:pPr>
                  <w:r>
                    <w:rPr>
                      <w:rFonts w:hint="eastAsia"/>
                      <w:color w:val="auto"/>
                      <w:sz w:val="15"/>
                      <w:szCs w:val="18"/>
                    </w:rPr>
                    <w:t>9月</w:t>
                  </w:r>
                </w:p>
              </w:tc>
              <w:tc>
                <w:tcPr>
                  <w:tcW w:w="465" w:type="pct"/>
                  <w:shd w:val="clear" w:color="auto" w:fill="auto"/>
                  <w:vAlign w:val="center"/>
                </w:tcPr>
                <w:p>
                  <w:pPr>
                    <w:jc w:val="center"/>
                    <w:rPr>
                      <w:color w:val="auto"/>
                      <w:sz w:val="15"/>
                      <w:szCs w:val="18"/>
                    </w:rPr>
                  </w:pPr>
                  <w:r>
                    <w:rPr>
                      <w:rFonts w:hint="eastAsia"/>
                      <w:color w:val="auto"/>
                      <w:sz w:val="15"/>
                      <w:szCs w:val="18"/>
                    </w:rPr>
                    <w:t>85.12</w:t>
                  </w:r>
                </w:p>
              </w:tc>
              <w:tc>
                <w:tcPr>
                  <w:tcW w:w="419" w:type="pct"/>
                  <w:shd w:val="clear" w:color="auto" w:fill="auto"/>
                  <w:vAlign w:val="center"/>
                </w:tcPr>
                <w:p>
                  <w:pPr>
                    <w:jc w:val="center"/>
                    <w:rPr>
                      <w:color w:val="auto"/>
                      <w:sz w:val="15"/>
                      <w:szCs w:val="18"/>
                    </w:rPr>
                  </w:pPr>
                  <w:r>
                    <w:rPr>
                      <w:rFonts w:hint="eastAsia"/>
                      <w:color w:val="auto"/>
                      <w:sz w:val="15"/>
                      <w:szCs w:val="18"/>
                    </w:rPr>
                    <w:t>47.29</w:t>
                  </w:r>
                </w:p>
              </w:tc>
              <w:tc>
                <w:tcPr>
                  <w:tcW w:w="420" w:type="pct"/>
                  <w:shd w:val="clear" w:color="auto" w:fill="auto"/>
                  <w:vAlign w:val="center"/>
                </w:tcPr>
                <w:p>
                  <w:pPr>
                    <w:jc w:val="center"/>
                    <w:rPr>
                      <w:color w:val="auto"/>
                      <w:sz w:val="15"/>
                      <w:szCs w:val="18"/>
                    </w:rPr>
                  </w:pPr>
                  <w:r>
                    <w:rPr>
                      <w:rFonts w:hint="eastAsia"/>
                      <w:color w:val="auto"/>
                      <w:sz w:val="15"/>
                      <w:szCs w:val="18"/>
                    </w:rPr>
                    <w:t>0.98</w:t>
                  </w:r>
                </w:p>
              </w:tc>
              <w:tc>
                <w:tcPr>
                  <w:tcW w:w="465" w:type="pct"/>
                  <w:shd w:val="clear" w:color="auto" w:fill="auto"/>
                  <w:vAlign w:val="center"/>
                </w:tcPr>
                <w:p>
                  <w:pPr>
                    <w:jc w:val="center"/>
                    <w:rPr>
                      <w:color w:val="auto"/>
                      <w:sz w:val="15"/>
                      <w:szCs w:val="18"/>
                    </w:rPr>
                  </w:pPr>
                  <w:r>
                    <w:rPr>
                      <w:rFonts w:hint="eastAsia"/>
                      <w:color w:val="auto"/>
                      <w:sz w:val="15"/>
                      <w:szCs w:val="18"/>
                    </w:rPr>
                    <w:t>165.36</w:t>
                  </w:r>
                </w:p>
              </w:tc>
              <w:tc>
                <w:tcPr>
                  <w:tcW w:w="465" w:type="pct"/>
                  <w:shd w:val="clear" w:color="auto" w:fill="auto"/>
                  <w:vAlign w:val="center"/>
                </w:tcPr>
                <w:p>
                  <w:pPr>
                    <w:jc w:val="center"/>
                    <w:rPr>
                      <w:color w:val="auto"/>
                      <w:sz w:val="15"/>
                      <w:szCs w:val="18"/>
                    </w:rPr>
                  </w:pPr>
                  <w:r>
                    <w:rPr>
                      <w:rFonts w:hint="eastAsia"/>
                      <w:color w:val="auto"/>
                      <w:sz w:val="15"/>
                      <w:szCs w:val="18"/>
                    </w:rPr>
                    <w:t>89.54</w:t>
                  </w:r>
                </w:p>
              </w:tc>
              <w:tc>
                <w:tcPr>
                  <w:tcW w:w="465" w:type="pct"/>
                  <w:shd w:val="clear" w:color="auto" w:fill="auto"/>
                  <w:vAlign w:val="center"/>
                </w:tcPr>
                <w:p>
                  <w:pPr>
                    <w:jc w:val="center"/>
                    <w:rPr>
                      <w:color w:val="auto"/>
                      <w:sz w:val="15"/>
                      <w:szCs w:val="18"/>
                    </w:rPr>
                  </w:pPr>
                  <w:r>
                    <w:rPr>
                      <w:rFonts w:hint="eastAsia"/>
                      <w:color w:val="auto"/>
                      <w:sz w:val="15"/>
                      <w:szCs w:val="18"/>
                    </w:rPr>
                    <w:t>1.89</w:t>
                  </w:r>
                </w:p>
              </w:tc>
              <w:tc>
                <w:tcPr>
                  <w:tcW w:w="465" w:type="pct"/>
                  <w:shd w:val="clear" w:color="auto" w:fill="auto"/>
                  <w:vAlign w:val="center"/>
                </w:tcPr>
                <w:p>
                  <w:pPr>
                    <w:jc w:val="center"/>
                    <w:rPr>
                      <w:color w:val="auto"/>
                      <w:sz w:val="15"/>
                      <w:szCs w:val="18"/>
                    </w:rPr>
                  </w:pPr>
                  <w:r>
                    <w:rPr>
                      <w:rFonts w:hint="eastAsia"/>
                      <w:color w:val="auto"/>
                      <w:sz w:val="15"/>
                      <w:szCs w:val="18"/>
                    </w:rPr>
                    <w:t>68.97</w:t>
                  </w:r>
                </w:p>
              </w:tc>
              <w:tc>
                <w:tcPr>
                  <w:tcW w:w="420" w:type="pct"/>
                  <w:shd w:val="clear" w:color="auto" w:fill="auto"/>
                  <w:vAlign w:val="center"/>
                </w:tcPr>
                <w:p>
                  <w:pPr>
                    <w:jc w:val="center"/>
                    <w:rPr>
                      <w:color w:val="auto"/>
                      <w:sz w:val="15"/>
                      <w:szCs w:val="18"/>
                    </w:rPr>
                  </w:pPr>
                  <w:r>
                    <w:rPr>
                      <w:rFonts w:hint="eastAsia"/>
                      <w:color w:val="auto"/>
                      <w:sz w:val="15"/>
                      <w:szCs w:val="18"/>
                    </w:rPr>
                    <w:t>36.63</w:t>
                  </w:r>
                </w:p>
              </w:tc>
              <w:tc>
                <w:tcPr>
                  <w:tcW w:w="465" w:type="pct"/>
                  <w:shd w:val="clear" w:color="auto" w:fill="auto"/>
                  <w:vAlign w:val="center"/>
                </w:tcPr>
                <w:p>
                  <w:pPr>
                    <w:jc w:val="center"/>
                    <w:rPr>
                      <w:color w:val="auto"/>
                      <w:sz w:val="15"/>
                      <w:szCs w:val="18"/>
                    </w:rPr>
                  </w:pPr>
                  <w:r>
                    <w:rPr>
                      <w:rFonts w:hint="eastAsia"/>
                      <w:color w:val="auto"/>
                      <w:sz w:val="15"/>
                      <w:szCs w:val="18"/>
                    </w:rPr>
                    <w:t>0.81</w:t>
                  </w:r>
                </w:p>
              </w:tc>
              <w:tc>
                <w:tcPr>
                  <w:tcW w:w="465" w:type="pct"/>
                  <w:shd w:val="clear" w:color="auto" w:fill="auto"/>
                  <w:vAlign w:val="center"/>
                </w:tcPr>
                <w:p>
                  <w:pPr>
                    <w:jc w:val="center"/>
                    <w:rPr>
                      <w:color w:val="auto"/>
                      <w:sz w:val="15"/>
                      <w:szCs w:val="18"/>
                    </w:rPr>
                  </w:pPr>
                  <w:r>
                    <w:rPr>
                      <w:rFonts w:hint="eastAsia"/>
                      <w:color w:val="auto"/>
                      <w:sz w:val="15"/>
                      <w:szCs w:val="18"/>
                    </w:rPr>
                    <w:t>960.02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7" w:type="pct"/>
                  <w:shd w:val="clear" w:color="auto" w:fill="auto"/>
                </w:tcPr>
                <w:p>
                  <w:pPr>
                    <w:jc w:val="center"/>
                    <w:rPr>
                      <w:color w:val="auto"/>
                      <w:sz w:val="15"/>
                    </w:rPr>
                  </w:pPr>
                  <w:r>
                    <w:rPr>
                      <w:rFonts w:hint="eastAsia"/>
                      <w:color w:val="auto"/>
                      <w:sz w:val="15"/>
                      <w:szCs w:val="18"/>
                    </w:rPr>
                    <w:t>2021年10月</w:t>
                  </w:r>
                </w:p>
              </w:tc>
              <w:tc>
                <w:tcPr>
                  <w:tcW w:w="465" w:type="pct"/>
                  <w:shd w:val="clear" w:color="auto" w:fill="auto"/>
                  <w:vAlign w:val="center"/>
                </w:tcPr>
                <w:p>
                  <w:pPr>
                    <w:jc w:val="center"/>
                    <w:rPr>
                      <w:color w:val="auto"/>
                      <w:sz w:val="15"/>
                      <w:szCs w:val="18"/>
                    </w:rPr>
                  </w:pPr>
                  <w:r>
                    <w:rPr>
                      <w:rFonts w:hint="eastAsia"/>
                      <w:color w:val="auto"/>
                      <w:sz w:val="15"/>
                      <w:szCs w:val="18"/>
                    </w:rPr>
                    <w:t>16.94</w:t>
                  </w:r>
                </w:p>
              </w:tc>
              <w:tc>
                <w:tcPr>
                  <w:tcW w:w="419" w:type="pct"/>
                  <w:shd w:val="clear" w:color="auto" w:fill="auto"/>
                  <w:vAlign w:val="center"/>
                </w:tcPr>
                <w:p>
                  <w:pPr>
                    <w:jc w:val="center"/>
                    <w:rPr>
                      <w:color w:val="auto"/>
                      <w:sz w:val="15"/>
                      <w:szCs w:val="18"/>
                    </w:rPr>
                  </w:pPr>
                  <w:r>
                    <w:rPr>
                      <w:rFonts w:hint="eastAsia"/>
                      <w:color w:val="auto"/>
                      <w:sz w:val="15"/>
                      <w:szCs w:val="18"/>
                    </w:rPr>
                    <w:t>13.40</w:t>
                  </w:r>
                </w:p>
              </w:tc>
              <w:tc>
                <w:tcPr>
                  <w:tcW w:w="420" w:type="pct"/>
                  <w:shd w:val="clear" w:color="auto" w:fill="auto"/>
                  <w:vAlign w:val="center"/>
                </w:tcPr>
                <w:p>
                  <w:pPr>
                    <w:jc w:val="center"/>
                    <w:rPr>
                      <w:color w:val="auto"/>
                      <w:sz w:val="15"/>
                      <w:szCs w:val="18"/>
                    </w:rPr>
                  </w:pPr>
                  <w:r>
                    <w:rPr>
                      <w:rFonts w:hint="eastAsia"/>
                      <w:color w:val="auto"/>
                      <w:sz w:val="15"/>
                      <w:szCs w:val="18"/>
                    </w:rPr>
                    <w:t>0.08</w:t>
                  </w:r>
                </w:p>
              </w:tc>
              <w:tc>
                <w:tcPr>
                  <w:tcW w:w="465" w:type="pct"/>
                  <w:shd w:val="clear" w:color="auto" w:fill="auto"/>
                  <w:vAlign w:val="center"/>
                </w:tcPr>
                <w:p>
                  <w:pPr>
                    <w:jc w:val="center"/>
                    <w:rPr>
                      <w:color w:val="auto"/>
                      <w:sz w:val="15"/>
                      <w:szCs w:val="18"/>
                    </w:rPr>
                  </w:pPr>
                  <w:r>
                    <w:rPr>
                      <w:rFonts w:hint="eastAsia"/>
                      <w:color w:val="auto"/>
                      <w:sz w:val="15"/>
                      <w:szCs w:val="18"/>
                    </w:rPr>
                    <w:t>85.89</w:t>
                  </w:r>
                </w:p>
              </w:tc>
              <w:tc>
                <w:tcPr>
                  <w:tcW w:w="465" w:type="pct"/>
                  <w:shd w:val="clear" w:color="auto" w:fill="auto"/>
                  <w:vAlign w:val="center"/>
                </w:tcPr>
                <w:p>
                  <w:pPr>
                    <w:jc w:val="center"/>
                    <w:rPr>
                      <w:color w:val="auto"/>
                      <w:sz w:val="15"/>
                      <w:szCs w:val="18"/>
                    </w:rPr>
                  </w:pPr>
                  <w:r>
                    <w:rPr>
                      <w:rFonts w:hint="eastAsia"/>
                      <w:color w:val="auto"/>
                      <w:sz w:val="15"/>
                      <w:szCs w:val="18"/>
                    </w:rPr>
                    <w:t>55.17</w:t>
                  </w:r>
                </w:p>
              </w:tc>
              <w:tc>
                <w:tcPr>
                  <w:tcW w:w="465" w:type="pct"/>
                  <w:shd w:val="clear" w:color="auto" w:fill="auto"/>
                  <w:vAlign w:val="center"/>
                </w:tcPr>
                <w:p>
                  <w:pPr>
                    <w:jc w:val="center"/>
                    <w:rPr>
                      <w:color w:val="auto"/>
                      <w:sz w:val="15"/>
                      <w:szCs w:val="18"/>
                    </w:rPr>
                  </w:pPr>
                  <w:r>
                    <w:rPr>
                      <w:rFonts w:hint="eastAsia"/>
                      <w:color w:val="auto"/>
                      <w:sz w:val="15"/>
                      <w:szCs w:val="18"/>
                    </w:rPr>
                    <w:t>0.02</w:t>
                  </w:r>
                </w:p>
              </w:tc>
              <w:tc>
                <w:tcPr>
                  <w:tcW w:w="465" w:type="pct"/>
                  <w:shd w:val="clear" w:color="auto" w:fill="auto"/>
                  <w:vAlign w:val="center"/>
                </w:tcPr>
                <w:p>
                  <w:pPr>
                    <w:jc w:val="center"/>
                    <w:rPr>
                      <w:color w:val="auto"/>
                      <w:sz w:val="15"/>
                      <w:szCs w:val="18"/>
                    </w:rPr>
                  </w:pPr>
                  <w:r>
                    <w:rPr>
                      <w:rFonts w:hint="eastAsia"/>
                      <w:color w:val="auto"/>
                      <w:sz w:val="15"/>
                      <w:szCs w:val="18"/>
                    </w:rPr>
                    <w:t>54.92</w:t>
                  </w:r>
                </w:p>
              </w:tc>
              <w:tc>
                <w:tcPr>
                  <w:tcW w:w="420" w:type="pct"/>
                  <w:shd w:val="clear" w:color="auto" w:fill="auto"/>
                  <w:vAlign w:val="center"/>
                </w:tcPr>
                <w:p>
                  <w:pPr>
                    <w:jc w:val="center"/>
                    <w:rPr>
                      <w:color w:val="auto"/>
                      <w:sz w:val="15"/>
                      <w:szCs w:val="18"/>
                    </w:rPr>
                  </w:pPr>
                  <w:r>
                    <w:rPr>
                      <w:rFonts w:hint="eastAsia"/>
                      <w:color w:val="auto"/>
                      <w:sz w:val="15"/>
                      <w:szCs w:val="18"/>
                    </w:rPr>
                    <w:t>35.45</w:t>
                  </w:r>
                </w:p>
              </w:tc>
              <w:tc>
                <w:tcPr>
                  <w:tcW w:w="465" w:type="pct"/>
                  <w:shd w:val="clear" w:color="auto" w:fill="auto"/>
                  <w:vAlign w:val="center"/>
                </w:tcPr>
                <w:p>
                  <w:pPr>
                    <w:jc w:val="center"/>
                    <w:rPr>
                      <w:color w:val="auto"/>
                      <w:sz w:val="15"/>
                      <w:szCs w:val="18"/>
                    </w:rPr>
                  </w:pPr>
                  <w:r>
                    <w:rPr>
                      <w:rFonts w:hint="eastAsia"/>
                      <w:color w:val="auto"/>
                      <w:sz w:val="15"/>
                      <w:szCs w:val="18"/>
                    </w:rPr>
                    <w:t>0.33</w:t>
                  </w:r>
                </w:p>
              </w:tc>
              <w:tc>
                <w:tcPr>
                  <w:tcW w:w="465" w:type="pct"/>
                  <w:shd w:val="clear" w:color="auto" w:fill="auto"/>
                  <w:vAlign w:val="center"/>
                </w:tcPr>
                <w:p>
                  <w:pPr>
                    <w:jc w:val="center"/>
                    <w:rPr>
                      <w:color w:val="auto"/>
                      <w:sz w:val="15"/>
                      <w:szCs w:val="18"/>
                    </w:rPr>
                  </w:pPr>
                  <w:r>
                    <w:rPr>
                      <w:rFonts w:hint="eastAsia"/>
                      <w:color w:val="auto"/>
                      <w:sz w:val="15"/>
                      <w:szCs w:val="18"/>
                    </w:rPr>
                    <w:t>486.82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7" w:type="pct"/>
                  <w:shd w:val="clear" w:color="auto" w:fill="auto"/>
                </w:tcPr>
                <w:p>
                  <w:pPr>
                    <w:jc w:val="center"/>
                    <w:rPr>
                      <w:color w:val="auto"/>
                      <w:sz w:val="15"/>
                    </w:rPr>
                  </w:pPr>
                  <w:r>
                    <w:rPr>
                      <w:rFonts w:hint="eastAsia"/>
                      <w:color w:val="auto"/>
                      <w:sz w:val="15"/>
                      <w:szCs w:val="18"/>
                    </w:rPr>
                    <w:t>2021年11月</w:t>
                  </w:r>
                </w:p>
              </w:tc>
              <w:tc>
                <w:tcPr>
                  <w:tcW w:w="465" w:type="pct"/>
                  <w:shd w:val="clear" w:color="auto" w:fill="auto"/>
                  <w:vAlign w:val="center"/>
                </w:tcPr>
                <w:p>
                  <w:pPr>
                    <w:jc w:val="center"/>
                    <w:rPr>
                      <w:color w:val="auto"/>
                      <w:sz w:val="15"/>
                      <w:szCs w:val="18"/>
                    </w:rPr>
                  </w:pPr>
                  <w:r>
                    <w:rPr>
                      <w:rFonts w:hint="eastAsia"/>
                      <w:color w:val="auto"/>
                      <w:sz w:val="15"/>
                      <w:szCs w:val="18"/>
                    </w:rPr>
                    <w:t>17.35</w:t>
                  </w:r>
                </w:p>
              </w:tc>
              <w:tc>
                <w:tcPr>
                  <w:tcW w:w="419" w:type="pct"/>
                  <w:shd w:val="clear" w:color="auto" w:fill="auto"/>
                  <w:vAlign w:val="center"/>
                </w:tcPr>
                <w:p>
                  <w:pPr>
                    <w:jc w:val="center"/>
                    <w:rPr>
                      <w:color w:val="auto"/>
                      <w:sz w:val="15"/>
                      <w:szCs w:val="18"/>
                    </w:rPr>
                  </w:pPr>
                  <w:r>
                    <w:rPr>
                      <w:rFonts w:hint="eastAsia"/>
                      <w:color w:val="auto"/>
                      <w:sz w:val="15"/>
                      <w:szCs w:val="18"/>
                    </w:rPr>
                    <w:t>15.38</w:t>
                  </w:r>
                </w:p>
              </w:tc>
              <w:tc>
                <w:tcPr>
                  <w:tcW w:w="420" w:type="pct"/>
                  <w:shd w:val="clear" w:color="auto" w:fill="auto"/>
                  <w:vAlign w:val="center"/>
                </w:tcPr>
                <w:p>
                  <w:pPr>
                    <w:jc w:val="center"/>
                    <w:rPr>
                      <w:color w:val="auto"/>
                      <w:sz w:val="15"/>
                      <w:szCs w:val="18"/>
                    </w:rPr>
                  </w:pPr>
                  <w:r>
                    <w:rPr>
                      <w:rFonts w:hint="eastAsia"/>
                      <w:color w:val="auto"/>
                      <w:sz w:val="15"/>
                      <w:szCs w:val="18"/>
                    </w:rPr>
                    <w:t>122.37</w:t>
                  </w:r>
                </w:p>
              </w:tc>
              <w:tc>
                <w:tcPr>
                  <w:tcW w:w="465" w:type="pct"/>
                  <w:shd w:val="clear" w:color="auto" w:fill="auto"/>
                  <w:vAlign w:val="center"/>
                </w:tcPr>
                <w:p>
                  <w:pPr>
                    <w:jc w:val="center"/>
                    <w:rPr>
                      <w:color w:val="auto"/>
                      <w:sz w:val="15"/>
                      <w:szCs w:val="18"/>
                    </w:rPr>
                  </w:pPr>
                  <w:r>
                    <w:rPr>
                      <w:rFonts w:hint="eastAsia"/>
                      <w:color w:val="auto"/>
                      <w:sz w:val="15"/>
                      <w:szCs w:val="18"/>
                    </w:rPr>
                    <w:t>106.47</w:t>
                  </w:r>
                </w:p>
              </w:tc>
              <w:tc>
                <w:tcPr>
                  <w:tcW w:w="465" w:type="pct"/>
                  <w:shd w:val="clear" w:color="auto" w:fill="auto"/>
                  <w:vAlign w:val="center"/>
                </w:tcPr>
                <w:p>
                  <w:pPr>
                    <w:jc w:val="center"/>
                    <w:rPr>
                      <w:color w:val="auto"/>
                      <w:sz w:val="15"/>
                      <w:szCs w:val="18"/>
                    </w:rPr>
                  </w:pPr>
                  <w:r>
                    <w:rPr>
                      <w:rFonts w:hint="eastAsia"/>
                      <w:color w:val="auto"/>
                      <w:sz w:val="15"/>
                      <w:szCs w:val="18"/>
                    </w:rPr>
                    <w:t>92.18</w:t>
                  </w:r>
                </w:p>
              </w:tc>
              <w:tc>
                <w:tcPr>
                  <w:tcW w:w="465" w:type="pct"/>
                  <w:shd w:val="clear" w:color="auto" w:fill="auto"/>
                  <w:vAlign w:val="center"/>
                </w:tcPr>
                <w:p>
                  <w:pPr>
                    <w:jc w:val="center"/>
                    <w:rPr>
                      <w:color w:val="auto"/>
                      <w:sz w:val="15"/>
                      <w:szCs w:val="18"/>
                    </w:rPr>
                  </w:pPr>
                  <w:r>
                    <w:rPr>
                      <w:rFonts w:hint="eastAsia"/>
                      <w:color w:val="auto"/>
                      <w:sz w:val="15"/>
                      <w:szCs w:val="18"/>
                    </w:rPr>
                    <w:t>1132.19</w:t>
                  </w:r>
                </w:p>
              </w:tc>
              <w:tc>
                <w:tcPr>
                  <w:tcW w:w="465" w:type="pct"/>
                  <w:shd w:val="clear" w:color="auto" w:fill="auto"/>
                  <w:vAlign w:val="center"/>
                </w:tcPr>
                <w:p>
                  <w:pPr>
                    <w:jc w:val="center"/>
                    <w:rPr>
                      <w:color w:val="auto"/>
                      <w:sz w:val="15"/>
                      <w:szCs w:val="18"/>
                    </w:rPr>
                  </w:pPr>
                  <w:r>
                    <w:rPr>
                      <w:rFonts w:hint="eastAsia"/>
                      <w:color w:val="auto"/>
                      <w:sz w:val="15"/>
                      <w:szCs w:val="18"/>
                    </w:rPr>
                    <w:t>52.35</w:t>
                  </w:r>
                </w:p>
              </w:tc>
              <w:tc>
                <w:tcPr>
                  <w:tcW w:w="420" w:type="pct"/>
                  <w:shd w:val="clear" w:color="auto" w:fill="auto"/>
                  <w:vAlign w:val="center"/>
                </w:tcPr>
                <w:p>
                  <w:pPr>
                    <w:jc w:val="center"/>
                    <w:rPr>
                      <w:color w:val="auto"/>
                      <w:sz w:val="15"/>
                      <w:szCs w:val="18"/>
                    </w:rPr>
                  </w:pPr>
                  <w:r>
                    <w:rPr>
                      <w:rFonts w:hint="eastAsia"/>
                      <w:color w:val="auto"/>
                      <w:sz w:val="15"/>
                      <w:szCs w:val="18"/>
                    </w:rPr>
                    <w:t>45.73</w:t>
                  </w:r>
                </w:p>
              </w:tc>
              <w:tc>
                <w:tcPr>
                  <w:tcW w:w="465" w:type="pct"/>
                  <w:shd w:val="clear" w:color="auto" w:fill="auto"/>
                  <w:vAlign w:val="center"/>
                </w:tcPr>
                <w:p>
                  <w:pPr>
                    <w:jc w:val="center"/>
                    <w:rPr>
                      <w:color w:val="auto"/>
                      <w:sz w:val="15"/>
                      <w:szCs w:val="18"/>
                    </w:rPr>
                  </w:pPr>
                  <w:r>
                    <w:rPr>
                      <w:rFonts w:hint="eastAsia"/>
                      <w:color w:val="auto"/>
                      <w:sz w:val="15"/>
                      <w:szCs w:val="18"/>
                    </w:rPr>
                    <w:t>303.96</w:t>
                  </w:r>
                </w:p>
              </w:tc>
              <w:tc>
                <w:tcPr>
                  <w:tcW w:w="465" w:type="pct"/>
                  <w:shd w:val="clear" w:color="auto" w:fill="auto"/>
                  <w:vAlign w:val="center"/>
                </w:tcPr>
                <w:p>
                  <w:pPr>
                    <w:jc w:val="center"/>
                    <w:rPr>
                      <w:color w:val="auto"/>
                      <w:sz w:val="15"/>
                      <w:szCs w:val="18"/>
                    </w:rPr>
                  </w:pPr>
                  <w:r>
                    <w:rPr>
                      <w:rFonts w:hint="eastAsia"/>
                      <w:color w:val="auto"/>
                      <w:sz w:val="15"/>
                      <w:szCs w:val="18"/>
                    </w:rPr>
                    <w:t>865.39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7" w:type="pct"/>
                  <w:shd w:val="clear" w:color="auto" w:fill="auto"/>
                  <w:vAlign w:val="center"/>
                </w:tcPr>
                <w:p>
                  <w:pPr>
                    <w:jc w:val="center"/>
                    <w:rPr>
                      <w:color w:val="auto"/>
                      <w:sz w:val="15"/>
                      <w:szCs w:val="18"/>
                    </w:rPr>
                  </w:pPr>
                  <w:r>
                    <w:rPr>
                      <w:rFonts w:hint="eastAsia"/>
                      <w:color w:val="auto"/>
                      <w:sz w:val="15"/>
                      <w:szCs w:val="18"/>
                    </w:rPr>
                    <w:t>2021年12月</w:t>
                  </w:r>
                </w:p>
              </w:tc>
              <w:tc>
                <w:tcPr>
                  <w:tcW w:w="465" w:type="pct"/>
                  <w:shd w:val="clear" w:color="auto" w:fill="auto"/>
                  <w:vAlign w:val="center"/>
                </w:tcPr>
                <w:p>
                  <w:pPr>
                    <w:jc w:val="center"/>
                    <w:rPr>
                      <w:color w:val="auto"/>
                      <w:sz w:val="15"/>
                      <w:szCs w:val="18"/>
                    </w:rPr>
                  </w:pPr>
                  <w:r>
                    <w:rPr>
                      <w:rFonts w:hint="eastAsia"/>
                      <w:color w:val="auto"/>
                      <w:sz w:val="15"/>
                      <w:szCs w:val="18"/>
                    </w:rPr>
                    <w:t>11.95</w:t>
                  </w:r>
                </w:p>
              </w:tc>
              <w:tc>
                <w:tcPr>
                  <w:tcW w:w="419" w:type="pct"/>
                  <w:shd w:val="clear" w:color="auto" w:fill="auto"/>
                  <w:vAlign w:val="center"/>
                </w:tcPr>
                <w:p>
                  <w:pPr>
                    <w:jc w:val="center"/>
                    <w:rPr>
                      <w:color w:val="auto"/>
                      <w:sz w:val="15"/>
                      <w:szCs w:val="18"/>
                    </w:rPr>
                  </w:pPr>
                  <w:r>
                    <w:rPr>
                      <w:rFonts w:hint="eastAsia"/>
                      <w:color w:val="auto"/>
                      <w:sz w:val="15"/>
                      <w:szCs w:val="18"/>
                    </w:rPr>
                    <w:t>9.88</w:t>
                  </w:r>
                </w:p>
              </w:tc>
              <w:tc>
                <w:tcPr>
                  <w:tcW w:w="420" w:type="pct"/>
                  <w:shd w:val="clear" w:color="auto" w:fill="auto"/>
                  <w:vAlign w:val="center"/>
                </w:tcPr>
                <w:p>
                  <w:pPr>
                    <w:jc w:val="center"/>
                    <w:rPr>
                      <w:color w:val="auto"/>
                      <w:sz w:val="15"/>
                      <w:szCs w:val="18"/>
                    </w:rPr>
                  </w:pPr>
                  <w:r>
                    <w:rPr>
                      <w:rFonts w:hint="eastAsia"/>
                      <w:color w:val="auto"/>
                      <w:sz w:val="15"/>
                      <w:szCs w:val="18"/>
                    </w:rPr>
                    <w:t>160.02</w:t>
                  </w:r>
                </w:p>
              </w:tc>
              <w:tc>
                <w:tcPr>
                  <w:tcW w:w="465" w:type="pct"/>
                  <w:shd w:val="clear" w:color="auto" w:fill="auto"/>
                  <w:vAlign w:val="center"/>
                </w:tcPr>
                <w:p>
                  <w:pPr>
                    <w:jc w:val="center"/>
                    <w:rPr>
                      <w:color w:val="auto"/>
                      <w:sz w:val="15"/>
                      <w:szCs w:val="18"/>
                    </w:rPr>
                  </w:pPr>
                  <w:r>
                    <w:rPr>
                      <w:rFonts w:hint="eastAsia"/>
                      <w:color w:val="auto"/>
                      <w:sz w:val="15"/>
                      <w:szCs w:val="18"/>
                    </w:rPr>
                    <w:t>179.81</w:t>
                  </w:r>
                </w:p>
              </w:tc>
              <w:tc>
                <w:tcPr>
                  <w:tcW w:w="465" w:type="pct"/>
                  <w:shd w:val="clear" w:color="auto" w:fill="auto"/>
                  <w:vAlign w:val="center"/>
                </w:tcPr>
                <w:p>
                  <w:pPr>
                    <w:jc w:val="center"/>
                    <w:rPr>
                      <w:color w:val="auto"/>
                      <w:sz w:val="15"/>
                      <w:szCs w:val="18"/>
                    </w:rPr>
                  </w:pPr>
                  <w:r>
                    <w:rPr>
                      <w:rFonts w:hint="eastAsia"/>
                      <w:color w:val="auto"/>
                      <w:sz w:val="15"/>
                      <w:szCs w:val="18"/>
                    </w:rPr>
                    <w:t>141.44</w:t>
                  </w:r>
                </w:p>
              </w:tc>
              <w:tc>
                <w:tcPr>
                  <w:tcW w:w="465" w:type="pct"/>
                  <w:shd w:val="clear" w:color="auto" w:fill="auto"/>
                  <w:vAlign w:val="center"/>
                </w:tcPr>
                <w:p>
                  <w:pPr>
                    <w:jc w:val="center"/>
                    <w:rPr>
                      <w:color w:val="auto"/>
                      <w:sz w:val="15"/>
                      <w:szCs w:val="18"/>
                    </w:rPr>
                  </w:pPr>
                  <w:r>
                    <w:rPr>
                      <w:rFonts w:hint="eastAsia"/>
                      <w:color w:val="auto"/>
                      <w:sz w:val="15"/>
                      <w:szCs w:val="18"/>
                    </w:rPr>
                    <w:t>1690.99</w:t>
                  </w:r>
                </w:p>
              </w:tc>
              <w:tc>
                <w:tcPr>
                  <w:tcW w:w="465" w:type="pct"/>
                  <w:shd w:val="clear" w:color="auto" w:fill="auto"/>
                  <w:vAlign w:val="center"/>
                </w:tcPr>
                <w:p>
                  <w:pPr>
                    <w:jc w:val="center"/>
                    <w:rPr>
                      <w:color w:val="auto"/>
                      <w:sz w:val="15"/>
                      <w:szCs w:val="18"/>
                    </w:rPr>
                  </w:pPr>
                  <w:r>
                    <w:rPr>
                      <w:rFonts w:hint="eastAsia"/>
                      <w:color w:val="auto"/>
                      <w:sz w:val="15"/>
                      <w:szCs w:val="18"/>
                    </w:rPr>
                    <w:t>66.48</w:t>
                  </w:r>
                </w:p>
              </w:tc>
              <w:tc>
                <w:tcPr>
                  <w:tcW w:w="420" w:type="pct"/>
                  <w:shd w:val="clear" w:color="auto" w:fill="auto"/>
                  <w:vAlign w:val="center"/>
                </w:tcPr>
                <w:p>
                  <w:pPr>
                    <w:jc w:val="center"/>
                    <w:rPr>
                      <w:color w:val="auto"/>
                      <w:sz w:val="15"/>
                      <w:szCs w:val="18"/>
                    </w:rPr>
                  </w:pPr>
                  <w:r>
                    <w:rPr>
                      <w:rFonts w:hint="eastAsia"/>
                      <w:color w:val="auto"/>
                      <w:sz w:val="15"/>
                      <w:szCs w:val="18"/>
                    </w:rPr>
                    <w:t>53.01</w:t>
                  </w:r>
                </w:p>
              </w:tc>
              <w:tc>
                <w:tcPr>
                  <w:tcW w:w="465" w:type="pct"/>
                  <w:shd w:val="clear" w:color="auto" w:fill="auto"/>
                  <w:vAlign w:val="center"/>
                </w:tcPr>
                <w:p>
                  <w:pPr>
                    <w:jc w:val="center"/>
                    <w:rPr>
                      <w:color w:val="auto"/>
                      <w:sz w:val="15"/>
                      <w:szCs w:val="18"/>
                    </w:rPr>
                  </w:pPr>
                  <w:r>
                    <w:rPr>
                      <w:rFonts w:hint="eastAsia"/>
                      <w:color w:val="auto"/>
                      <w:sz w:val="15"/>
                      <w:szCs w:val="18"/>
                    </w:rPr>
                    <w:t>1028.33</w:t>
                  </w:r>
                </w:p>
              </w:tc>
              <w:tc>
                <w:tcPr>
                  <w:tcW w:w="465" w:type="pct"/>
                  <w:shd w:val="clear" w:color="auto" w:fill="auto"/>
                  <w:vAlign w:val="center"/>
                </w:tcPr>
                <w:p>
                  <w:pPr>
                    <w:jc w:val="center"/>
                    <w:rPr>
                      <w:color w:val="auto"/>
                      <w:sz w:val="15"/>
                      <w:szCs w:val="18"/>
                    </w:rPr>
                  </w:pPr>
                  <w:r>
                    <w:rPr>
                      <w:rFonts w:hint="eastAsia"/>
                      <w:color w:val="auto"/>
                      <w:sz w:val="15"/>
                      <w:szCs w:val="18"/>
                    </w:rPr>
                    <w:t>1316.22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7" w:type="pct"/>
                  <w:shd w:val="clear" w:color="auto" w:fill="auto"/>
                  <w:vAlign w:val="center"/>
                </w:tcPr>
                <w:p>
                  <w:pPr>
                    <w:jc w:val="center"/>
                    <w:rPr>
                      <w:color w:val="auto"/>
                      <w:sz w:val="15"/>
                      <w:szCs w:val="18"/>
                    </w:rPr>
                  </w:pPr>
                  <w:r>
                    <w:rPr>
                      <w:rFonts w:hint="eastAsia"/>
                      <w:color w:val="auto"/>
                      <w:sz w:val="15"/>
                      <w:szCs w:val="18"/>
                    </w:rPr>
                    <w:t>2022年</w:t>
                  </w:r>
                </w:p>
                <w:p>
                  <w:pPr>
                    <w:jc w:val="center"/>
                    <w:rPr>
                      <w:color w:val="auto"/>
                      <w:sz w:val="15"/>
                      <w:szCs w:val="18"/>
                    </w:rPr>
                  </w:pPr>
                  <w:r>
                    <w:rPr>
                      <w:rFonts w:hint="eastAsia"/>
                      <w:color w:val="auto"/>
                      <w:sz w:val="15"/>
                      <w:szCs w:val="18"/>
                    </w:rPr>
                    <w:t>1月</w:t>
                  </w:r>
                </w:p>
              </w:tc>
              <w:tc>
                <w:tcPr>
                  <w:tcW w:w="465" w:type="pct"/>
                  <w:shd w:val="clear" w:color="auto" w:fill="auto"/>
                  <w:vAlign w:val="center"/>
                </w:tcPr>
                <w:p>
                  <w:pPr>
                    <w:jc w:val="center"/>
                    <w:rPr>
                      <w:color w:val="auto"/>
                      <w:sz w:val="15"/>
                      <w:szCs w:val="18"/>
                    </w:rPr>
                  </w:pPr>
                  <w:r>
                    <w:rPr>
                      <w:rFonts w:hint="eastAsia"/>
                      <w:color w:val="auto"/>
                      <w:sz w:val="15"/>
                      <w:szCs w:val="18"/>
                    </w:rPr>
                    <w:t>18.01</w:t>
                  </w:r>
                </w:p>
              </w:tc>
              <w:tc>
                <w:tcPr>
                  <w:tcW w:w="419" w:type="pct"/>
                  <w:shd w:val="clear" w:color="auto" w:fill="auto"/>
                  <w:vAlign w:val="center"/>
                </w:tcPr>
                <w:p>
                  <w:pPr>
                    <w:jc w:val="center"/>
                    <w:rPr>
                      <w:color w:val="auto"/>
                      <w:sz w:val="15"/>
                      <w:szCs w:val="18"/>
                    </w:rPr>
                  </w:pPr>
                  <w:r>
                    <w:rPr>
                      <w:rFonts w:hint="eastAsia"/>
                      <w:color w:val="auto"/>
                      <w:sz w:val="15"/>
                      <w:szCs w:val="18"/>
                    </w:rPr>
                    <w:t>15.77</w:t>
                  </w:r>
                </w:p>
              </w:tc>
              <w:tc>
                <w:tcPr>
                  <w:tcW w:w="420" w:type="pct"/>
                  <w:shd w:val="clear" w:color="auto" w:fill="auto"/>
                  <w:vAlign w:val="center"/>
                </w:tcPr>
                <w:p>
                  <w:pPr>
                    <w:jc w:val="center"/>
                    <w:rPr>
                      <w:color w:val="auto"/>
                      <w:sz w:val="15"/>
                      <w:szCs w:val="18"/>
                    </w:rPr>
                  </w:pPr>
                  <w:r>
                    <w:rPr>
                      <w:rFonts w:hint="eastAsia"/>
                      <w:color w:val="auto"/>
                      <w:sz w:val="15"/>
                      <w:szCs w:val="18"/>
                    </w:rPr>
                    <w:t>204.04</w:t>
                  </w:r>
                </w:p>
              </w:tc>
              <w:tc>
                <w:tcPr>
                  <w:tcW w:w="465" w:type="pct"/>
                  <w:shd w:val="clear" w:color="auto" w:fill="auto"/>
                  <w:vAlign w:val="center"/>
                </w:tcPr>
                <w:p>
                  <w:pPr>
                    <w:jc w:val="center"/>
                    <w:rPr>
                      <w:color w:val="auto"/>
                      <w:sz w:val="15"/>
                      <w:szCs w:val="18"/>
                    </w:rPr>
                  </w:pPr>
                  <w:r>
                    <w:rPr>
                      <w:rFonts w:hint="eastAsia"/>
                      <w:color w:val="auto"/>
                      <w:sz w:val="15"/>
                      <w:szCs w:val="18"/>
                    </w:rPr>
                    <w:t>250.14</w:t>
                  </w:r>
                </w:p>
              </w:tc>
              <w:tc>
                <w:tcPr>
                  <w:tcW w:w="465" w:type="pct"/>
                  <w:shd w:val="clear" w:color="auto" w:fill="auto"/>
                  <w:vAlign w:val="center"/>
                </w:tcPr>
                <w:p>
                  <w:pPr>
                    <w:jc w:val="center"/>
                    <w:rPr>
                      <w:color w:val="auto"/>
                      <w:sz w:val="15"/>
                      <w:szCs w:val="18"/>
                    </w:rPr>
                  </w:pPr>
                  <w:r>
                    <w:rPr>
                      <w:rFonts w:hint="eastAsia"/>
                      <w:color w:val="auto"/>
                      <w:sz w:val="15"/>
                      <w:szCs w:val="18"/>
                    </w:rPr>
                    <w:t>212.76</w:t>
                  </w:r>
                </w:p>
              </w:tc>
              <w:tc>
                <w:tcPr>
                  <w:tcW w:w="465" w:type="pct"/>
                  <w:shd w:val="clear" w:color="auto" w:fill="auto"/>
                  <w:vAlign w:val="center"/>
                </w:tcPr>
                <w:p>
                  <w:pPr>
                    <w:jc w:val="center"/>
                    <w:rPr>
                      <w:color w:val="auto"/>
                      <w:sz w:val="15"/>
                      <w:szCs w:val="18"/>
                    </w:rPr>
                  </w:pPr>
                  <w:r>
                    <w:rPr>
                      <w:rFonts w:hint="eastAsia"/>
                      <w:color w:val="auto"/>
                      <w:sz w:val="15"/>
                      <w:szCs w:val="18"/>
                    </w:rPr>
                    <w:t>3154.84</w:t>
                  </w:r>
                </w:p>
              </w:tc>
              <w:tc>
                <w:tcPr>
                  <w:tcW w:w="465" w:type="pct"/>
                  <w:shd w:val="clear" w:color="auto" w:fill="auto"/>
                  <w:vAlign w:val="center"/>
                </w:tcPr>
                <w:p>
                  <w:pPr>
                    <w:jc w:val="center"/>
                    <w:rPr>
                      <w:color w:val="auto"/>
                      <w:sz w:val="15"/>
                      <w:szCs w:val="18"/>
                    </w:rPr>
                  </w:pPr>
                  <w:r>
                    <w:rPr>
                      <w:rFonts w:hint="eastAsia"/>
                      <w:color w:val="auto"/>
                      <w:sz w:val="15"/>
                      <w:szCs w:val="18"/>
                    </w:rPr>
                    <w:t>32.95</w:t>
                  </w:r>
                </w:p>
              </w:tc>
              <w:tc>
                <w:tcPr>
                  <w:tcW w:w="420" w:type="pct"/>
                  <w:shd w:val="clear" w:color="auto" w:fill="auto"/>
                  <w:vAlign w:val="center"/>
                </w:tcPr>
                <w:p>
                  <w:pPr>
                    <w:jc w:val="center"/>
                    <w:rPr>
                      <w:color w:val="auto"/>
                      <w:sz w:val="15"/>
                      <w:szCs w:val="18"/>
                    </w:rPr>
                  </w:pPr>
                  <w:r>
                    <w:rPr>
                      <w:rFonts w:hint="eastAsia"/>
                      <w:color w:val="auto"/>
                      <w:sz w:val="15"/>
                      <w:szCs w:val="18"/>
                    </w:rPr>
                    <w:t>28.28</w:t>
                  </w:r>
                </w:p>
              </w:tc>
              <w:tc>
                <w:tcPr>
                  <w:tcW w:w="465" w:type="pct"/>
                  <w:shd w:val="clear" w:color="auto" w:fill="auto"/>
                  <w:vAlign w:val="center"/>
                </w:tcPr>
                <w:p>
                  <w:pPr>
                    <w:jc w:val="center"/>
                    <w:rPr>
                      <w:color w:val="auto"/>
                      <w:sz w:val="15"/>
                      <w:szCs w:val="18"/>
                    </w:rPr>
                  </w:pPr>
                  <w:r>
                    <w:rPr>
                      <w:rFonts w:hint="eastAsia"/>
                      <w:color w:val="auto"/>
                      <w:sz w:val="15"/>
                      <w:szCs w:val="18"/>
                    </w:rPr>
                    <w:t>414.93</w:t>
                  </w:r>
                </w:p>
              </w:tc>
              <w:tc>
                <w:tcPr>
                  <w:tcW w:w="465" w:type="pct"/>
                  <w:shd w:val="clear" w:color="auto" w:fill="auto"/>
                  <w:vAlign w:val="center"/>
                </w:tcPr>
                <w:p>
                  <w:pPr>
                    <w:jc w:val="center"/>
                    <w:rPr>
                      <w:color w:val="auto"/>
                      <w:sz w:val="15"/>
                      <w:szCs w:val="18"/>
                    </w:rPr>
                  </w:pPr>
                  <w:r>
                    <w:rPr>
                      <w:rFonts w:hint="eastAsia"/>
                      <w:color w:val="auto"/>
                      <w:sz w:val="15"/>
                      <w:szCs w:val="18"/>
                    </w:rPr>
                    <w:t>1002.20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7" w:type="pct"/>
                  <w:shd w:val="clear" w:color="auto" w:fill="auto"/>
                  <w:vAlign w:val="center"/>
                </w:tcPr>
                <w:p>
                  <w:pPr>
                    <w:jc w:val="center"/>
                    <w:rPr>
                      <w:color w:val="auto"/>
                      <w:sz w:val="15"/>
                      <w:szCs w:val="18"/>
                    </w:rPr>
                  </w:pPr>
                  <w:r>
                    <w:rPr>
                      <w:rFonts w:hint="eastAsia"/>
                      <w:color w:val="auto"/>
                      <w:sz w:val="15"/>
                      <w:szCs w:val="18"/>
                    </w:rPr>
                    <w:t>2022年</w:t>
                  </w:r>
                </w:p>
                <w:p>
                  <w:pPr>
                    <w:jc w:val="center"/>
                    <w:rPr>
                      <w:color w:val="auto"/>
                      <w:sz w:val="15"/>
                      <w:szCs w:val="18"/>
                    </w:rPr>
                  </w:pPr>
                  <w:r>
                    <w:rPr>
                      <w:rFonts w:hint="eastAsia"/>
                      <w:color w:val="auto"/>
                      <w:sz w:val="15"/>
                      <w:szCs w:val="18"/>
                    </w:rPr>
                    <w:t>2月</w:t>
                  </w:r>
                </w:p>
              </w:tc>
              <w:tc>
                <w:tcPr>
                  <w:tcW w:w="465" w:type="pct"/>
                  <w:shd w:val="clear" w:color="auto" w:fill="auto"/>
                  <w:vAlign w:val="center"/>
                </w:tcPr>
                <w:p>
                  <w:pPr>
                    <w:jc w:val="center"/>
                    <w:rPr>
                      <w:color w:val="auto"/>
                      <w:sz w:val="15"/>
                      <w:szCs w:val="18"/>
                    </w:rPr>
                  </w:pPr>
                  <w:r>
                    <w:rPr>
                      <w:rFonts w:hint="eastAsia"/>
                      <w:color w:val="auto"/>
                      <w:sz w:val="15"/>
                      <w:szCs w:val="18"/>
                    </w:rPr>
                    <w:t>21.12</w:t>
                  </w:r>
                </w:p>
              </w:tc>
              <w:tc>
                <w:tcPr>
                  <w:tcW w:w="419" w:type="pct"/>
                  <w:shd w:val="clear" w:color="auto" w:fill="auto"/>
                  <w:vAlign w:val="center"/>
                </w:tcPr>
                <w:p>
                  <w:pPr>
                    <w:jc w:val="center"/>
                    <w:rPr>
                      <w:color w:val="auto"/>
                      <w:sz w:val="15"/>
                      <w:szCs w:val="18"/>
                    </w:rPr>
                  </w:pPr>
                  <w:r>
                    <w:rPr>
                      <w:rFonts w:hint="eastAsia"/>
                      <w:color w:val="auto"/>
                      <w:sz w:val="15"/>
                      <w:szCs w:val="18"/>
                    </w:rPr>
                    <w:t>19.92</w:t>
                  </w:r>
                </w:p>
              </w:tc>
              <w:tc>
                <w:tcPr>
                  <w:tcW w:w="420" w:type="pct"/>
                  <w:shd w:val="clear" w:color="auto" w:fill="auto"/>
                  <w:vAlign w:val="center"/>
                </w:tcPr>
                <w:p>
                  <w:pPr>
                    <w:jc w:val="center"/>
                    <w:rPr>
                      <w:color w:val="auto"/>
                      <w:sz w:val="15"/>
                      <w:szCs w:val="18"/>
                    </w:rPr>
                  </w:pPr>
                  <w:r>
                    <w:rPr>
                      <w:rFonts w:hint="eastAsia"/>
                      <w:color w:val="auto"/>
                      <w:sz w:val="15"/>
                      <w:szCs w:val="18"/>
                    </w:rPr>
                    <w:t>112.80</w:t>
                  </w:r>
                </w:p>
              </w:tc>
              <w:tc>
                <w:tcPr>
                  <w:tcW w:w="465" w:type="pct"/>
                  <w:shd w:val="clear" w:color="auto" w:fill="auto"/>
                  <w:vAlign w:val="center"/>
                </w:tcPr>
                <w:p>
                  <w:pPr>
                    <w:jc w:val="center"/>
                    <w:rPr>
                      <w:color w:val="auto"/>
                      <w:sz w:val="15"/>
                      <w:szCs w:val="18"/>
                    </w:rPr>
                  </w:pPr>
                  <w:r>
                    <w:rPr>
                      <w:rFonts w:hint="eastAsia"/>
                      <w:color w:val="auto"/>
                      <w:sz w:val="15"/>
                      <w:szCs w:val="18"/>
                    </w:rPr>
                    <w:t>139.48</w:t>
                  </w:r>
                </w:p>
              </w:tc>
              <w:tc>
                <w:tcPr>
                  <w:tcW w:w="465" w:type="pct"/>
                  <w:shd w:val="clear" w:color="auto" w:fill="auto"/>
                  <w:vAlign w:val="center"/>
                </w:tcPr>
                <w:p>
                  <w:pPr>
                    <w:jc w:val="center"/>
                    <w:rPr>
                      <w:color w:val="auto"/>
                      <w:sz w:val="15"/>
                      <w:szCs w:val="18"/>
                    </w:rPr>
                  </w:pPr>
                  <w:r>
                    <w:rPr>
                      <w:rFonts w:hint="eastAsia"/>
                      <w:color w:val="auto"/>
                      <w:sz w:val="15"/>
                      <w:szCs w:val="18"/>
                    </w:rPr>
                    <w:t>129.64</w:t>
                  </w:r>
                </w:p>
              </w:tc>
              <w:tc>
                <w:tcPr>
                  <w:tcW w:w="465" w:type="pct"/>
                  <w:shd w:val="clear" w:color="auto" w:fill="auto"/>
                  <w:vAlign w:val="center"/>
                </w:tcPr>
                <w:p>
                  <w:pPr>
                    <w:jc w:val="center"/>
                    <w:rPr>
                      <w:color w:val="auto"/>
                      <w:sz w:val="15"/>
                      <w:szCs w:val="18"/>
                    </w:rPr>
                  </w:pPr>
                  <w:r>
                    <w:rPr>
                      <w:rFonts w:hint="eastAsia"/>
                      <w:color w:val="auto"/>
                      <w:sz w:val="15"/>
                      <w:szCs w:val="18"/>
                    </w:rPr>
                    <w:t>756.17</w:t>
                  </w:r>
                </w:p>
              </w:tc>
              <w:tc>
                <w:tcPr>
                  <w:tcW w:w="465" w:type="pct"/>
                  <w:shd w:val="clear" w:color="auto" w:fill="auto"/>
                  <w:vAlign w:val="center"/>
                </w:tcPr>
                <w:p>
                  <w:pPr>
                    <w:jc w:val="center"/>
                    <w:rPr>
                      <w:color w:val="auto"/>
                      <w:sz w:val="15"/>
                      <w:szCs w:val="18"/>
                    </w:rPr>
                  </w:pPr>
                  <w:r>
                    <w:rPr>
                      <w:rFonts w:hint="eastAsia"/>
                      <w:color w:val="auto"/>
                      <w:sz w:val="15"/>
                      <w:szCs w:val="18"/>
                    </w:rPr>
                    <w:t>33.53</w:t>
                  </w:r>
                </w:p>
              </w:tc>
              <w:tc>
                <w:tcPr>
                  <w:tcW w:w="420" w:type="pct"/>
                  <w:shd w:val="clear" w:color="auto" w:fill="auto"/>
                  <w:vAlign w:val="center"/>
                </w:tcPr>
                <w:p>
                  <w:pPr>
                    <w:jc w:val="center"/>
                    <w:rPr>
                      <w:color w:val="auto"/>
                      <w:sz w:val="15"/>
                      <w:szCs w:val="18"/>
                    </w:rPr>
                  </w:pPr>
                  <w:r>
                    <w:rPr>
                      <w:rFonts w:hint="eastAsia"/>
                      <w:color w:val="auto"/>
                      <w:sz w:val="15"/>
                      <w:szCs w:val="18"/>
                    </w:rPr>
                    <w:t>30.43</w:t>
                  </w:r>
                </w:p>
              </w:tc>
              <w:tc>
                <w:tcPr>
                  <w:tcW w:w="465" w:type="pct"/>
                  <w:shd w:val="clear" w:color="auto" w:fill="auto"/>
                  <w:vAlign w:val="center"/>
                </w:tcPr>
                <w:p>
                  <w:pPr>
                    <w:jc w:val="center"/>
                    <w:rPr>
                      <w:color w:val="auto"/>
                      <w:sz w:val="15"/>
                      <w:szCs w:val="18"/>
                    </w:rPr>
                  </w:pPr>
                  <w:r>
                    <w:rPr>
                      <w:rFonts w:hint="eastAsia"/>
                      <w:color w:val="auto"/>
                      <w:sz w:val="15"/>
                      <w:szCs w:val="18"/>
                    </w:rPr>
                    <w:t>210.14</w:t>
                  </w:r>
                </w:p>
              </w:tc>
              <w:tc>
                <w:tcPr>
                  <w:tcW w:w="465" w:type="pct"/>
                  <w:shd w:val="clear" w:color="auto" w:fill="auto"/>
                  <w:vAlign w:val="center"/>
                </w:tcPr>
                <w:p>
                  <w:pPr>
                    <w:jc w:val="center"/>
                    <w:rPr>
                      <w:color w:val="auto"/>
                      <w:sz w:val="15"/>
                      <w:szCs w:val="18"/>
                    </w:rPr>
                  </w:pPr>
                  <w:r>
                    <w:rPr>
                      <w:rFonts w:hint="eastAsia"/>
                      <w:color w:val="auto"/>
                      <w:sz w:val="15"/>
                      <w:szCs w:val="18"/>
                    </w:rPr>
                    <w:t>453.86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7" w:type="pct"/>
                  <w:shd w:val="clear" w:color="auto" w:fill="auto"/>
                  <w:vAlign w:val="center"/>
                </w:tcPr>
                <w:p>
                  <w:pPr>
                    <w:jc w:val="center"/>
                    <w:rPr>
                      <w:color w:val="auto"/>
                      <w:sz w:val="15"/>
                      <w:szCs w:val="18"/>
                    </w:rPr>
                  </w:pPr>
                  <w:r>
                    <w:rPr>
                      <w:rFonts w:hint="eastAsia"/>
                      <w:color w:val="auto"/>
                      <w:sz w:val="15"/>
                      <w:szCs w:val="18"/>
                    </w:rPr>
                    <w:t>2022年</w:t>
                  </w:r>
                </w:p>
                <w:p>
                  <w:pPr>
                    <w:jc w:val="center"/>
                    <w:rPr>
                      <w:color w:val="auto"/>
                      <w:sz w:val="15"/>
                      <w:szCs w:val="18"/>
                    </w:rPr>
                  </w:pPr>
                  <w:r>
                    <w:rPr>
                      <w:rFonts w:hint="eastAsia"/>
                      <w:color w:val="auto"/>
                      <w:sz w:val="15"/>
                      <w:szCs w:val="18"/>
                    </w:rPr>
                    <w:t>3月</w:t>
                  </w:r>
                </w:p>
              </w:tc>
              <w:tc>
                <w:tcPr>
                  <w:tcW w:w="465" w:type="pct"/>
                  <w:shd w:val="clear" w:color="auto" w:fill="auto"/>
                  <w:vAlign w:val="center"/>
                </w:tcPr>
                <w:p>
                  <w:pPr>
                    <w:jc w:val="center"/>
                    <w:rPr>
                      <w:color w:val="auto"/>
                      <w:sz w:val="15"/>
                      <w:szCs w:val="18"/>
                    </w:rPr>
                  </w:pPr>
                  <w:r>
                    <w:rPr>
                      <w:rFonts w:hint="eastAsia"/>
                      <w:color w:val="auto"/>
                      <w:sz w:val="15"/>
                      <w:szCs w:val="18"/>
                    </w:rPr>
                    <w:t>21.59</w:t>
                  </w:r>
                </w:p>
              </w:tc>
              <w:tc>
                <w:tcPr>
                  <w:tcW w:w="419" w:type="pct"/>
                  <w:shd w:val="clear" w:color="auto" w:fill="auto"/>
                  <w:vAlign w:val="center"/>
                </w:tcPr>
                <w:p>
                  <w:pPr>
                    <w:jc w:val="center"/>
                    <w:rPr>
                      <w:color w:val="auto"/>
                      <w:sz w:val="15"/>
                      <w:szCs w:val="18"/>
                    </w:rPr>
                  </w:pPr>
                  <w:r>
                    <w:rPr>
                      <w:rFonts w:hint="eastAsia"/>
                      <w:color w:val="auto"/>
                      <w:sz w:val="15"/>
                      <w:szCs w:val="18"/>
                    </w:rPr>
                    <w:t>18.39</w:t>
                  </w:r>
                </w:p>
              </w:tc>
              <w:tc>
                <w:tcPr>
                  <w:tcW w:w="420" w:type="pct"/>
                  <w:shd w:val="clear" w:color="auto" w:fill="auto"/>
                  <w:vAlign w:val="center"/>
                </w:tcPr>
                <w:p>
                  <w:pPr>
                    <w:jc w:val="center"/>
                    <w:rPr>
                      <w:color w:val="auto"/>
                      <w:sz w:val="15"/>
                      <w:szCs w:val="18"/>
                    </w:rPr>
                  </w:pPr>
                  <w:r>
                    <w:rPr>
                      <w:rFonts w:hint="eastAsia"/>
                      <w:color w:val="auto"/>
                      <w:sz w:val="15"/>
                      <w:szCs w:val="18"/>
                    </w:rPr>
                    <w:t>230.57</w:t>
                  </w:r>
                </w:p>
              </w:tc>
              <w:tc>
                <w:tcPr>
                  <w:tcW w:w="465" w:type="pct"/>
                  <w:shd w:val="clear" w:color="auto" w:fill="auto"/>
                  <w:vAlign w:val="center"/>
                </w:tcPr>
                <w:p>
                  <w:pPr>
                    <w:jc w:val="center"/>
                    <w:rPr>
                      <w:color w:val="auto"/>
                      <w:sz w:val="15"/>
                      <w:szCs w:val="18"/>
                    </w:rPr>
                  </w:pPr>
                  <w:r>
                    <w:rPr>
                      <w:rFonts w:hint="eastAsia"/>
                      <w:color w:val="auto"/>
                      <w:sz w:val="15"/>
                      <w:szCs w:val="18"/>
                    </w:rPr>
                    <w:t>260.05</w:t>
                  </w:r>
                </w:p>
              </w:tc>
              <w:tc>
                <w:tcPr>
                  <w:tcW w:w="465" w:type="pct"/>
                  <w:shd w:val="clear" w:color="auto" w:fill="auto"/>
                  <w:vAlign w:val="center"/>
                </w:tcPr>
                <w:p>
                  <w:pPr>
                    <w:jc w:val="center"/>
                    <w:rPr>
                      <w:color w:val="auto"/>
                      <w:sz w:val="15"/>
                      <w:szCs w:val="18"/>
                    </w:rPr>
                  </w:pPr>
                  <w:r>
                    <w:rPr>
                      <w:rFonts w:hint="eastAsia"/>
                      <w:color w:val="auto"/>
                      <w:sz w:val="15"/>
                      <w:szCs w:val="18"/>
                    </w:rPr>
                    <w:t>192.30</w:t>
                  </w:r>
                </w:p>
              </w:tc>
              <w:tc>
                <w:tcPr>
                  <w:tcW w:w="465" w:type="pct"/>
                  <w:shd w:val="clear" w:color="auto" w:fill="auto"/>
                  <w:vAlign w:val="center"/>
                </w:tcPr>
                <w:p>
                  <w:pPr>
                    <w:jc w:val="center"/>
                    <w:rPr>
                      <w:color w:val="auto"/>
                      <w:sz w:val="15"/>
                      <w:szCs w:val="18"/>
                    </w:rPr>
                  </w:pPr>
                  <w:r>
                    <w:rPr>
                      <w:rFonts w:hint="eastAsia"/>
                      <w:color w:val="auto"/>
                      <w:sz w:val="15"/>
                      <w:szCs w:val="18"/>
                    </w:rPr>
                    <w:t>2631.34</w:t>
                  </w:r>
                </w:p>
              </w:tc>
              <w:tc>
                <w:tcPr>
                  <w:tcW w:w="465" w:type="pct"/>
                  <w:shd w:val="clear" w:color="auto" w:fill="auto"/>
                  <w:vAlign w:val="center"/>
                </w:tcPr>
                <w:p>
                  <w:pPr>
                    <w:jc w:val="center"/>
                    <w:rPr>
                      <w:color w:val="auto"/>
                      <w:sz w:val="15"/>
                      <w:szCs w:val="18"/>
                    </w:rPr>
                  </w:pPr>
                  <w:r>
                    <w:rPr>
                      <w:rFonts w:hint="eastAsia"/>
                      <w:color w:val="auto"/>
                      <w:sz w:val="15"/>
                      <w:szCs w:val="18"/>
                    </w:rPr>
                    <w:t>87.46</w:t>
                  </w:r>
                </w:p>
              </w:tc>
              <w:tc>
                <w:tcPr>
                  <w:tcW w:w="420" w:type="pct"/>
                  <w:shd w:val="clear" w:color="auto" w:fill="auto"/>
                  <w:vAlign w:val="center"/>
                </w:tcPr>
                <w:p>
                  <w:pPr>
                    <w:jc w:val="center"/>
                    <w:rPr>
                      <w:color w:val="auto"/>
                      <w:sz w:val="15"/>
                      <w:szCs w:val="18"/>
                    </w:rPr>
                  </w:pPr>
                  <w:r>
                    <w:rPr>
                      <w:rFonts w:hint="eastAsia"/>
                      <w:color w:val="auto"/>
                      <w:sz w:val="15"/>
                      <w:szCs w:val="18"/>
                    </w:rPr>
                    <w:t>66.02</w:t>
                  </w:r>
                </w:p>
              </w:tc>
              <w:tc>
                <w:tcPr>
                  <w:tcW w:w="465" w:type="pct"/>
                  <w:shd w:val="clear" w:color="auto" w:fill="auto"/>
                  <w:vAlign w:val="center"/>
                </w:tcPr>
                <w:p>
                  <w:pPr>
                    <w:jc w:val="center"/>
                    <w:rPr>
                      <w:color w:val="auto"/>
                      <w:sz w:val="15"/>
                      <w:szCs w:val="18"/>
                    </w:rPr>
                  </w:pPr>
                  <w:r>
                    <w:rPr>
                      <w:rFonts w:hint="eastAsia"/>
                      <w:color w:val="auto"/>
                      <w:sz w:val="15"/>
                      <w:szCs w:val="18"/>
                    </w:rPr>
                    <w:t>912.57</w:t>
                  </w:r>
                </w:p>
              </w:tc>
              <w:tc>
                <w:tcPr>
                  <w:tcW w:w="465" w:type="pct"/>
                  <w:shd w:val="clear" w:color="auto" w:fill="auto"/>
                  <w:vAlign w:val="center"/>
                </w:tcPr>
                <w:p>
                  <w:pPr>
                    <w:jc w:val="center"/>
                    <w:rPr>
                      <w:color w:val="auto"/>
                      <w:sz w:val="15"/>
                      <w:szCs w:val="18"/>
                    </w:rPr>
                  </w:pPr>
                  <w:r>
                    <w:rPr>
                      <w:rFonts w:hint="eastAsia"/>
                      <w:color w:val="auto"/>
                      <w:sz w:val="15"/>
                      <w:szCs w:val="18"/>
                    </w:rPr>
                    <w:t>1058.35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7" w:type="pct"/>
                  <w:shd w:val="clear" w:color="auto" w:fill="auto"/>
                  <w:vAlign w:val="center"/>
                </w:tcPr>
                <w:p>
                  <w:pPr>
                    <w:jc w:val="center"/>
                    <w:rPr>
                      <w:color w:val="auto"/>
                      <w:sz w:val="15"/>
                      <w:szCs w:val="18"/>
                    </w:rPr>
                  </w:pPr>
                  <w:r>
                    <w:rPr>
                      <w:rFonts w:hint="eastAsia"/>
                      <w:color w:val="auto"/>
                      <w:sz w:val="15"/>
                      <w:szCs w:val="18"/>
                    </w:rPr>
                    <w:t>2022年</w:t>
                  </w:r>
                </w:p>
                <w:p>
                  <w:pPr>
                    <w:jc w:val="center"/>
                    <w:rPr>
                      <w:color w:val="auto"/>
                      <w:sz w:val="15"/>
                      <w:szCs w:val="18"/>
                    </w:rPr>
                  </w:pPr>
                  <w:r>
                    <w:rPr>
                      <w:rFonts w:hint="eastAsia"/>
                      <w:color w:val="auto"/>
                      <w:sz w:val="15"/>
                      <w:szCs w:val="18"/>
                    </w:rPr>
                    <w:t>4月</w:t>
                  </w:r>
                </w:p>
              </w:tc>
              <w:tc>
                <w:tcPr>
                  <w:tcW w:w="465" w:type="pct"/>
                  <w:shd w:val="clear" w:color="auto" w:fill="auto"/>
                  <w:vAlign w:val="center"/>
                </w:tcPr>
                <w:p>
                  <w:pPr>
                    <w:jc w:val="center"/>
                    <w:rPr>
                      <w:color w:val="auto"/>
                      <w:sz w:val="15"/>
                      <w:szCs w:val="18"/>
                    </w:rPr>
                  </w:pPr>
                  <w:r>
                    <w:rPr>
                      <w:rFonts w:hint="eastAsia"/>
                      <w:color w:val="auto"/>
                      <w:sz w:val="15"/>
                      <w:szCs w:val="18"/>
                    </w:rPr>
                    <w:t>4.00</w:t>
                  </w:r>
                </w:p>
              </w:tc>
              <w:tc>
                <w:tcPr>
                  <w:tcW w:w="419" w:type="pct"/>
                  <w:shd w:val="clear" w:color="auto" w:fill="auto"/>
                  <w:vAlign w:val="center"/>
                </w:tcPr>
                <w:p>
                  <w:pPr>
                    <w:jc w:val="center"/>
                    <w:rPr>
                      <w:color w:val="auto"/>
                      <w:sz w:val="15"/>
                      <w:szCs w:val="18"/>
                    </w:rPr>
                  </w:pPr>
                  <w:r>
                    <w:rPr>
                      <w:rFonts w:hint="eastAsia"/>
                      <w:color w:val="auto"/>
                      <w:sz w:val="15"/>
                      <w:szCs w:val="18"/>
                    </w:rPr>
                    <w:t>3.99</w:t>
                  </w:r>
                </w:p>
              </w:tc>
              <w:tc>
                <w:tcPr>
                  <w:tcW w:w="420" w:type="pct"/>
                  <w:shd w:val="clear" w:color="auto" w:fill="auto"/>
                  <w:vAlign w:val="center"/>
                </w:tcPr>
                <w:p>
                  <w:pPr>
                    <w:jc w:val="center"/>
                    <w:rPr>
                      <w:color w:val="auto"/>
                      <w:sz w:val="15"/>
                      <w:szCs w:val="18"/>
                    </w:rPr>
                  </w:pPr>
                  <w:r>
                    <w:rPr>
                      <w:rFonts w:hint="eastAsia"/>
                      <w:color w:val="auto"/>
                      <w:sz w:val="15"/>
                      <w:szCs w:val="18"/>
                    </w:rPr>
                    <w:t>46.44</w:t>
                  </w:r>
                </w:p>
              </w:tc>
              <w:tc>
                <w:tcPr>
                  <w:tcW w:w="465" w:type="pct"/>
                  <w:shd w:val="clear" w:color="auto" w:fill="auto"/>
                  <w:vAlign w:val="center"/>
                </w:tcPr>
                <w:p>
                  <w:pPr>
                    <w:jc w:val="center"/>
                    <w:rPr>
                      <w:color w:val="auto"/>
                      <w:sz w:val="15"/>
                      <w:szCs w:val="18"/>
                    </w:rPr>
                  </w:pPr>
                  <w:r>
                    <w:rPr>
                      <w:rFonts w:hint="eastAsia"/>
                      <w:color w:val="auto"/>
                      <w:sz w:val="15"/>
                      <w:szCs w:val="18"/>
                    </w:rPr>
                    <w:t>37.47</w:t>
                  </w:r>
                </w:p>
              </w:tc>
              <w:tc>
                <w:tcPr>
                  <w:tcW w:w="465" w:type="pct"/>
                  <w:shd w:val="clear" w:color="auto" w:fill="auto"/>
                  <w:vAlign w:val="center"/>
                </w:tcPr>
                <w:p>
                  <w:pPr>
                    <w:jc w:val="center"/>
                    <w:rPr>
                      <w:color w:val="auto"/>
                      <w:sz w:val="15"/>
                      <w:szCs w:val="18"/>
                    </w:rPr>
                  </w:pPr>
                  <w:r>
                    <w:rPr>
                      <w:rFonts w:hint="eastAsia"/>
                      <w:color w:val="auto"/>
                      <w:sz w:val="15"/>
                      <w:szCs w:val="18"/>
                    </w:rPr>
                    <w:t>23.90</w:t>
                  </w:r>
                </w:p>
              </w:tc>
              <w:tc>
                <w:tcPr>
                  <w:tcW w:w="465" w:type="pct"/>
                  <w:shd w:val="clear" w:color="auto" w:fill="auto"/>
                  <w:vAlign w:val="center"/>
                </w:tcPr>
                <w:p>
                  <w:pPr>
                    <w:jc w:val="center"/>
                    <w:rPr>
                      <w:color w:val="auto"/>
                      <w:sz w:val="15"/>
                      <w:szCs w:val="18"/>
                    </w:rPr>
                  </w:pPr>
                  <w:r>
                    <w:rPr>
                      <w:rFonts w:hint="eastAsia"/>
                      <w:color w:val="auto"/>
                      <w:sz w:val="15"/>
                      <w:szCs w:val="18"/>
                    </w:rPr>
                    <w:t>846.98</w:t>
                  </w:r>
                </w:p>
              </w:tc>
              <w:tc>
                <w:tcPr>
                  <w:tcW w:w="465" w:type="pct"/>
                  <w:shd w:val="clear" w:color="auto" w:fill="auto"/>
                  <w:vAlign w:val="center"/>
                </w:tcPr>
                <w:p>
                  <w:pPr>
                    <w:jc w:val="center"/>
                    <w:rPr>
                      <w:color w:val="auto"/>
                      <w:sz w:val="15"/>
                      <w:szCs w:val="18"/>
                    </w:rPr>
                  </w:pPr>
                  <w:r>
                    <w:rPr>
                      <w:rFonts w:hint="eastAsia"/>
                      <w:color w:val="auto"/>
                      <w:sz w:val="15"/>
                      <w:szCs w:val="18"/>
                    </w:rPr>
                    <w:t>68.42</w:t>
                  </w:r>
                </w:p>
              </w:tc>
              <w:tc>
                <w:tcPr>
                  <w:tcW w:w="420" w:type="pct"/>
                  <w:shd w:val="clear" w:color="auto" w:fill="auto"/>
                  <w:vAlign w:val="center"/>
                </w:tcPr>
                <w:p>
                  <w:pPr>
                    <w:jc w:val="center"/>
                    <w:rPr>
                      <w:color w:val="auto"/>
                      <w:sz w:val="15"/>
                      <w:szCs w:val="18"/>
                    </w:rPr>
                  </w:pPr>
                  <w:r>
                    <w:rPr>
                      <w:rFonts w:hint="eastAsia"/>
                      <w:color w:val="auto"/>
                      <w:sz w:val="15"/>
                      <w:szCs w:val="18"/>
                    </w:rPr>
                    <w:t>59.65</w:t>
                  </w:r>
                </w:p>
              </w:tc>
              <w:tc>
                <w:tcPr>
                  <w:tcW w:w="465" w:type="pct"/>
                  <w:shd w:val="clear" w:color="auto" w:fill="auto"/>
                  <w:vAlign w:val="center"/>
                </w:tcPr>
                <w:p>
                  <w:pPr>
                    <w:jc w:val="center"/>
                    <w:rPr>
                      <w:color w:val="auto"/>
                      <w:sz w:val="15"/>
                      <w:szCs w:val="18"/>
                    </w:rPr>
                  </w:pPr>
                  <w:r>
                    <w:rPr>
                      <w:rFonts w:hint="eastAsia"/>
                      <w:color w:val="auto"/>
                      <w:sz w:val="15"/>
                      <w:szCs w:val="18"/>
                    </w:rPr>
                    <w:t>1673.24</w:t>
                  </w:r>
                </w:p>
              </w:tc>
              <w:tc>
                <w:tcPr>
                  <w:tcW w:w="465" w:type="pct"/>
                  <w:shd w:val="clear" w:color="auto" w:fill="auto"/>
                  <w:vAlign w:val="center"/>
                </w:tcPr>
                <w:p>
                  <w:pPr>
                    <w:jc w:val="center"/>
                    <w:rPr>
                      <w:color w:val="auto"/>
                      <w:sz w:val="15"/>
                      <w:szCs w:val="18"/>
                    </w:rPr>
                  </w:pPr>
                  <w:r>
                    <w:rPr>
                      <w:rFonts w:hint="eastAsia"/>
                      <w:color w:val="auto"/>
                      <w:sz w:val="15"/>
                      <w:szCs w:val="18"/>
                    </w:rPr>
                    <w:t>1733.77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7" w:type="pct"/>
                  <w:shd w:val="clear" w:color="auto" w:fill="auto"/>
                  <w:vAlign w:val="center"/>
                </w:tcPr>
                <w:p>
                  <w:pPr>
                    <w:jc w:val="center"/>
                    <w:rPr>
                      <w:color w:val="auto"/>
                      <w:sz w:val="15"/>
                      <w:szCs w:val="18"/>
                    </w:rPr>
                  </w:pPr>
                  <w:r>
                    <w:rPr>
                      <w:rFonts w:hint="eastAsia"/>
                      <w:color w:val="auto"/>
                      <w:sz w:val="15"/>
                      <w:szCs w:val="18"/>
                    </w:rPr>
                    <w:t>2022年</w:t>
                  </w:r>
                </w:p>
                <w:p>
                  <w:pPr>
                    <w:jc w:val="center"/>
                    <w:rPr>
                      <w:color w:val="auto"/>
                      <w:sz w:val="15"/>
                      <w:szCs w:val="18"/>
                    </w:rPr>
                  </w:pPr>
                  <w:r>
                    <w:rPr>
                      <w:rFonts w:hint="eastAsia"/>
                      <w:color w:val="auto"/>
                      <w:sz w:val="15"/>
                      <w:szCs w:val="18"/>
                    </w:rPr>
                    <w:t>5月</w:t>
                  </w:r>
                </w:p>
              </w:tc>
              <w:tc>
                <w:tcPr>
                  <w:tcW w:w="465" w:type="pct"/>
                  <w:shd w:val="clear" w:color="auto" w:fill="auto"/>
                  <w:vAlign w:val="center"/>
                </w:tcPr>
                <w:p>
                  <w:pPr>
                    <w:jc w:val="center"/>
                    <w:rPr>
                      <w:color w:val="auto"/>
                      <w:sz w:val="15"/>
                      <w:szCs w:val="18"/>
                    </w:rPr>
                  </w:pPr>
                  <w:r>
                    <w:rPr>
                      <w:rFonts w:hint="eastAsia"/>
                      <w:color w:val="auto"/>
                      <w:sz w:val="15"/>
                      <w:szCs w:val="18"/>
                    </w:rPr>
                    <w:t>7.96</w:t>
                  </w:r>
                </w:p>
              </w:tc>
              <w:tc>
                <w:tcPr>
                  <w:tcW w:w="419" w:type="pct"/>
                  <w:shd w:val="clear" w:color="auto" w:fill="auto"/>
                  <w:vAlign w:val="center"/>
                </w:tcPr>
                <w:p>
                  <w:pPr>
                    <w:jc w:val="center"/>
                    <w:rPr>
                      <w:color w:val="auto"/>
                      <w:sz w:val="15"/>
                      <w:szCs w:val="18"/>
                    </w:rPr>
                  </w:pPr>
                  <w:r>
                    <w:rPr>
                      <w:rFonts w:hint="eastAsia"/>
                      <w:color w:val="auto"/>
                      <w:sz w:val="15"/>
                      <w:szCs w:val="18"/>
                    </w:rPr>
                    <w:t>7.72</w:t>
                  </w:r>
                </w:p>
              </w:tc>
              <w:tc>
                <w:tcPr>
                  <w:tcW w:w="420" w:type="pct"/>
                  <w:shd w:val="clear" w:color="auto" w:fill="auto"/>
                  <w:vAlign w:val="center"/>
                </w:tcPr>
                <w:p>
                  <w:pPr>
                    <w:jc w:val="center"/>
                    <w:rPr>
                      <w:color w:val="auto"/>
                      <w:sz w:val="15"/>
                      <w:szCs w:val="18"/>
                    </w:rPr>
                  </w:pPr>
                  <w:r>
                    <w:rPr>
                      <w:rFonts w:hint="eastAsia"/>
                      <w:color w:val="auto"/>
                      <w:sz w:val="15"/>
                      <w:szCs w:val="18"/>
                    </w:rPr>
                    <w:t>152.63</w:t>
                  </w:r>
                </w:p>
              </w:tc>
              <w:tc>
                <w:tcPr>
                  <w:tcW w:w="465" w:type="pct"/>
                  <w:shd w:val="clear" w:color="auto" w:fill="auto"/>
                  <w:vAlign w:val="center"/>
                </w:tcPr>
                <w:p>
                  <w:pPr>
                    <w:jc w:val="center"/>
                    <w:rPr>
                      <w:color w:val="auto"/>
                      <w:sz w:val="15"/>
                      <w:szCs w:val="18"/>
                    </w:rPr>
                  </w:pPr>
                  <w:r>
                    <w:rPr>
                      <w:rFonts w:hint="eastAsia"/>
                      <w:color w:val="auto"/>
                      <w:sz w:val="15"/>
                      <w:szCs w:val="18"/>
                    </w:rPr>
                    <w:t>308.20</w:t>
                  </w:r>
                </w:p>
              </w:tc>
              <w:tc>
                <w:tcPr>
                  <w:tcW w:w="465" w:type="pct"/>
                  <w:shd w:val="clear" w:color="auto" w:fill="auto"/>
                  <w:vAlign w:val="center"/>
                </w:tcPr>
                <w:p>
                  <w:pPr>
                    <w:jc w:val="center"/>
                    <w:rPr>
                      <w:color w:val="auto"/>
                      <w:sz w:val="15"/>
                      <w:szCs w:val="18"/>
                    </w:rPr>
                  </w:pPr>
                  <w:r>
                    <w:rPr>
                      <w:rFonts w:hint="eastAsia"/>
                      <w:color w:val="auto"/>
                      <w:sz w:val="15"/>
                      <w:szCs w:val="18"/>
                    </w:rPr>
                    <w:t>285.70</w:t>
                  </w:r>
                </w:p>
              </w:tc>
              <w:tc>
                <w:tcPr>
                  <w:tcW w:w="465" w:type="pct"/>
                  <w:shd w:val="clear" w:color="auto" w:fill="auto"/>
                  <w:vAlign w:val="center"/>
                </w:tcPr>
                <w:p>
                  <w:pPr>
                    <w:jc w:val="center"/>
                    <w:rPr>
                      <w:color w:val="auto"/>
                      <w:sz w:val="15"/>
                      <w:szCs w:val="18"/>
                    </w:rPr>
                  </w:pPr>
                  <w:r>
                    <w:rPr>
                      <w:rFonts w:hint="eastAsia"/>
                      <w:color w:val="auto"/>
                      <w:sz w:val="15"/>
                      <w:szCs w:val="18"/>
                    </w:rPr>
                    <w:t>6634.88</w:t>
                  </w:r>
                </w:p>
              </w:tc>
              <w:tc>
                <w:tcPr>
                  <w:tcW w:w="465" w:type="pct"/>
                  <w:shd w:val="clear" w:color="auto" w:fill="auto"/>
                  <w:vAlign w:val="center"/>
                </w:tcPr>
                <w:p>
                  <w:pPr>
                    <w:jc w:val="center"/>
                    <w:rPr>
                      <w:color w:val="auto"/>
                      <w:sz w:val="15"/>
                      <w:szCs w:val="18"/>
                    </w:rPr>
                  </w:pPr>
                  <w:r>
                    <w:rPr>
                      <w:rFonts w:hint="eastAsia"/>
                      <w:color w:val="auto"/>
                      <w:sz w:val="15"/>
                      <w:szCs w:val="18"/>
                    </w:rPr>
                    <w:t>40.35</w:t>
                  </w:r>
                </w:p>
              </w:tc>
              <w:tc>
                <w:tcPr>
                  <w:tcW w:w="420" w:type="pct"/>
                  <w:shd w:val="clear" w:color="auto" w:fill="auto"/>
                  <w:vAlign w:val="center"/>
                </w:tcPr>
                <w:p>
                  <w:pPr>
                    <w:jc w:val="center"/>
                    <w:rPr>
                      <w:color w:val="auto"/>
                      <w:sz w:val="15"/>
                      <w:szCs w:val="18"/>
                    </w:rPr>
                  </w:pPr>
                  <w:r>
                    <w:rPr>
                      <w:rFonts w:hint="eastAsia"/>
                      <w:color w:val="auto"/>
                      <w:sz w:val="15"/>
                      <w:szCs w:val="18"/>
                    </w:rPr>
                    <w:t>36.55</w:t>
                  </w:r>
                </w:p>
              </w:tc>
              <w:tc>
                <w:tcPr>
                  <w:tcW w:w="465" w:type="pct"/>
                  <w:shd w:val="clear" w:color="auto" w:fill="auto"/>
                  <w:vAlign w:val="center"/>
                </w:tcPr>
                <w:p>
                  <w:pPr>
                    <w:jc w:val="center"/>
                    <w:rPr>
                      <w:color w:val="auto"/>
                      <w:sz w:val="15"/>
                      <w:szCs w:val="18"/>
                    </w:rPr>
                  </w:pPr>
                  <w:r>
                    <w:rPr>
                      <w:rFonts w:hint="eastAsia"/>
                      <w:color w:val="auto"/>
                      <w:sz w:val="15"/>
                      <w:szCs w:val="18"/>
                    </w:rPr>
                    <w:t>758.70</w:t>
                  </w:r>
                </w:p>
              </w:tc>
              <w:tc>
                <w:tcPr>
                  <w:tcW w:w="465" w:type="pct"/>
                  <w:shd w:val="clear" w:color="auto" w:fill="auto"/>
                  <w:vAlign w:val="center"/>
                </w:tcPr>
                <w:p>
                  <w:pPr>
                    <w:jc w:val="center"/>
                    <w:rPr>
                      <w:color w:val="auto"/>
                      <w:sz w:val="15"/>
                      <w:szCs w:val="18"/>
                    </w:rPr>
                  </w:pPr>
                  <w:r>
                    <w:rPr>
                      <w:rFonts w:hint="eastAsia"/>
                      <w:color w:val="auto"/>
                      <w:sz w:val="15"/>
                      <w:szCs w:val="18"/>
                    </w:rPr>
                    <w:t>1610.31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7" w:type="pct"/>
                  <w:shd w:val="clear" w:color="auto" w:fill="auto"/>
                </w:tcPr>
                <w:p>
                  <w:pPr>
                    <w:jc w:val="center"/>
                    <w:rPr>
                      <w:color w:val="auto"/>
                      <w:sz w:val="15"/>
                      <w:szCs w:val="18"/>
                    </w:rPr>
                  </w:pPr>
                  <w:r>
                    <w:rPr>
                      <w:rFonts w:hint="eastAsia"/>
                      <w:color w:val="auto"/>
                      <w:sz w:val="15"/>
                      <w:szCs w:val="18"/>
                    </w:rPr>
                    <w:t>2022年</w:t>
                  </w:r>
                </w:p>
                <w:p>
                  <w:pPr>
                    <w:jc w:val="center"/>
                    <w:rPr>
                      <w:color w:val="auto"/>
                      <w:sz w:val="15"/>
                    </w:rPr>
                  </w:pPr>
                  <w:r>
                    <w:rPr>
                      <w:rFonts w:hint="eastAsia"/>
                      <w:color w:val="auto"/>
                      <w:sz w:val="15"/>
                      <w:szCs w:val="18"/>
                    </w:rPr>
                    <w:t>6月</w:t>
                  </w:r>
                </w:p>
              </w:tc>
              <w:tc>
                <w:tcPr>
                  <w:tcW w:w="465" w:type="pct"/>
                  <w:shd w:val="clear" w:color="auto" w:fill="auto"/>
                  <w:vAlign w:val="center"/>
                </w:tcPr>
                <w:p>
                  <w:pPr>
                    <w:jc w:val="center"/>
                    <w:rPr>
                      <w:color w:val="auto"/>
                      <w:sz w:val="15"/>
                      <w:szCs w:val="18"/>
                    </w:rPr>
                  </w:pPr>
                  <w:r>
                    <w:rPr>
                      <w:rFonts w:hint="eastAsia"/>
                      <w:color w:val="auto"/>
                      <w:sz w:val="15"/>
                      <w:szCs w:val="18"/>
                    </w:rPr>
                    <w:t>11.29</w:t>
                  </w:r>
                </w:p>
              </w:tc>
              <w:tc>
                <w:tcPr>
                  <w:tcW w:w="419" w:type="pct"/>
                  <w:shd w:val="clear" w:color="auto" w:fill="auto"/>
                  <w:vAlign w:val="center"/>
                </w:tcPr>
                <w:p>
                  <w:pPr>
                    <w:jc w:val="center"/>
                    <w:rPr>
                      <w:color w:val="auto"/>
                      <w:sz w:val="15"/>
                      <w:szCs w:val="18"/>
                    </w:rPr>
                  </w:pPr>
                  <w:r>
                    <w:rPr>
                      <w:rFonts w:hint="eastAsia"/>
                      <w:color w:val="auto"/>
                      <w:sz w:val="15"/>
                      <w:szCs w:val="18"/>
                    </w:rPr>
                    <w:t>9.36</w:t>
                  </w:r>
                </w:p>
              </w:tc>
              <w:tc>
                <w:tcPr>
                  <w:tcW w:w="420" w:type="pct"/>
                  <w:shd w:val="clear" w:color="auto" w:fill="auto"/>
                  <w:vAlign w:val="center"/>
                </w:tcPr>
                <w:p>
                  <w:pPr>
                    <w:jc w:val="center"/>
                    <w:rPr>
                      <w:color w:val="auto"/>
                      <w:sz w:val="15"/>
                      <w:szCs w:val="18"/>
                    </w:rPr>
                  </w:pPr>
                  <w:r>
                    <w:rPr>
                      <w:rFonts w:hint="eastAsia"/>
                      <w:color w:val="auto"/>
                      <w:sz w:val="15"/>
                      <w:szCs w:val="18"/>
                    </w:rPr>
                    <w:t>108.70</w:t>
                  </w:r>
                </w:p>
              </w:tc>
              <w:tc>
                <w:tcPr>
                  <w:tcW w:w="465" w:type="pct"/>
                  <w:shd w:val="clear" w:color="auto" w:fill="auto"/>
                  <w:vAlign w:val="center"/>
                </w:tcPr>
                <w:p>
                  <w:pPr>
                    <w:jc w:val="center"/>
                    <w:rPr>
                      <w:color w:val="auto"/>
                      <w:sz w:val="15"/>
                      <w:szCs w:val="18"/>
                    </w:rPr>
                  </w:pPr>
                  <w:r>
                    <w:rPr>
                      <w:rFonts w:hint="eastAsia"/>
                      <w:color w:val="auto"/>
                      <w:sz w:val="15"/>
                      <w:szCs w:val="18"/>
                    </w:rPr>
                    <w:t>185.35</w:t>
                  </w:r>
                </w:p>
              </w:tc>
              <w:tc>
                <w:tcPr>
                  <w:tcW w:w="465" w:type="pct"/>
                  <w:shd w:val="clear" w:color="auto" w:fill="auto"/>
                  <w:vAlign w:val="center"/>
                </w:tcPr>
                <w:p>
                  <w:pPr>
                    <w:jc w:val="center"/>
                    <w:rPr>
                      <w:color w:val="auto"/>
                      <w:sz w:val="15"/>
                      <w:szCs w:val="18"/>
                    </w:rPr>
                  </w:pPr>
                  <w:r>
                    <w:rPr>
                      <w:rFonts w:hint="eastAsia"/>
                      <w:color w:val="auto"/>
                      <w:sz w:val="15"/>
                      <w:szCs w:val="18"/>
                    </w:rPr>
                    <w:t>133.70</w:t>
                  </w:r>
                </w:p>
              </w:tc>
              <w:tc>
                <w:tcPr>
                  <w:tcW w:w="465" w:type="pct"/>
                  <w:shd w:val="clear" w:color="auto" w:fill="auto"/>
                  <w:vAlign w:val="center"/>
                </w:tcPr>
                <w:p>
                  <w:pPr>
                    <w:jc w:val="center"/>
                    <w:rPr>
                      <w:color w:val="auto"/>
                      <w:sz w:val="15"/>
                      <w:szCs w:val="18"/>
                    </w:rPr>
                  </w:pPr>
                  <w:r>
                    <w:rPr>
                      <w:rFonts w:hint="eastAsia"/>
                      <w:color w:val="auto"/>
                      <w:sz w:val="15"/>
                      <w:szCs w:val="18"/>
                    </w:rPr>
                    <w:t>1608.97</w:t>
                  </w:r>
                </w:p>
              </w:tc>
              <w:tc>
                <w:tcPr>
                  <w:tcW w:w="465" w:type="pct"/>
                  <w:shd w:val="clear" w:color="auto" w:fill="auto"/>
                  <w:vAlign w:val="center"/>
                </w:tcPr>
                <w:p>
                  <w:pPr>
                    <w:jc w:val="center"/>
                    <w:rPr>
                      <w:color w:val="auto"/>
                      <w:sz w:val="15"/>
                      <w:szCs w:val="18"/>
                    </w:rPr>
                  </w:pPr>
                  <w:r>
                    <w:rPr>
                      <w:rFonts w:hint="eastAsia"/>
                      <w:color w:val="auto"/>
                      <w:sz w:val="15"/>
                      <w:szCs w:val="18"/>
                    </w:rPr>
                    <w:t>51.82</w:t>
                  </w:r>
                </w:p>
              </w:tc>
              <w:tc>
                <w:tcPr>
                  <w:tcW w:w="420" w:type="pct"/>
                  <w:shd w:val="clear" w:color="auto" w:fill="auto"/>
                  <w:vAlign w:val="center"/>
                </w:tcPr>
                <w:p>
                  <w:pPr>
                    <w:jc w:val="center"/>
                    <w:rPr>
                      <w:color w:val="auto"/>
                      <w:sz w:val="15"/>
                      <w:szCs w:val="18"/>
                    </w:rPr>
                  </w:pPr>
                  <w:r>
                    <w:rPr>
                      <w:rFonts w:hint="eastAsia"/>
                      <w:color w:val="auto"/>
                      <w:sz w:val="15"/>
                      <w:szCs w:val="18"/>
                    </w:rPr>
                    <w:t>29.77</w:t>
                  </w:r>
                </w:p>
              </w:tc>
              <w:tc>
                <w:tcPr>
                  <w:tcW w:w="465" w:type="pct"/>
                  <w:shd w:val="clear" w:color="auto" w:fill="auto"/>
                  <w:vAlign w:val="center"/>
                </w:tcPr>
                <w:p>
                  <w:pPr>
                    <w:jc w:val="center"/>
                    <w:rPr>
                      <w:color w:val="auto"/>
                      <w:sz w:val="15"/>
                      <w:szCs w:val="18"/>
                    </w:rPr>
                  </w:pPr>
                  <w:r>
                    <w:rPr>
                      <w:rFonts w:hint="eastAsia"/>
                      <w:color w:val="auto"/>
                      <w:sz w:val="15"/>
                      <w:szCs w:val="18"/>
                    </w:rPr>
                    <w:t>360.84</w:t>
                  </w:r>
                </w:p>
              </w:tc>
              <w:tc>
                <w:tcPr>
                  <w:tcW w:w="465" w:type="pct"/>
                  <w:shd w:val="clear" w:color="auto" w:fill="auto"/>
                  <w:vAlign w:val="center"/>
                </w:tcPr>
                <w:p>
                  <w:pPr>
                    <w:jc w:val="center"/>
                    <w:rPr>
                      <w:color w:val="auto"/>
                      <w:sz w:val="15"/>
                      <w:szCs w:val="18"/>
                    </w:rPr>
                  </w:pPr>
                  <w:r>
                    <w:rPr>
                      <w:rFonts w:hint="eastAsia"/>
                      <w:color w:val="auto"/>
                      <w:sz w:val="15"/>
                      <w:szCs w:val="18"/>
                    </w:rPr>
                    <w:t>915.88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7" w:type="pct"/>
                  <w:shd w:val="clear" w:color="auto" w:fill="auto"/>
                </w:tcPr>
                <w:p>
                  <w:pPr>
                    <w:jc w:val="center"/>
                    <w:rPr>
                      <w:color w:val="auto"/>
                      <w:sz w:val="15"/>
                      <w:szCs w:val="18"/>
                    </w:rPr>
                  </w:pPr>
                  <w:r>
                    <w:rPr>
                      <w:rFonts w:hint="eastAsia"/>
                      <w:color w:val="auto"/>
                      <w:sz w:val="15"/>
                      <w:szCs w:val="18"/>
                    </w:rPr>
                    <w:t>2022年</w:t>
                  </w:r>
                </w:p>
                <w:p>
                  <w:pPr>
                    <w:jc w:val="center"/>
                    <w:rPr>
                      <w:color w:val="auto"/>
                      <w:sz w:val="15"/>
                    </w:rPr>
                  </w:pPr>
                  <w:r>
                    <w:rPr>
                      <w:rFonts w:hint="eastAsia"/>
                      <w:color w:val="auto"/>
                      <w:sz w:val="15"/>
                      <w:szCs w:val="18"/>
                    </w:rPr>
                    <w:t>7月</w:t>
                  </w:r>
                </w:p>
              </w:tc>
              <w:tc>
                <w:tcPr>
                  <w:tcW w:w="465" w:type="pct"/>
                  <w:shd w:val="clear" w:color="auto" w:fill="auto"/>
                  <w:vAlign w:val="center"/>
                </w:tcPr>
                <w:p>
                  <w:pPr>
                    <w:jc w:val="center"/>
                    <w:rPr>
                      <w:color w:val="auto"/>
                      <w:sz w:val="15"/>
                      <w:szCs w:val="18"/>
                    </w:rPr>
                  </w:pPr>
                  <w:r>
                    <w:rPr>
                      <w:rFonts w:hint="eastAsia"/>
                      <w:color w:val="auto"/>
                      <w:sz w:val="15"/>
                      <w:szCs w:val="18"/>
                    </w:rPr>
                    <w:t>12.84</w:t>
                  </w:r>
                </w:p>
              </w:tc>
              <w:tc>
                <w:tcPr>
                  <w:tcW w:w="419" w:type="pct"/>
                  <w:shd w:val="clear" w:color="auto" w:fill="auto"/>
                  <w:vAlign w:val="center"/>
                </w:tcPr>
                <w:p>
                  <w:pPr>
                    <w:jc w:val="center"/>
                    <w:rPr>
                      <w:color w:val="auto"/>
                      <w:sz w:val="15"/>
                      <w:szCs w:val="18"/>
                    </w:rPr>
                  </w:pPr>
                  <w:r>
                    <w:rPr>
                      <w:rFonts w:hint="eastAsia"/>
                      <w:color w:val="auto"/>
                      <w:sz w:val="15"/>
                      <w:szCs w:val="18"/>
                    </w:rPr>
                    <w:t>9.87</w:t>
                  </w:r>
                </w:p>
              </w:tc>
              <w:tc>
                <w:tcPr>
                  <w:tcW w:w="420" w:type="pct"/>
                  <w:shd w:val="clear" w:color="auto" w:fill="auto"/>
                  <w:vAlign w:val="center"/>
                </w:tcPr>
                <w:p>
                  <w:pPr>
                    <w:jc w:val="center"/>
                    <w:rPr>
                      <w:color w:val="auto"/>
                      <w:sz w:val="15"/>
                      <w:szCs w:val="18"/>
                    </w:rPr>
                  </w:pPr>
                  <w:r>
                    <w:rPr>
                      <w:rFonts w:hint="eastAsia"/>
                      <w:color w:val="auto"/>
                      <w:sz w:val="15"/>
                      <w:szCs w:val="18"/>
                    </w:rPr>
                    <w:t>98.80</w:t>
                  </w:r>
                </w:p>
              </w:tc>
              <w:tc>
                <w:tcPr>
                  <w:tcW w:w="465" w:type="pct"/>
                  <w:shd w:val="clear" w:color="auto" w:fill="auto"/>
                  <w:vAlign w:val="center"/>
                </w:tcPr>
                <w:p>
                  <w:pPr>
                    <w:jc w:val="center"/>
                    <w:rPr>
                      <w:color w:val="auto"/>
                      <w:sz w:val="15"/>
                      <w:szCs w:val="18"/>
                    </w:rPr>
                  </w:pPr>
                  <w:r>
                    <w:rPr>
                      <w:rFonts w:hint="eastAsia"/>
                      <w:color w:val="auto"/>
                      <w:sz w:val="15"/>
                      <w:szCs w:val="18"/>
                    </w:rPr>
                    <w:t>125.55</w:t>
                  </w:r>
                </w:p>
              </w:tc>
              <w:tc>
                <w:tcPr>
                  <w:tcW w:w="465" w:type="pct"/>
                  <w:shd w:val="clear" w:color="auto" w:fill="auto"/>
                  <w:vAlign w:val="center"/>
                </w:tcPr>
                <w:p>
                  <w:pPr>
                    <w:jc w:val="center"/>
                    <w:rPr>
                      <w:color w:val="auto"/>
                      <w:sz w:val="15"/>
                      <w:szCs w:val="18"/>
                    </w:rPr>
                  </w:pPr>
                  <w:r>
                    <w:rPr>
                      <w:rFonts w:hint="eastAsia"/>
                      <w:color w:val="auto"/>
                      <w:sz w:val="15"/>
                      <w:szCs w:val="18"/>
                    </w:rPr>
                    <w:t>77.58</w:t>
                  </w:r>
                </w:p>
              </w:tc>
              <w:tc>
                <w:tcPr>
                  <w:tcW w:w="465" w:type="pct"/>
                  <w:shd w:val="clear" w:color="auto" w:fill="auto"/>
                  <w:vAlign w:val="center"/>
                </w:tcPr>
                <w:p>
                  <w:pPr>
                    <w:jc w:val="center"/>
                    <w:rPr>
                      <w:color w:val="auto"/>
                      <w:sz w:val="15"/>
                      <w:szCs w:val="18"/>
                    </w:rPr>
                  </w:pPr>
                  <w:r>
                    <w:rPr>
                      <w:rFonts w:hint="eastAsia"/>
                      <w:color w:val="auto"/>
                      <w:sz w:val="15"/>
                      <w:szCs w:val="18"/>
                    </w:rPr>
                    <w:t>893.25</w:t>
                  </w:r>
                </w:p>
              </w:tc>
              <w:tc>
                <w:tcPr>
                  <w:tcW w:w="465" w:type="pct"/>
                  <w:shd w:val="clear" w:color="auto" w:fill="auto"/>
                  <w:vAlign w:val="center"/>
                </w:tcPr>
                <w:p>
                  <w:pPr>
                    <w:jc w:val="center"/>
                    <w:rPr>
                      <w:color w:val="auto"/>
                      <w:sz w:val="15"/>
                      <w:szCs w:val="18"/>
                    </w:rPr>
                  </w:pPr>
                  <w:r>
                    <w:rPr>
                      <w:rFonts w:hint="eastAsia"/>
                      <w:color w:val="auto"/>
                      <w:sz w:val="15"/>
                      <w:szCs w:val="18"/>
                    </w:rPr>
                    <w:t>59.35</w:t>
                  </w:r>
                </w:p>
              </w:tc>
              <w:tc>
                <w:tcPr>
                  <w:tcW w:w="420" w:type="pct"/>
                  <w:shd w:val="clear" w:color="auto" w:fill="auto"/>
                  <w:vAlign w:val="center"/>
                </w:tcPr>
                <w:p>
                  <w:pPr>
                    <w:jc w:val="center"/>
                    <w:rPr>
                      <w:color w:val="auto"/>
                      <w:sz w:val="15"/>
                      <w:szCs w:val="18"/>
                    </w:rPr>
                  </w:pPr>
                  <w:r>
                    <w:rPr>
                      <w:rFonts w:hint="eastAsia"/>
                      <w:color w:val="auto"/>
                      <w:sz w:val="15"/>
                      <w:szCs w:val="18"/>
                    </w:rPr>
                    <w:t>37.51</w:t>
                  </w:r>
                </w:p>
              </w:tc>
              <w:tc>
                <w:tcPr>
                  <w:tcW w:w="465" w:type="pct"/>
                  <w:shd w:val="clear" w:color="auto" w:fill="auto"/>
                  <w:vAlign w:val="center"/>
                </w:tcPr>
                <w:p>
                  <w:pPr>
                    <w:jc w:val="center"/>
                    <w:rPr>
                      <w:color w:val="auto"/>
                      <w:sz w:val="15"/>
                      <w:szCs w:val="18"/>
                    </w:rPr>
                  </w:pPr>
                  <w:r>
                    <w:rPr>
                      <w:rFonts w:hint="eastAsia"/>
                      <w:color w:val="auto"/>
                      <w:sz w:val="15"/>
                      <w:szCs w:val="18"/>
                    </w:rPr>
                    <w:t>457.47</w:t>
                  </w:r>
                </w:p>
              </w:tc>
              <w:tc>
                <w:tcPr>
                  <w:tcW w:w="465" w:type="pct"/>
                  <w:shd w:val="clear" w:color="auto" w:fill="auto"/>
                  <w:vAlign w:val="center"/>
                </w:tcPr>
                <w:p>
                  <w:pPr>
                    <w:jc w:val="center"/>
                    <w:rPr>
                      <w:color w:val="auto"/>
                      <w:sz w:val="15"/>
                      <w:szCs w:val="18"/>
                    </w:rPr>
                  </w:pPr>
                  <w:r>
                    <w:rPr>
                      <w:rFonts w:hint="eastAsia"/>
                      <w:color w:val="auto"/>
                      <w:sz w:val="15"/>
                      <w:szCs w:val="18"/>
                    </w:rPr>
                    <w:t>761.26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7" w:type="pct"/>
                  <w:shd w:val="clear" w:color="auto" w:fill="auto"/>
                </w:tcPr>
                <w:p>
                  <w:pPr>
                    <w:jc w:val="center"/>
                    <w:rPr>
                      <w:color w:val="auto"/>
                      <w:sz w:val="15"/>
                      <w:szCs w:val="18"/>
                    </w:rPr>
                  </w:pPr>
                  <w:r>
                    <w:rPr>
                      <w:rFonts w:hint="eastAsia"/>
                      <w:color w:val="auto"/>
                      <w:sz w:val="15"/>
                      <w:szCs w:val="18"/>
                    </w:rPr>
                    <w:t>2022年</w:t>
                  </w:r>
                </w:p>
                <w:p>
                  <w:pPr>
                    <w:jc w:val="center"/>
                    <w:rPr>
                      <w:color w:val="auto"/>
                      <w:sz w:val="15"/>
                    </w:rPr>
                  </w:pPr>
                  <w:r>
                    <w:rPr>
                      <w:rFonts w:hint="eastAsia"/>
                      <w:color w:val="auto"/>
                      <w:sz w:val="15"/>
                      <w:szCs w:val="18"/>
                    </w:rPr>
                    <w:t>8月</w:t>
                  </w:r>
                </w:p>
              </w:tc>
              <w:tc>
                <w:tcPr>
                  <w:tcW w:w="465" w:type="pct"/>
                  <w:shd w:val="clear" w:color="auto" w:fill="auto"/>
                  <w:vAlign w:val="center"/>
                </w:tcPr>
                <w:p>
                  <w:pPr>
                    <w:jc w:val="center"/>
                    <w:rPr>
                      <w:color w:val="auto"/>
                      <w:sz w:val="15"/>
                      <w:szCs w:val="18"/>
                    </w:rPr>
                  </w:pPr>
                  <w:r>
                    <w:rPr>
                      <w:rFonts w:hint="eastAsia"/>
                      <w:color w:val="auto"/>
                      <w:sz w:val="15"/>
                      <w:szCs w:val="18"/>
                    </w:rPr>
                    <w:t>14.03</w:t>
                  </w:r>
                </w:p>
              </w:tc>
              <w:tc>
                <w:tcPr>
                  <w:tcW w:w="419" w:type="pct"/>
                  <w:shd w:val="clear" w:color="auto" w:fill="auto"/>
                  <w:vAlign w:val="center"/>
                </w:tcPr>
                <w:p>
                  <w:pPr>
                    <w:jc w:val="center"/>
                    <w:rPr>
                      <w:color w:val="auto"/>
                      <w:sz w:val="15"/>
                      <w:szCs w:val="18"/>
                    </w:rPr>
                  </w:pPr>
                  <w:r>
                    <w:rPr>
                      <w:rFonts w:hint="eastAsia"/>
                      <w:color w:val="auto"/>
                      <w:sz w:val="15"/>
                      <w:szCs w:val="18"/>
                    </w:rPr>
                    <w:t>12.38</w:t>
                  </w:r>
                </w:p>
              </w:tc>
              <w:tc>
                <w:tcPr>
                  <w:tcW w:w="420" w:type="pct"/>
                  <w:shd w:val="clear" w:color="auto" w:fill="auto"/>
                  <w:vAlign w:val="center"/>
                </w:tcPr>
                <w:p>
                  <w:pPr>
                    <w:jc w:val="center"/>
                    <w:rPr>
                      <w:color w:val="auto"/>
                      <w:sz w:val="15"/>
                      <w:szCs w:val="18"/>
                    </w:rPr>
                  </w:pPr>
                  <w:r>
                    <w:rPr>
                      <w:rFonts w:hint="eastAsia"/>
                      <w:color w:val="auto"/>
                      <w:sz w:val="15"/>
                      <w:szCs w:val="18"/>
                    </w:rPr>
                    <w:t>83.58</w:t>
                  </w:r>
                </w:p>
              </w:tc>
              <w:tc>
                <w:tcPr>
                  <w:tcW w:w="465" w:type="pct"/>
                  <w:shd w:val="clear" w:color="auto" w:fill="auto"/>
                  <w:vAlign w:val="center"/>
                </w:tcPr>
                <w:p>
                  <w:pPr>
                    <w:jc w:val="center"/>
                    <w:rPr>
                      <w:color w:val="auto"/>
                      <w:sz w:val="15"/>
                      <w:szCs w:val="18"/>
                    </w:rPr>
                  </w:pPr>
                  <w:r>
                    <w:rPr>
                      <w:rFonts w:hint="eastAsia"/>
                      <w:color w:val="auto"/>
                      <w:sz w:val="15"/>
                      <w:szCs w:val="18"/>
                    </w:rPr>
                    <w:t>57.16</w:t>
                  </w:r>
                </w:p>
              </w:tc>
              <w:tc>
                <w:tcPr>
                  <w:tcW w:w="465" w:type="pct"/>
                  <w:shd w:val="clear" w:color="auto" w:fill="auto"/>
                  <w:vAlign w:val="center"/>
                </w:tcPr>
                <w:p>
                  <w:pPr>
                    <w:jc w:val="center"/>
                    <w:rPr>
                      <w:color w:val="auto"/>
                      <w:sz w:val="15"/>
                      <w:szCs w:val="18"/>
                    </w:rPr>
                  </w:pPr>
                  <w:r>
                    <w:rPr>
                      <w:rFonts w:hint="eastAsia"/>
                      <w:color w:val="auto"/>
                      <w:sz w:val="15"/>
                      <w:szCs w:val="18"/>
                    </w:rPr>
                    <w:t>41.14</w:t>
                  </w:r>
                </w:p>
              </w:tc>
              <w:tc>
                <w:tcPr>
                  <w:tcW w:w="465" w:type="pct"/>
                  <w:shd w:val="clear" w:color="auto" w:fill="auto"/>
                  <w:vAlign w:val="center"/>
                </w:tcPr>
                <w:p>
                  <w:pPr>
                    <w:jc w:val="center"/>
                    <w:rPr>
                      <w:color w:val="auto"/>
                      <w:sz w:val="15"/>
                      <w:szCs w:val="18"/>
                    </w:rPr>
                  </w:pPr>
                  <w:r>
                    <w:rPr>
                      <w:rFonts w:hint="eastAsia"/>
                      <w:color w:val="auto"/>
                      <w:sz w:val="15"/>
                      <w:szCs w:val="18"/>
                    </w:rPr>
                    <w:t>346.05</w:t>
                  </w:r>
                </w:p>
              </w:tc>
              <w:tc>
                <w:tcPr>
                  <w:tcW w:w="465" w:type="pct"/>
                  <w:shd w:val="clear" w:color="auto" w:fill="auto"/>
                  <w:vAlign w:val="center"/>
                </w:tcPr>
                <w:p>
                  <w:pPr>
                    <w:jc w:val="center"/>
                    <w:rPr>
                      <w:color w:val="auto"/>
                      <w:sz w:val="15"/>
                      <w:szCs w:val="18"/>
                    </w:rPr>
                  </w:pPr>
                  <w:r>
                    <w:rPr>
                      <w:rFonts w:hint="eastAsia"/>
                      <w:color w:val="auto"/>
                      <w:sz w:val="15"/>
                      <w:szCs w:val="18"/>
                    </w:rPr>
                    <w:t>28.08</w:t>
                  </w:r>
                </w:p>
              </w:tc>
              <w:tc>
                <w:tcPr>
                  <w:tcW w:w="420" w:type="pct"/>
                  <w:shd w:val="clear" w:color="auto" w:fill="auto"/>
                  <w:vAlign w:val="center"/>
                </w:tcPr>
                <w:p>
                  <w:pPr>
                    <w:jc w:val="center"/>
                    <w:rPr>
                      <w:color w:val="auto"/>
                      <w:sz w:val="15"/>
                      <w:szCs w:val="18"/>
                    </w:rPr>
                  </w:pPr>
                  <w:r>
                    <w:rPr>
                      <w:rFonts w:hint="eastAsia"/>
                      <w:color w:val="auto"/>
                      <w:sz w:val="15"/>
                      <w:szCs w:val="18"/>
                    </w:rPr>
                    <w:t>19.35</w:t>
                  </w:r>
                </w:p>
              </w:tc>
              <w:tc>
                <w:tcPr>
                  <w:tcW w:w="465" w:type="pct"/>
                  <w:shd w:val="clear" w:color="auto" w:fill="auto"/>
                  <w:vAlign w:val="center"/>
                </w:tcPr>
                <w:p>
                  <w:pPr>
                    <w:jc w:val="center"/>
                    <w:rPr>
                      <w:color w:val="auto"/>
                      <w:sz w:val="15"/>
                      <w:szCs w:val="18"/>
                    </w:rPr>
                  </w:pPr>
                  <w:r>
                    <w:rPr>
                      <w:rFonts w:hint="eastAsia"/>
                      <w:color w:val="auto"/>
                      <w:sz w:val="15"/>
                      <w:szCs w:val="18"/>
                    </w:rPr>
                    <w:t>172.17</w:t>
                  </w:r>
                </w:p>
              </w:tc>
              <w:tc>
                <w:tcPr>
                  <w:tcW w:w="465" w:type="pct"/>
                  <w:shd w:val="clear" w:color="auto" w:fill="auto"/>
                  <w:vAlign w:val="center"/>
                </w:tcPr>
                <w:p>
                  <w:pPr>
                    <w:jc w:val="center"/>
                    <w:rPr>
                      <w:color w:val="auto"/>
                      <w:sz w:val="15"/>
                      <w:szCs w:val="18"/>
                    </w:rPr>
                  </w:pPr>
                  <w:r>
                    <w:rPr>
                      <w:rFonts w:hint="eastAsia"/>
                      <w:color w:val="auto"/>
                      <w:sz w:val="15"/>
                      <w:szCs w:val="18"/>
                    </w:rPr>
                    <w:t>591.91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87" w:type="pct"/>
                  <w:shd w:val="clear" w:color="auto" w:fill="auto"/>
                  <w:vAlign w:val="center"/>
                </w:tcPr>
                <w:p>
                  <w:pPr>
                    <w:jc w:val="center"/>
                    <w:rPr>
                      <w:color w:val="auto"/>
                      <w:sz w:val="15"/>
                      <w:szCs w:val="18"/>
                    </w:rPr>
                  </w:pPr>
                  <w:r>
                    <w:rPr>
                      <w:rFonts w:hint="eastAsia"/>
                      <w:color w:val="auto"/>
                      <w:sz w:val="15"/>
                      <w:szCs w:val="18"/>
                    </w:rPr>
                    <w:t>年排</w:t>
                  </w:r>
                </w:p>
                <w:p>
                  <w:pPr>
                    <w:jc w:val="center"/>
                    <w:rPr>
                      <w:color w:val="auto"/>
                      <w:sz w:val="15"/>
                      <w:szCs w:val="18"/>
                    </w:rPr>
                  </w:pPr>
                  <w:r>
                    <w:rPr>
                      <w:rFonts w:hint="eastAsia"/>
                      <w:color w:val="auto"/>
                      <w:sz w:val="15"/>
                      <w:szCs w:val="18"/>
                    </w:rPr>
                    <w:t>放总量</w:t>
                  </w:r>
                </w:p>
              </w:tc>
              <w:tc>
                <w:tcPr>
                  <w:tcW w:w="465" w:type="pct"/>
                  <w:shd w:val="clear" w:color="auto" w:fill="auto"/>
                  <w:vAlign w:val="center"/>
                </w:tcPr>
                <w:p>
                  <w:pPr>
                    <w:jc w:val="center"/>
                    <w:rPr>
                      <w:color w:val="auto"/>
                      <w:sz w:val="15"/>
                      <w:szCs w:val="18"/>
                    </w:rPr>
                  </w:pPr>
                </w:p>
              </w:tc>
              <w:tc>
                <w:tcPr>
                  <w:tcW w:w="419" w:type="pct"/>
                  <w:shd w:val="clear" w:color="auto" w:fill="auto"/>
                  <w:vAlign w:val="center"/>
                </w:tcPr>
                <w:p>
                  <w:pPr>
                    <w:jc w:val="center"/>
                    <w:rPr>
                      <w:color w:val="auto"/>
                      <w:sz w:val="15"/>
                      <w:szCs w:val="18"/>
                    </w:rPr>
                  </w:pPr>
                </w:p>
              </w:tc>
              <w:tc>
                <w:tcPr>
                  <w:tcW w:w="420" w:type="pct"/>
                  <w:shd w:val="clear" w:color="auto" w:fill="auto"/>
                  <w:vAlign w:val="center"/>
                </w:tcPr>
                <w:p>
                  <w:pPr>
                    <w:jc w:val="center"/>
                    <w:rPr>
                      <w:color w:val="auto"/>
                      <w:sz w:val="15"/>
                      <w:szCs w:val="18"/>
                    </w:rPr>
                  </w:pPr>
                  <w:r>
                    <w:rPr>
                      <w:rFonts w:hint="eastAsia"/>
                      <w:color w:val="auto"/>
                      <w:sz w:val="15"/>
                      <w:szCs w:val="18"/>
                    </w:rPr>
                    <w:t>1321.08</w:t>
                  </w:r>
                </w:p>
              </w:tc>
              <w:tc>
                <w:tcPr>
                  <w:tcW w:w="465" w:type="pct"/>
                  <w:shd w:val="clear" w:color="auto" w:fill="auto"/>
                  <w:vAlign w:val="center"/>
                </w:tcPr>
                <w:p>
                  <w:pPr>
                    <w:jc w:val="center"/>
                    <w:rPr>
                      <w:color w:val="auto"/>
                      <w:sz w:val="15"/>
                      <w:szCs w:val="18"/>
                    </w:rPr>
                  </w:pPr>
                </w:p>
              </w:tc>
              <w:tc>
                <w:tcPr>
                  <w:tcW w:w="465" w:type="pct"/>
                  <w:shd w:val="clear" w:color="auto" w:fill="auto"/>
                  <w:vAlign w:val="center"/>
                </w:tcPr>
                <w:p>
                  <w:pPr>
                    <w:jc w:val="center"/>
                    <w:rPr>
                      <w:color w:val="auto"/>
                      <w:sz w:val="15"/>
                      <w:szCs w:val="18"/>
                    </w:rPr>
                  </w:pPr>
                </w:p>
              </w:tc>
              <w:tc>
                <w:tcPr>
                  <w:tcW w:w="465" w:type="pct"/>
                  <w:shd w:val="clear" w:color="auto" w:fill="auto"/>
                  <w:vAlign w:val="center"/>
                </w:tcPr>
                <w:p>
                  <w:pPr>
                    <w:jc w:val="center"/>
                    <w:rPr>
                      <w:color w:val="auto"/>
                      <w:sz w:val="15"/>
                      <w:szCs w:val="18"/>
                    </w:rPr>
                  </w:pPr>
                  <w:r>
                    <w:rPr>
                      <w:rFonts w:hint="eastAsia"/>
                      <w:color w:val="auto"/>
                      <w:sz w:val="15"/>
                      <w:szCs w:val="18"/>
                    </w:rPr>
                    <w:t>19698.57</w:t>
                  </w:r>
                </w:p>
              </w:tc>
              <w:tc>
                <w:tcPr>
                  <w:tcW w:w="465" w:type="pct"/>
                  <w:shd w:val="clear" w:color="auto" w:fill="auto"/>
                  <w:vAlign w:val="center"/>
                </w:tcPr>
                <w:p>
                  <w:pPr>
                    <w:jc w:val="center"/>
                    <w:rPr>
                      <w:color w:val="auto"/>
                      <w:sz w:val="15"/>
                      <w:szCs w:val="18"/>
                    </w:rPr>
                  </w:pPr>
                </w:p>
              </w:tc>
              <w:tc>
                <w:tcPr>
                  <w:tcW w:w="420" w:type="pct"/>
                  <w:shd w:val="clear" w:color="auto" w:fill="auto"/>
                  <w:vAlign w:val="center"/>
                </w:tcPr>
                <w:p>
                  <w:pPr>
                    <w:jc w:val="center"/>
                    <w:rPr>
                      <w:color w:val="auto"/>
                      <w:sz w:val="15"/>
                      <w:szCs w:val="18"/>
                    </w:rPr>
                  </w:pPr>
                </w:p>
              </w:tc>
              <w:tc>
                <w:tcPr>
                  <w:tcW w:w="465" w:type="pct"/>
                  <w:shd w:val="clear" w:color="auto" w:fill="auto"/>
                  <w:vAlign w:val="center"/>
                </w:tcPr>
                <w:p>
                  <w:pPr>
                    <w:jc w:val="center"/>
                    <w:rPr>
                      <w:color w:val="auto"/>
                      <w:sz w:val="15"/>
                      <w:szCs w:val="18"/>
                    </w:rPr>
                  </w:pPr>
                  <w:r>
                    <w:rPr>
                      <w:rFonts w:hint="eastAsia"/>
                      <w:color w:val="auto"/>
                      <w:sz w:val="15"/>
                      <w:szCs w:val="18"/>
                    </w:rPr>
                    <w:t>6295.42</w:t>
                  </w:r>
                </w:p>
              </w:tc>
              <w:tc>
                <w:tcPr>
                  <w:tcW w:w="465" w:type="pct"/>
                  <w:shd w:val="clear" w:color="auto" w:fill="auto"/>
                  <w:vAlign w:val="center"/>
                </w:tcPr>
                <w:p>
                  <w:pPr>
                    <w:jc w:val="center"/>
                    <w:rPr>
                      <w:color w:val="auto"/>
                      <w:sz w:val="15"/>
                      <w:szCs w:val="18"/>
                    </w:rPr>
                  </w:pPr>
                  <w:r>
                    <w:rPr>
                      <w:rFonts w:hint="eastAsia"/>
                      <w:color w:val="auto"/>
                      <w:sz w:val="15"/>
                      <w:szCs w:val="18"/>
                    </w:rPr>
                    <w:t>12753.46</w:t>
                  </w:r>
                </w:p>
              </w:tc>
            </w:tr>
          </w:tbl>
          <w:p>
            <w:pPr>
              <w:adjustRightInd w:val="0"/>
              <w:snapToGrid w:val="0"/>
              <w:rPr>
                <w:rFonts w:ascii="宋体" w:hAnsi="宋体" w:cs="宋体"/>
                <w:color w:val="auto"/>
              </w:rPr>
            </w:pPr>
          </w:p>
          <w:p>
            <w:pPr>
              <w:adjustRightInd w:val="0"/>
              <w:snapToGrid w:val="0"/>
              <w:jc w:val="center"/>
              <w:rPr>
                <w:rFonts w:ascii="宋体" w:hAnsi="宋体" w:cs="宋体"/>
                <w:b/>
                <w:color w:val="auto"/>
              </w:rPr>
            </w:pPr>
            <w:r>
              <w:rPr>
                <w:rFonts w:hint="eastAsia" w:ascii="宋体" w:hAnsi="宋体" w:cs="宋体"/>
                <w:b/>
                <w:color w:val="auto"/>
              </w:rPr>
              <w:t>表2-1</w:t>
            </w:r>
            <w:r>
              <w:rPr>
                <w:rFonts w:hint="eastAsia" w:ascii="宋体" w:hAnsi="宋体" w:cs="宋体"/>
                <w:b/>
                <w:color w:val="auto"/>
                <w:lang w:val="en-US" w:eastAsia="zh-CN"/>
              </w:rPr>
              <w:t>4</w:t>
            </w:r>
            <w:r>
              <w:rPr>
                <w:rFonts w:hint="eastAsia" w:ascii="宋体" w:hAnsi="宋体" w:cs="宋体"/>
                <w:b/>
                <w:color w:val="auto"/>
              </w:rPr>
              <w:t xml:space="preserve">  其他检测数据统计表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621"/>
              <w:gridCol w:w="17"/>
              <w:gridCol w:w="819"/>
              <w:gridCol w:w="22"/>
              <w:gridCol w:w="632"/>
              <w:gridCol w:w="34"/>
              <w:gridCol w:w="603"/>
              <w:gridCol w:w="721"/>
              <w:gridCol w:w="12"/>
              <w:gridCol w:w="680"/>
              <w:gridCol w:w="682"/>
              <w:gridCol w:w="685"/>
              <w:gridCol w:w="665"/>
              <w:gridCol w:w="17"/>
              <w:gridCol w:w="682"/>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 w:type="pct"/>
                  <w:vMerge w:val="restart"/>
                  <w:shd w:val="clear" w:color="auto" w:fill="auto"/>
                  <w:vAlign w:val="center"/>
                </w:tcPr>
                <w:p>
                  <w:pPr>
                    <w:adjustRightInd w:val="0"/>
                    <w:snapToGrid w:val="0"/>
                    <w:jc w:val="center"/>
                    <w:rPr>
                      <w:color w:val="auto"/>
                      <w:sz w:val="15"/>
                      <w:szCs w:val="21"/>
                    </w:rPr>
                  </w:pPr>
                  <w:r>
                    <w:rPr>
                      <w:color w:val="auto"/>
                      <w:sz w:val="15"/>
                      <w:szCs w:val="21"/>
                    </w:rPr>
                    <w:t>数据来源</w:t>
                  </w:r>
                </w:p>
              </w:tc>
              <w:tc>
                <w:tcPr>
                  <w:tcW w:w="371" w:type="pct"/>
                  <w:vMerge w:val="restart"/>
                  <w:shd w:val="clear" w:color="auto" w:fill="auto"/>
                  <w:vAlign w:val="center"/>
                </w:tcPr>
                <w:p>
                  <w:pPr>
                    <w:adjustRightInd w:val="0"/>
                    <w:snapToGrid w:val="0"/>
                    <w:jc w:val="center"/>
                    <w:rPr>
                      <w:color w:val="auto"/>
                      <w:sz w:val="15"/>
                      <w:szCs w:val="21"/>
                    </w:rPr>
                  </w:pPr>
                  <w:r>
                    <w:rPr>
                      <w:color w:val="auto"/>
                      <w:sz w:val="15"/>
                      <w:szCs w:val="21"/>
                    </w:rPr>
                    <w:t>监测时间</w:t>
                  </w:r>
                </w:p>
              </w:tc>
              <w:tc>
                <w:tcPr>
                  <w:tcW w:w="499" w:type="pct"/>
                  <w:gridSpan w:val="2"/>
                  <w:vMerge w:val="restart"/>
                  <w:shd w:val="clear" w:color="auto" w:fill="auto"/>
                  <w:vAlign w:val="center"/>
                </w:tcPr>
                <w:p>
                  <w:pPr>
                    <w:adjustRightInd w:val="0"/>
                    <w:snapToGrid w:val="0"/>
                    <w:jc w:val="center"/>
                    <w:rPr>
                      <w:color w:val="auto"/>
                      <w:sz w:val="15"/>
                      <w:szCs w:val="21"/>
                    </w:rPr>
                  </w:pPr>
                  <w:r>
                    <w:rPr>
                      <w:color w:val="auto"/>
                      <w:sz w:val="15"/>
                      <w:szCs w:val="21"/>
                    </w:rPr>
                    <w:t>样品</w:t>
                  </w:r>
                </w:p>
                <w:p>
                  <w:pPr>
                    <w:adjustRightInd w:val="0"/>
                    <w:snapToGrid w:val="0"/>
                    <w:jc w:val="center"/>
                    <w:rPr>
                      <w:color w:val="auto"/>
                      <w:sz w:val="15"/>
                      <w:szCs w:val="21"/>
                    </w:rPr>
                  </w:pPr>
                  <w:r>
                    <w:rPr>
                      <w:color w:val="auto"/>
                      <w:sz w:val="15"/>
                      <w:szCs w:val="21"/>
                    </w:rPr>
                    <w:t>编号</w:t>
                  </w:r>
                </w:p>
              </w:tc>
              <w:tc>
                <w:tcPr>
                  <w:tcW w:w="770" w:type="pct"/>
                  <w:gridSpan w:val="4"/>
                  <w:vMerge w:val="restart"/>
                  <w:shd w:val="clear" w:color="auto" w:fill="auto"/>
                  <w:vAlign w:val="center"/>
                </w:tcPr>
                <w:p>
                  <w:pPr>
                    <w:adjustRightInd w:val="0"/>
                    <w:snapToGrid w:val="0"/>
                    <w:jc w:val="center"/>
                    <w:rPr>
                      <w:color w:val="auto"/>
                      <w:sz w:val="15"/>
                      <w:szCs w:val="21"/>
                    </w:rPr>
                  </w:pPr>
                  <w:r>
                    <w:rPr>
                      <w:color w:val="auto"/>
                      <w:sz w:val="15"/>
                      <w:szCs w:val="21"/>
                    </w:rPr>
                    <w:t>烟气流量</w:t>
                  </w:r>
                </w:p>
              </w:tc>
              <w:tc>
                <w:tcPr>
                  <w:tcW w:w="2989" w:type="pct"/>
                  <w:gridSpan w:val="9"/>
                  <w:shd w:val="clear" w:color="auto" w:fill="auto"/>
                  <w:vAlign w:val="center"/>
                </w:tcPr>
                <w:p>
                  <w:pPr>
                    <w:adjustRightInd w:val="0"/>
                    <w:snapToGrid w:val="0"/>
                    <w:jc w:val="center"/>
                    <w:rPr>
                      <w:color w:val="auto"/>
                      <w:sz w:val="15"/>
                      <w:szCs w:val="21"/>
                    </w:rPr>
                  </w:pPr>
                  <w:r>
                    <w:rPr>
                      <w:color w:val="auto"/>
                      <w:sz w:val="15"/>
                      <w:szCs w:val="21"/>
                    </w:rPr>
                    <w:t>排放浓度</w:t>
                  </w:r>
                  <w:r>
                    <w:rPr>
                      <w:rFonts w:hint="eastAsia"/>
                      <w:color w:val="auto"/>
                      <w:sz w:val="15"/>
                      <w:szCs w:val="21"/>
                    </w:rPr>
                    <w:t>（mg/m</w:t>
                  </w:r>
                  <w:r>
                    <w:rPr>
                      <w:rFonts w:hint="eastAsia"/>
                      <w:color w:val="auto"/>
                      <w:sz w:val="15"/>
                      <w:szCs w:val="21"/>
                      <w:vertAlign w:val="superscript"/>
                    </w:rPr>
                    <w:t>3</w:t>
                  </w:r>
                  <w:r>
                    <w:rPr>
                      <w:rFonts w:hint="eastAsia"/>
                      <w:color w:val="auto"/>
                      <w:sz w:val="15"/>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 w:type="pct"/>
                  <w:vMerge w:val="continue"/>
                  <w:shd w:val="clear" w:color="auto" w:fill="auto"/>
                  <w:vAlign w:val="center"/>
                </w:tcPr>
                <w:p>
                  <w:pPr>
                    <w:adjustRightInd w:val="0"/>
                    <w:snapToGrid w:val="0"/>
                    <w:jc w:val="center"/>
                    <w:rPr>
                      <w:color w:val="auto"/>
                      <w:sz w:val="15"/>
                      <w:szCs w:val="21"/>
                    </w:rPr>
                  </w:pPr>
                </w:p>
              </w:tc>
              <w:tc>
                <w:tcPr>
                  <w:tcW w:w="371" w:type="pct"/>
                  <w:vMerge w:val="continue"/>
                  <w:shd w:val="clear" w:color="auto" w:fill="auto"/>
                  <w:vAlign w:val="center"/>
                </w:tcPr>
                <w:p>
                  <w:pPr>
                    <w:adjustRightInd w:val="0"/>
                    <w:snapToGrid w:val="0"/>
                    <w:jc w:val="center"/>
                    <w:rPr>
                      <w:color w:val="auto"/>
                      <w:sz w:val="15"/>
                      <w:szCs w:val="21"/>
                    </w:rPr>
                  </w:pPr>
                </w:p>
              </w:tc>
              <w:tc>
                <w:tcPr>
                  <w:tcW w:w="499" w:type="pct"/>
                  <w:gridSpan w:val="2"/>
                  <w:vMerge w:val="continue"/>
                  <w:shd w:val="clear" w:color="auto" w:fill="auto"/>
                  <w:vAlign w:val="center"/>
                </w:tcPr>
                <w:p>
                  <w:pPr>
                    <w:adjustRightInd w:val="0"/>
                    <w:snapToGrid w:val="0"/>
                    <w:jc w:val="center"/>
                    <w:rPr>
                      <w:color w:val="auto"/>
                      <w:sz w:val="15"/>
                      <w:szCs w:val="21"/>
                    </w:rPr>
                  </w:pPr>
                </w:p>
              </w:tc>
              <w:tc>
                <w:tcPr>
                  <w:tcW w:w="770" w:type="pct"/>
                  <w:gridSpan w:val="4"/>
                  <w:vMerge w:val="continue"/>
                  <w:shd w:val="clear" w:color="auto" w:fill="auto"/>
                  <w:vAlign w:val="center"/>
                </w:tcPr>
                <w:p>
                  <w:pPr>
                    <w:adjustRightInd w:val="0"/>
                    <w:snapToGrid w:val="0"/>
                    <w:jc w:val="center"/>
                    <w:rPr>
                      <w:color w:val="auto"/>
                      <w:sz w:val="15"/>
                      <w:szCs w:val="21"/>
                    </w:rPr>
                  </w:pPr>
                </w:p>
              </w:tc>
              <w:tc>
                <w:tcPr>
                  <w:tcW w:w="843" w:type="pct"/>
                  <w:gridSpan w:val="3"/>
                  <w:shd w:val="clear" w:color="auto" w:fill="auto"/>
                  <w:vAlign w:val="center"/>
                </w:tcPr>
                <w:p>
                  <w:pPr>
                    <w:adjustRightInd w:val="0"/>
                    <w:snapToGrid w:val="0"/>
                    <w:jc w:val="center"/>
                    <w:rPr>
                      <w:color w:val="auto"/>
                      <w:sz w:val="15"/>
                      <w:szCs w:val="21"/>
                    </w:rPr>
                  </w:pPr>
                  <w:r>
                    <w:rPr>
                      <w:color w:val="auto"/>
                      <w:sz w:val="15"/>
                      <w:szCs w:val="21"/>
                    </w:rPr>
                    <w:t>颗粒物</w:t>
                  </w:r>
                </w:p>
              </w:tc>
              <w:tc>
                <w:tcPr>
                  <w:tcW w:w="816"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SO2</w:t>
                  </w:r>
                </w:p>
              </w:tc>
              <w:tc>
                <w:tcPr>
                  <w:tcW w:w="814" w:type="pct"/>
                  <w:gridSpan w:val="3"/>
                  <w:shd w:val="clear" w:color="auto" w:fill="auto"/>
                  <w:vAlign w:val="center"/>
                </w:tcPr>
                <w:p>
                  <w:pPr>
                    <w:adjustRightInd w:val="0"/>
                    <w:snapToGrid w:val="0"/>
                    <w:jc w:val="center"/>
                    <w:rPr>
                      <w:color w:val="auto"/>
                      <w:sz w:val="15"/>
                      <w:szCs w:val="21"/>
                    </w:rPr>
                  </w:pPr>
                  <w:r>
                    <w:rPr>
                      <w:rFonts w:hint="eastAsia"/>
                      <w:color w:val="auto"/>
                      <w:sz w:val="15"/>
                      <w:szCs w:val="21"/>
                    </w:rPr>
                    <w:t>NOx</w:t>
                  </w:r>
                </w:p>
              </w:tc>
              <w:tc>
                <w:tcPr>
                  <w:tcW w:w="516" w:type="pct"/>
                  <w:shd w:val="clear" w:color="auto" w:fill="auto"/>
                  <w:vAlign w:val="center"/>
                </w:tcPr>
                <w:p>
                  <w:pPr>
                    <w:adjustRightInd w:val="0"/>
                    <w:snapToGrid w:val="0"/>
                    <w:jc w:val="center"/>
                    <w:rPr>
                      <w:rFonts w:hint="eastAsia" w:eastAsia="宋体"/>
                      <w:color w:val="auto"/>
                      <w:sz w:val="15"/>
                      <w:szCs w:val="21"/>
                      <w:lang w:eastAsia="zh-CN"/>
                    </w:rPr>
                  </w:pPr>
                  <w:r>
                    <w:rPr>
                      <w:rFonts w:hint="eastAsia"/>
                      <w:color w:val="auto"/>
                      <w:sz w:val="15"/>
                      <w:szCs w:val="21"/>
                      <w:lang w:eastAsia="zh-CN"/>
                    </w:rPr>
                    <w:t>氟及其化合物（以F计）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 w:type="pct"/>
                  <w:vMerge w:val="continue"/>
                  <w:shd w:val="clear" w:color="auto" w:fill="auto"/>
                  <w:vAlign w:val="center"/>
                </w:tcPr>
                <w:p>
                  <w:pPr>
                    <w:adjustRightInd w:val="0"/>
                    <w:snapToGrid w:val="0"/>
                    <w:jc w:val="center"/>
                    <w:rPr>
                      <w:color w:val="auto"/>
                      <w:sz w:val="15"/>
                      <w:szCs w:val="21"/>
                    </w:rPr>
                  </w:pPr>
                </w:p>
              </w:tc>
              <w:tc>
                <w:tcPr>
                  <w:tcW w:w="371" w:type="pct"/>
                  <w:vMerge w:val="continue"/>
                  <w:shd w:val="clear" w:color="auto" w:fill="auto"/>
                  <w:vAlign w:val="center"/>
                </w:tcPr>
                <w:p>
                  <w:pPr>
                    <w:adjustRightInd w:val="0"/>
                    <w:snapToGrid w:val="0"/>
                    <w:jc w:val="center"/>
                    <w:rPr>
                      <w:color w:val="auto"/>
                      <w:sz w:val="15"/>
                      <w:szCs w:val="21"/>
                    </w:rPr>
                  </w:pPr>
                </w:p>
              </w:tc>
              <w:tc>
                <w:tcPr>
                  <w:tcW w:w="499" w:type="pct"/>
                  <w:gridSpan w:val="2"/>
                  <w:vMerge w:val="continue"/>
                  <w:shd w:val="clear" w:color="auto" w:fill="auto"/>
                  <w:vAlign w:val="center"/>
                </w:tcPr>
                <w:p>
                  <w:pPr>
                    <w:adjustRightInd w:val="0"/>
                    <w:snapToGrid w:val="0"/>
                    <w:jc w:val="center"/>
                    <w:rPr>
                      <w:color w:val="auto"/>
                      <w:sz w:val="15"/>
                      <w:szCs w:val="21"/>
                    </w:rPr>
                  </w:pPr>
                </w:p>
              </w:tc>
              <w:tc>
                <w:tcPr>
                  <w:tcW w:w="390" w:type="pct"/>
                  <w:gridSpan w:val="2"/>
                  <w:shd w:val="clear" w:color="auto" w:fill="auto"/>
                  <w:vAlign w:val="center"/>
                </w:tcPr>
                <w:p>
                  <w:pPr>
                    <w:adjustRightInd w:val="0"/>
                    <w:snapToGrid w:val="0"/>
                    <w:jc w:val="center"/>
                    <w:rPr>
                      <w:color w:val="auto"/>
                      <w:sz w:val="15"/>
                      <w:szCs w:val="21"/>
                    </w:rPr>
                  </w:pPr>
                  <w:r>
                    <w:rPr>
                      <w:color w:val="auto"/>
                      <w:sz w:val="15"/>
                      <w:szCs w:val="21"/>
                    </w:rPr>
                    <w:t>工况</w:t>
                  </w:r>
                </w:p>
              </w:tc>
              <w:tc>
                <w:tcPr>
                  <w:tcW w:w="380" w:type="pct"/>
                  <w:gridSpan w:val="2"/>
                  <w:shd w:val="clear" w:color="auto" w:fill="auto"/>
                  <w:vAlign w:val="center"/>
                </w:tcPr>
                <w:p>
                  <w:pPr>
                    <w:adjustRightInd w:val="0"/>
                    <w:snapToGrid w:val="0"/>
                    <w:jc w:val="center"/>
                    <w:rPr>
                      <w:color w:val="auto"/>
                      <w:sz w:val="15"/>
                      <w:szCs w:val="21"/>
                    </w:rPr>
                  </w:pPr>
                  <w:r>
                    <w:rPr>
                      <w:color w:val="auto"/>
                      <w:sz w:val="15"/>
                      <w:szCs w:val="21"/>
                    </w:rPr>
                    <w:t>标况</w:t>
                  </w:r>
                </w:p>
              </w:tc>
              <w:tc>
                <w:tcPr>
                  <w:tcW w:w="437" w:type="pct"/>
                  <w:gridSpan w:val="2"/>
                  <w:shd w:val="clear" w:color="auto" w:fill="auto"/>
                  <w:vAlign w:val="center"/>
                </w:tcPr>
                <w:p>
                  <w:pPr>
                    <w:adjustRightInd w:val="0"/>
                    <w:snapToGrid w:val="0"/>
                    <w:jc w:val="center"/>
                    <w:rPr>
                      <w:color w:val="auto"/>
                      <w:sz w:val="15"/>
                      <w:szCs w:val="21"/>
                    </w:rPr>
                  </w:pPr>
                  <w:r>
                    <w:rPr>
                      <w:color w:val="auto"/>
                      <w:sz w:val="15"/>
                      <w:szCs w:val="21"/>
                    </w:rPr>
                    <w:t>实测值</w:t>
                  </w:r>
                </w:p>
              </w:tc>
              <w:tc>
                <w:tcPr>
                  <w:tcW w:w="406" w:type="pct"/>
                  <w:shd w:val="clear" w:color="auto" w:fill="auto"/>
                  <w:vAlign w:val="center"/>
                </w:tcPr>
                <w:p>
                  <w:pPr>
                    <w:adjustRightInd w:val="0"/>
                    <w:snapToGrid w:val="0"/>
                    <w:jc w:val="center"/>
                    <w:rPr>
                      <w:color w:val="auto"/>
                      <w:sz w:val="15"/>
                      <w:szCs w:val="21"/>
                    </w:rPr>
                  </w:pPr>
                  <w:r>
                    <w:rPr>
                      <w:color w:val="auto"/>
                      <w:sz w:val="15"/>
                      <w:szCs w:val="21"/>
                    </w:rPr>
                    <w:t>排放值</w:t>
                  </w:r>
                </w:p>
              </w:tc>
              <w:tc>
                <w:tcPr>
                  <w:tcW w:w="407" w:type="pct"/>
                  <w:shd w:val="clear" w:color="auto" w:fill="auto"/>
                  <w:vAlign w:val="center"/>
                </w:tcPr>
                <w:p>
                  <w:pPr>
                    <w:adjustRightInd w:val="0"/>
                    <w:snapToGrid w:val="0"/>
                    <w:jc w:val="center"/>
                    <w:rPr>
                      <w:color w:val="auto"/>
                      <w:sz w:val="15"/>
                      <w:szCs w:val="21"/>
                    </w:rPr>
                  </w:pPr>
                  <w:r>
                    <w:rPr>
                      <w:color w:val="auto"/>
                      <w:sz w:val="15"/>
                      <w:szCs w:val="21"/>
                    </w:rPr>
                    <w:t>实测值</w:t>
                  </w:r>
                </w:p>
              </w:tc>
              <w:tc>
                <w:tcPr>
                  <w:tcW w:w="409" w:type="pct"/>
                  <w:shd w:val="clear" w:color="auto" w:fill="auto"/>
                  <w:vAlign w:val="center"/>
                </w:tcPr>
                <w:p>
                  <w:pPr>
                    <w:adjustRightInd w:val="0"/>
                    <w:snapToGrid w:val="0"/>
                    <w:jc w:val="center"/>
                    <w:rPr>
                      <w:color w:val="auto"/>
                      <w:sz w:val="15"/>
                      <w:szCs w:val="21"/>
                    </w:rPr>
                  </w:pPr>
                  <w:r>
                    <w:rPr>
                      <w:color w:val="auto"/>
                      <w:sz w:val="15"/>
                      <w:szCs w:val="21"/>
                    </w:rPr>
                    <w:t>排放值</w:t>
                  </w:r>
                </w:p>
              </w:tc>
              <w:tc>
                <w:tcPr>
                  <w:tcW w:w="407" w:type="pct"/>
                  <w:gridSpan w:val="2"/>
                  <w:shd w:val="clear" w:color="auto" w:fill="auto"/>
                  <w:vAlign w:val="center"/>
                </w:tcPr>
                <w:p>
                  <w:pPr>
                    <w:adjustRightInd w:val="0"/>
                    <w:snapToGrid w:val="0"/>
                    <w:jc w:val="center"/>
                    <w:rPr>
                      <w:color w:val="auto"/>
                      <w:sz w:val="15"/>
                      <w:szCs w:val="21"/>
                    </w:rPr>
                  </w:pPr>
                  <w:r>
                    <w:rPr>
                      <w:color w:val="auto"/>
                      <w:sz w:val="15"/>
                      <w:szCs w:val="21"/>
                    </w:rPr>
                    <w:t>实测值</w:t>
                  </w:r>
                </w:p>
              </w:tc>
              <w:tc>
                <w:tcPr>
                  <w:tcW w:w="407" w:type="pct"/>
                  <w:shd w:val="clear" w:color="auto" w:fill="auto"/>
                  <w:vAlign w:val="center"/>
                </w:tcPr>
                <w:p>
                  <w:pPr>
                    <w:adjustRightInd w:val="0"/>
                    <w:snapToGrid w:val="0"/>
                    <w:jc w:val="center"/>
                    <w:rPr>
                      <w:color w:val="auto"/>
                      <w:sz w:val="15"/>
                      <w:szCs w:val="21"/>
                    </w:rPr>
                  </w:pPr>
                  <w:r>
                    <w:rPr>
                      <w:color w:val="auto"/>
                      <w:sz w:val="15"/>
                      <w:szCs w:val="21"/>
                    </w:rPr>
                    <w:t>排放值</w:t>
                  </w:r>
                </w:p>
              </w:tc>
              <w:tc>
                <w:tcPr>
                  <w:tcW w:w="516" w:type="pct"/>
                  <w:shd w:val="clear" w:color="auto" w:fill="auto"/>
                  <w:vAlign w:val="center"/>
                </w:tcPr>
                <w:p>
                  <w:pPr>
                    <w:adjustRightInd w:val="0"/>
                    <w:snapToGrid w:val="0"/>
                    <w:jc w:val="center"/>
                    <w:rPr>
                      <w:color w:val="auto"/>
                      <w:sz w:val="15"/>
                      <w:szCs w:val="21"/>
                    </w:rPr>
                  </w:pPr>
                  <w:r>
                    <w:rPr>
                      <w:color w:val="auto"/>
                      <w:sz w:val="15"/>
                      <w:szCs w:val="21"/>
                    </w:rPr>
                    <w:t>实测值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 w:type="pct"/>
                  <w:vMerge w:val="restart"/>
                  <w:shd w:val="clear" w:color="auto" w:fill="auto"/>
                  <w:vAlign w:val="center"/>
                </w:tcPr>
                <w:p>
                  <w:pPr>
                    <w:adjustRightInd w:val="0"/>
                    <w:snapToGrid w:val="0"/>
                    <w:rPr>
                      <w:color w:val="auto"/>
                      <w:sz w:val="15"/>
                      <w:szCs w:val="21"/>
                    </w:rPr>
                  </w:pPr>
                  <w:r>
                    <w:rPr>
                      <w:rFonts w:hint="eastAsia"/>
                      <w:bCs/>
                      <w:color w:val="auto"/>
                      <w:sz w:val="15"/>
                      <w:szCs w:val="21"/>
                    </w:rPr>
                    <w:t>《年产10万吨耐火材料生产线技改项目竣工环保验收检测》</w:t>
                  </w:r>
                </w:p>
              </w:tc>
              <w:tc>
                <w:tcPr>
                  <w:tcW w:w="371" w:type="pct"/>
                  <w:vMerge w:val="restart"/>
                  <w:shd w:val="clear" w:color="auto" w:fill="auto"/>
                  <w:vAlign w:val="center"/>
                </w:tcPr>
                <w:p>
                  <w:pPr>
                    <w:adjustRightInd w:val="0"/>
                    <w:snapToGrid w:val="0"/>
                    <w:jc w:val="center"/>
                    <w:rPr>
                      <w:color w:val="auto"/>
                      <w:sz w:val="15"/>
                      <w:szCs w:val="21"/>
                    </w:rPr>
                  </w:pPr>
                  <w:r>
                    <w:rPr>
                      <w:rFonts w:hint="eastAsia"/>
                      <w:color w:val="auto"/>
                      <w:sz w:val="15"/>
                      <w:szCs w:val="21"/>
                    </w:rPr>
                    <w:t>2021</w:t>
                  </w:r>
                </w:p>
                <w:p>
                  <w:pPr>
                    <w:adjustRightInd w:val="0"/>
                    <w:snapToGrid w:val="0"/>
                    <w:jc w:val="center"/>
                    <w:rPr>
                      <w:color w:val="auto"/>
                      <w:sz w:val="15"/>
                      <w:szCs w:val="21"/>
                    </w:rPr>
                  </w:pPr>
                  <w:r>
                    <w:rPr>
                      <w:rFonts w:hint="eastAsia"/>
                      <w:color w:val="auto"/>
                      <w:sz w:val="15"/>
                      <w:szCs w:val="21"/>
                    </w:rPr>
                    <w:t>10.13</w:t>
                  </w:r>
                </w:p>
              </w:tc>
              <w:tc>
                <w:tcPr>
                  <w:tcW w:w="499"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FQ1-1-1</w:t>
                  </w:r>
                </w:p>
              </w:tc>
              <w:tc>
                <w:tcPr>
                  <w:tcW w:w="390"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18752</w:t>
                  </w:r>
                </w:p>
              </w:tc>
              <w:tc>
                <w:tcPr>
                  <w:tcW w:w="380"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11470</w:t>
                  </w:r>
                </w:p>
              </w:tc>
              <w:tc>
                <w:tcPr>
                  <w:tcW w:w="437" w:type="pct"/>
                  <w:gridSpan w:val="2"/>
                  <w:shd w:val="clear" w:color="auto" w:fill="auto"/>
                  <w:vAlign w:val="center"/>
                </w:tcPr>
                <w:p>
                  <w:pPr>
                    <w:adjustRightInd w:val="0"/>
                    <w:snapToGrid w:val="0"/>
                    <w:jc w:val="center"/>
                    <w:rPr>
                      <w:color w:val="auto"/>
                      <w:sz w:val="15"/>
                      <w:szCs w:val="21"/>
                    </w:rPr>
                  </w:pPr>
                  <w:r>
                    <w:rPr>
                      <w:color w:val="auto"/>
                      <w:sz w:val="15"/>
                      <w:szCs w:val="21"/>
                    </w:rPr>
                    <w:t>＜</w:t>
                  </w:r>
                  <w:r>
                    <w:rPr>
                      <w:rFonts w:hint="eastAsia"/>
                      <w:color w:val="auto"/>
                      <w:sz w:val="15"/>
                      <w:szCs w:val="21"/>
                    </w:rPr>
                    <w:t>20</w:t>
                  </w:r>
                </w:p>
              </w:tc>
              <w:tc>
                <w:tcPr>
                  <w:tcW w:w="406" w:type="pct"/>
                  <w:shd w:val="clear" w:color="auto" w:fill="auto"/>
                  <w:vAlign w:val="center"/>
                </w:tcPr>
                <w:p>
                  <w:pPr>
                    <w:jc w:val="center"/>
                    <w:rPr>
                      <w:color w:val="auto"/>
                    </w:rPr>
                  </w:pPr>
                  <w:r>
                    <w:rPr>
                      <w:color w:val="auto"/>
                      <w:sz w:val="15"/>
                      <w:szCs w:val="21"/>
                    </w:rPr>
                    <w:t>＜</w:t>
                  </w:r>
                  <w:r>
                    <w:rPr>
                      <w:rFonts w:hint="eastAsia"/>
                      <w:color w:val="auto"/>
                      <w:sz w:val="15"/>
                      <w:szCs w:val="21"/>
                    </w:rPr>
                    <w:t>20</w:t>
                  </w:r>
                </w:p>
              </w:tc>
              <w:tc>
                <w:tcPr>
                  <w:tcW w:w="407" w:type="pct"/>
                  <w:shd w:val="clear" w:color="auto" w:fill="auto"/>
                  <w:vAlign w:val="center"/>
                </w:tcPr>
                <w:p>
                  <w:pPr>
                    <w:adjustRightInd w:val="0"/>
                    <w:snapToGrid w:val="0"/>
                    <w:jc w:val="center"/>
                    <w:rPr>
                      <w:color w:val="auto"/>
                      <w:sz w:val="15"/>
                      <w:szCs w:val="21"/>
                    </w:rPr>
                  </w:pPr>
                  <w:r>
                    <w:rPr>
                      <w:rFonts w:hint="eastAsia"/>
                      <w:color w:val="auto"/>
                      <w:sz w:val="15"/>
                      <w:szCs w:val="21"/>
                    </w:rPr>
                    <w:t>178</w:t>
                  </w:r>
                </w:p>
              </w:tc>
              <w:tc>
                <w:tcPr>
                  <w:tcW w:w="409" w:type="pct"/>
                  <w:shd w:val="clear" w:color="auto" w:fill="auto"/>
                  <w:vAlign w:val="center"/>
                </w:tcPr>
                <w:p>
                  <w:pPr>
                    <w:adjustRightInd w:val="0"/>
                    <w:snapToGrid w:val="0"/>
                    <w:jc w:val="center"/>
                    <w:rPr>
                      <w:color w:val="auto"/>
                      <w:sz w:val="15"/>
                      <w:szCs w:val="21"/>
                    </w:rPr>
                  </w:pPr>
                  <w:r>
                    <w:rPr>
                      <w:rFonts w:hint="eastAsia"/>
                      <w:color w:val="auto"/>
                      <w:sz w:val="15"/>
                      <w:szCs w:val="21"/>
                    </w:rPr>
                    <w:t>78</w:t>
                  </w:r>
                </w:p>
              </w:tc>
              <w:tc>
                <w:tcPr>
                  <w:tcW w:w="407"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31</w:t>
                  </w:r>
                </w:p>
              </w:tc>
              <w:tc>
                <w:tcPr>
                  <w:tcW w:w="407" w:type="pct"/>
                  <w:shd w:val="clear" w:color="auto" w:fill="auto"/>
                  <w:vAlign w:val="center"/>
                </w:tcPr>
                <w:p>
                  <w:pPr>
                    <w:adjustRightInd w:val="0"/>
                    <w:snapToGrid w:val="0"/>
                    <w:jc w:val="center"/>
                    <w:rPr>
                      <w:color w:val="auto"/>
                      <w:sz w:val="15"/>
                      <w:szCs w:val="21"/>
                    </w:rPr>
                  </w:pPr>
                  <w:r>
                    <w:rPr>
                      <w:rFonts w:hint="eastAsia"/>
                      <w:color w:val="auto"/>
                      <w:sz w:val="15"/>
                      <w:szCs w:val="21"/>
                    </w:rPr>
                    <w:t>13</w:t>
                  </w:r>
                </w:p>
              </w:tc>
              <w:tc>
                <w:tcPr>
                  <w:tcW w:w="516" w:type="pct"/>
                  <w:shd w:val="clear" w:color="auto" w:fill="auto"/>
                  <w:vAlign w:val="center"/>
                </w:tcPr>
                <w:p>
                  <w:pPr>
                    <w:adjustRightInd w:val="0"/>
                    <w:snapToGrid w:val="0"/>
                    <w:jc w:val="center"/>
                    <w:rPr>
                      <w:color w:val="auto"/>
                      <w:sz w:val="15"/>
                      <w:szCs w:val="21"/>
                    </w:rPr>
                  </w:pPr>
                  <w:r>
                    <w:rPr>
                      <w:rFonts w:hint="eastAsia"/>
                      <w:color w:val="auto"/>
                      <w:sz w:val="15"/>
                      <w:szCs w:val="21"/>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 w:type="pct"/>
                  <w:vMerge w:val="continue"/>
                  <w:shd w:val="clear" w:color="auto" w:fill="auto"/>
                  <w:vAlign w:val="center"/>
                </w:tcPr>
                <w:p>
                  <w:pPr>
                    <w:adjustRightInd w:val="0"/>
                    <w:snapToGrid w:val="0"/>
                    <w:jc w:val="center"/>
                    <w:rPr>
                      <w:color w:val="auto"/>
                      <w:sz w:val="15"/>
                      <w:szCs w:val="21"/>
                    </w:rPr>
                  </w:pPr>
                </w:p>
              </w:tc>
              <w:tc>
                <w:tcPr>
                  <w:tcW w:w="371" w:type="pct"/>
                  <w:vMerge w:val="continue"/>
                  <w:shd w:val="clear" w:color="auto" w:fill="auto"/>
                  <w:vAlign w:val="center"/>
                </w:tcPr>
                <w:p>
                  <w:pPr>
                    <w:adjustRightInd w:val="0"/>
                    <w:snapToGrid w:val="0"/>
                    <w:jc w:val="center"/>
                    <w:rPr>
                      <w:color w:val="auto"/>
                      <w:sz w:val="15"/>
                      <w:szCs w:val="21"/>
                    </w:rPr>
                  </w:pPr>
                </w:p>
              </w:tc>
              <w:tc>
                <w:tcPr>
                  <w:tcW w:w="499"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FQ1-1-2</w:t>
                  </w:r>
                </w:p>
              </w:tc>
              <w:tc>
                <w:tcPr>
                  <w:tcW w:w="390"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21335</w:t>
                  </w:r>
                </w:p>
              </w:tc>
              <w:tc>
                <w:tcPr>
                  <w:tcW w:w="380"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13034</w:t>
                  </w:r>
                </w:p>
              </w:tc>
              <w:tc>
                <w:tcPr>
                  <w:tcW w:w="437" w:type="pct"/>
                  <w:gridSpan w:val="2"/>
                  <w:shd w:val="clear" w:color="auto" w:fill="auto"/>
                  <w:vAlign w:val="center"/>
                </w:tcPr>
                <w:p>
                  <w:pPr>
                    <w:jc w:val="center"/>
                    <w:rPr>
                      <w:color w:val="auto"/>
                    </w:rPr>
                  </w:pPr>
                  <w:r>
                    <w:rPr>
                      <w:color w:val="auto"/>
                      <w:sz w:val="15"/>
                      <w:szCs w:val="21"/>
                    </w:rPr>
                    <w:t>＜</w:t>
                  </w:r>
                  <w:r>
                    <w:rPr>
                      <w:rFonts w:hint="eastAsia"/>
                      <w:color w:val="auto"/>
                      <w:sz w:val="15"/>
                      <w:szCs w:val="21"/>
                    </w:rPr>
                    <w:t>20</w:t>
                  </w:r>
                </w:p>
              </w:tc>
              <w:tc>
                <w:tcPr>
                  <w:tcW w:w="406" w:type="pct"/>
                  <w:shd w:val="clear" w:color="auto" w:fill="auto"/>
                  <w:vAlign w:val="center"/>
                </w:tcPr>
                <w:p>
                  <w:pPr>
                    <w:jc w:val="center"/>
                    <w:rPr>
                      <w:color w:val="auto"/>
                    </w:rPr>
                  </w:pPr>
                  <w:r>
                    <w:rPr>
                      <w:color w:val="auto"/>
                      <w:sz w:val="15"/>
                      <w:szCs w:val="21"/>
                    </w:rPr>
                    <w:t>＜</w:t>
                  </w:r>
                  <w:r>
                    <w:rPr>
                      <w:rFonts w:hint="eastAsia"/>
                      <w:color w:val="auto"/>
                      <w:sz w:val="15"/>
                      <w:szCs w:val="21"/>
                    </w:rPr>
                    <w:t>20</w:t>
                  </w:r>
                </w:p>
              </w:tc>
              <w:tc>
                <w:tcPr>
                  <w:tcW w:w="407" w:type="pct"/>
                  <w:shd w:val="clear" w:color="auto" w:fill="auto"/>
                  <w:vAlign w:val="center"/>
                </w:tcPr>
                <w:p>
                  <w:pPr>
                    <w:adjustRightInd w:val="0"/>
                    <w:snapToGrid w:val="0"/>
                    <w:jc w:val="center"/>
                    <w:rPr>
                      <w:color w:val="auto"/>
                      <w:sz w:val="15"/>
                      <w:szCs w:val="21"/>
                    </w:rPr>
                  </w:pPr>
                  <w:r>
                    <w:rPr>
                      <w:rFonts w:hint="eastAsia"/>
                      <w:color w:val="auto"/>
                      <w:sz w:val="15"/>
                      <w:szCs w:val="21"/>
                    </w:rPr>
                    <w:t>181</w:t>
                  </w:r>
                </w:p>
              </w:tc>
              <w:tc>
                <w:tcPr>
                  <w:tcW w:w="409" w:type="pct"/>
                  <w:shd w:val="clear" w:color="auto" w:fill="auto"/>
                  <w:vAlign w:val="center"/>
                </w:tcPr>
                <w:p>
                  <w:pPr>
                    <w:adjustRightInd w:val="0"/>
                    <w:snapToGrid w:val="0"/>
                    <w:jc w:val="center"/>
                    <w:rPr>
                      <w:color w:val="auto"/>
                      <w:sz w:val="15"/>
                      <w:szCs w:val="21"/>
                    </w:rPr>
                  </w:pPr>
                  <w:r>
                    <w:rPr>
                      <w:rFonts w:hint="eastAsia"/>
                      <w:color w:val="auto"/>
                      <w:sz w:val="15"/>
                      <w:szCs w:val="21"/>
                    </w:rPr>
                    <w:t>81</w:t>
                  </w:r>
                </w:p>
              </w:tc>
              <w:tc>
                <w:tcPr>
                  <w:tcW w:w="407"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30</w:t>
                  </w:r>
                </w:p>
              </w:tc>
              <w:tc>
                <w:tcPr>
                  <w:tcW w:w="407" w:type="pct"/>
                  <w:shd w:val="clear" w:color="auto" w:fill="auto"/>
                  <w:vAlign w:val="center"/>
                </w:tcPr>
                <w:p>
                  <w:pPr>
                    <w:adjustRightInd w:val="0"/>
                    <w:snapToGrid w:val="0"/>
                    <w:jc w:val="center"/>
                    <w:rPr>
                      <w:color w:val="auto"/>
                      <w:sz w:val="15"/>
                      <w:szCs w:val="21"/>
                    </w:rPr>
                  </w:pPr>
                  <w:r>
                    <w:rPr>
                      <w:rFonts w:hint="eastAsia"/>
                      <w:color w:val="auto"/>
                      <w:sz w:val="15"/>
                      <w:szCs w:val="21"/>
                    </w:rPr>
                    <w:t>13</w:t>
                  </w:r>
                </w:p>
              </w:tc>
              <w:tc>
                <w:tcPr>
                  <w:tcW w:w="516" w:type="pct"/>
                  <w:shd w:val="clear" w:color="auto" w:fill="auto"/>
                  <w:vAlign w:val="center"/>
                </w:tcPr>
                <w:p>
                  <w:pPr>
                    <w:adjustRightInd w:val="0"/>
                    <w:snapToGrid w:val="0"/>
                    <w:jc w:val="center"/>
                    <w:rPr>
                      <w:color w:val="auto"/>
                      <w:sz w:val="15"/>
                      <w:szCs w:val="21"/>
                    </w:rPr>
                  </w:pPr>
                  <w:r>
                    <w:rPr>
                      <w:rFonts w:hint="eastAsia"/>
                      <w:color w:val="auto"/>
                      <w:sz w:val="15"/>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 w:type="pct"/>
                  <w:vMerge w:val="continue"/>
                  <w:shd w:val="clear" w:color="auto" w:fill="auto"/>
                  <w:vAlign w:val="center"/>
                </w:tcPr>
                <w:p>
                  <w:pPr>
                    <w:adjustRightInd w:val="0"/>
                    <w:snapToGrid w:val="0"/>
                    <w:jc w:val="center"/>
                    <w:rPr>
                      <w:color w:val="auto"/>
                      <w:sz w:val="15"/>
                      <w:szCs w:val="21"/>
                    </w:rPr>
                  </w:pPr>
                </w:p>
              </w:tc>
              <w:tc>
                <w:tcPr>
                  <w:tcW w:w="371" w:type="pct"/>
                  <w:vMerge w:val="continue"/>
                  <w:shd w:val="clear" w:color="auto" w:fill="auto"/>
                  <w:vAlign w:val="center"/>
                </w:tcPr>
                <w:p>
                  <w:pPr>
                    <w:adjustRightInd w:val="0"/>
                    <w:snapToGrid w:val="0"/>
                    <w:jc w:val="center"/>
                    <w:rPr>
                      <w:color w:val="auto"/>
                      <w:sz w:val="15"/>
                      <w:szCs w:val="21"/>
                    </w:rPr>
                  </w:pPr>
                </w:p>
              </w:tc>
              <w:tc>
                <w:tcPr>
                  <w:tcW w:w="499"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FQ1-1-3</w:t>
                  </w:r>
                </w:p>
              </w:tc>
              <w:tc>
                <w:tcPr>
                  <w:tcW w:w="390"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24044</w:t>
                  </w:r>
                </w:p>
              </w:tc>
              <w:tc>
                <w:tcPr>
                  <w:tcW w:w="380"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14665</w:t>
                  </w:r>
                </w:p>
              </w:tc>
              <w:tc>
                <w:tcPr>
                  <w:tcW w:w="437" w:type="pct"/>
                  <w:gridSpan w:val="2"/>
                  <w:shd w:val="clear" w:color="auto" w:fill="auto"/>
                  <w:vAlign w:val="center"/>
                </w:tcPr>
                <w:p>
                  <w:pPr>
                    <w:jc w:val="center"/>
                    <w:rPr>
                      <w:color w:val="auto"/>
                    </w:rPr>
                  </w:pPr>
                  <w:r>
                    <w:rPr>
                      <w:color w:val="auto"/>
                      <w:sz w:val="15"/>
                      <w:szCs w:val="21"/>
                    </w:rPr>
                    <w:t>＜</w:t>
                  </w:r>
                  <w:r>
                    <w:rPr>
                      <w:rFonts w:hint="eastAsia"/>
                      <w:color w:val="auto"/>
                      <w:sz w:val="15"/>
                      <w:szCs w:val="21"/>
                    </w:rPr>
                    <w:t>20</w:t>
                  </w:r>
                </w:p>
              </w:tc>
              <w:tc>
                <w:tcPr>
                  <w:tcW w:w="406" w:type="pct"/>
                  <w:shd w:val="clear" w:color="auto" w:fill="auto"/>
                  <w:vAlign w:val="center"/>
                </w:tcPr>
                <w:p>
                  <w:pPr>
                    <w:jc w:val="center"/>
                    <w:rPr>
                      <w:color w:val="auto"/>
                    </w:rPr>
                  </w:pPr>
                  <w:r>
                    <w:rPr>
                      <w:color w:val="auto"/>
                      <w:sz w:val="15"/>
                      <w:szCs w:val="21"/>
                    </w:rPr>
                    <w:t>＜</w:t>
                  </w:r>
                  <w:r>
                    <w:rPr>
                      <w:rFonts w:hint="eastAsia"/>
                      <w:color w:val="auto"/>
                      <w:sz w:val="15"/>
                      <w:szCs w:val="21"/>
                    </w:rPr>
                    <w:t>20</w:t>
                  </w:r>
                </w:p>
              </w:tc>
              <w:tc>
                <w:tcPr>
                  <w:tcW w:w="407" w:type="pct"/>
                  <w:shd w:val="clear" w:color="auto" w:fill="auto"/>
                  <w:vAlign w:val="center"/>
                </w:tcPr>
                <w:p>
                  <w:pPr>
                    <w:adjustRightInd w:val="0"/>
                    <w:snapToGrid w:val="0"/>
                    <w:jc w:val="center"/>
                    <w:rPr>
                      <w:color w:val="auto"/>
                      <w:sz w:val="15"/>
                      <w:szCs w:val="21"/>
                    </w:rPr>
                  </w:pPr>
                  <w:r>
                    <w:rPr>
                      <w:rFonts w:hint="eastAsia"/>
                      <w:color w:val="auto"/>
                      <w:sz w:val="15"/>
                      <w:szCs w:val="21"/>
                    </w:rPr>
                    <w:t>192</w:t>
                  </w:r>
                </w:p>
              </w:tc>
              <w:tc>
                <w:tcPr>
                  <w:tcW w:w="409" w:type="pct"/>
                  <w:shd w:val="clear" w:color="auto" w:fill="auto"/>
                  <w:vAlign w:val="center"/>
                </w:tcPr>
                <w:p>
                  <w:pPr>
                    <w:adjustRightInd w:val="0"/>
                    <w:snapToGrid w:val="0"/>
                    <w:jc w:val="center"/>
                    <w:rPr>
                      <w:color w:val="auto"/>
                      <w:sz w:val="15"/>
                      <w:szCs w:val="21"/>
                    </w:rPr>
                  </w:pPr>
                  <w:r>
                    <w:rPr>
                      <w:rFonts w:hint="eastAsia"/>
                      <w:color w:val="auto"/>
                      <w:sz w:val="15"/>
                      <w:szCs w:val="21"/>
                    </w:rPr>
                    <w:t>84</w:t>
                  </w:r>
                </w:p>
              </w:tc>
              <w:tc>
                <w:tcPr>
                  <w:tcW w:w="407"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37</w:t>
                  </w:r>
                </w:p>
              </w:tc>
              <w:tc>
                <w:tcPr>
                  <w:tcW w:w="407" w:type="pct"/>
                  <w:shd w:val="clear" w:color="auto" w:fill="auto"/>
                  <w:vAlign w:val="center"/>
                </w:tcPr>
                <w:p>
                  <w:pPr>
                    <w:adjustRightInd w:val="0"/>
                    <w:snapToGrid w:val="0"/>
                    <w:jc w:val="center"/>
                    <w:rPr>
                      <w:color w:val="auto"/>
                      <w:sz w:val="15"/>
                      <w:szCs w:val="21"/>
                    </w:rPr>
                  </w:pPr>
                  <w:r>
                    <w:rPr>
                      <w:rFonts w:hint="eastAsia"/>
                      <w:color w:val="auto"/>
                      <w:sz w:val="15"/>
                      <w:szCs w:val="21"/>
                    </w:rPr>
                    <w:t>16</w:t>
                  </w:r>
                </w:p>
              </w:tc>
              <w:tc>
                <w:tcPr>
                  <w:tcW w:w="516" w:type="pct"/>
                  <w:shd w:val="clear" w:color="auto" w:fill="auto"/>
                  <w:vAlign w:val="center"/>
                </w:tcPr>
                <w:p>
                  <w:pPr>
                    <w:adjustRightInd w:val="0"/>
                    <w:snapToGrid w:val="0"/>
                    <w:jc w:val="center"/>
                    <w:rPr>
                      <w:color w:val="auto"/>
                      <w:sz w:val="15"/>
                      <w:szCs w:val="21"/>
                    </w:rPr>
                  </w:pPr>
                  <w:r>
                    <w:rPr>
                      <w:rFonts w:hint="eastAsia"/>
                      <w:color w:val="auto"/>
                      <w:sz w:val="15"/>
                      <w:szCs w:val="21"/>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 w:type="pct"/>
                  <w:vMerge w:val="continue"/>
                  <w:shd w:val="clear" w:color="auto" w:fill="auto"/>
                  <w:vAlign w:val="center"/>
                </w:tcPr>
                <w:p>
                  <w:pPr>
                    <w:adjustRightInd w:val="0"/>
                    <w:snapToGrid w:val="0"/>
                    <w:jc w:val="center"/>
                    <w:rPr>
                      <w:color w:val="auto"/>
                      <w:sz w:val="15"/>
                      <w:szCs w:val="21"/>
                    </w:rPr>
                  </w:pPr>
                </w:p>
              </w:tc>
              <w:tc>
                <w:tcPr>
                  <w:tcW w:w="371" w:type="pct"/>
                  <w:vMerge w:val="continue"/>
                  <w:shd w:val="clear" w:color="auto" w:fill="auto"/>
                  <w:vAlign w:val="center"/>
                </w:tcPr>
                <w:p>
                  <w:pPr>
                    <w:adjustRightInd w:val="0"/>
                    <w:snapToGrid w:val="0"/>
                    <w:jc w:val="center"/>
                    <w:rPr>
                      <w:color w:val="auto"/>
                      <w:sz w:val="15"/>
                      <w:szCs w:val="21"/>
                    </w:rPr>
                  </w:pPr>
                </w:p>
              </w:tc>
              <w:tc>
                <w:tcPr>
                  <w:tcW w:w="499"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平均值</w:t>
                  </w:r>
                </w:p>
              </w:tc>
              <w:tc>
                <w:tcPr>
                  <w:tcW w:w="390"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21377</w:t>
                  </w:r>
                </w:p>
              </w:tc>
              <w:tc>
                <w:tcPr>
                  <w:tcW w:w="380"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13056</w:t>
                  </w:r>
                </w:p>
              </w:tc>
              <w:tc>
                <w:tcPr>
                  <w:tcW w:w="437" w:type="pct"/>
                  <w:gridSpan w:val="2"/>
                  <w:shd w:val="clear" w:color="auto" w:fill="auto"/>
                  <w:vAlign w:val="center"/>
                </w:tcPr>
                <w:p>
                  <w:pPr>
                    <w:jc w:val="center"/>
                    <w:rPr>
                      <w:color w:val="auto"/>
                    </w:rPr>
                  </w:pPr>
                  <w:r>
                    <w:rPr>
                      <w:color w:val="auto"/>
                      <w:sz w:val="15"/>
                      <w:szCs w:val="21"/>
                    </w:rPr>
                    <w:t>＜</w:t>
                  </w:r>
                  <w:r>
                    <w:rPr>
                      <w:rFonts w:hint="eastAsia"/>
                      <w:color w:val="auto"/>
                      <w:sz w:val="15"/>
                      <w:szCs w:val="21"/>
                    </w:rPr>
                    <w:t>20</w:t>
                  </w:r>
                </w:p>
              </w:tc>
              <w:tc>
                <w:tcPr>
                  <w:tcW w:w="406" w:type="pct"/>
                  <w:shd w:val="clear" w:color="auto" w:fill="auto"/>
                  <w:vAlign w:val="center"/>
                </w:tcPr>
                <w:p>
                  <w:pPr>
                    <w:jc w:val="center"/>
                    <w:rPr>
                      <w:color w:val="auto"/>
                    </w:rPr>
                  </w:pPr>
                  <w:r>
                    <w:rPr>
                      <w:color w:val="auto"/>
                      <w:sz w:val="15"/>
                      <w:szCs w:val="21"/>
                    </w:rPr>
                    <w:t>＜</w:t>
                  </w:r>
                  <w:r>
                    <w:rPr>
                      <w:rFonts w:hint="eastAsia"/>
                      <w:color w:val="auto"/>
                      <w:sz w:val="15"/>
                      <w:szCs w:val="21"/>
                    </w:rPr>
                    <w:t>20</w:t>
                  </w:r>
                </w:p>
              </w:tc>
              <w:tc>
                <w:tcPr>
                  <w:tcW w:w="407" w:type="pct"/>
                  <w:shd w:val="clear" w:color="auto" w:fill="auto"/>
                  <w:vAlign w:val="center"/>
                </w:tcPr>
                <w:p>
                  <w:pPr>
                    <w:adjustRightInd w:val="0"/>
                    <w:snapToGrid w:val="0"/>
                    <w:jc w:val="center"/>
                    <w:rPr>
                      <w:color w:val="auto"/>
                      <w:sz w:val="15"/>
                      <w:szCs w:val="21"/>
                    </w:rPr>
                  </w:pPr>
                  <w:r>
                    <w:rPr>
                      <w:rFonts w:hint="eastAsia"/>
                      <w:color w:val="auto"/>
                      <w:sz w:val="15"/>
                      <w:szCs w:val="21"/>
                    </w:rPr>
                    <w:t>184</w:t>
                  </w:r>
                </w:p>
              </w:tc>
              <w:tc>
                <w:tcPr>
                  <w:tcW w:w="409" w:type="pct"/>
                  <w:shd w:val="clear" w:color="auto" w:fill="auto"/>
                  <w:vAlign w:val="center"/>
                </w:tcPr>
                <w:p>
                  <w:pPr>
                    <w:adjustRightInd w:val="0"/>
                    <w:snapToGrid w:val="0"/>
                    <w:jc w:val="center"/>
                    <w:rPr>
                      <w:color w:val="auto"/>
                      <w:sz w:val="15"/>
                      <w:szCs w:val="21"/>
                    </w:rPr>
                  </w:pPr>
                  <w:r>
                    <w:rPr>
                      <w:rFonts w:hint="eastAsia"/>
                      <w:color w:val="auto"/>
                      <w:sz w:val="15"/>
                      <w:szCs w:val="21"/>
                    </w:rPr>
                    <w:t>81</w:t>
                  </w:r>
                </w:p>
              </w:tc>
              <w:tc>
                <w:tcPr>
                  <w:tcW w:w="407"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33</w:t>
                  </w:r>
                </w:p>
              </w:tc>
              <w:tc>
                <w:tcPr>
                  <w:tcW w:w="407" w:type="pct"/>
                  <w:shd w:val="clear" w:color="auto" w:fill="auto"/>
                  <w:vAlign w:val="center"/>
                </w:tcPr>
                <w:p>
                  <w:pPr>
                    <w:adjustRightInd w:val="0"/>
                    <w:snapToGrid w:val="0"/>
                    <w:jc w:val="center"/>
                    <w:rPr>
                      <w:color w:val="auto"/>
                      <w:sz w:val="15"/>
                      <w:szCs w:val="21"/>
                    </w:rPr>
                  </w:pPr>
                  <w:r>
                    <w:rPr>
                      <w:rFonts w:hint="eastAsia"/>
                      <w:color w:val="auto"/>
                      <w:sz w:val="15"/>
                      <w:szCs w:val="21"/>
                    </w:rPr>
                    <w:t>14</w:t>
                  </w:r>
                </w:p>
              </w:tc>
              <w:tc>
                <w:tcPr>
                  <w:tcW w:w="516" w:type="pct"/>
                  <w:shd w:val="clear" w:color="auto" w:fill="auto"/>
                  <w:vAlign w:val="center"/>
                </w:tcPr>
                <w:p>
                  <w:pPr>
                    <w:adjustRightInd w:val="0"/>
                    <w:snapToGrid w:val="0"/>
                    <w:jc w:val="center"/>
                    <w:rPr>
                      <w:color w:val="auto"/>
                      <w:sz w:val="15"/>
                      <w:szCs w:val="21"/>
                    </w:rPr>
                  </w:pPr>
                  <w:r>
                    <w:rPr>
                      <w:rFonts w:hint="eastAsia"/>
                      <w:color w:val="auto"/>
                      <w:sz w:val="15"/>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 w:type="pct"/>
                  <w:vMerge w:val="continue"/>
                  <w:shd w:val="clear" w:color="auto" w:fill="auto"/>
                  <w:vAlign w:val="center"/>
                </w:tcPr>
                <w:p>
                  <w:pPr>
                    <w:adjustRightInd w:val="0"/>
                    <w:snapToGrid w:val="0"/>
                    <w:jc w:val="center"/>
                    <w:rPr>
                      <w:color w:val="auto"/>
                      <w:sz w:val="15"/>
                      <w:szCs w:val="21"/>
                    </w:rPr>
                  </w:pPr>
                </w:p>
              </w:tc>
              <w:tc>
                <w:tcPr>
                  <w:tcW w:w="1640" w:type="pct"/>
                  <w:gridSpan w:val="7"/>
                  <w:shd w:val="clear" w:color="auto" w:fill="auto"/>
                  <w:vAlign w:val="center"/>
                </w:tcPr>
                <w:p>
                  <w:pPr>
                    <w:adjustRightInd w:val="0"/>
                    <w:snapToGrid w:val="0"/>
                    <w:jc w:val="center"/>
                    <w:rPr>
                      <w:color w:val="auto"/>
                      <w:sz w:val="15"/>
                      <w:szCs w:val="21"/>
                    </w:rPr>
                  </w:pPr>
                  <w:r>
                    <w:rPr>
                      <w:rFonts w:hint="eastAsia"/>
                      <w:color w:val="auto"/>
                      <w:sz w:val="15"/>
                      <w:szCs w:val="21"/>
                    </w:rPr>
                    <w:t>排放速率（kg/h）</w:t>
                  </w:r>
                </w:p>
              </w:tc>
              <w:tc>
                <w:tcPr>
                  <w:tcW w:w="843" w:type="pct"/>
                  <w:gridSpan w:val="3"/>
                  <w:shd w:val="clear" w:color="auto" w:fill="auto"/>
                  <w:vAlign w:val="center"/>
                </w:tcPr>
                <w:p>
                  <w:pPr>
                    <w:jc w:val="center"/>
                    <w:rPr>
                      <w:color w:val="auto"/>
                      <w:sz w:val="15"/>
                      <w:szCs w:val="21"/>
                    </w:rPr>
                  </w:pPr>
                  <w:r>
                    <w:rPr>
                      <w:rFonts w:hint="eastAsia"/>
                      <w:color w:val="auto"/>
                      <w:sz w:val="15"/>
                      <w:szCs w:val="21"/>
                    </w:rPr>
                    <w:t>0.13</w:t>
                  </w:r>
                </w:p>
              </w:tc>
              <w:tc>
                <w:tcPr>
                  <w:tcW w:w="816"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2.40</w:t>
                  </w:r>
                </w:p>
              </w:tc>
              <w:tc>
                <w:tcPr>
                  <w:tcW w:w="814" w:type="pct"/>
                  <w:gridSpan w:val="3"/>
                  <w:shd w:val="clear" w:color="auto" w:fill="auto"/>
                  <w:vAlign w:val="center"/>
                </w:tcPr>
                <w:p>
                  <w:pPr>
                    <w:adjustRightInd w:val="0"/>
                    <w:snapToGrid w:val="0"/>
                    <w:jc w:val="center"/>
                    <w:rPr>
                      <w:color w:val="auto"/>
                      <w:sz w:val="15"/>
                      <w:szCs w:val="21"/>
                    </w:rPr>
                  </w:pPr>
                  <w:r>
                    <w:rPr>
                      <w:rFonts w:hint="eastAsia"/>
                      <w:color w:val="auto"/>
                      <w:sz w:val="15"/>
                      <w:szCs w:val="21"/>
                    </w:rPr>
                    <w:t>0.43</w:t>
                  </w:r>
                </w:p>
              </w:tc>
              <w:tc>
                <w:tcPr>
                  <w:tcW w:w="516" w:type="pct"/>
                  <w:shd w:val="clear" w:color="auto" w:fill="auto"/>
                  <w:vAlign w:val="center"/>
                </w:tcPr>
                <w:p>
                  <w:pPr>
                    <w:adjustRightInd w:val="0"/>
                    <w:snapToGrid w:val="0"/>
                    <w:jc w:val="center"/>
                    <w:rPr>
                      <w:color w:val="auto"/>
                      <w:sz w:val="15"/>
                      <w:szCs w:val="21"/>
                    </w:rPr>
                  </w:pPr>
                  <w:r>
                    <w:rPr>
                      <w:rFonts w:hint="eastAsia"/>
                      <w:color w:val="auto"/>
                      <w:sz w:val="15"/>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 w:type="pct"/>
                  <w:vMerge w:val="continue"/>
                  <w:shd w:val="clear" w:color="auto" w:fill="auto"/>
                  <w:vAlign w:val="center"/>
                </w:tcPr>
                <w:p>
                  <w:pPr>
                    <w:adjustRightInd w:val="0"/>
                    <w:snapToGrid w:val="0"/>
                    <w:jc w:val="center"/>
                    <w:rPr>
                      <w:color w:val="auto"/>
                      <w:sz w:val="15"/>
                      <w:szCs w:val="21"/>
                    </w:rPr>
                  </w:pPr>
                </w:p>
              </w:tc>
              <w:tc>
                <w:tcPr>
                  <w:tcW w:w="371" w:type="pct"/>
                  <w:vMerge w:val="restart"/>
                  <w:shd w:val="clear" w:color="auto" w:fill="auto"/>
                  <w:vAlign w:val="center"/>
                </w:tcPr>
                <w:p>
                  <w:pPr>
                    <w:adjustRightInd w:val="0"/>
                    <w:snapToGrid w:val="0"/>
                    <w:jc w:val="center"/>
                    <w:rPr>
                      <w:color w:val="auto"/>
                      <w:sz w:val="15"/>
                      <w:szCs w:val="21"/>
                    </w:rPr>
                  </w:pPr>
                  <w:r>
                    <w:rPr>
                      <w:rFonts w:hint="eastAsia"/>
                      <w:color w:val="auto"/>
                      <w:sz w:val="15"/>
                      <w:szCs w:val="21"/>
                    </w:rPr>
                    <w:t>2021</w:t>
                  </w:r>
                </w:p>
                <w:p>
                  <w:pPr>
                    <w:adjustRightInd w:val="0"/>
                    <w:snapToGrid w:val="0"/>
                    <w:jc w:val="center"/>
                    <w:rPr>
                      <w:color w:val="auto"/>
                      <w:sz w:val="15"/>
                      <w:szCs w:val="21"/>
                    </w:rPr>
                  </w:pPr>
                  <w:r>
                    <w:rPr>
                      <w:rFonts w:hint="eastAsia"/>
                      <w:color w:val="auto"/>
                      <w:sz w:val="15"/>
                      <w:szCs w:val="21"/>
                    </w:rPr>
                    <w:t>10.14</w:t>
                  </w:r>
                </w:p>
              </w:tc>
              <w:tc>
                <w:tcPr>
                  <w:tcW w:w="499"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FQ1-2-1</w:t>
                  </w:r>
                </w:p>
              </w:tc>
              <w:tc>
                <w:tcPr>
                  <w:tcW w:w="390"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18549</w:t>
                  </w:r>
                </w:p>
              </w:tc>
              <w:tc>
                <w:tcPr>
                  <w:tcW w:w="380"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11896</w:t>
                  </w:r>
                </w:p>
              </w:tc>
              <w:tc>
                <w:tcPr>
                  <w:tcW w:w="437" w:type="pct"/>
                  <w:gridSpan w:val="2"/>
                  <w:shd w:val="clear" w:color="auto" w:fill="auto"/>
                  <w:vAlign w:val="center"/>
                </w:tcPr>
                <w:p>
                  <w:pPr>
                    <w:jc w:val="center"/>
                    <w:rPr>
                      <w:color w:val="auto"/>
                    </w:rPr>
                  </w:pPr>
                  <w:r>
                    <w:rPr>
                      <w:color w:val="auto"/>
                      <w:sz w:val="15"/>
                      <w:szCs w:val="21"/>
                    </w:rPr>
                    <w:t>＜</w:t>
                  </w:r>
                  <w:r>
                    <w:rPr>
                      <w:rFonts w:hint="eastAsia"/>
                      <w:color w:val="auto"/>
                      <w:sz w:val="15"/>
                      <w:szCs w:val="21"/>
                    </w:rPr>
                    <w:t>20</w:t>
                  </w:r>
                </w:p>
              </w:tc>
              <w:tc>
                <w:tcPr>
                  <w:tcW w:w="406" w:type="pct"/>
                  <w:shd w:val="clear" w:color="auto" w:fill="auto"/>
                  <w:vAlign w:val="center"/>
                </w:tcPr>
                <w:p>
                  <w:pPr>
                    <w:jc w:val="center"/>
                    <w:rPr>
                      <w:color w:val="auto"/>
                    </w:rPr>
                  </w:pPr>
                  <w:r>
                    <w:rPr>
                      <w:color w:val="auto"/>
                      <w:sz w:val="15"/>
                      <w:szCs w:val="21"/>
                    </w:rPr>
                    <w:t>＜</w:t>
                  </w:r>
                  <w:r>
                    <w:rPr>
                      <w:rFonts w:hint="eastAsia"/>
                      <w:color w:val="auto"/>
                      <w:sz w:val="15"/>
                      <w:szCs w:val="21"/>
                    </w:rPr>
                    <w:t>20</w:t>
                  </w:r>
                </w:p>
              </w:tc>
              <w:tc>
                <w:tcPr>
                  <w:tcW w:w="407" w:type="pct"/>
                  <w:shd w:val="clear" w:color="auto" w:fill="auto"/>
                  <w:vAlign w:val="center"/>
                </w:tcPr>
                <w:p>
                  <w:pPr>
                    <w:adjustRightInd w:val="0"/>
                    <w:snapToGrid w:val="0"/>
                    <w:jc w:val="center"/>
                    <w:rPr>
                      <w:color w:val="auto"/>
                      <w:sz w:val="15"/>
                      <w:szCs w:val="21"/>
                    </w:rPr>
                  </w:pPr>
                  <w:r>
                    <w:rPr>
                      <w:rFonts w:hint="eastAsia"/>
                      <w:color w:val="auto"/>
                      <w:sz w:val="15"/>
                      <w:szCs w:val="21"/>
                    </w:rPr>
                    <w:t>182</w:t>
                  </w:r>
                </w:p>
              </w:tc>
              <w:tc>
                <w:tcPr>
                  <w:tcW w:w="409" w:type="pct"/>
                  <w:shd w:val="clear" w:color="auto" w:fill="auto"/>
                  <w:vAlign w:val="center"/>
                </w:tcPr>
                <w:p>
                  <w:pPr>
                    <w:adjustRightInd w:val="0"/>
                    <w:snapToGrid w:val="0"/>
                    <w:jc w:val="center"/>
                    <w:rPr>
                      <w:color w:val="auto"/>
                      <w:sz w:val="15"/>
                      <w:szCs w:val="21"/>
                    </w:rPr>
                  </w:pPr>
                  <w:r>
                    <w:rPr>
                      <w:rFonts w:hint="eastAsia"/>
                      <w:color w:val="auto"/>
                      <w:sz w:val="15"/>
                      <w:szCs w:val="21"/>
                    </w:rPr>
                    <w:t>81</w:t>
                  </w:r>
                </w:p>
              </w:tc>
              <w:tc>
                <w:tcPr>
                  <w:tcW w:w="407"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34</w:t>
                  </w:r>
                </w:p>
              </w:tc>
              <w:tc>
                <w:tcPr>
                  <w:tcW w:w="407" w:type="pct"/>
                  <w:shd w:val="clear" w:color="auto" w:fill="auto"/>
                  <w:vAlign w:val="center"/>
                </w:tcPr>
                <w:p>
                  <w:pPr>
                    <w:adjustRightInd w:val="0"/>
                    <w:snapToGrid w:val="0"/>
                    <w:jc w:val="center"/>
                    <w:rPr>
                      <w:color w:val="auto"/>
                      <w:sz w:val="15"/>
                      <w:szCs w:val="21"/>
                    </w:rPr>
                  </w:pPr>
                  <w:r>
                    <w:rPr>
                      <w:rFonts w:hint="eastAsia"/>
                      <w:color w:val="auto"/>
                      <w:sz w:val="15"/>
                      <w:szCs w:val="21"/>
                    </w:rPr>
                    <w:t>15</w:t>
                  </w:r>
                </w:p>
              </w:tc>
              <w:tc>
                <w:tcPr>
                  <w:tcW w:w="516" w:type="pct"/>
                  <w:shd w:val="clear" w:color="auto" w:fill="auto"/>
                  <w:vAlign w:val="center"/>
                </w:tcPr>
                <w:p>
                  <w:pPr>
                    <w:adjustRightInd w:val="0"/>
                    <w:snapToGrid w:val="0"/>
                    <w:jc w:val="center"/>
                    <w:rPr>
                      <w:color w:val="auto"/>
                      <w:sz w:val="15"/>
                      <w:szCs w:val="21"/>
                    </w:rPr>
                  </w:pPr>
                  <w:r>
                    <w:rPr>
                      <w:rFonts w:hint="eastAsia"/>
                      <w:color w:val="auto"/>
                      <w:sz w:val="15"/>
                      <w:szCs w:val="21"/>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 w:type="pct"/>
                  <w:vMerge w:val="continue"/>
                  <w:shd w:val="clear" w:color="auto" w:fill="auto"/>
                  <w:vAlign w:val="center"/>
                </w:tcPr>
                <w:p>
                  <w:pPr>
                    <w:adjustRightInd w:val="0"/>
                    <w:snapToGrid w:val="0"/>
                    <w:jc w:val="center"/>
                    <w:rPr>
                      <w:color w:val="auto"/>
                      <w:sz w:val="15"/>
                      <w:szCs w:val="21"/>
                    </w:rPr>
                  </w:pPr>
                </w:p>
              </w:tc>
              <w:tc>
                <w:tcPr>
                  <w:tcW w:w="371" w:type="pct"/>
                  <w:vMerge w:val="continue"/>
                  <w:shd w:val="clear" w:color="auto" w:fill="auto"/>
                  <w:vAlign w:val="center"/>
                </w:tcPr>
                <w:p>
                  <w:pPr>
                    <w:adjustRightInd w:val="0"/>
                    <w:snapToGrid w:val="0"/>
                    <w:jc w:val="center"/>
                    <w:rPr>
                      <w:color w:val="auto"/>
                      <w:sz w:val="15"/>
                      <w:szCs w:val="21"/>
                    </w:rPr>
                  </w:pPr>
                </w:p>
              </w:tc>
              <w:tc>
                <w:tcPr>
                  <w:tcW w:w="499"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FQ1-2-2</w:t>
                  </w:r>
                </w:p>
              </w:tc>
              <w:tc>
                <w:tcPr>
                  <w:tcW w:w="390"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20319</w:t>
                  </w:r>
                </w:p>
              </w:tc>
              <w:tc>
                <w:tcPr>
                  <w:tcW w:w="380"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12366</w:t>
                  </w:r>
                </w:p>
              </w:tc>
              <w:tc>
                <w:tcPr>
                  <w:tcW w:w="437" w:type="pct"/>
                  <w:gridSpan w:val="2"/>
                  <w:shd w:val="clear" w:color="auto" w:fill="auto"/>
                  <w:vAlign w:val="center"/>
                </w:tcPr>
                <w:p>
                  <w:pPr>
                    <w:jc w:val="center"/>
                    <w:rPr>
                      <w:color w:val="auto"/>
                    </w:rPr>
                  </w:pPr>
                  <w:r>
                    <w:rPr>
                      <w:color w:val="auto"/>
                      <w:sz w:val="15"/>
                      <w:szCs w:val="21"/>
                    </w:rPr>
                    <w:t>＜</w:t>
                  </w:r>
                  <w:r>
                    <w:rPr>
                      <w:rFonts w:hint="eastAsia"/>
                      <w:color w:val="auto"/>
                      <w:sz w:val="15"/>
                      <w:szCs w:val="21"/>
                    </w:rPr>
                    <w:t>20</w:t>
                  </w:r>
                </w:p>
              </w:tc>
              <w:tc>
                <w:tcPr>
                  <w:tcW w:w="406" w:type="pct"/>
                  <w:shd w:val="clear" w:color="auto" w:fill="auto"/>
                  <w:vAlign w:val="center"/>
                </w:tcPr>
                <w:p>
                  <w:pPr>
                    <w:jc w:val="center"/>
                    <w:rPr>
                      <w:color w:val="auto"/>
                    </w:rPr>
                  </w:pPr>
                  <w:r>
                    <w:rPr>
                      <w:color w:val="auto"/>
                      <w:sz w:val="15"/>
                      <w:szCs w:val="21"/>
                    </w:rPr>
                    <w:t>＜</w:t>
                  </w:r>
                  <w:r>
                    <w:rPr>
                      <w:rFonts w:hint="eastAsia"/>
                      <w:color w:val="auto"/>
                      <w:sz w:val="15"/>
                      <w:szCs w:val="21"/>
                    </w:rPr>
                    <w:t>20</w:t>
                  </w:r>
                </w:p>
              </w:tc>
              <w:tc>
                <w:tcPr>
                  <w:tcW w:w="407" w:type="pct"/>
                  <w:shd w:val="clear" w:color="auto" w:fill="auto"/>
                  <w:vAlign w:val="center"/>
                </w:tcPr>
                <w:p>
                  <w:pPr>
                    <w:adjustRightInd w:val="0"/>
                    <w:snapToGrid w:val="0"/>
                    <w:jc w:val="center"/>
                    <w:rPr>
                      <w:color w:val="auto"/>
                      <w:sz w:val="15"/>
                      <w:szCs w:val="21"/>
                    </w:rPr>
                  </w:pPr>
                  <w:r>
                    <w:rPr>
                      <w:rFonts w:hint="eastAsia"/>
                      <w:color w:val="auto"/>
                      <w:sz w:val="15"/>
                      <w:szCs w:val="21"/>
                    </w:rPr>
                    <w:t>175</w:t>
                  </w:r>
                </w:p>
              </w:tc>
              <w:tc>
                <w:tcPr>
                  <w:tcW w:w="409" w:type="pct"/>
                  <w:shd w:val="clear" w:color="auto" w:fill="auto"/>
                  <w:vAlign w:val="center"/>
                </w:tcPr>
                <w:p>
                  <w:pPr>
                    <w:adjustRightInd w:val="0"/>
                    <w:snapToGrid w:val="0"/>
                    <w:jc w:val="center"/>
                    <w:rPr>
                      <w:color w:val="auto"/>
                      <w:sz w:val="15"/>
                      <w:szCs w:val="21"/>
                    </w:rPr>
                  </w:pPr>
                  <w:r>
                    <w:rPr>
                      <w:rFonts w:hint="eastAsia"/>
                      <w:color w:val="auto"/>
                      <w:sz w:val="15"/>
                      <w:szCs w:val="21"/>
                    </w:rPr>
                    <w:t>78</w:t>
                  </w:r>
                </w:p>
              </w:tc>
              <w:tc>
                <w:tcPr>
                  <w:tcW w:w="407"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39</w:t>
                  </w:r>
                </w:p>
              </w:tc>
              <w:tc>
                <w:tcPr>
                  <w:tcW w:w="407" w:type="pct"/>
                  <w:shd w:val="clear" w:color="auto" w:fill="auto"/>
                  <w:vAlign w:val="center"/>
                </w:tcPr>
                <w:p>
                  <w:pPr>
                    <w:adjustRightInd w:val="0"/>
                    <w:snapToGrid w:val="0"/>
                    <w:jc w:val="center"/>
                    <w:rPr>
                      <w:color w:val="auto"/>
                      <w:sz w:val="15"/>
                      <w:szCs w:val="21"/>
                    </w:rPr>
                  </w:pPr>
                  <w:r>
                    <w:rPr>
                      <w:rFonts w:hint="eastAsia"/>
                      <w:color w:val="auto"/>
                      <w:sz w:val="15"/>
                      <w:szCs w:val="21"/>
                    </w:rPr>
                    <w:t>17</w:t>
                  </w:r>
                </w:p>
              </w:tc>
              <w:tc>
                <w:tcPr>
                  <w:tcW w:w="516" w:type="pct"/>
                  <w:shd w:val="clear" w:color="auto" w:fill="auto"/>
                  <w:vAlign w:val="center"/>
                </w:tcPr>
                <w:p>
                  <w:pPr>
                    <w:adjustRightInd w:val="0"/>
                    <w:snapToGrid w:val="0"/>
                    <w:jc w:val="center"/>
                    <w:rPr>
                      <w:color w:val="auto"/>
                      <w:sz w:val="15"/>
                      <w:szCs w:val="21"/>
                    </w:rPr>
                  </w:pPr>
                  <w:r>
                    <w:rPr>
                      <w:rFonts w:hint="eastAsia"/>
                      <w:color w:val="auto"/>
                      <w:sz w:val="15"/>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 w:type="pct"/>
                  <w:vMerge w:val="continue"/>
                  <w:shd w:val="clear" w:color="auto" w:fill="auto"/>
                  <w:vAlign w:val="center"/>
                </w:tcPr>
                <w:p>
                  <w:pPr>
                    <w:adjustRightInd w:val="0"/>
                    <w:snapToGrid w:val="0"/>
                    <w:jc w:val="center"/>
                    <w:rPr>
                      <w:color w:val="auto"/>
                      <w:sz w:val="15"/>
                      <w:szCs w:val="21"/>
                    </w:rPr>
                  </w:pPr>
                </w:p>
              </w:tc>
              <w:tc>
                <w:tcPr>
                  <w:tcW w:w="371" w:type="pct"/>
                  <w:vMerge w:val="continue"/>
                  <w:shd w:val="clear" w:color="auto" w:fill="auto"/>
                  <w:vAlign w:val="center"/>
                </w:tcPr>
                <w:p>
                  <w:pPr>
                    <w:adjustRightInd w:val="0"/>
                    <w:snapToGrid w:val="0"/>
                    <w:jc w:val="center"/>
                    <w:rPr>
                      <w:color w:val="auto"/>
                      <w:sz w:val="15"/>
                      <w:szCs w:val="21"/>
                    </w:rPr>
                  </w:pPr>
                </w:p>
              </w:tc>
              <w:tc>
                <w:tcPr>
                  <w:tcW w:w="499"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FQ1-2-3</w:t>
                  </w:r>
                </w:p>
              </w:tc>
              <w:tc>
                <w:tcPr>
                  <w:tcW w:w="390"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20812</w:t>
                  </w:r>
                </w:p>
              </w:tc>
              <w:tc>
                <w:tcPr>
                  <w:tcW w:w="380"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12635</w:t>
                  </w:r>
                </w:p>
              </w:tc>
              <w:tc>
                <w:tcPr>
                  <w:tcW w:w="437" w:type="pct"/>
                  <w:gridSpan w:val="2"/>
                  <w:shd w:val="clear" w:color="auto" w:fill="auto"/>
                  <w:vAlign w:val="center"/>
                </w:tcPr>
                <w:p>
                  <w:pPr>
                    <w:jc w:val="center"/>
                    <w:rPr>
                      <w:color w:val="auto"/>
                    </w:rPr>
                  </w:pPr>
                  <w:r>
                    <w:rPr>
                      <w:color w:val="auto"/>
                      <w:sz w:val="15"/>
                      <w:szCs w:val="21"/>
                    </w:rPr>
                    <w:t>＜</w:t>
                  </w:r>
                  <w:r>
                    <w:rPr>
                      <w:rFonts w:hint="eastAsia"/>
                      <w:color w:val="auto"/>
                      <w:sz w:val="15"/>
                      <w:szCs w:val="21"/>
                    </w:rPr>
                    <w:t>20</w:t>
                  </w:r>
                </w:p>
              </w:tc>
              <w:tc>
                <w:tcPr>
                  <w:tcW w:w="406" w:type="pct"/>
                  <w:shd w:val="clear" w:color="auto" w:fill="auto"/>
                  <w:vAlign w:val="center"/>
                </w:tcPr>
                <w:p>
                  <w:pPr>
                    <w:jc w:val="center"/>
                    <w:rPr>
                      <w:color w:val="auto"/>
                    </w:rPr>
                  </w:pPr>
                  <w:r>
                    <w:rPr>
                      <w:color w:val="auto"/>
                      <w:sz w:val="15"/>
                      <w:szCs w:val="21"/>
                    </w:rPr>
                    <w:t>＜</w:t>
                  </w:r>
                  <w:r>
                    <w:rPr>
                      <w:rFonts w:hint="eastAsia"/>
                      <w:color w:val="auto"/>
                      <w:sz w:val="15"/>
                      <w:szCs w:val="21"/>
                    </w:rPr>
                    <w:t>20</w:t>
                  </w:r>
                </w:p>
              </w:tc>
              <w:tc>
                <w:tcPr>
                  <w:tcW w:w="407" w:type="pct"/>
                  <w:shd w:val="clear" w:color="auto" w:fill="auto"/>
                  <w:vAlign w:val="center"/>
                </w:tcPr>
                <w:p>
                  <w:pPr>
                    <w:adjustRightInd w:val="0"/>
                    <w:snapToGrid w:val="0"/>
                    <w:jc w:val="center"/>
                    <w:rPr>
                      <w:color w:val="auto"/>
                      <w:sz w:val="15"/>
                      <w:szCs w:val="21"/>
                    </w:rPr>
                  </w:pPr>
                  <w:r>
                    <w:rPr>
                      <w:rFonts w:hint="eastAsia"/>
                      <w:color w:val="auto"/>
                      <w:sz w:val="15"/>
                      <w:szCs w:val="21"/>
                    </w:rPr>
                    <w:t>171</w:t>
                  </w:r>
                </w:p>
              </w:tc>
              <w:tc>
                <w:tcPr>
                  <w:tcW w:w="409" w:type="pct"/>
                  <w:shd w:val="clear" w:color="auto" w:fill="auto"/>
                  <w:vAlign w:val="center"/>
                </w:tcPr>
                <w:p>
                  <w:pPr>
                    <w:adjustRightInd w:val="0"/>
                    <w:snapToGrid w:val="0"/>
                    <w:jc w:val="center"/>
                    <w:rPr>
                      <w:color w:val="auto"/>
                      <w:sz w:val="15"/>
                      <w:szCs w:val="21"/>
                    </w:rPr>
                  </w:pPr>
                  <w:r>
                    <w:rPr>
                      <w:rFonts w:hint="eastAsia"/>
                      <w:color w:val="auto"/>
                      <w:sz w:val="15"/>
                      <w:szCs w:val="21"/>
                    </w:rPr>
                    <w:t>76</w:t>
                  </w:r>
                </w:p>
              </w:tc>
              <w:tc>
                <w:tcPr>
                  <w:tcW w:w="407"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36</w:t>
                  </w:r>
                </w:p>
              </w:tc>
              <w:tc>
                <w:tcPr>
                  <w:tcW w:w="407" w:type="pct"/>
                  <w:shd w:val="clear" w:color="auto" w:fill="auto"/>
                  <w:vAlign w:val="center"/>
                </w:tcPr>
                <w:p>
                  <w:pPr>
                    <w:adjustRightInd w:val="0"/>
                    <w:snapToGrid w:val="0"/>
                    <w:jc w:val="center"/>
                    <w:rPr>
                      <w:color w:val="auto"/>
                      <w:sz w:val="15"/>
                      <w:szCs w:val="21"/>
                    </w:rPr>
                  </w:pPr>
                  <w:r>
                    <w:rPr>
                      <w:rFonts w:hint="eastAsia"/>
                      <w:color w:val="auto"/>
                      <w:sz w:val="15"/>
                      <w:szCs w:val="21"/>
                    </w:rPr>
                    <w:t>16</w:t>
                  </w:r>
                </w:p>
              </w:tc>
              <w:tc>
                <w:tcPr>
                  <w:tcW w:w="516" w:type="pct"/>
                  <w:shd w:val="clear" w:color="auto" w:fill="auto"/>
                  <w:vAlign w:val="center"/>
                </w:tcPr>
                <w:p>
                  <w:pPr>
                    <w:adjustRightInd w:val="0"/>
                    <w:snapToGrid w:val="0"/>
                    <w:jc w:val="center"/>
                    <w:rPr>
                      <w:color w:val="auto"/>
                      <w:sz w:val="15"/>
                      <w:szCs w:val="21"/>
                    </w:rPr>
                  </w:pPr>
                  <w:r>
                    <w:rPr>
                      <w:rFonts w:hint="eastAsia"/>
                      <w:color w:val="auto"/>
                      <w:sz w:val="15"/>
                      <w:szCs w:val="21"/>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 w:type="pct"/>
                  <w:vMerge w:val="continue"/>
                  <w:shd w:val="clear" w:color="auto" w:fill="auto"/>
                  <w:vAlign w:val="center"/>
                </w:tcPr>
                <w:p>
                  <w:pPr>
                    <w:adjustRightInd w:val="0"/>
                    <w:snapToGrid w:val="0"/>
                    <w:jc w:val="center"/>
                    <w:rPr>
                      <w:color w:val="auto"/>
                      <w:sz w:val="15"/>
                      <w:szCs w:val="21"/>
                    </w:rPr>
                  </w:pPr>
                </w:p>
              </w:tc>
              <w:tc>
                <w:tcPr>
                  <w:tcW w:w="371" w:type="pct"/>
                  <w:vMerge w:val="continue"/>
                  <w:shd w:val="clear" w:color="auto" w:fill="auto"/>
                  <w:vAlign w:val="center"/>
                </w:tcPr>
                <w:p>
                  <w:pPr>
                    <w:adjustRightInd w:val="0"/>
                    <w:snapToGrid w:val="0"/>
                    <w:jc w:val="center"/>
                    <w:rPr>
                      <w:color w:val="auto"/>
                      <w:sz w:val="15"/>
                      <w:szCs w:val="21"/>
                    </w:rPr>
                  </w:pPr>
                </w:p>
              </w:tc>
              <w:tc>
                <w:tcPr>
                  <w:tcW w:w="499"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平均值</w:t>
                  </w:r>
                </w:p>
              </w:tc>
              <w:tc>
                <w:tcPr>
                  <w:tcW w:w="390"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20227</w:t>
                  </w:r>
                </w:p>
              </w:tc>
              <w:tc>
                <w:tcPr>
                  <w:tcW w:w="380"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12299</w:t>
                  </w:r>
                </w:p>
              </w:tc>
              <w:tc>
                <w:tcPr>
                  <w:tcW w:w="437" w:type="pct"/>
                  <w:gridSpan w:val="2"/>
                  <w:shd w:val="clear" w:color="auto" w:fill="auto"/>
                  <w:vAlign w:val="center"/>
                </w:tcPr>
                <w:p>
                  <w:pPr>
                    <w:jc w:val="center"/>
                    <w:rPr>
                      <w:color w:val="auto"/>
                    </w:rPr>
                  </w:pPr>
                  <w:r>
                    <w:rPr>
                      <w:color w:val="auto"/>
                      <w:sz w:val="15"/>
                      <w:szCs w:val="21"/>
                    </w:rPr>
                    <w:t>＜</w:t>
                  </w:r>
                  <w:r>
                    <w:rPr>
                      <w:rFonts w:hint="eastAsia"/>
                      <w:color w:val="auto"/>
                      <w:sz w:val="15"/>
                      <w:szCs w:val="21"/>
                    </w:rPr>
                    <w:t>20</w:t>
                  </w:r>
                </w:p>
              </w:tc>
              <w:tc>
                <w:tcPr>
                  <w:tcW w:w="406" w:type="pct"/>
                  <w:shd w:val="clear" w:color="auto" w:fill="auto"/>
                  <w:vAlign w:val="center"/>
                </w:tcPr>
                <w:p>
                  <w:pPr>
                    <w:jc w:val="center"/>
                    <w:rPr>
                      <w:color w:val="auto"/>
                    </w:rPr>
                  </w:pPr>
                  <w:r>
                    <w:rPr>
                      <w:color w:val="auto"/>
                      <w:sz w:val="15"/>
                      <w:szCs w:val="21"/>
                    </w:rPr>
                    <w:t>＜</w:t>
                  </w:r>
                  <w:r>
                    <w:rPr>
                      <w:rFonts w:hint="eastAsia"/>
                      <w:color w:val="auto"/>
                      <w:sz w:val="15"/>
                      <w:szCs w:val="21"/>
                    </w:rPr>
                    <w:t>20</w:t>
                  </w:r>
                </w:p>
              </w:tc>
              <w:tc>
                <w:tcPr>
                  <w:tcW w:w="407" w:type="pct"/>
                  <w:shd w:val="clear" w:color="auto" w:fill="auto"/>
                  <w:vAlign w:val="center"/>
                </w:tcPr>
                <w:p>
                  <w:pPr>
                    <w:adjustRightInd w:val="0"/>
                    <w:snapToGrid w:val="0"/>
                    <w:jc w:val="center"/>
                    <w:rPr>
                      <w:color w:val="auto"/>
                      <w:sz w:val="15"/>
                      <w:szCs w:val="21"/>
                    </w:rPr>
                  </w:pPr>
                  <w:r>
                    <w:rPr>
                      <w:rFonts w:hint="eastAsia"/>
                      <w:color w:val="auto"/>
                      <w:sz w:val="15"/>
                      <w:szCs w:val="21"/>
                    </w:rPr>
                    <w:t>176</w:t>
                  </w:r>
                </w:p>
              </w:tc>
              <w:tc>
                <w:tcPr>
                  <w:tcW w:w="409" w:type="pct"/>
                  <w:shd w:val="clear" w:color="auto" w:fill="auto"/>
                  <w:vAlign w:val="center"/>
                </w:tcPr>
                <w:p>
                  <w:pPr>
                    <w:adjustRightInd w:val="0"/>
                    <w:snapToGrid w:val="0"/>
                    <w:jc w:val="center"/>
                    <w:rPr>
                      <w:color w:val="auto"/>
                      <w:sz w:val="15"/>
                      <w:szCs w:val="21"/>
                    </w:rPr>
                  </w:pPr>
                  <w:r>
                    <w:rPr>
                      <w:rFonts w:hint="eastAsia"/>
                      <w:color w:val="auto"/>
                      <w:sz w:val="15"/>
                      <w:szCs w:val="21"/>
                    </w:rPr>
                    <w:t>79</w:t>
                  </w:r>
                </w:p>
              </w:tc>
              <w:tc>
                <w:tcPr>
                  <w:tcW w:w="407"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36</w:t>
                  </w:r>
                </w:p>
              </w:tc>
              <w:tc>
                <w:tcPr>
                  <w:tcW w:w="407" w:type="pct"/>
                  <w:shd w:val="clear" w:color="auto" w:fill="auto"/>
                  <w:vAlign w:val="center"/>
                </w:tcPr>
                <w:p>
                  <w:pPr>
                    <w:adjustRightInd w:val="0"/>
                    <w:snapToGrid w:val="0"/>
                    <w:jc w:val="center"/>
                    <w:rPr>
                      <w:color w:val="auto"/>
                      <w:sz w:val="15"/>
                      <w:szCs w:val="21"/>
                    </w:rPr>
                  </w:pPr>
                  <w:r>
                    <w:rPr>
                      <w:rFonts w:hint="eastAsia"/>
                      <w:color w:val="auto"/>
                      <w:sz w:val="15"/>
                      <w:szCs w:val="21"/>
                    </w:rPr>
                    <w:t>16</w:t>
                  </w:r>
                </w:p>
              </w:tc>
              <w:tc>
                <w:tcPr>
                  <w:tcW w:w="516" w:type="pct"/>
                  <w:shd w:val="clear" w:color="auto" w:fill="auto"/>
                  <w:vAlign w:val="center"/>
                </w:tcPr>
                <w:p>
                  <w:pPr>
                    <w:adjustRightInd w:val="0"/>
                    <w:snapToGrid w:val="0"/>
                    <w:jc w:val="center"/>
                    <w:rPr>
                      <w:color w:val="auto"/>
                      <w:sz w:val="15"/>
                      <w:szCs w:val="21"/>
                    </w:rPr>
                  </w:pPr>
                  <w:r>
                    <w:rPr>
                      <w:rFonts w:hint="eastAsia"/>
                      <w:color w:val="auto"/>
                      <w:sz w:val="15"/>
                      <w:szCs w:val="21"/>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 w:type="pct"/>
                  <w:vMerge w:val="continue"/>
                  <w:shd w:val="clear" w:color="auto" w:fill="auto"/>
                  <w:vAlign w:val="center"/>
                </w:tcPr>
                <w:p>
                  <w:pPr>
                    <w:adjustRightInd w:val="0"/>
                    <w:snapToGrid w:val="0"/>
                    <w:jc w:val="center"/>
                    <w:rPr>
                      <w:color w:val="auto"/>
                      <w:sz w:val="15"/>
                      <w:szCs w:val="21"/>
                    </w:rPr>
                  </w:pPr>
                </w:p>
              </w:tc>
              <w:tc>
                <w:tcPr>
                  <w:tcW w:w="1640" w:type="pct"/>
                  <w:gridSpan w:val="7"/>
                  <w:shd w:val="clear" w:color="auto" w:fill="auto"/>
                  <w:vAlign w:val="center"/>
                </w:tcPr>
                <w:p>
                  <w:pPr>
                    <w:adjustRightInd w:val="0"/>
                    <w:snapToGrid w:val="0"/>
                    <w:jc w:val="center"/>
                    <w:rPr>
                      <w:color w:val="auto"/>
                      <w:sz w:val="15"/>
                      <w:szCs w:val="21"/>
                    </w:rPr>
                  </w:pPr>
                  <w:r>
                    <w:rPr>
                      <w:rFonts w:hint="eastAsia"/>
                      <w:color w:val="auto"/>
                      <w:sz w:val="15"/>
                      <w:szCs w:val="21"/>
                    </w:rPr>
                    <w:t>排放速率（kg/h）</w:t>
                  </w:r>
                </w:p>
              </w:tc>
              <w:tc>
                <w:tcPr>
                  <w:tcW w:w="843" w:type="pct"/>
                  <w:gridSpan w:val="3"/>
                  <w:shd w:val="clear" w:color="auto" w:fill="auto"/>
                  <w:vAlign w:val="center"/>
                </w:tcPr>
                <w:p>
                  <w:pPr>
                    <w:jc w:val="center"/>
                    <w:rPr>
                      <w:color w:val="auto"/>
                      <w:sz w:val="15"/>
                      <w:szCs w:val="21"/>
                    </w:rPr>
                  </w:pPr>
                  <w:r>
                    <w:rPr>
                      <w:rFonts w:hint="eastAsia"/>
                      <w:color w:val="auto"/>
                      <w:sz w:val="15"/>
                      <w:szCs w:val="21"/>
                    </w:rPr>
                    <w:t>0.12</w:t>
                  </w:r>
                </w:p>
              </w:tc>
              <w:tc>
                <w:tcPr>
                  <w:tcW w:w="816"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2.16</w:t>
                  </w:r>
                </w:p>
              </w:tc>
              <w:tc>
                <w:tcPr>
                  <w:tcW w:w="814" w:type="pct"/>
                  <w:gridSpan w:val="3"/>
                  <w:shd w:val="clear" w:color="auto" w:fill="auto"/>
                  <w:vAlign w:val="center"/>
                </w:tcPr>
                <w:p>
                  <w:pPr>
                    <w:adjustRightInd w:val="0"/>
                    <w:snapToGrid w:val="0"/>
                    <w:jc w:val="center"/>
                    <w:rPr>
                      <w:color w:val="auto"/>
                      <w:sz w:val="15"/>
                      <w:szCs w:val="21"/>
                    </w:rPr>
                  </w:pPr>
                  <w:r>
                    <w:rPr>
                      <w:rFonts w:hint="eastAsia"/>
                      <w:color w:val="auto"/>
                      <w:sz w:val="15"/>
                      <w:szCs w:val="21"/>
                    </w:rPr>
                    <w:t>0.44</w:t>
                  </w:r>
                </w:p>
              </w:tc>
              <w:tc>
                <w:tcPr>
                  <w:tcW w:w="516" w:type="pct"/>
                  <w:shd w:val="clear" w:color="auto" w:fill="auto"/>
                  <w:vAlign w:val="center"/>
                </w:tcPr>
                <w:p>
                  <w:pPr>
                    <w:adjustRightInd w:val="0"/>
                    <w:snapToGrid w:val="0"/>
                    <w:jc w:val="center"/>
                    <w:rPr>
                      <w:color w:val="auto"/>
                      <w:sz w:val="15"/>
                      <w:szCs w:val="21"/>
                    </w:rPr>
                  </w:pPr>
                  <w:r>
                    <w:rPr>
                      <w:rFonts w:hint="eastAsia"/>
                      <w:color w:val="auto"/>
                      <w:sz w:val="15"/>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 w:type="pct"/>
                  <w:vMerge w:val="restart"/>
                  <w:shd w:val="clear" w:color="auto" w:fill="auto"/>
                  <w:vAlign w:val="center"/>
                </w:tcPr>
                <w:p>
                  <w:pPr>
                    <w:adjustRightInd w:val="0"/>
                    <w:snapToGrid w:val="0"/>
                    <w:rPr>
                      <w:color w:val="auto"/>
                      <w:sz w:val="15"/>
                      <w:szCs w:val="21"/>
                    </w:rPr>
                  </w:pPr>
                  <w:r>
                    <w:rPr>
                      <w:rFonts w:hint="eastAsia"/>
                      <w:bCs/>
                      <w:color w:val="auto"/>
                      <w:sz w:val="15"/>
                      <w:szCs w:val="21"/>
                    </w:rPr>
                    <w:t>《昆明红枫湖耐火材料有限公司2022年2季度委托自行监测》</w:t>
                  </w:r>
                </w:p>
              </w:tc>
              <w:tc>
                <w:tcPr>
                  <w:tcW w:w="381" w:type="pct"/>
                  <w:gridSpan w:val="2"/>
                  <w:vMerge w:val="restart"/>
                  <w:shd w:val="clear" w:color="auto" w:fill="auto"/>
                  <w:vAlign w:val="center"/>
                </w:tcPr>
                <w:p>
                  <w:pPr>
                    <w:adjustRightInd w:val="0"/>
                    <w:snapToGrid w:val="0"/>
                    <w:jc w:val="center"/>
                    <w:rPr>
                      <w:color w:val="auto"/>
                      <w:sz w:val="15"/>
                      <w:szCs w:val="21"/>
                    </w:rPr>
                  </w:pPr>
                  <w:r>
                    <w:rPr>
                      <w:rFonts w:hint="eastAsia"/>
                      <w:color w:val="auto"/>
                      <w:sz w:val="15"/>
                      <w:szCs w:val="21"/>
                    </w:rPr>
                    <w:t>2022</w:t>
                  </w:r>
                </w:p>
                <w:p>
                  <w:pPr>
                    <w:adjustRightInd w:val="0"/>
                    <w:snapToGrid w:val="0"/>
                    <w:jc w:val="center"/>
                    <w:rPr>
                      <w:color w:val="auto"/>
                      <w:sz w:val="15"/>
                      <w:szCs w:val="21"/>
                    </w:rPr>
                  </w:pPr>
                  <w:r>
                    <w:rPr>
                      <w:rFonts w:hint="eastAsia"/>
                      <w:color w:val="auto"/>
                      <w:sz w:val="15"/>
                      <w:szCs w:val="21"/>
                    </w:rPr>
                    <w:t>5.23</w:t>
                  </w:r>
                </w:p>
              </w:tc>
              <w:tc>
                <w:tcPr>
                  <w:tcW w:w="502"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FQ1-1-1</w:t>
                  </w:r>
                </w:p>
              </w:tc>
              <w:tc>
                <w:tcPr>
                  <w:tcW w:w="397"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34699</w:t>
                  </w:r>
                </w:p>
              </w:tc>
              <w:tc>
                <w:tcPr>
                  <w:tcW w:w="360" w:type="pct"/>
                  <w:shd w:val="clear" w:color="auto" w:fill="auto"/>
                  <w:vAlign w:val="center"/>
                </w:tcPr>
                <w:p>
                  <w:pPr>
                    <w:adjustRightInd w:val="0"/>
                    <w:snapToGrid w:val="0"/>
                    <w:jc w:val="center"/>
                    <w:rPr>
                      <w:color w:val="auto"/>
                      <w:sz w:val="15"/>
                      <w:szCs w:val="21"/>
                    </w:rPr>
                  </w:pPr>
                  <w:r>
                    <w:rPr>
                      <w:rFonts w:hint="eastAsia"/>
                      <w:color w:val="auto"/>
                      <w:sz w:val="15"/>
                      <w:szCs w:val="21"/>
                    </w:rPr>
                    <w:t>22345</w:t>
                  </w:r>
                </w:p>
              </w:tc>
              <w:tc>
                <w:tcPr>
                  <w:tcW w:w="430" w:type="pct"/>
                  <w:shd w:val="clear" w:color="auto" w:fill="auto"/>
                  <w:vAlign w:val="center"/>
                </w:tcPr>
                <w:p>
                  <w:pPr>
                    <w:jc w:val="center"/>
                    <w:rPr>
                      <w:color w:val="auto"/>
                      <w:sz w:val="15"/>
                      <w:szCs w:val="21"/>
                    </w:rPr>
                  </w:pPr>
                  <w:r>
                    <w:rPr>
                      <w:rFonts w:hint="eastAsia"/>
                      <w:color w:val="auto"/>
                      <w:sz w:val="15"/>
                      <w:szCs w:val="21"/>
                    </w:rPr>
                    <w:t>/</w:t>
                  </w:r>
                </w:p>
              </w:tc>
              <w:tc>
                <w:tcPr>
                  <w:tcW w:w="413" w:type="pct"/>
                  <w:gridSpan w:val="2"/>
                  <w:shd w:val="clear" w:color="auto" w:fill="auto"/>
                  <w:vAlign w:val="center"/>
                </w:tcPr>
                <w:p>
                  <w:pPr>
                    <w:jc w:val="center"/>
                    <w:rPr>
                      <w:color w:val="auto"/>
                      <w:sz w:val="15"/>
                      <w:szCs w:val="21"/>
                    </w:rPr>
                  </w:pPr>
                  <w:r>
                    <w:rPr>
                      <w:rFonts w:hint="eastAsia"/>
                      <w:color w:val="auto"/>
                      <w:sz w:val="15"/>
                      <w:szCs w:val="21"/>
                    </w:rPr>
                    <w:t>/</w:t>
                  </w:r>
                </w:p>
              </w:tc>
              <w:tc>
                <w:tcPr>
                  <w:tcW w:w="407" w:type="pct"/>
                  <w:shd w:val="clear" w:color="auto" w:fill="auto"/>
                  <w:vAlign w:val="center"/>
                </w:tcPr>
                <w:p>
                  <w:pPr>
                    <w:adjustRightInd w:val="0"/>
                    <w:snapToGrid w:val="0"/>
                    <w:jc w:val="center"/>
                    <w:rPr>
                      <w:color w:val="auto"/>
                      <w:sz w:val="15"/>
                      <w:szCs w:val="21"/>
                    </w:rPr>
                  </w:pPr>
                  <w:r>
                    <w:rPr>
                      <w:rFonts w:hint="eastAsia"/>
                      <w:color w:val="auto"/>
                      <w:sz w:val="15"/>
                      <w:szCs w:val="21"/>
                    </w:rPr>
                    <w:t>/</w:t>
                  </w:r>
                </w:p>
              </w:tc>
              <w:tc>
                <w:tcPr>
                  <w:tcW w:w="409" w:type="pct"/>
                  <w:shd w:val="clear" w:color="auto" w:fill="auto"/>
                  <w:vAlign w:val="center"/>
                </w:tcPr>
                <w:p>
                  <w:pPr>
                    <w:adjustRightInd w:val="0"/>
                    <w:snapToGrid w:val="0"/>
                    <w:jc w:val="center"/>
                    <w:rPr>
                      <w:color w:val="auto"/>
                      <w:sz w:val="15"/>
                      <w:szCs w:val="21"/>
                    </w:rPr>
                  </w:pPr>
                  <w:r>
                    <w:rPr>
                      <w:rFonts w:hint="eastAsia"/>
                      <w:color w:val="auto"/>
                      <w:sz w:val="15"/>
                      <w:szCs w:val="21"/>
                    </w:rPr>
                    <w:t>/</w:t>
                  </w:r>
                </w:p>
              </w:tc>
              <w:tc>
                <w:tcPr>
                  <w:tcW w:w="397" w:type="pct"/>
                  <w:shd w:val="clear" w:color="auto" w:fill="auto"/>
                  <w:vAlign w:val="center"/>
                </w:tcPr>
                <w:p>
                  <w:pPr>
                    <w:adjustRightInd w:val="0"/>
                    <w:snapToGrid w:val="0"/>
                    <w:jc w:val="center"/>
                    <w:rPr>
                      <w:color w:val="auto"/>
                      <w:sz w:val="15"/>
                      <w:szCs w:val="21"/>
                    </w:rPr>
                  </w:pPr>
                  <w:r>
                    <w:rPr>
                      <w:rFonts w:hint="eastAsia"/>
                      <w:color w:val="auto"/>
                      <w:sz w:val="15"/>
                      <w:szCs w:val="21"/>
                    </w:rPr>
                    <w:t>/</w:t>
                  </w:r>
                </w:p>
              </w:tc>
              <w:tc>
                <w:tcPr>
                  <w:tcW w:w="417"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w:t>
                  </w:r>
                </w:p>
              </w:tc>
              <w:tc>
                <w:tcPr>
                  <w:tcW w:w="516" w:type="pct"/>
                  <w:shd w:val="clear" w:color="auto" w:fill="auto"/>
                  <w:vAlign w:val="center"/>
                </w:tcPr>
                <w:p>
                  <w:pPr>
                    <w:adjustRightInd w:val="0"/>
                    <w:snapToGrid w:val="0"/>
                    <w:jc w:val="center"/>
                    <w:rPr>
                      <w:color w:val="auto"/>
                      <w:sz w:val="15"/>
                      <w:szCs w:val="21"/>
                    </w:rPr>
                  </w:pPr>
                  <w:r>
                    <w:rPr>
                      <w:rFonts w:hint="eastAsia"/>
                      <w:color w:val="auto"/>
                      <w:sz w:val="15"/>
                      <w:szCs w:val="21"/>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 w:type="pct"/>
                  <w:vMerge w:val="continue"/>
                  <w:shd w:val="clear" w:color="auto" w:fill="auto"/>
                  <w:vAlign w:val="center"/>
                </w:tcPr>
                <w:p>
                  <w:pPr>
                    <w:adjustRightInd w:val="0"/>
                    <w:snapToGrid w:val="0"/>
                    <w:jc w:val="center"/>
                    <w:rPr>
                      <w:color w:val="auto"/>
                      <w:sz w:val="15"/>
                      <w:szCs w:val="21"/>
                    </w:rPr>
                  </w:pPr>
                </w:p>
              </w:tc>
              <w:tc>
                <w:tcPr>
                  <w:tcW w:w="381" w:type="pct"/>
                  <w:gridSpan w:val="2"/>
                  <w:vMerge w:val="continue"/>
                  <w:shd w:val="clear" w:color="auto" w:fill="auto"/>
                  <w:vAlign w:val="center"/>
                </w:tcPr>
                <w:p>
                  <w:pPr>
                    <w:adjustRightInd w:val="0"/>
                    <w:snapToGrid w:val="0"/>
                    <w:jc w:val="center"/>
                    <w:rPr>
                      <w:color w:val="auto"/>
                      <w:sz w:val="15"/>
                      <w:szCs w:val="21"/>
                    </w:rPr>
                  </w:pPr>
                </w:p>
              </w:tc>
              <w:tc>
                <w:tcPr>
                  <w:tcW w:w="502"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FQ1-1-2</w:t>
                  </w:r>
                </w:p>
              </w:tc>
              <w:tc>
                <w:tcPr>
                  <w:tcW w:w="397"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37501</w:t>
                  </w:r>
                </w:p>
              </w:tc>
              <w:tc>
                <w:tcPr>
                  <w:tcW w:w="360" w:type="pct"/>
                  <w:shd w:val="clear" w:color="auto" w:fill="auto"/>
                  <w:vAlign w:val="center"/>
                </w:tcPr>
                <w:p>
                  <w:pPr>
                    <w:adjustRightInd w:val="0"/>
                    <w:snapToGrid w:val="0"/>
                    <w:jc w:val="center"/>
                    <w:rPr>
                      <w:color w:val="auto"/>
                      <w:sz w:val="15"/>
                      <w:szCs w:val="21"/>
                    </w:rPr>
                  </w:pPr>
                  <w:r>
                    <w:rPr>
                      <w:rFonts w:hint="eastAsia"/>
                      <w:color w:val="auto"/>
                      <w:sz w:val="15"/>
                      <w:szCs w:val="21"/>
                    </w:rPr>
                    <w:t>24093</w:t>
                  </w:r>
                </w:p>
              </w:tc>
              <w:tc>
                <w:tcPr>
                  <w:tcW w:w="430" w:type="pct"/>
                  <w:shd w:val="clear" w:color="auto" w:fill="auto"/>
                  <w:vAlign w:val="center"/>
                </w:tcPr>
                <w:p>
                  <w:pPr>
                    <w:jc w:val="center"/>
                    <w:rPr>
                      <w:color w:val="auto"/>
                      <w:sz w:val="15"/>
                      <w:szCs w:val="21"/>
                    </w:rPr>
                  </w:pPr>
                  <w:r>
                    <w:rPr>
                      <w:rFonts w:hint="eastAsia"/>
                      <w:color w:val="auto"/>
                      <w:sz w:val="15"/>
                      <w:szCs w:val="21"/>
                    </w:rPr>
                    <w:t>/</w:t>
                  </w:r>
                </w:p>
              </w:tc>
              <w:tc>
                <w:tcPr>
                  <w:tcW w:w="413" w:type="pct"/>
                  <w:gridSpan w:val="2"/>
                  <w:shd w:val="clear" w:color="auto" w:fill="auto"/>
                  <w:vAlign w:val="center"/>
                </w:tcPr>
                <w:p>
                  <w:pPr>
                    <w:jc w:val="center"/>
                    <w:rPr>
                      <w:color w:val="auto"/>
                      <w:sz w:val="15"/>
                      <w:szCs w:val="21"/>
                    </w:rPr>
                  </w:pPr>
                  <w:r>
                    <w:rPr>
                      <w:rFonts w:hint="eastAsia"/>
                      <w:color w:val="auto"/>
                      <w:sz w:val="15"/>
                      <w:szCs w:val="21"/>
                    </w:rPr>
                    <w:t>/</w:t>
                  </w:r>
                </w:p>
              </w:tc>
              <w:tc>
                <w:tcPr>
                  <w:tcW w:w="407" w:type="pct"/>
                  <w:shd w:val="clear" w:color="auto" w:fill="auto"/>
                  <w:vAlign w:val="center"/>
                </w:tcPr>
                <w:p>
                  <w:pPr>
                    <w:adjustRightInd w:val="0"/>
                    <w:snapToGrid w:val="0"/>
                    <w:jc w:val="center"/>
                    <w:rPr>
                      <w:color w:val="auto"/>
                      <w:sz w:val="15"/>
                      <w:szCs w:val="21"/>
                    </w:rPr>
                  </w:pPr>
                  <w:r>
                    <w:rPr>
                      <w:rFonts w:hint="eastAsia"/>
                      <w:color w:val="auto"/>
                      <w:sz w:val="15"/>
                      <w:szCs w:val="21"/>
                    </w:rPr>
                    <w:t>/</w:t>
                  </w:r>
                </w:p>
              </w:tc>
              <w:tc>
                <w:tcPr>
                  <w:tcW w:w="409" w:type="pct"/>
                  <w:shd w:val="clear" w:color="auto" w:fill="auto"/>
                  <w:vAlign w:val="center"/>
                </w:tcPr>
                <w:p>
                  <w:pPr>
                    <w:adjustRightInd w:val="0"/>
                    <w:snapToGrid w:val="0"/>
                    <w:jc w:val="center"/>
                    <w:rPr>
                      <w:color w:val="auto"/>
                      <w:sz w:val="15"/>
                      <w:szCs w:val="21"/>
                    </w:rPr>
                  </w:pPr>
                  <w:r>
                    <w:rPr>
                      <w:rFonts w:hint="eastAsia"/>
                      <w:color w:val="auto"/>
                      <w:sz w:val="15"/>
                      <w:szCs w:val="21"/>
                    </w:rPr>
                    <w:t>/</w:t>
                  </w:r>
                </w:p>
              </w:tc>
              <w:tc>
                <w:tcPr>
                  <w:tcW w:w="397" w:type="pct"/>
                  <w:shd w:val="clear" w:color="auto" w:fill="auto"/>
                  <w:vAlign w:val="center"/>
                </w:tcPr>
                <w:p>
                  <w:pPr>
                    <w:adjustRightInd w:val="0"/>
                    <w:snapToGrid w:val="0"/>
                    <w:jc w:val="center"/>
                    <w:rPr>
                      <w:color w:val="auto"/>
                      <w:sz w:val="15"/>
                      <w:szCs w:val="21"/>
                    </w:rPr>
                  </w:pPr>
                  <w:r>
                    <w:rPr>
                      <w:rFonts w:hint="eastAsia"/>
                      <w:color w:val="auto"/>
                      <w:sz w:val="15"/>
                      <w:szCs w:val="21"/>
                    </w:rPr>
                    <w:t>/</w:t>
                  </w:r>
                </w:p>
              </w:tc>
              <w:tc>
                <w:tcPr>
                  <w:tcW w:w="417"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w:t>
                  </w:r>
                </w:p>
              </w:tc>
              <w:tc>
                <w:tcPr>
                  <w:tcW w:w="516" w:type="pct"/>
                  <w:shd w:val="clear" w:color="auto" w:fill="auto"/>
                  <w:vAlign w:val="center"/>
                </w:tcPr>
                <w:p>
                  <w:pPr>
                    <w:adjustRightInd w:val="0"/>
                    <w:snapToGrid w:val="0"/>
                    <w:jc w:val="center"/>
                    <w:rPr>
                      <w:color w:val="auto"/>
                      <w:sz w:val="15"/>
                      <w:szCs w:val="21"/>
                    </w:rPr>
                  </w:pPr>
                  <w:r>
                    <w:rPr>
                      <w:rFonts w:hint="eastAsia"/>
                      <w:color w:val="auto"/>
                      <w:sz w:val="15"/>
                      <w:szCs w:val="21"/>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 w:type="pct"/>
                  <w:vMerge w:val="continue"/>
                  <w:shd w:val="clear" w:color="auto" w:fill="auto"/>
                  <w:vAlign w:val="center"/>
                </w:tcPr>
                <w:p>
                  <w:pPr>
                    <w:adjustRightInd w:val="0"/>
                    <w:snapToGrid w:val="0"/>
                    <w:jc w:val="center"/>
                    <w:rPr>
                      <w:color w:val="auto"/>
                      <w:sz w:val="15"/>
                      <w:szCs w:val="21"/>
                    </w:rPr>
                  </w:pPr>
                </w:p>
              </w:tc>
              <w:tc>
                <w:tcPr>
                  <w:tcW w:w="381" w:type="pct"/>
                  <w:gridSpan w:val="2"/>
                  <w:vMerge w:val="continue"/>
                  <w:shd w:val="clear" w:color="auto" w:fill="auto"/>
                  <w:vAlign w:val="center"/>
                </w:tcPr>
                <w:p>
                  <w:pPr>
                    <w:adjustRightInd w:val="0"/>
                    <w:snapToGrid w:val="0"/>
                    <w:jc w:val="center"/>
                    <w:rPr>
                      <w:color w:val="auto"/>
                      <w:sz w:val="15"/>
                      <w:szCs w:val="21"/>
                    </w:rPr>
                  </w:pPr>
                </w:p>
              </w:tc>
              <w:tc>
                <w:tcPr>
                  <w:tcW w:w="502"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FQ1-1-3</w:t>
                  </w:r>
                </w:p>
              </w:tc>
              <w:tc>
                <w:tcPr>
                  <w:tcW w:w="397"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38281</w:t>
                  </w:r>
                </w:p>
              </w:tc>
              <w:tc>
                <w:tcPr>
                  <w:tcW w:w="360" w:type="pct"/>
                  <w:shd w:val="clear" w:color="auto" w:fill="auto"/>
                  <w:vAlign w:val="center"/>
                </w:tcPr>
                <w:p>
                  <w:pPr>
                    <w:adjustRightInd w:val="0"/>
                    <w:snapToGrid w:val="0"/>
                    <w:jc w:val="center"/>
                    <w:rPr>
                      <w:color w:val="auto"/>
                      <w:sz w:val="15"/>
                      <w:szCs w:val="21"/>
                    </w:rPr>
                  </w:pPr>
                  <w:r>
                    <w:rPr>
                      <w:rFonts w:hint="eastAsia"/>
                      <w:color w:val="auto"/>
                      <w:sz w:val="15"/>
                      <w:szCs w:val="21"/>
                    </w:rPr>
                    <w:t>24595</w:t>
                  </w:r>
                </w:p>
              </w:tc>
              <w:tc>
                <w:tcPr>
                  <w:tcW w:w="430" w:type="pct"/>
                  <w:shd w:val="clear" w:color="auto" w:fill="auto"/>
                  <w:vAlign w:val="center"/>
                </w:tcPr>
                <w:p>
                  <w:pPr>
                    <w:jc w:val="center"/>
                    <w:rPr>
                      <w:color w:val="auto"/>
                      <w:sz w:val="15"/>
                      <w:szCs w:val="21"/>
                    </w:rPr>
                  </w:pPr>
                  <w:r>
                    <w:rPr>
                      <w:rFonts w:hint="eastAsia"/>
                      <w:color w:val="auto"/>
                      <w:sz w:val="15"/>
                      <w:szCs w:val="21"/>
                    </w:rPr>
                    <w:t>/</w:t>
                  </w:r>
                </w:p>
              </w:tc>
              <w:tc>
                <w:tcPr>
                  <w:tcW w:w="413" w:type="pct"/>
                  <w:gridSpan w:val="2"/>
                  <w:shd w:val="clear" w:color="auto" w:fill="auto"/>
                  <w:vAlign w:val="center"/>
                </w:tcPr>
                <w:p>
                  <w:pPr>
                    <w:jc w:val="center"/>
                    <w:rPr>
                      <w:color w:val="auto"/>
                      <w:sz w:val="15"/>
                      <w:szCs w:val="21"/>
                    </w:rPr>
                  </w:pPr>
                  <w:r>
                    <w:rPr>
                      <w:rFonts w:hint="eastAsia"/>
                      <w:color w:val="auto"/>
                      <w:sz w:val="15"/>
                      <w:szCs w:val="21"/>
                    </w:rPr>
                    <w:t>/</w:t>
                  </w:r>
                </w:p>
              </w:tc>
              <w:tc>
                <w:tcPr>
                  <w:tcW w:w="407" w:type="pct"/>
                  <w:shd w:val="clear" w:color="auto" w:fill="auto"/>
                  <w:vAlign w:val="center"/>
                </w:tcPr>
                <w:p>
                  <w:pPr>
                    <w:adjustRightInd w:val="0"/>
                    <w:snapToGrid w:val="0"/>
                    <w:jc w:val="center"/>
                    <w:rPr>
                      <w:color w:val="auto"/>
                      <w:sz w:val="15"/>
                      <w:szCs w:val="21"/>
                    </w:rPr>
                  </w:pPr>
                  <w:r>
                    <w:rPr>
                      <w:rFonts w:hint="eastAsia"/>
                      <w:color w:val="auto"/>
                      <w:sz w:val="15"/>
                      <w:szCs w:val="21"/>
                    </w:rPr>
                    <w:t>/</w:t>
                  </w:r>
                </w:p>
              </w:tc>
              <w:tc>
                <w:tcPr>
                  <w:tcW w:w="409" w:type="pct"/>
                  <w:shd w:val="clear" w:color="auto" w:fill="auto"/>
                  <w:vAlign w:val="center"/>
                </w:tcPr>
                <w:p>
                  <w:pPr>
                    <w:adjustRightInd w:val="0"/>
                    <w:snapToGrid w:val="0"/>
                    <w:jc w:val="center"/>
                    <w:rPr>
                      <w:color w:val="auto"/>
                      <w:sz w:val="15"/>
                      <w:szCs w:val="21"/>
                    </w:rPr>
                  </w:pPr>
                  <w:r>
                    <w:rPr>
                      <w:rFonts w:hint="eastAsia"/>
                      <w:color w:val="auto"/>
                      <w:sz w:val="15"/>
                      <w:szCs w:val="21"/>
                    </w:rPr>
                    <w:t>/</w:t>
                  </w:r>
                </w:p>
              </w:tc>
              <w:tc>
                <w:tcPr>
                  <w:tcW w:w="397" w:type="pct"/>
                  <w:shd w:val="clear" w:color="auto" w:fill="auto"/>
                  <w:vAlign w:val="center"/>
                </w:tcPr>
                <w:p>
                  <w:pPr>
                    <w:adjustRightInd w:val="0"/>
                    <w:snapToGrid w:val="0"/>
                    <w:jc w:val="center"/>
                    <w:rPr>
                      <w:color w:val="auto"/>
                      <w:sz w:val="15"/>
                      <w:szCs w:val="21"/>
                    </w:rPr>
                  </w:pPr>
                  <w:r>
                    <w:rPr>
                      <w:rFonts w:hint="eastAsia"/>
                      <w:color w:val="auto"/>
                      <w:sz w:val="15"/>
                      <w:szCs w:val="21"/>
                    </w:rPr>
                    <w:t>/</w:t>
                  </w:r>
                </w:p>
              </w:tc>
              <w:tc>
                <w:tcPr>
                  <w:tcW w:w="417"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w:t>
                  </w:r>
                </w:p>
              </w:tc>
              <w:tc>
                <w:tcPr>
                  <w:tcW w:w="516" w:type="pct"/>
                  <w:shd w:val="clear" w:color="auto" w:fill="auto"/>
                  <w:vAlign w:val="center"/>
                </w:tcPr>
                <w:p>
                  <w:pPr>
                    <w:adjustRightInd w:val="0"/>
                    <w:snapToGrid w:val="0"/>
                    <w:jc w:val="center"/>
                    <w:rPr>
                      <w:color w:val="auto"/>
                      <w:sz w:val="15"/>
                      <w:szCs w:val="21"/>
                    </w:rPr>
                  </w:pPr>
                  <w:r>
                    <w:rPr>
                      <w:rFonts w:hint="eastAsia"/>
                      <w:color w:val="auto"/>
                      <w:sz w:val="15"/>
                      <w:szCs w:val="21"/>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 w:type="pct"/>
                  <w:vMerge w:val="continue"/>
                  <w:shd w:val="clear" w:color="auto" w:fill="auto"/>
                  <w:vAlign w:val="center"/>
                </w:tcPr>
                <w:p>
                  <w:pPr>
                    <w:adjustRightInd w:val="0"/>
                    <w:snapToGrid w:val="0"/>
                    <w:jc w:val="center"/>
                    <w:rPr>
                      <w:color w:val="auto"/>
                      <w:sz w:val="15"/>
                      <w:szCs w:val="21"/>
                    </w:rPr>
                  </w:pPr>
                </w:p>
              </w:tc>
              <w:tc>
                <w:tcPr>
                  <w:tcW w:w="381" w:type="pct"/>
                  <w:gridSpan w:val="2"/>
                  <w:vMerge w:val="continue"/>
                  <w:shd w:val="clear" w:color="auto" w:fill="auto"/>
                  <w:vAlign w:val="center"/>
                </w:tcPr>
                <w:p>
                  <w:pPr>
                    <w:adjustRightInd w:val="0"/>
                    <w:snapToGrid w:val="0"/>
                    <w:jc w:val="center"/>
                    <w:rPr>
                      <w:color w:val="auto"/>
                      <w:sz w:val="15"/>
                      <w:szCs w:val="21"/>
                    </w:rPr>
                  </w:pPr>
                </w:p>
              </w:tc>
              <w:tc>
                <w:tcPr>
                  <w:tcW w:w="502"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平均值</w:t>
                  </w:r>
                </w:p>
              </w:tc>
              <w:tc>
                <w:tcPr>
                  <w:tcW w:w="397"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36827</w:t>
                  </w:r>
                </w:p>
              </w:tc>
              <w:tc>
                <w:tcPr>
                  <w:tcW w:w="360" w:type="pct"/>
                  <w:shd w:val="clear" w:color="auto" w:fill="auto"/>
                  <w:vAlign w:val="center"/>
                </w:tcPr>
                <w:p>
                  <w:pPr>
                    <w:adjustRightInd w:val="0"/>
                    <w:snapToGrid w:val="0"/>
                    <w:jc w:val="center"/>
                    <w:rPr>
                      <w:color w:val="auto"/>
                      <w:sz w:val="15"/>
                      <w:szCs w:val="21"/>
                    </w:rPr>
                  </w:pPr>
                  <w:r>
                    <w:rPr>
                      <w:rFonts w:hint="eastAsia"/>
                      <w:color w:val="auto"/>
                      <w:sz w:val="15"/>
                      <w:szCs w:val="21"/>
                    </w:rPr>
                    <w:t>23678</w:t>
                  </w:r>
                </w:p>
              </w:tc>
              <w:tc>
                <w:tcPr>
                  <w:tcW w:w="430" w:type="pct"/>
                  <w:shd w:val="clear" w:color="auto" w:fill="auto"/>
                  <w:vAlign w:val="center"/>
                </w:tcPr>
                <w:p>
                  <w:pPr>
                    <w:jc w:val="center"/>
                    <w:rPr>
                      <w:color w:val="auto"/>
                      <w:sz w:val="15"/>
                      <w:szCs w:val="21"/>
                    </w:rPr>
                  </w:pPr>
                  <w:r>
                    <w:rPr>
                      <w:rFonts w:hint="eastAsia"/>
                      <w:color w:val="auto"/>
                      <w:sz w:val="15"/>
                      <w:szCs w:val="21"/>
                    </w:rPr>
                    <w:t>/</w:t>
                  </w:r>
                </w:p>
              </w:tc>
              <w:tc>
                <w:tcPr>
                  <w:tcW w:w="413" w:type="pct"/>
                  <w:gridSpan w:val="2"/>
                  <w:shd w:val="clear" w:color="auto" w:fill="auto"/>
                  <w:vAlign w:val="center"/>
                </w:tcPr>
                <w:p>
                  <w:pPr>
                    <w:jc w:val="center"/>
                    <w:rPr>
                      <w:color w:val="auto"/>
                      <w:sz w:val="15"/>
                      <w:szCs w:val="21"/>
                    </w:rPr>
                  </w:pPr>
                  <w:r>
                    <w:rPr>
                      <w:rFonts w:hint="eastAsia"/>
                      <w:color w:val="auto"/>
                      <w:sz w:val="15"/>
                      <w:szCs w:val="21"/>
                    </w:rPr>
                    <w:t>/</w:t>
                  </w:r>
                </w:p>
              </w:tc>
              <w:tc>
                <w:tcPr>
                  <w:tcW w:w="407" w:type="pct"/>
                  <w:shd w:val="clear" w:color="auto" w:fill="auto"/>
                  <w:vAlign w:val="center"/>
                </w:tcPr>
                <w:p>
                  <w:pPr>
                    <w:adjustRightInd w:val="0"/>
                    <w:snapToGrid w:val="0"/>
                    <w:jc w:val="center"/>
                    <w:rPr>
                      <w:color w:val="auto"/>
                      <w:sz w:val="15"/>
                      <w:szCs w:val="21"/>
                    </w:rPr>
                  </w:pPr>
                  <w:r>
                    <w:rPr>
                      <w:rFonts w:hint="eastAsia"/>
                      <w:color w:val="auto"/>
                      <w:sz w:val="15"/>
                      <w:szCs w:val="21"/>
                    </w:rPr>
                    <w:t>/</w:t>
                  </w:r>
                </w:p>
              </w:tc>
              <w:tc>
                <w:tcPr>
                  <w:tcW w:w="409" w:type="pct"/>
                  <w:shd w:val="clear" w:color="auto" w:fill="auto"/>
                  <w:vAlign w:val="center"/>
                </w:tcPr>
                <w:p>
                  <w:pPr>
                    <w:adjustRightInd w:val="0"/>
                    <w:snapToGrid w:val="0"/>
                    <w:jc w:val="center"/>
                    <w:rPr>
                      <w:color w:val="auto"/>
                      <w:sz w:val="15"/>
                      <w:szCs w:val="21"/>
                    </w:rPr>
                  </w:pPr>
                  <w:r>
                    <w:rPr>
                      <w:rFonts w:hint="eastAsia"/>
                      <w:color w:val="auto"/>
                      <w:sz w:val="15"/>
                      <w:szCs w:val="21"/>
                    </w:rPr>
                    <w:t>/</w:t>
                  </w:r>
                </w:p>
              </w:tc>
              <w:tc>
                <w:tcPr>
                  <w:tcW w:w="397" w:type="pct"/>
                  <w:shd w:val="clear" w:color="auto" w:fill="auto"/>
                  <w:vAlign w:val="center"/>
                </w:tcPr>
                <w:p>
                  <w:pPr>
                    <w:adjustRightInd w:val="0"/>
                    <w:snapToGrid w:val="0"/>
                    <w:jc w:val="center"/>
                    <w:rPr>
                      <w:color w:val="auto"/>
                      <w:sz w:val="15"/>
                      <w:szCs w:val="21"/>
                    </w:rPr>
                  </w:pPr>
                  <w:r>
                    <w:rPr>
                      <w:rFonts w:hint="eastAsia"/>
                      <w:color w:val="auto"/>
                      <w:sz w:val="15"/>
                      <w:szCs w:val="21"/>
                    </w:rPr>
                    <w:t>/</w:t>
                  </w:r>
                </w:p>
              </w:tc>
              <w:tc>
                <w:tcPr>
                  <w:tcW w:w="417"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w:t>
                  </w:r>
                </w:p>
              </w:tc>
              <w:tc>
                <w:tcPr>
                  <w:tcW w:w="516" w:type="pct"/>
                  <w:shd w:val="clear" w:color="auto" w:fill="auto"/>
                  <w:vAlign w:val="center"/>
                </w:tcPr>
                <w:p>
                  <w:pPr>
                    <w:adjustRightInd w:val="0"/>
                    <w:snapToGrid w:val="0"/>
                    <w:jc w:val="center"/>
                    <w:rPr>
                      <w:color w:val="auto"/>
                      <w:sz w:val="15"/>
                      <w:szCs w:val="21"/>
                    </w:rPr>
                  </w:pPr>
                  <w:r>
                    <w:rPr>
                      <w:rFonts w:hint="eastAsia"/>
                      <w:color w:val="auto"/>
                      <w:sz w:val="15"/>
                      <w:szCs w:val="21"/>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1" w:type="pct"/>
                  <w:vMerge w:val="continue"/>
                  <w:shd w:val="clear" w:color="auto" w:fill="auto"/>
                  <w:vAlign w:val="center"/>
                </w:tcPr>
                <w:p>
                  <w:pPr>
                    <w:adjustRightInd w:val="0"/>
                    <w:snapToGrid w:val="0"/>
                    <w:jc w:val="center"/>
                    <w:rPr>
                      <w:color w:val="auto"/>
                      <w:sz w:val="15"/>
                      <w:szCs w:val="21"/>
                    </w:rPr>
                  </w:pPr>
                </w:p>
              </w:tc>
              <w:tc>
                <w:tcPr>
                  <w:tcW w:w="1640" w:type="pct"/>
                  <w:gridSpan w:val="7"/>
                  <w:shd w:val="clear" w:color="auto" w:fill="auto"/>
                  <w:vAlign w:val="center"/>
                </w:tcPr>
                <w:p>
                  <w:pPr>
                    <w:adjustRightInd w:val="0"/>
                    <w:snapToGrid w:val="0"/>
                    <w:jc w:val="center"/>
                    <w:rPr>
                      <w:color w:val="auto"/>
                      <w:sz w:val="15"/>
                      <w:szCs w:val="21"/>
                    </w:rPr>
                  </w:pPr>
                  <w:r>
                    <w:rPr>
                      <w:rFonts w:hint="eastAsia"/>
                      <w:color w:val="auto"/>
                      <w:sz w:val="15"/>
                      <w:szCs w:val="21"/>
                    </w:rPr>
                    <w:t>排放速率（kg/h）</w:t>
                  </w:r>
                </w:p>
              </w:tc>
              <w:tc>
                <w:tcPr>
                  <w:tcW w:w="843" w:type="pct"/>
                  <w:gridSpan w:val="3"/>
                  <w:shd w:val="clear" w:color="auto" w:fill="auto"/>
                  <w:vAlign w:val="center"/>
                </w:tcPr>
                <w:p>
                  <w:pPr>
                    <w:jc w:val="center"/>
                    <w:rPr>
                      <w:color w:val="auto"/>
                      <w:sz w:val="15"/>
                      <w:szCs w:val="21"/>
                    </w:rPr>
                  </w:pPr>
                  <w:r>
                    <w:rPr>
                      <w:rFonts w:hint="eastAsia"/>
                      <w:color w:val="auto"/>
                      <w:sz w:val="15"/>
                      <w:szCs w:val="21"/>
                    </w:rPr>
                    <w:t>/</w:t>
                  </w:r>
                </w:p>
              </w:tc>
              <w:tc>
                <w:tcPr>
                  <w:tcW w:w="816" w:type="pct"/>
                  <w:gridSpan w:val="2"/>
                  <w:shd w:val="clear" w:color="auto" w:fill="auto"/>
                  <w:vAlign w:val="center"/>
                </w:tcPr>
                <w:p>
                  <w:pPr>
                    <w:adjustRightInd w:val="0"/>
                    <w:snapToGrid w:val="0"/>
                    <w:jc w:val="center"/>
                    <w:rPr>
                      <w:color w:val="auto"/>
                      <w:sz w:val="15"/>
                      <w:szCs w:val="21"/>
                    </w:rPr>
                  </w:pPr>
                  <w:r>
                    <w:rPr>
                      <w:rFonts w:hint="eastAsia"/>
                      <w:color w:val="auto"/>
                      <w:sz w:val="15"/>
                      <w:szCs w:val="21"/>
                    </w:rPr>
                    <w:t>/</w:t>
                  </w:r>
                </w:p>
              </w:tc>
              <w:tc>
                <w:tcPr>
                  <w:tcW w:w="814" w:type="pct"/>
                  <w:gridSpan w:val="3"/>
                  <w:shd w:val="clear" w:color="auto" w:fill="auto"/>
                  <w:vAlign w:val="center"/>
                </w:tcPr>
                <w:p>
                  <w:pPr>
                    <w:adjustRightInd w:val="0"/>
                    <w:snapToGrid w:val="0"/>
                    <w:jc w:val="center"/>
                    <w:rPr>
                      <w:color w:val="auto"/>
                      <w:sz w:val="15"/>
                      <w:szCs w:val="21"/>
                    </w:rPr>
                  </w:pPr>
                  <w:r>
                    <w:rPr>
                      <w:rFonts w:hint="eastAsia"/>
                      <w:color w:val="auto"/>
                      <w:sz w:val="15"/>
                      <w:szCs w:val="21"/>
                    </w:rPr>
                    <w:t>/</w:t>
                  </w:r>
                </w:p>
              </w:tc>
              <w:tc>
                <w:tcPr>
                  <w:tcW w:w="516" w:type="pct"/>
                  <w:shd w:val="clear" w:color="auto" w:fill="auto"/>
                  <w:vAlign w:val="center"/>
                </w:tcPr>
                <w:p>
                  <w:pPr>
                    <w:adjustRightInd w:val="0"/>
                    <w:snapToGrid w:val="0"/>
                    <w:jc w:val="center"/>
                    <w:rPr>
                      <w:color w:val="auto"/>
                      <w:sz w:val="15"/>
                      <w:szCs w:val="21"/>
                    </w:rPr>
                  </w:pPr>
                  <w:r>
                    <w:rPr>
                      <w:rFonts w:hint="eastAsia"/>
                      <w:color w:val="auto"/>
                      <w:sz w:val="15"/>
                      <w:szCs w:val="21"/>
                    </w:rPr>
                    <w:t>0.018</w:t>
                  </w:r>
                </w:p>
              </w:tc>
            </w:tr>
          </w:tbl>
          <w:p>
            <w:pPr>
              <w:adjustRightInd w:val="0"/>
              <w:snapToGrid w:val="0"/>
              <w:ind w:firstLine="420" w:firstLineChars="200"/>
              <w:rPr>
                <w:rFonts w:ascii="宋体" w:hAnsi="宋体" w:cs="宋体"/>
                <w:color w:val="auto"/>
              </w:rPr>
            </w:pPr>
          </w:p>
          <w:p>
            <w:pPr>
              <w:adjustRightInd w:val="0"/>
              <w:snapToGrid w:val="0"/>
              <w:spacing w:line="360" w:lineRule="auto"/>
              <w:ind w:firstLine="480" w:firstLineChars="200"/>
              <w:rPr>
                <w:rFonts w:ascii="宋体" w:hAnsi="宋体" w:cs="宋体"/>
                <w:color w:val="auto"/>
                <w:sz w:val="32"/>
              </w:rPr>
            </w:pPr>
            <w:r>
              <w:rPr>
                <w:rFonts w:hint="eastAsia" w:ascii="宋体" w:hAnsi="宋体" w:cs="宋体"/>
                <w:color w:val="auto"/>
                <w:sz w:val="24"/>
              </w:rPr>
              <w:t>根据收集检测数据分析，项目</w:t>
            </w:r>
            <w:r>
              <w:rPr>
                <w:rFonts w:hint="eastAsia"/>
                <w:bCs/>
                <w:color w:val="auto"/>
                <w:sz w:val="24"/>
              </w:rPr>
              <w:t>颗粒物排放浓度可达到</w:t>
            </w:r>
            <w:r>
              <w:rPr>
                <w:rFonts w:hint="eastAsia"/>
                <w:color w:val="auto"/>
                <w:sz w:val="24"/>
              </w:rPr>
              <w:t>《工业炉窑大气污染物排放标准》（GB9078-1996）表2非金属焙（煅）烧炉窑（耐火材料窑）规定的排放限制（200mg/m</w:t>
            </w:r>
            <w:r>
              <w:rPr>
                <w:rFonts w:hint="eastAsia"/>
                <w:color w:val="auto"/>
                <w:sz w:val="24"/>
                <w:vertAlign w:val="superscript"/>
              </w:rPr>
              <w:t>3</w:t>
            </w:r>
            <w:r>
              <w:rPr>
                <w:rFonts w:hint="eastAsia"/>
                <w:color w:val="auto"/>
                <w:sz w:val="24"/>
              </w:rPr>
              <w:t>），</w:t>
            </w:r>
            <w:r>
              <w:rPr>
                <w:rFonts w:hint="eastAsia"/>
                <w:color w:val="auto"/>
                <w:sz w:val="24"/>
                <w:lang w:eastAsia="zh-CN"/>
              </w:rPr>
              <w:t>氟及其化合物（以F计）</w:t>
            </w:r>
            <w:r>
              <w:rPr>
                <w:rFonts w:hint="eastAsia"/>
                <w:color w:val="auto"/>
                <w:sz w:val="24"/>
              </w:rPr>
              <w:t>排放浓度可达到《工业炉窑大气污染物排放标准》（GB9078-1996）表4规定的排放限制（6mg/m</w:t>
            </w:r>
            <w:r>
              <w:rPr>
                <w:rFonts w:hint="eastAsia"/>
                <w:color w:val="auto"/>
                <w:sz w:val="24"/>
                <w:vertAlign w:val="superscript"/>
              </w:rPr>
              <w:t>3</w:t>
            </w:r>
            <w:r>
              <w:rPr>
                <w:rFonts w:hint="eastAsia"/>
                <w:color w:val="auto"/>
                <w:sz w:val="24"/>
              </w:rPr>
              <w:t>），二氧化硫和氮氧化物排放浓度能达到</w:t>
            </w:r>
            <w:r>
              <w:rPr>
                <w:color w:val="auto"/>
                <w:sz w:val="24"/>
              </w:rPr>
              <w:t>《大气污染物综合排放标准》（GB16297-1996）表2</w:t>
            </w:r>
            <w:r>
              <w:rPr>
                <w:rFonts w:hint="eastAsia"/>
                <w:color w:val="auto"/>
                <w:sz w:val="24"/>
              </w:rPr>
              <w:t>二级标准（二氧化硫：550mg/m</w:t>
            </w:r>
            <w:r>
              <w:rPr>
                <w:rFonts w:hint="eastAsia"/>
                <w:color w:val="auto"/>
                <w:sz w:val="24"/>
                <w:vertAlign w:val="superscript"/>
              </w:rPr>
              <w:t>3</w:t>
            </w:r>
            <w:r>
              <w:rPr>
                <w:rFonts w:hint="eastAsia"/>
                <w:color w:val="auto"/>
                <w:sz w:val="24"/>
              </w:rPr>
              <w:t>、氮氧化物：240mg/m</w:t>
            </w:r>
            <w:r>
              <w:rPr>
                <w:rFonts w:hint="eastAsia"/>
                <w:color w:val="auto"/>
                <w:sz w:val="24"/>
                <w:vertAlign w:val="superscript"/>
              </w:rPr>
              <w:t>3</w:t>
            </w:r>
            <w:r>
              <w:rPr>
                <w:rFonts w:hint="eastAsia"/>
                <w:color w:val="auto"/>
                <w:sz w:val="24"/>
              </w:rPr>
              <w:t>）。</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③现有污染源强核算：根据</w:t>
            </w:r>
            <w:r>
              <w:rPr>
                <w:rFonts w:hint="eastAsia"/>
                <w:bCs/>
                <w:color w:val="auto"/>
                <w:sz w:val="24"/>
              </w:rPr>
              <w:t>《排污许可证申请与核发技术规范  工业炉窑》（HJ1121-2020）规定：</w:t>
            </w:r>
            <w:r>
              <w:rPr>
                <w:rFonts w:ascii="宋体" w:hAnsi="宋体" w:cs="宋体"/>
                <w:color w:val="auto"/>
                <w:sz w:val="24"/>
              </w:rPr>
              <w:t>废气污染物在核算时段内正常情况下的实际排放量首先采用实测法核算，分为自动监测 实测法和手工监测实测法。对于排污许可证中载明的要求采用自动监测的污染物项目，应采用符合监测规范的有效自动监测数据核算污染物实际排放量。对于未要求采用自动监测的污染物项目，可采用自动监测数据或手工监测数据核算污染物实际排放量。采用自动监测的污染物项目，若同一时段的手工监测数据与自动监测数据不一致，手工监测数据符合法定的监测标准和监测方法的，以手工监测数据为准。</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1）颗粒物、SO</w:t>
            </w:r>
            <w:r>
              <w:rPr>
                <w:rFonts w:hint="eastAsia" w:ascii="宋体" w:hAnsi="宋体" w:cs="宋体"/>
                <w:color w:val="auto"/>
                <w:sz w:val="24"/>
                <w:vertAlign w:val="subscript"/>
              </w:rPr>
              <w:t>2</w:t>
            </w:r>
            <w:r>
              <w:rPr>
                <w:rFonts w:hint="eastAsia" w:ascii="宋体" w:hAnsi="宋体" w:cs="宋体"/>
                <w:color w:val="auto"/>
                <w:sz w:val="24"/>
              </w:rPr>
              <w:t>、NO</w:t>
            </w:r>
            <w:r>
              <w:rPr>
                <w:rFonts w:hint="eastAsia" w:ascii="宋体" w:hAnsi="宋体" w:cs="宋体"/>
                <w:color w:val="auto"/>
                <w:sz w:val="24"/>
                <w:vertAlign w:val="subscript"/>
              </w:rPr>
              <w:t>X</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本次环评采用实测法核算颗粒物、SO</w:t>
            </w:r>
            <w:r>
              <w:rPr>
                <w:rFonts w:hint="eastAsia" w:ascii="宋体" w:hAnsi="宋体" w:cs="宋体"/>
                <w:color w:val="auto"/>
                <w:sz w:val="24"/>
                <w:vertAlign w:val="subscript"/>
              </w:rPr>
              <w:t>2</w:t>
            </w:r>
            <w:r>
              <w:rPr>
                <w:rFonts w:hint="eastAsia" w:ascii="宋体" w:hAnsi="宋体" w:cs="宋体"/>
                <w:color w:val="auto"/>
                <w:sz w:val="24"/>
              </w:rPr>
              <w:t>、NO</w:t>
            </w:r>
            <w:r>
              <w:rPr>
                <w:rFonts w:hint="eastAsia" w:ascii="宋体" w:hAnsi="宋体" w:cs="宋体"/>
                <w:color w:val="auto"/>
                <w:sz w:val="24"/>
                <w:vertAlign w:val="subscript"/>
              </w:rPr>
              <w:t>X</w:t>
            </w:r>
            <w:r>
              <w:rPr>
                <w:rFonts w:hint="eastAsia" w:ascii="宋体" w:hAnsi="宋体" w:cs="宋体"/>
                <w:color w:val="auto"/>
                <w:sz w:val="24"/>
              </w:rPr>
              <w:t>，核算数据来源于在线监测数据统计，核算方法如下：</w:t>
            </w:r>
          </w:p>
          <w:p>
            <w:pPr>
              <w:adjustRightInd w:val="0"/>
              <w:snapToGrid w:val="0"/>
              <w:spacing w:line="360" w:lineRule="auto"/>
              <w:jc w:val="center"/>
              <w:rPr>
                <w:bCs/>
                <w:color w:val="auto"/>
                <w:sz w:val="24"/>
              </w:rPr>
            </w:pPr>
            <m:oMathPara>
              <m:oMath>
                <m:sSub>
                  <m:sSubPr>
                    <m:ctrlPr>
                      <w:rPr>
                        <w:rFonts w:ascii="Cambria Math" w:hAnsi="Cambria Math"/>
                        <w:bCs/>
                        <w:color w:val="auto"/>
                        <w:sz w:val="24"/>
                      </w:rPr>
                    </m:ctrlPr>
                  </m:sSubPr>
                  <m:e>
                    <m:r>
                      <m:rPr/>
                      <w:rPr>
                        <w:rFonts w:ascii="Cambria Math" w:hAnsi="Cambria Math"/>
                        <w:color w:val="auto"/>
                        <w:sz w:val="24"/>
                      </w:rPr>
                      <m:t>M</m:t>
                    </m:r>
                    <m:ctrlPr>
                      <w:rPr>
                        <w:rFonts w:ascii="Cambria Math" w:hAnsi="Cambria Math"/>
                        <w:bCs/>
                        <w:color w:val="auto"/>
                        <w:sz w:val="24"/>
                      </w:rPr>
                    </m:ctrlPr>
                  </m:e>
                  <m:sub>
                    <m:r>
                      <m:rPr/>
                      <w:rPr>
                        <w:rFonts w:ascii="Cambria Math" w:hAnsi="Cambria Math"/>
                        <w:color w:val="auto"/>
                        <w:sz w:val="24"/>
                      </w:rPr>
                      <m:t>j</m:t>
                    </m:r>
                    <m:ctrlPr>
                      <w:rPr>
                        <w:rFonts w:ascii="Cambria Math" w:hAnsi="Cambria Math"/>
                        <w:bCs/>
                        <w:color w:val="auto"/>
                        <w:sz w:val="24"/>
                      </w:rPr>
                    </m:ctrlPr>
                  </m:sub>
                </m:sSub>
                <m:r>
                  <m:rPr/>
                  <w:rPr>
                    <w:rFonts w:hint="eastAsia" w:ascii="Cambria Math" w:hAnsi="Cambria Math"/>
                    <w:color w:val="auto"/>
                    <w:sz w:val="24"/>
                  </w:rPr>
                  <m:t>=</m:t>
                </m:r>
                <m:nary>
                  <m:naryPr>
                    <m:chr m:val="∑"/>
                    <m:limLoc m:val="undOvr"/>
                    <m:ctrlPr>
                      <w:rPr>
                        <w:rFonts w:ascii="Cambria Math" w:hAnsi="Cambria Math"/>
                        <w:bCs/>
                        <w:i/>
                        <w:color w:val="auto"/>
                        <w:sz w:val="24"/>
                      </w:rPr>
                    </m:ctrlPr>
                  </m:naryPr>
                  <m:sub>
                    <m:r>
                      <m:rPr/>
                      <w:rPr>
                        <w:rFonts w:ascii="Cambria Math" w:hAnsi="Cambria Math"/>
                        <w:color w:val="auto"/>
                        <w:sz w:val="24"/>
                      </w:rPr>
                      <m:t>i</m:t>
                    </m:r>
                    <m:r>
                      <m:rPr/>
                      <w:rPr>
                        <w:rFonts w:hint="eastAsia" w:ascii="Cambria Math" w:hAnsi="Cambria Math"/>
                        <w:color w:val="auto"/>
                        <w:sz w:val="24"/>
                      </w:rPr>
                      <m:t>=</m:t>
                    </m:r>
                    <m:r>
                      <m:rPr/>
                      <w:rPr>
                        <w:rFonts w:ascii="Cambria Math" w:hAnsi="Cambria Math"/>
                        <w:color w:val="auto"/>
                        <w:sz w:val="24"/>
                      </w:rPr>
                      <m:t>1</m:t>
                    </m:r>
                    <m:ctrlPr>
                      <w:rPr>
                        <w:rFonts w:ascii="Cambria Math" w:hAnsi="Cambria Math"/>
                        <w:bCs/>
                        <w:i/>
                        <w:color w:val="auto"/>
                        <w:sz w:val="24"/>
                      </w:rPr>
                    </m:ctrlPr>
                  </m:sub>
                  <m:sup>
                    <m:r>
                      <m:rPr/>
                      <w:rPr>
                        <w:rFonts w:ascii="Cambria Math" w:hAnsi="Cambria Math"/>
                        <w:color w:val="auto"/>
                        <w:sz w:val="24"/>
                      </w:rPr>
                      <m:t>n</m:t>
                    </m:r>
                    <m:ctrlPr>
                      <w:rPr>
                        <w:rFonts w:ascii="Cambria Math" w:hAnsi="Cambria Math"/>
                        <w:bCs/>
                        <w:i/>
                        <w:color w:val="auto"/>
                        <w:sz w:val="24"/>
                      </w:rPr>
                    </m:ctrlPr>
                  </m:sup>
                  <m:e>
                    <m:sSub>
                      <m:sSubPr>
                        <m:ctrlPr>
                          <w:rPr>
                            <w:rFonts w:ascii="Cambria Math" w:hAnsi="Cambria Math"/>
                            <w:bCs/>
                            <w:i/>
                            <w:color w:val="auto"/>
                            <w:sz w:val="24"/>
                          </w:rPr>
                        </m:ctrlPr>
                      </m:sSubPr>
                      <m:e>
                        <m:r>
                          <m:rPr/>
                          <w:rPr>
                            <w:rFonts w:ascii="Cambria Math" w:hAnsi="Cambria Math"/>
                            <w:color w:val="auto"/>
                            <w:sz w:val="24"/>
                          </w:rPr>
                          <m:t>C</m:t>
                        </m:r>
                        <m:ctrlPr>
                          <w:rPr>
                            <w:rFonts w:ascii="Cambria Math" w:hAnsi="Cambria Math"/>
                            <w:bCs/>
                            <w:i/>
                            <w:color w:val="auto"/>
                            <w:sz w:val="24"/>
                          </w:rPr>
                        </m:ctrlPr>
                      </m:e>
                      <m:sub>
                        <m:r>
                          <m:rPr/>
                          <w:rPr>
                            <w:rFonts w:ascii="Cambria Math" w:hAnsi="Cambria Math"/>
                            <w:color w:val="auto"/>
                            <w:sz w:val="24"/>
                          </w:rPr>
                          <m:t>i</m:t>
                        </m:r>
                        <m:ctrlPr>
                          <w:rPr>
                            <w:rFonts w:ascii="Cambria Math" w:hAnsi="Cambria Math"/>
                            <w:bCs/>
                            <w:i/>
                            <w:color w:val="auto"/>
                            <w:sz w:val="24"/>
                          </w:rPr>
                        </m:ctrlPr>
                      </m:sub>
                    </m:sSub>
                    <m:ctrlPr>
                      <w:rPr>
                        <w:rFonts w:ascii="Cambria Math" w:hAnsi="Cambria Math"/>
                        <w:bCs/>
                        <w:i/>
                        <w:color w:val="auto"/>
                        <w:sz w:val="24"/>
                      </w:rPr>
                    </m:ctrlPr>
                  </m:e>
                </m:nary>
                <m:r>
                  <m:rPr/>
                  <w:rPr>
                    <w:rFonts w:ascii="Cambria Math" w:hAnsi="Cambria Math"/>
                    <w:color w:val="auto"/>
                    <w:sz w:val="24"/>
                  </w:rPr>
                  <m:t>×</m:t>
                </m:r>
                <m:sSub>
                  <m:sSubPr>
                    <m:ctrlPr>
                      <w:rPr>
                        <w:rFonts w:ascii="Cambria Math" w:hAnsi="Cambria Math"/>
                        <w:bCs/>
                        <w:i/>
                        <w:color w:val="auto"/>
                        <w:sz w:val="24"/>
                      </w:rPr>
                    </m:ctrlPr>
                  </m:sSubPr>
                  <m:e>
                    <m:r>
                      <m:rPr/>
                      <w:rPr>
                        <w:rFonts w:ascii="Cambria Math" w:hAnsi="Cambria Math"/>
                        <w:color w:val="auto"/>
                        <w:sz w:val="24"/>
                      </w:rPr>
                      <m:t>q</m:t>
                    </m:r>
                    <m:ctrlPr>
                      <w:rPr>
                        <w:rFonts w:ascii="Cambria Math" w:hAnsi="Cambria Math"/>
                        <w:bCs/>
                        <w:i/>
                        <w:color w:val="auto"/>
                        <w:sz w:val="24"/>
                      </w:rPr>
                    </m:ctrlPr>
                  </m:e>
                  <m:sub>
                    <m:r>
                      <m:rPr/>
                      <w:rPr>
                        <w:rFonts w:ascii="Cambria Math" w:hAnsi="Cambria Math"/>
                        <w:color w:val="auto"/>
                        <w:sz w:val="24"/>
                      </w:rPr>
                      <m:t>i</m:t>
                    </m:r>
                    <m:ctrlPr>
                      <w:rPr>
                        <w:rFonts w:ascii="Cambria Math" w:hAnsi="Cambria Math"/>
                        <w:bCs/>
                        <w:i/>
                        <w:color w:val="auto"/>
                        <w:sz w:val="24"/>
                      </w:rPr>
                    </m:ctrlPr>
                  </m:sub>
                </m:sSub>
                <m:r>
                  <m:rPr/>
                  <w:rPr>
                    <w:rFonts w:ascii="Cambria Math" w:hAnsi="Cambria Math"/>
                    <w:color w:val="auto"/>
                    <w:sz w:val="24"/>
                  </w:rPr>
                  <m:t>×</m:t>
                </m:r>
                <m:sSup>
                  <m:sSupPr>
                    <m:ctrlPr>
                      <w:rPr>
                        <w:rFonts w:ascii="Cambria Math" w:hAnsi="Cambria Math"/>
                        <w:bCs/>
                        <w:i/>
                        <w:color w:val="auto"/>
                        <w:sz w:val="24"/>
                      </w:rPr>
                    </m:ctrlPr>
                  </m:sSupPr>
                  <m:e>
                    <m:r>
                      <m:rPr/>
                      <w:rPr>
                        <w:rFonts w:ascii="Cambria Math" w:hAnsi="Cambria Math"/>
                        <w:color w:val="auto"/>
                        <w:sz w:val="24"/>
                      </w:rPr>
                      <m:t>10</m:t>
                    </m:r>
                    <m:ctrlPr>
                      <w:rPr>
                        <w:rFonts w:ascii="Cambria Math" w:hAnsi="Cambria Math"/>
                        <w:bCs/>
                        <w:i/>
                        <w:color w:val="auto"/>
                        <w:sz w:val="24"/>
                      </w:rPr>
                    </m:ctrlPr>
                  </m:e>
                  <m:sup>
                    <m:r>
                      <m:rPr/>
                      <w:rPr>
                        <w:rFonts w:ascii="Cambria Math" w:hAnsi="Cambria Math"/>
                        <w:color w:val="auto"/>
                        <w:sz w:val="24"/>
                      </w:rPr>
                      <m:t>−9</m:t>
                    </m:r>
                    <m:ctrlPr>
                      <w:rPr>
                        <w:rFonts w:ascii="Cambria Math" w:hAnsi="Cambria Math"/>
                        <w:bCs/>
                        <w:i/>
                        <w:color w:val="auto"/>
                        <w:sz w:val="24"/>
                      </w:rPr>
                    </m:ctrlPr>
                  </m:sup>
                </m:sSup>
              </m:oMath>
            </m:oMathPara>
          </w:p>
          <w:p>
            <w:pPr>
              <w:adjustRightInd w:val="0"/>
              <w:snapToGrid w:val="0"/>
              <w:spacing w:line="360" w:lineRule="auto"/>
              <w:jc w:val="center"/>
              <w:rPr>
                <w:bCs/>
                <w:color w:val="auto"/>
                <w:sz w:val="24"/>
              </w:rPr>
            </w:pPr>
            <m:oMathPara>
              <m:oMath>
                <m:r>
                  <m:rPr>
                    <m:sty m:val="p"/>
                  </m:rPr>
                  <w:rPr>
                    <w:rFonts w:ascii="Cambria Math" w:hAnsi="Cambria Math"/>
                    <w:color w:val="auto"/>
                    <w:sz w:val="24"/>
                  </w:rPr>
                  <m:t>E</m:t>
                </m:r>
                <m:r>
                  <m:rPr>
                    <m:sty m:val="p"/>
                  </m:rPr>
                  <w:rPr>
                    <w:rFonts w:hint="eastAsia" w:ascii="Cambria Math" w:hAnsi="Cambria Math"/>
                    <w:color w:val="auto"/>
                    <w:sz w:val="24"/>
                  </w:rPr>
                  <m:t>=</m:t>
                </m:r>
                <m:nary>
                  <m:naryPr>
                    <m:chr m:val="∑"/>
                    <m:limLoc m:val="undOvr"/>
                    <m:ctrlPr>
                      <w:rPr>
                        <w:rFonts w:ascii="Cambria Math" w:hAnsi="Cambria Math"/>
                        <w:bCs/>
                        <w:color w:val="auto"/>
                        <w:sz w:val="24"/>
                      </w:rPr>
                    </m:ctrlPr>
                  </m:naryPr>
                  <m:sub>
                    <m:r>
                      <m:rPr/>
                      <w:rPr>
                        <w:rFonts w:ascii="Cambria Math" w:hAnsi="Cambria Math"/>
                        <w:color w:val="auto"/>
                        <w:sz w:val="24"/>
                      </w:rPr>
                      <m:t>j</m:t>
                    </m:r>
                    <m:r>
                      <m:rPr/>
                      <w:rPr>
                        <w:rFonts w:hint="eastAsia" w:ascii="Cambria Math" w:hAnsi="Cambria Math"/>
                        <w:color w:val="auto"/>
                        <w:sz w:val="24"/>
                      </w:rPr>
                      <m:t>=</m:t>
                    </m:r>
                    <m:r>
                      <m:rPr/>
                      <w:rPr>
                        <w:rFonts w:ascii="Cambria Math" w:hAnsi="Cambria Math"/>
                        <w:color w:val="auto"/>
                        <w:sz w:val="24"/>
                      </w:rPr>
                      <m:t>1</m:t>
                    </m:r>
                    <m:ctrlPr>
                      <w:rPr>
                        <w:rFonts w:ascii="Cambria Math" w:hAnsi="Cambria Math"/>
                        <w:bCs/>
                        <w:color w:val="auto"/>
                        <w:sz w:val="24"/>
                      </w:rPr>
                    </m:ctrlPr>
                  </m:sub>
                  <m:sup>
                    <m:r>
                      <m:rPr/>
                      <w:rPr>
                        <w:rFonts w:ascii="Cambria Math" w:hAnsi="Cambria Math"/>
                        <w:color w:val="auto"/>
                        <w:sz w:val="24"/>
                      </w:rPr>
                      <m:t>m</m:t>
                    </m:r>
                    <m:ctrlPr>
                      <w:rPr>
                        <w:rFonts w:ascii="Cambria Math" w:hAnsi="Cambria Math"/>
                        <w:bCs/>
                        <w:color w:val="auto"/>
                        <w:sz w:val="24"/>
                      </w:rPr>
                    </m:ctrlPr>
                  </m:sup>
                  <m:e>
                    <m:d>
                      <m:dPr>
                        <m:ctrlPr>
                          <w:rPr>
                            <w:rFonts w:ascii="Cambria Math" w:hAnsi="Cambria Math"/>
                            <w:bCs/>
                            <w:i/>
                            <w:color w:val="auto"/>
                            <w:sz w:val="24"/>
                          </w:rPr>
                        </m:ctrlPr>
                      </m:dPr>
                      <m:e>
                        <m:sSub>
                          <m:sSubPr>
                            <m:ctrlPr>
                              <w:rPr>
                                <w:rFonts w:ascii="Cambria Math" w:hAnsi="Cambria Math"/>
                                <w:bCs/>
                                <w:i/>
                                <w:color w:val="auto"/>
                                <w:sz w:val="24"/>
                              </w:rPr>
                            </m:ctrlPr>
                          </m:sSubPr>
                          <m:e>
                            <m:r>
                              <m:rPr/>
                              <w:rPr>
                                <w:rFonts w:ascii="Cambria Math" w:hAnsi="Cambria Math"/>
                                <w:color w:val="auto"/>
                                <w:sz w:val="24"/>
                              </w:rPr>
                              <m:t>M</m:t>
                            </m:r>
                            <m:ctrlPr>
                              <w:rPr>
                                <w:rFonts w:ascii="Cambria Math" w:hAnsi="Cambria Math"/>
                                <w:bCs/>
                                <w:i/>
                                <w:color w:val="auto"/>
                                <w:sz w:val="24"/>
                              </w:rPr>
                            </m:ctrlPr>
                          </m:e>
                          <m:sub>
                            <m:r>
                              <m:rPr/>
                              <w:rPr>
                                <w:rFonts w:ascii="Cambria Math" w:hAnsi="Cambria Math"/>
                                <w:color w:val="auto"/>
                                <w:sz w:val="24"/>
                              </w:rPr>
                              <m:t>i</m:t>
                            </m:r>
                            <m:ctrlPr>
                              <w:rPr>
                                <w:rFonts w:ascii="Cambria Math" w:hAnsi="Cambria Math"/>
                                <w:bCs/>
                                <w:i/>
                                <w:color w:val="auto"/>
                                <w:sz w:val="24"/>
                              </w:rPr>
                            </m:ctrlPr>
                          </m:sub>
                        </m:sSub>
                        <m:ctrlPr>
                          <w:rPr>
                            <w:rFonts w:ascii="Cambria Math" w:hAnsi="Cambria Math"/>
                            <w:bCs/>
                            <w:i/>
                            <w:color w:val="auto"/>
                            <w:sz w:val="24"/>
                          </w:rPr>
                        </m:ctrlPr>
                      </m:e>
                    </m:d>
                    <m:ctrlPr>
                      <w:rPr>
                        <w:rFonts w:ascii="Cambria Math" w:hAnsi="Cambria Math"/>
                        <w:bCs/>
                        <w:color w:val="auto"/>
                        <w:sz w:val="24"/>
                      </w:rPr>
                    </m:ctrlPr>
                  </m:e>
                </m:nary>
              </m:oMath>
            </m:oMathPara>
          </w:p>
          <w:p>
            <w:pPr>
              <w:adjustRightInd w:val="0"/>
              <w:snapToGrid w:val="0"/>
              <w:spacing w:line="360" w:lineRule="auto"/>
              <w:ind w:firstLine="480" w:firstLineChars="200"/>
              <w:rPr>
                <w:bCs/>
                <w:color w:val="auto"/>
                <w:sz w:val="24"/>
              </w:rPr>
            </w:pPr>
            <w:r>
              <w:rPr>
                <w:rFonts w:hint="eastAsia"/>
                <w:bCs/>
                <w:color w:val="auto"/>
                <w:sz w:val="24"/>
              </w:rPr>
              <w:t>式中：M</w:t>
            </w:r>
            <w:r>
              <w:rPr>
                <w:rFonts w:hint="eastAsia"/>
                <w:bCs/>
                <w:color w:val="auto"/>
                <w:sz w:val="24"/>
                <w:vertAlign w:val="subscript"/>
              </w:rPr>
              <w:t>j</w:t>
            </w:r>
            <w:r>
              <w:rPr>
                <w:rFonts w:hint="eastAsia"/>
                <w:bCs/>
                <w:color w:val="auto"/>
                <w:sz w:val="24"/>
              </w:rPr>
              <w:t>—核算时段内度j个排放口污染物的实际排放量，t；</w:t>
            </w:r>
          </w:p>
          <w:p>
            <w:pPr>
              <w:adjustRightInd w:val="0"/>
              <w:snapToGrid w:val="0"/>
              <w:spacing w:line="360" w:lineRule="auto"/>
              <w:ind w:firstLine="1200" w:firstLineChars="500"/>
              <w:rPr>
                <w:bCs/>
                <w:color w:val="auto"/>
                <w:sz w:val="24"/>
              </w:rPr>
            </w:pPr>
            <w:r>
              <w:rPr>
                <w:rFonts w:hint="eastAsia"/>
                <w:bCs/>
                <w:color w:val="auto"/>
                <w:sz w:val="24"/>
              </w:rPr>
              <w:t>C</w:t>
            </w:r>
            <w:r>
              <w:rPr>
                <w:rFonts w:hint="eastAsia"/>
                <w:bCs/>
                <w:color w:val="auto"/>
                <w:sz w:val="24"/>
                <w:vertAlign w:val="subscript"/>
              </w:rPr>
              <w:t>i</w:t>
            </w:r>
            <w:r>
              <w:rPr>
                <w:rFonts w:hint="eastAsia"/>
                <w:bCs/>
                <w:color w:val="auto"/>
                <w:sz w:val="24"/>
              </w:rPr>
              <w:t>—第j个排放口在第i小时的实测平均排放浓度（标态），mg/m</w:t>
            </w:r>
            <w:r>
              <w:rPr>
                <w:rFonts w:hint="eastAsia"/>
                <w:bCs/>
                <w:color w:val="auto"/>
                <w:sz w:val="24"/>
                <w:vertAlign w:val="superscript"/>
              </w:rPr>
              <w:t>3</w:t>
            </w:r>
            <w:r>
              <w:rPr>
                <w:rFonts w:hint="eastAsia"/>
                <w:bCs/>
                <w:color w:val="auto"/>
                <w:sz w:val="24"/>
              </w:rPr>
              <w:t>；</w:t>
            </w:r>
          </w:p>
          <w:p>
            <w:pPr>
              <w:adjustRightInd w:val="0"/>
              <w:snapToGrid w:val="0"/>
              <w:spacing w:line="360" w:lineRule="auto"/>
              <w:ind w:firstLine="480" w:firstLineChars="200"/>
              <w:rPr>
                <w:bCs/>
                <w:color w:val="auto"/>
                <w:sz w:val="24"/>
              </w:rPr>
            </w:pPr>
            <w:r>
              <w:rPr>
                <w:rFonts w:hint="eastAsia"/>
                <w:bCs/>
                <w:color w:val="auto"/>
                <w:sz w:val="24"/>
              </w:rPr>
              <w:t xml:space="preserve">      q</w:t>
            </w:r>
            <w:r>
              <w:rPr>
                <w:rFonts w:hint="eastAsia"/>
                <w:bCs/>
                <w:color w:val="auto"/>
                <w:sz w:val="28"/>
                <w:szCs w:val="28"/>
                <w:vertAlign w:val="subscript"/>
              </w:rPr>
              <w:t>i</w:t>
            </w:r>
            <w:r>
              <w:rPr>
                <w:rFonts w:hint="eastAsia"/>
                <w:bCs/>
                <w:color w:val="auto"/>
                <w:sz w:val="24"/>
              </w:rPr>
              <w:t>—第j个排放口在第i小时的排气量（标态），m</w:t>
            </w:r>
            <w:r>
              <w:rPr>
                <w:rFonts w:hint="eastAsia"/>
                <w:bCs/>
                <w:color w:val="auto"/>
                <w:sz w:val="24"/>
                <w:vertAlign w:val="superscript"/>
              </w:rPr>
              <w:t>3</w:t>
            </w:r>
            <w:r>
              <w:rPr>
                <w:rFonts w:hint="eastAsia"/>
                <w:bCs/>
                <w:color w:val="auto"/>
                <w:sz w:val="24"/>
              </w:rPr>
              <w:t>/h；</w:t>
            </w:r>
          </w:p>
          <w:p>
            <w:pPr>
              <w:adjustRightInd w:val="0"/>
              <w:snapToGrid w:val="0"/>
              <w:spacing w:line="360" w:lineRule="auto"/>
              <w:ind w:firstLine="480" w:firstLineChars="200"/>
              <w:rPr>
                <w:bCs/>
                <w:color w:val="auto"/>
                <w:sz w:val="24"/>
              </w:rPr>
            </w:pPr>
            <w:r>
              <w:rPr>
                <w:rFonts w:hint="eastAsia"/>
                <w:bCs/>
                <w:color w:val="auto"/>
                <w:sz w:val="24"/>
              </w:rPr>
              <w:t xml:space="preserve">      n—和us按时段内的污染物排放时间，h；</w:t>
            </w:r>
          </w:p>
          <w:p>
            <w:pPr>
              <w:adjustRightInd w:val="0"/>
              <w:snapToGrid w:val="0"/>
              <w:spacing w:line="360" w:lineRule="auto"/>
              <w:ind w:firstLine="1200" w:firstLineChars="500"/>
              <w:rPr>
                <w:bCs/>
                <w:color w:val="auto"/>
                <w:sz w:val="24"/>
              </w:rPr>
            </w:pPr>
            <w:r>
              <w:rPr>
                <w:rFonts w:hint="eastAsia"/>
                <w:bCs/>
                <w:color w:val="auto"/>
                <w:sz w:val="24"/>
              </w:rPr>
              <w:t>E—核算时段内排放口污染物的实际排放量，t。</w:t>
            </w:r>
          </w:p>
          <w:p>
            <w:pPr>
              <w:adjustRightInd w:val="0"/>
              <w:snapToGrid w:val="0"/>
              <w:jc w:val="center"/>
              <w:rPr>
                <w:b/>
                <w:color w:val="auto"/>
                <w:szCs w:val="21"/>
              </w:rPr>
            </w:pPr>
            <w:r>
              <w:rPr>
                <w:rFonts w:hint="eastAsia"/>
                <w:b/>
                <w:color w:val="auto"/>
                <w:szCs w:val="21"/>
              </w:rPr>
              <w:t>表2-1</w:t>
            </w:r>
            <w:r>
              <w:rPr>
                <w:rFonts w:hint="eastAsia"/>
                <w:b/>
                <w:color w:val="auto"/>
                <w:szCs w:val="21"/>
                <w:lang w:val="en-US" w:eastAsia="zh-CN"/>
              </w:rPr>
              <w:t>5</w:t>
            </w:r>
            <w:r>
              <w:rPr>
                <w:rFonts w:hint="eastAsia"/>
                <w:b/>
                <w:color w:val="auto"/>
                <w:szCs w:val="21"/>
              </w:rPr>
              <w:t xml:space="preserve">  现有隧道窑烟气实际排放情况一览表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416"/>
              <w:gridCol w:w="2060"/>
              <w:gridCol w:w="2060"/>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55" w:type="pct"/>
                  <w:vAlign w:val="center"/>
                </w:tcPr>
                <w:p>
                  <w:pPr>
                    <w:adjustRightInd w:val="0"/>
                    <w:snapToGrid w:val="0"/>
                    <w:jc w:val="center"/>
                    <w:rPr>
                      <w:bCs/>
                      <w:color w:val="auto"/>
                      <w:sz w:val="20"/>
                      <w:szCs w:val="20"/>
                    </w:rPr>
                  </w:pPr>
                  <w:r>
                    <w:rPr>
                      <w:rFonts w:hint="eastAsia"/>
                      <w:bCs/>
                      <w:color w:val="auto"/>
                      <w:sz w:val="20"/>
                      <w:szCs w:val="20"/>
                    </w:rPr>
                    <w:t>污染物</w:t>
                  </w:r>
                </w:p>
              </w:tc>
              <w:tc>
                <w:tcPr>
                  <w:tcW w:w="845" w:type="pct"/>
                  <w:vAlign w:val="center"/>
                </w:tcPr>
                <w:p>
                  <w:pPr>
                    <w:adjustRightInd w:val="0"/>
                    <w:snapToGrid w:val="0"/>
                    <w:jc w:val="center"/>
                    <w:rPr>
                      <w:bCs/>
                      <w:color w:val="auto"/>
                      <w:sz w:val="20"/>
                      <w:szCs w:val="20"/>
                    </w:rPr>
                  </w:pPr>
                  <w:r>
                    <w:rPr>
                      <w:rFonts w:hint="eastAsia"/>
                      <w:bCs/>
                      <w:color w:val="auto"/>
                      <w:sz w:val="20"/>
                      <w:szCs w:val="20"/>
                    </w:rPr>
                    <w:t>标干排气量（m</w:t>
                  </w:r>
                  <w:r>
                    <w:rPr>
                      <w:rFonts w:hint="eastAsia"/>
                      <w:bCs/>
                      <w:color w:val="auto"/>
                      <w:sz w:val="20"/>
                      <w:szCs w:val="20"/>
                      <w:vertAlign w:val="superscript"/>
                    </w:rPr>
                    <w:t>3</w:t>
                  </w:r>
                  <w:r>
                    <w:rPr>
                      <w:rFonts w:hint="eastAsia"/>
                      <w:bCs/>
                      <w:color w:val="auto"/>
                      <w:sz w:val="20"/>
                      <w:szCs w:val="20"/>
                    </w:rPr>
                    <w:t>/h）</w:t>
                  </w:r>
                </w:p>
              </w:tc>
              <w:tc>
                <w:tcPr>
                  <w:tcW w:w="1229" w:type="pct"/>
                  <w:vAlign w:val="center"/>
                </w:tcPr>
                <w:p>
                  <w:pPr>
                    <w:adjustRightInd w:val="0"/>
                    <w:snapToGrid w:val="0"/>
                    <w:jc w:val="center"/>
                    <w:rPr>
                      <w:bCs/>
                      <w:color w:val="auto"/>
                      <w:sz w:val="20"/>
                      <w:szCs w:val="20"/>
                    </w:rPr>
                  </w:pPr>
                  <w:r>
                    <w:rPr>
                      <w:rFonts w:hint="eastAsia"/>
                      <w:bCs/>
                      <w:color w:val="auto"/>
                      <w:sz w:val="20"/>
                      <w:szCs w:val="20"/>
                    </w:rPr>
                    <w:t>平均实测浓度（mg/m</w:t>
                  </w:r>
                  <w:r>
                    <w:rPr>
                      <w:rFonts w:hint="eastAsia"/>
                      <w:bCs/>
                      <w:color w:val="auto"/>
                      <w:sz w:val="20"/>
                      <w:szCs w:val="20"/>
                      <w:vertAlign w:val="superscript"/>
                    </w:rPr>
                    <w:t>3</w:t>
                  </w:r>
                  <w:r>
                    <w:rPr>
                      <w:rFonts w:hint="eastAsia"/>
                      <w:bCs/>
                      <w:color w:val="auto"/>
                      <w:sz w:val="20"/>
                      <w:szCs w:val="20"/>
                    </w:rPr>
                    <w:t>）</w:t>
                  </w:r>
                </w:p>
              </w:tc>
              <w:tc>
                <w:tcPr>
                  <w:tcW w:w="1229" w:type="pct"/>
                  <w:vAlign w:val="center"/>
                </w:tcPr>
                <w:p>
                  <w:pPr>
                    <w:adjustRightInd w:val="0"/>
                    <w:snapToGrid w:val="0"/>
                    <w:jc w:val="center"/>
                    <w:rPr>
                      <w:bCs/>
                      <w:color w:val="auto"/>
                      <w:sz w:val="20"/>
                      <w:szCs w:val="20"/>
                    </w:rPr>
                  </w:pPr>
                  <w:r>
                    <w:rPr>
                      <w:rFonts w:hint="eastAsia"/>
                      <w:bCs/>
                      <w:color w:val="auto"/>
                      <w:sz w:val="20"/>
                      <w:szCs w:val="20"/>
                    </w:rPr>
                    <w:t>监测时段排放口运行时间（h）</w:t>
                  </w:r>
                </w:p>
              </w:tc>
              <w:tc>
                <w:tcPr>
                  <w:tcW w:w="1041" w:type="pct"/>
                  <w:vAlign w:val="center"/>
                </w:tcPr>
                <w:p>
                  <w:pPr>
                    <w:adjustRightInd w:val="0"/>
                    <w:snapToGrid w:val="0"/>
                    <w:jc w:val="center"/>
                    <w:rPr>
                      <w:bCs/>
                      <w:color w:val="auto"/>
                      <w:sz w:val="20"/>
                      <w:szCs w:val="20"/>
                    </w:rPr>
                  </w:pPr>
                  <w:r>
                    <w:rPr>
                      <w:rFonts w:hint="eastAsia"/>
                      <w:bCs/>
                      <w:color w:val="auto"/>
                      <w:sz w:val="20"/>
                      <w:szCs w:val="20"/>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55" w:type="pct"/>
                  <w:vAlign w:val="center"/>
                </w:tcPr>
                <w:p>
                  <w:pPr>
                    <w:adjustRightInd w:val="0"/>
                    <w:snapToGrid w:val="0"/>
                    <w:jc w:val="center"/>
                    <w:rPr>
                      <w:bCs/>
                      <w:color w:val="auto"/>
                      <w:sz w:val="20"/>
                      <w:szCs w:val="20"/>
                    </w:rPr>
                  </w:pPr>
                  <w:r>
                    <w:rPr>
                      <w:rFonts w:hint="eastAsia"/>
                      <w:bCs/>
                      <w:color w:val="auto"/>
                      <w:sz w:val="20"/>
                      <w:szCs w:val="20"/>
                    </w:rPr>
                    <w:t>颗粒物</w:t>
                  </w:r>
                </w:p>
              </w:tc>
              <w:tc>
                <w:tcPr>
                  <w:tcW w:w="845" w:type="pct"/>
                  <w:vMerge w:val="restart"/>
                  <w:vAlign w:val="center"/>
                </w:tcPr>
                <w:p>
                  <w:pPr>
                    <w:adjustRightInd w:val="0"/>
                    <w:snapToGrid w:val="0"/>
                    <w:jc w:val="center"/>
                    <w:rPr>
                      <w:color w:val="auto"/>
                      <w:sz w:val="20"/>
                      <w:szCs w:val="20"/>
                    </w:rPr>
                  </w:pPr>
                  <w:r>
                    <w:rPr>
                      <w:rFonts w:hint="eastAsia"/>
                      <w:color w:val="auto"/>
                      <w:sz w:val="20"/>
                      <w:szCs w:val="20"/>
                    </w:rPr>
                    <w:t>17713</w:t>
                  </w:r>
                </w:p>
              </w:tc>
              <w:tc>
                <w:tcPr>
                  <w:tcW w:w="1229" w:type="pct"/>
                  <w:vAlign w:val="center"/>
                </w:tcPr>
                <w:p>
                  <w:pPr>
                    <w:adjustRightInd w:val="0"/>
                    <w:snapToGrid w:val="0"/>
                    <w:jc w:val="center"/>
                    <w:rPr>
                      <w:bCs/>
                      <w:color w:val="auto"/>
                      <w:sz w:val="20"/>
                      <w:szCs w:val="20"/>
                    </w:rPr>
                  </w:pPr>
                  <w:r>
                    <w:rPr>
                      <w:rFonts w:hint="eastAsia"/>
                      <w:bCs/>
                      <w:color w:val="auto"/>
                      <w:sz w:val="20"/>
                      <w:szCs w:val="20"/>
                    </w:rPr>
                    <w:t>10.35</w:t>
                  </w:r>
                </w:p>
              </w:tc>
              <w:tc>
                <w:tcPr>
                  <w:tcW w:w="1229" w:type="pct"/>
                  <w:vMerge w:val="restart"/>
                  <w:vAlign w:val="center"/>
                </w:tcPr>
                <w:p>
                  <w:pPr>
                    <w:adjustRightInd w:val="0"/>
                    <w:snapToGrid w:val="0"/>
                    <w:jc w:val="center"/>
                    <w:rPr>
                      <w:bCs/>
                      <w:color w:val="auto"/>
                      <w:sz w:val="20"/>
                      <w:szCs w:val="20"/>
                    </w:rPr>
                  </w:pPr>
                  <w:r>
                    <w:rPr>
                      <w:rFonts w:hint="eastAsia"/>
                      <w:bCs/>
                      <w:color w:val="auto"/>
                      <w:sz w:val="20"/>
                      <w:szCs w:val="20"/>
                    </w:rPr>
                    <w:t>7200</w:t>
                  </w:r>
                </w:p>
              </w:tc>
              <w:tc>
                <w:tcPr>
                  <w:tcW w:w="1041" w:type="pct"/>
                  <w:vAlign w:val="center"/>
                </w:tcPr>
                <w:p>
                  <w:pPr>
                    <w:adjustRightInd w:val="0"/>
                    <w:snapToGrid w:val="0"/>
                    <w:jc w:val="center"/>
                    <w:rPr>
                      <w:bCs/>
                      <w:color w:val="auto"/>
                      <w:sz w:val="20"/>
                      <w:szCs w:val="20"/>
                    </w:rPr>
                  </w:pPr>
                  <w:r>
                    <w:rPr>
                      <w:rFonts w:hint="eastAsia"/>
                      <w:bCs/>
                      <w:color w:val="auto"/>
                      <w:sz w:val="20"/>
                      <w:szCs w:val="20"/>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55" w:type="pct"/>
                  <w:vAlign w:val="center"/>
                </w:tcPr>
                <w:p>
                  <w:pPr>
                    <w:adjustRightInd w:val="0"/>
                    <w:snapToGrid w:val="0"/>
                    <w:jc w:val="center"/>
                    <w:rPr>
                      <w:bCs/>
                      <w:color w:val="auto"/>
                      <w:sz w:val="20"/>
                      <w:szCs w:val="20"/>
                    </w:rPr>
                  </w:pPr>
                  <w:r>
                    <w:rPr>
                      <w:rFonts w:hint="eastAsia"/>
                      <w:bCs/>
                      <w:color w:val="auto"/>
                      <w:sz w:val="20"/>
                      <w:szCs w:val="20"/>
                    </w:rPr>
                    <w:t>二氧化硫</w:t>
                  </w:r>
                </w:p>
              </w:tc>
              <w:tc>
                <w:tcPr>
                  <w:tcW w:w="845" w:type="pct"/>
                  <w:vMerge w:val="continue"/>
                </w:tcPr>
                <w:p>
                  <w:pPr>
                    <w:adjustRightInd w:val="0"/>
                    <w:snapToGrid w:val="0"/>
                    <w:rPr>
                      <w:bCs/>
                      <w:color w:val="auto"/>
                      <w:sz w:val="20"/>
                      <w:szCs w:val="20"/>
                    </w:rPr>
                  </w:pPr>
                </w:p>
              </w:tc>
              <w:tc>
                <w:tcPr>
                  <w:tcW w:w="1229" w:type="pct"/>
                  <w:vAlign w:val="center"/>
                </w:tcPr>
                <w:p>
                  <w:pPr>
                    <w:adjustRightInd w:val="0"/>
                    <w:snapToGrid w:val="0"/>
                    <w:jc w:val="center"/>
                    <w:rPr>
                      <w:bCs/>
                      <w:color w:val="auto"/>
                      <w:sz w:val="20"/>
                      <w:szCs w:val="20"/>
                    </w:rPr>
                  </w:pPr>
                  <w:r>
                    <w:rPr>
                      <w:rFonts w:hint="eastAsia"/>
                      <w:bCs/>
                      <w:color w:val="auto"/>
                      <w:sz w:val="20"/>
                      <w:szCs w:val="20"/>
                    </w:rPr>
                    <w:t>154.50</w:t>
                  </w:r>
                </w:p>
              </w:tc>
              <w:tc>
                <w:tcPr>
                  <w:tcW w:w="1229" w:type="pct"/>
                  <w:vMerge w:val="continue"/>
                  <w:vAlign w:val="center"/>
                </w:tcPr>
                <w:p>
                  <w:pPr>
                    <w:adjustRightInd w:val="0"/>
                    <w:snapToGrid w:val="0"/>
                    <w:jc w:val="center"/>
                    <w:rPr>
                      <w:bCs/>
                      <w:color w:val="auto"/>
                      <w:sz w:val="20"/>
                      <w:szCs w:val="20"/>
                    </w:rPr>
                  </w:pPr>
                </w:p>
              </w:tc>
              <w:tc>
                <w:tcPr>
                  <w:tcW w:w="1041" w:type="pct"/>
                  <w:vAlign w:val="center"/>
                </w:tcPr>
                <w:p>
                  <w:pPr>
                    <w:adjustRightInd w:val="0"/>
                    <w:snapToGrid w:val="0"/>
                    <w:jc w:val="center"/>
                    <w:rPr>
                      <w:bCs/>
                      <w:color w:val="auto"/>
                      <w:sz w:val="20"/>
                      <w:szCs w:val="20"/>
                    </w:rPr>
                  </w:pPr>
                  <w:r>
                    <w:rPr>
                      <w:rFonts w:hint="eastAsia"/>
                      <w:bCs/>
                      <w:color w:val="auto"/>
                      <w:sz w:val="20"/>
                      <w:szCs w:val="20"/>
                    </w:rPr>
                    <w:t>19.70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55" w:type="pct"/>
                  <w:vAlign w:val="center"/>
                </w:tcPr>
                <w:p>
                  <w:pPr>
                    <w:adjustRightInd w:val="0"/>
                    <w:snapToGrid w:val="0"/>
                    <w:jc w:val="center"/>
                    <w:rPr>
                      <w:bCs/>
                      <w:color w:val="auto"/>
                      <w:sz w:val="20"/>
                      <w:szCs w:val="20"/>
                    </w:rPr>
                  </w:pPr>
                  <w:r>
                    <w:rPr>
                      <w:rFonts w:hint="eastAsia"/>
                      <w:bCs/>
                      <w:color w:val="auto"/>
                      <w:sz w:val="20"/>
                      <w:szCs w:val="20"/>
                    </w:rPr>
                    <w:t>氮氧化物</w:t>
                  </w:r>
                </w:p>
              </w:tc>
              <w:tc>
                <w:tcPr>
                  <w:tcW w:w="845" w:type="pct"/>
                  <w:vMerge w:val="continue"/>
                </w:tcPr>
                <w:p>
                  <w:pPr>
                    <w:adjustRightInd w:val="0"/>
                    <w:snapToGrid w:val="0"/>
                    <w:rPr>
                      <w:bCs/>
                      <w:color w:val="auto"/>
                      <w:sz w:val="20"/>
                      <w:szCs w:val="20"/>
                    </w:rPr>
                  </w:pPr>
                </w:p>
              </w:tc>
              <w:tc>
                <w:tcPr>
                  <w:tcW w:w="1229" w:type="pct"/>
                  <w:vAlign w:val="center"/>
                </w:tcPr>
                <w:p>
                  <w:pPr>
                    <w:adjustRightInd w:val="0"/>
                    <w:snapToGrid w:val="0"/>
                    <w:jc w:val="center"/>
                    <w:rPr>
                      <w:bCs/>
                      <w:color w:val="auto"/>
                      <w:sz w:val="20"/>
                      <w:szCs w:val="20"/>
                    </w:rPr>
                  </w:pPr>
                  <w:r>
                    <w:rPr>
                      <w:rFonts w:hint="eastAsia"/>
                      <w:bCs/>
                      <w:color w:val="auto"/>
                      <w:sz w:val="20"/>
                      <w:szCs w:val="20"/>
                    </w:rPr>
                    <w:t>49.40</w:t>
                  </w:r>
                </w:p>
              </w:tc>
              <w:tc>
                <w:tcPr>
                  <w:tcW w:w="1229" w:type="pct"/>
                  <w:vMerge w:val="continue"/>
                  <w:vAlign w:val="center"/>
                </w:tcPr>
                <w:p>
                  <w:pPr>
                    <w:adjustRightInd w:val="0"/>
                    <w:snapToGrid w:val="0"/>
                    <w:jc w:val="center"/>
                    <w:rPr>
                      <w:bCs/>
                      <w:color w:val="auto"/>
                      <w:sz w:val="20"/>
                      <w:szCs w:val="20"/>
                    </w:rPr>
                  </w:pPr>
                </w:p>
              </w:tc>
              <w:tc>
                <w:tcPr>
                  <w:tcW w:w="1041" w:type="pct"/>
                  <w:vAlign w:val="center"/>
                </w:tcPr>
                <w:p>
                  <w:pPr>
                    <w:adjustRightInd w:val="0"/>
                    <w:snapToGrid w:val="0"/>
                    <w:jc w:val="center"/>
                    <w:rPr>
                      <w:bCs/>
                      <w:color w:val="auto"/>
                      <w:sz w:val="20"/>
                      <w:szCs w:val="20"/>
                    </w:rPr>
                  </w:pPr>
                  <w:r>
                    <w:rPr>
                      <w:rFonts w:hint="eastAsia"/>
                      <w:bCs/>
                      <w:color w:val="auto"/>
                      <w:sz w:val="20"/>
                      <w:szCs w:val="20"/>
                    </w:rPr>
                    <w:t>6.30</w:t>
                  </w:r>
                </w:p>
              </w:tc>
            </w:tr>
          </w:tbl>
          <w:p>
            <w:pPr>
              <w:pStyle w:val="47"/>
              <w:adjustRightInd w:val="0"/>
              <w:snapToGrid w:val="0"/>
              <w:ind w:firstLine="0"/>
              <w:rPr>
                <w:b/>
                <w:color w:val="auto"/>
                <w:sz w:val="21"/>
                <w:szCs w:val="21"/>
              </w:rPr>
            </w:pPr>
          </w:p>
          <w:p>
            <w:pPr>
              <w:adjustRightInd w:val="0"/>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2）</w:t>
            </w:r>
            <w:r>
              <w:rPr>
                <w:rFonts w:hint="eastAsia" w:ascii="宋体" w:hAnsi="宋体" w:cs="宋体"/>
                <w:color w:val="auto"/>
                <w:sz w:val="24"/>
                <w:lang w:eastAsia="zh-CN"/>
              </w:rPr>
              <w:t>氟及其化合物（以F计）</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本次环评采用实测法核算</w:t>
            </w:r>
            <w:r>
              <w:rPr>
                <w:rFonts w:hint="eastAsia" w:ascii="宋体" w:hAnsi="宋体" w:cs="宋体"/>
                <w:color w:val="auto"/>
                <w:sz w:val="24"/>
                <w:lang w:eastAsia="zh-CN"/>
              </w:rPr>
              <w:t>氟及其化合物（以F计）</w:t>
            </w:r>
            <w:r>
              <w:rPr>
                <w:rFonts w:hint="eastAsia" w:ascii="宋体" w:hAnsi="宋体" w:cs="宋体"/>
                <w:color w:val="auto"/>
                <w:sz w:val="24"/>
              </w:rPr>
              <w:t>，核算数据来源于手工监测数据统计，核算方法如下：</w:t>
            </w:r>
          </w:p>
          <w:p>
            <w:pPr>
              <w:adjustRightInd w:val="0"/>
              <w:snapToGrid w:val="0"/>
              <w:spacing w:line="360" w:lineRule="auto"/>
              <w:jc w:val="center"/>
              <w:rPr>
                <w:bCs/>
                <w:color w:val="auto"/>
                <w:sz w:val="24"/>
              </w:rPr>
            </w:pPr>
            <m:oMathPara>
              <m:oMath>
                <m:sSub>
                  <m:sSubPr>
                    <m:ctrlPr>
                      <w:rPr>
                        <w:rFonts w:ascii="Cambria Math" w:hAnsi="Cambria Math"/>
                        <w:bCs/>
                        <w:color w:val="auto"/>
                        <w:sz w:val="24"/>
                      </w:rPr>
                    </m:ctrlPr>
                  </m:sSubPr>
                  <m:e>
                    <m:r>
                      <m:rPr/>
                      <w:rPr>
                        <w:rFonts w:ascii="Cambria Math" w:hAnsi="Cambria Math"/>
                        <w:color w:val="auto"/>
                        <w:sz w:val="24"/>
                      </w:rPr>
                      <m:t>M</m:t>
                    </m:r>
                    <m:ctrlPr>
                      <w:rPr>
                        <w:rFonts w:ascii="Cambria Math" w:hAnsi="Cambria Math"/>
                        <w:bCs/>
                        <w:color w:val="auto"/>
                        <w:sz w:val="24"/>
                      </w:rPr>
                    </m:ctrlPr>
                  </m:e>
                  <m:sub>
                    <m:r>
                      <m:rPr/>
                      <w:rPr>
                        <w:rFonts w:ascii="Cambria Math" w:hAnsi="Cambria Math"/>
                        <w:color w:val="auto"/>
                        <w:sz w:val="24"/>
                      </w:rPr>
                      <m:t>j</m:t>
                    </m:r>
                    <m:ctrlPr>
                      <w:rPr>
                        <w:rFonts w:ascii="Cambria Math" w:hAnsi="Cambria Math"/>
                        <w:bCs/>
                        <w:color w:val="auto"/>
                        <w:sz w:val="24"/>
                      </w:rPr>
                    </m:ctrlPr>
                  </m:sub>
                </m:sSub>
                <m:r>
                  <m:rPr/>
                  <w:rPr>
                    <w:rFonts w:hint="eastAsia" w:ascii="Cambria Math" w:hAnsi="Cambria Math"/>
                    <w:color w:val="auto"/>
                    <w:sz w:val="24"/>
                  </w:rPr>
                  <m:t>=</m:t>
                </m:r>
                <m:nary>
                  <m:naryPr>
                    <m:chr m:val="∑"/>
                    <m:limLoc m:val="undOvr"/>
                    <m:ctrlPr>
                      <w:rPr>
                        <w:rFonts w:ascii="Cambria Math" w:hAnsi="Cambria Math"/>
                        <w:bCs/>
                        <w:i/>
                        <w:color w:val="auto"/>
                        <w:sz w:val="24"/>
                      </w:rPr>
                    </m:ctrlPr>
                  </m:naryPr>
                  <m:sub>
                    <m:r>
                      <m:rPr/>
                      <w:rPr>
                        <w:rFonts w:ascii="Cambria Math" w:hAnsi="Cambria Math"/>
                        <w:color w:val="auto"/>
                        <w:sz w:val="24"/>
                      </w:rPr>
                      <m:t>i</m:t>
                    </m:r>
                    <m:r>
                      <m:rPr/>
                      <w:rPr>
                        <w:rFonts w:hint="eastAsia" w:ascii="Cambria Math" w:hAnsi="Cambria Math"/>
                        <w:color w:val="auto"/>
                        <w:sz w:val="24"/>
                      </w:rPr>
                      <m:t>=</m:t>
                    </m:r>
                    <m:r>
                      <m:rPr/>
                      <w:rPr>
                        <w:rFonts w:ascii="Cambria Math" w:hAnsi="Cambria Math"/>
                        <w:color w:val="auto"/>
                        <w:sz w:val="24"/>
                      </w:rPr>
                      <m:t>1</m:t>
                    </m:r>
                    <m:ctrlPr>
                      <w:rPr>
                        <w:rFonts w:ascii="Cambria Math" w:hAnsi="Cambria Math"/>
                        <w:bCs/>
                        <w:i/>
                        <w:color w:val="auto"/>
                        <w:sz w:val="24"/>
                      </w:rPr>
                    </m:ctrlPr>
                  </m:sub>
                  <m:sup>
                    <m:r>
                      <m:rPr/>
                      <w:rPr>
                        <w:rFonts w:ascii="Cambria Math" w:hAnsi="Cambria Math"/>
                        <w:color w:val="auto"/>
                        <w:sz w:val="24"/>
                      </w:rPr>
                      <m:t>n</m:t>
                    </m:r>
                    <m:ctrlPr>
                      <w:rPr>
                        <w:rFonts w:ascii="Cambria Math" w:hAnsi="Cambria Math"/>
                        <w:bCs/>
                        <w:i/>
                        <w:color w:val="auto"/>
                        <w:sz w:val="24"/>
                      </w:rPr>
                    </m:ctrlPr>
                  </m:sup>
                  <m:e>
                    <m:sSub>
                      <m:sSubPr>
                        <m:ctrlPr>
                          <w:rPr>
                            <w:rFonts w:ascii="Cambria Math" w:hAnsi="Cambria Math"/>
                            <w:bCs/>
                            <w:i/>
                            <w:color w:val="auto"/>
                            <w:sz w:val="24"/>
                          </w:rPr>
                        </m:ctrlPr>
                      </m:sSubPr>
                      <m:e>
                        <m:r>
                          <m:rPr/>
                          <w:rPr>
                            <w:rFonts w:ascii="Cambria Math" w:hAnsi="Cambria Math"/>
                            <w:color w:val="auto"/>
                            <w:sz w:val="24"/>
                          </w:rPr>
                          <m:t>C</m:t>
                        </m:r>
                        <m:ctrlPr>
                          <w:rPr>
                            <w:rFonts w:ascii="Cambria Math" w:hAnsi="Cambria Math"/>
                            <w:bCs/>
                            <w:i/>
                            <w:color w:val="auto"/>
                            <w:sz w:val="24"/>
                          </w:rPr>
                        </m:ctrlPr>
                      </m:e>
                      <m:sub>
                        <m:r>
                          <m:rPr/>
                          <w:rPr>
                            <w:rFonts w:ascii="Cambria Math" w:hAnsi="Cambria Math"/>
                            <w:color w:val="auto"/>
                            <w:sz w:val="24"/>
                          </w:rPr>
                          <m:t>i</m:t>
                        </m:r>
                        <m:ctrlPr>
                          <w:rPr>
                            <w:rFonts w:ascii="Cambria Math" w:hAnsi="Cambria Math"/>
                            <w:bCs/>
                            <w:i/>
                            <w:color w:val="auto"/>
                            <w:sz w:val="24"/>
                          </w:rPr>
                        </m:ctrlPr>
                      </m:sub>
                    </m:sSub>
                    <m:ctrlPr>
                      <w:rPr>
                        <w:rFonts w:ascii="Cambria Math" w:hAnsi="Cambria Math"/>
                        <w:bCs/>
                        <w:i/>
                        <w:color w:val="auto"/>
                        <w:sz w:val="24"/>
                      </w:rPr>
                    </m:ctrlPr>
                  </m:e>
                </m:nary>
                <m:r>
                  <m:rPr/>
                  <w:rPr>
                    <w:rFonts w:ascii="Cambria Math" w:hAnsi="Cambria Math"/>
                    <w:color w:val="auto"/>
                    <w:sz w:val="24"/>
                  </w:rPr>
                  <m:t>×</m:t>
                </m:r>
                <m:sSub>
                  <m:sSubPr>
                    <m:ctrlPr>
                      <w:rPr>
                        <w:rFonts w:ascii="Cambria Math" w:hAnsi="Cambria Math"/>
                        <w:bCs/>
                        <w:i/>
                        <w:color w:val="auto"/>
                        <w:sz w:val="24"/>
                      </w:rPr>
                    </m:ctrlPr>
                  </m:sSubPr>
                  <m:e>
                    <m:r>
                      <m:rPr/>
                      <w:rPr>
                        <w:rFonts w:ascii="Cambria Math" w:hAnsi="Cambria Math"/>
                        <w:color w:val="auto"/>
                        <w:sz w:val="24"/>
                      </w:rPr>
                      <m:t>q</m:t>
                    </m:r>
                    <m:ctrlPr>
                      <w:rPr>
                        <w:rFonts w:ascii="Cambria Math" w:hAnsi="Cambria Math"/>
                        <w:bCs/>
                        <w:i/>
                        <w:color w:val="auto"/>
                        <w:sz w:val="24"/>
                      </w:rPr>
                    </m:ctrlPr>
                  </m:e>
                  <m:sub>
                    <m:r>
                      <m:rPr/>
                      <w:rPr>
                        <w:rFonts w:ascii="Cambria Math" w:hAnsi="Cambria Math"/>
                        <w:color w:val="auto"/>
                        <w:sz w:val="24"/>
                      </w:rPr>
                      <m:t>i</m:t>
                    </m:r>
                    <m:ctrlPr>
                      <w:rPr>
                        <w:rFonts w:ascii="Cambria Math" w:hAnsi="Cambria Math"/>
                        <w:bCs/>
                        <w:i/>
                        <w:color w:val="auto"/>
                        <w:sz w:val="24"/>
                      </w:rPr>
                    </m:ctrlPr>
                  </m:sub>
                </m:sSub>
                <m:r>
                  <m:rPr/>
                  <w:rPr>
                    <w:rFonts w:ascii="Cambria Math" w:hAnsi="Cambria Math"/>
                    <w:color w:val="auto"/>
                    <w:sz w:val="24"/>
                  </w:rPr>
                  <m:t>×</m:t>
                </m:r>
                <m:sSup>
                  <m:sSupPr>
                    <m:ctrlPr>
                      <w:rPr>
                        <w:rFonts w:ascii="Cambria Math" w:hAnsi="Cambria Math"/>
                        <w:bCs/>
                        <w:i/>
                        <w:color w:val="auto"/>
                        <w:sz w:val="24"/>
                      </w:rPr>
                    </m:ctrlPr>
                  </m:sSupPr>
                  <m:e>
                    <m:r>
                      <m:rPr/>
                      <w:rPr>
                        <w:rFonts w:ascii="Cambria Math" w:hAnsi="Cambria Math"/>
                        <w:color w:val="auto"/>
                        <w:sz w:val="24"/>
                      </w:rPr>
                      <m:t>10</m:t>
                    </m:r>
                    <m:ctrlPr>
                      <w:rPr>
                        <w:rFonts w:ascii="Cambria Math" w:hAnsi="Cambria Math"/>
                        <w:bCs/>
                        <w:i/>
                        <w:color w:val="auto"/>
                        <w:sz w:val="24"/>
                      </w:rPr>
                    </m:ctrlPr>
                  </m:e>
                  <m:sup>
                    <m:r>
                      <m:rPr/>
                      <w:rPr>
                        <w:rFonts w:ascii="Cambria Math" w:hAnsi="Cambria Math"/>
                        <w:color w:val="auto"/>
                        <w:sz w:val="24"/>
                      </w:rPr>
                      <m:t>−9</m:t>
                    </m:r>
                    <m:ctrlPr>
                      <w:rPr>
                        <w:rFonts w:ascii="Cambria Math" w:hAnsi="Cambria Math"/>
                        <w:bCs/>
                        <w:i/>
                        <w:color w:val="auto"/>
                        <w:sz w:val="24"/>
                      </w:rPr>
                    </m:ctrlPr>
                  </m:sup>
                </m:sSup>
              </m:oMath>
            </m:oMathPara>
          </w:p>
          <w:p>
            <w:pPr>
              <w:adjustRightInd w:val="0"/>
              <w:snapToGrid w:val="0"/>
              <w:spacing w:line="360" w:lineRule="auto"/>
              <w:jc w:val="center"/>
              <w:rPr>
                <w:bCs/>
                <w:color w:val="auto"/>
                <w:sz w:val="24"/>
              </w:rPr>
            </w:pPr>
            <m:oMathPara>
              <m:oMath>
                <m:r>
                  <m:rPr>
                    <m:sty m:val="p"/>
                  </m:rPr>
                  <w:rPr>
                    <w:rFonts w:ascii="Cambria Math" w:hAnsi="Cambria Math"/>
                    <w:color w:val="auto"/>
                    <w:sz w:val="24"/>
                  </w:rPr>
                  <m:t>E</m:t>
                </m:r>
                <m:r>
                  <m:rPr>
                    <m:sty m:val="p"/>
                  </m:rPr>
                  <w:rPr>
                    <w:rFonts w:hint="eastAsia" w:ascii="Cambria Math" w:hAnsi="Cambria Math"/>
                    <w:color w:val="auto"/>
                    <w:sz w:val="24"/>
                  </w:rPr>
                  <m:t>=</m:t>
                </m:r>
                <m:nary>
                  <m:naryPr>
                    <m:chr m:val="∑"/>
                    <m:limLoc m:val="undOvr"/>
                    <m:ctrlPr>
                      <w:rPr>
                        <w:rFonts w:ascii="Cambria Math" w:hAnsi="Cambria Math"/>
                        <w:bCs/>
                        <w:color w:val="auto"/>
                        <w:sz w:val="24"/>
                      </w:rPr>
                    </m:ctrlPr>
                  </m:naryPr>
                  <m:sub>
                    <m:r>
                      <m:rPr/>
                      <w:rPr>
                        <w:rFonts w:ascii="Cambria Math" w:hAnsi="Cambria Math"/>
                        <w:color w:val="auto"/>
                        <w:sz w:val="24"/>
                      </w:rPr>
                      <m:t>j</m:t>
                    </m:r>
                    <m:r>
                      <m:rPr/>
                      <w:rPr>
                        <w:rFonts w:hint="eastAsia" w:ascii="Cambria Math" w:hAnsi="Cambria Math"/>
                        <w:color w:val="auto"/>
                        <w:sz w:val="24"/>
                      </w:rPr>
                      <m:t>=</m:t>
                    </m:r>
                    <m:r>
                      <m:rPr/>
                      <w:rPr>
                        <w:rFonts w:ascii="Cambria Math" w:hAnsi="Cambria Math"/>
                        <w:color w:val="auto"/>
                        <w:sz w:val="24"/>
                      </w:rPr>
                      <m:t>1</m:t>
                    </m:r>
                    <m:ctrlPr>
                      <w:rPr>
                        <w:rFonts w:ascii="Cambria Math" w:hAnsi="Cambria Math"/>
                        <w:bCs/>
                        <w:color w:val="auto"/>
                        <w:sz w:val="24"/>
                      </w:rPr>
                    </m:ctrlPr>
                  </m:sub>
                  <m:sup>
                    <m:r>
                      <m:rPr/>
                      <w:rPr>
                        <w:rFonts w:ascii="Cambria Math" w:hAnsi="Cambria Math"/>
                        <w:color w:val="auto"/>
                        <w:sz w:val="24"/>
                      </w:rPr>
                      <m:t>m</m:t>
                    </m:r>
                    <m:ctrlPr>
                      <w:rPr>
                        <w:rFonts w:ascii="Cambria Math" w:hAnsi="Cambria Math"/>
                        <w:bCs/>
                        <w:color w:val="auto"/>
                        <w:sz w:val="24"/>
                      </w:rPr>
                    </m:ctrlPr>
                  </m:sup>
                  <m:e>
                    <m:d>
                      <m:dPr>
                        <m:ctrlPr>
                          <w:rPr>
                            <w:rFonts w:ascii="Cambria Math" w:hAnsi="Cambria Math"/>
                            <w:bCs/>
                            <w:i/>
                            <w:color w:val="auto"/>
                            <w:sz w:val="24"/>
                          </w:rPr>
                        </m:ctrlPr>
                      </m:dPr>
                      <m:e>
                        <m:sSub>
                          <m:sSubPr>
                            <m:ctrlPr>
                              <w:rPr>
                                <w:rFonts w:ascii="Cambria Math" w:hAnsi="Cambria Math"/>
                                <w:bCs/>
                                <w:i/>
                                <w:color w:val="auto"/>
                                <w:sz w:val="24"/>
                              </w:rPr>
                            </m:ctrlPr>
                          </m:sSubPr>
                          <m:e>
                            <m:r>
                              <m:rPr/>
                              <w:rPr>
                                <w:rFonts w:ascii="Cambria Math" w:hAnsi="Cambria Math"/>
                                <w:color w:val="auto"/>
                                <w:sz w:val="24"/>
                              </w:rPr>
                              <m:t>M</m:t>
                            </m:r>
                            <m:ctrlPr>
                              <w:rPr>
                                <w:rFonts w:ascii="Cambria Math" w:hAnsi="Cambria Math"/>
                                <w:bCs/>
                                <w:i/>
                                <w:color w:val="auto"/>
                                <w:sz w:val="24"/>
                              </w:rPr>
                            </m:ctrlPr>
                          </m:e>
                          <m:sub>
                            <m:r>
                              <m:rPr/>
                              <w:rPr>
                                <w:rFonts w:ascii="Cambria Math" w:hAnsi="Cambria Math"/>
                                <w:color w:val="auto"/>
                                <w:sz w:val="24"/>
                              </w:rPr>
                              <m:t>i</m:t>
                            </m:r>
                            <m:ctrlPr>
                              <w:rPr>
                                <w:rFonts w:ascii="Cambria Math" w:hAnsi="Cambria Math"/>
                                <w:bCs/>
                                <w:i/>
                                <w:color w:val="auto"/>
                                <w:sz w:val="24"/>
                              </w:rPr>
                            </m:ctrlPr>
                          </m:sub>
                        </m:sSub>
                        <m:ctrlPr>
                          <w:rPr>
                            <w:rFonts w:ascii="Cambria Math" w:hAnsi="Cambria Math"/>
                            <w:bCs/>
                            <w:i/>
                            <w:color w:val="auto"/>
                            <w:sz w:val="24"/>
                          </w:rPr>
                        </m:ctrlPr>
                      </m:e>
                    </m:d>
                    <m:ctrlPr>
                      <w:rPr>
                        <w:rFonts w:ascii="Cambria Math" w:hAnsi="Cambria Math"/>
                        <w:bCs/>
                        <w:color w:val="auto"/>
                        <w:sz w:val="24"/>
                      </w:rPr>
                    </m:ctrlPr>
                  </m:e>
                </m:nary>
              </m:oMath>
            </m:oMathPara>
          </w:p>
          <w:p>
            <w:pPr>
              <w:adjustRightInd w:val="0"/>
              <w:snapToGrid w:val="0"/>
              <w:spacing w:line="360" w:lineRule="auto"/>
              <w:ind w:firstLine="480" w:firstLineChars="200"/>
              <w:rPr>
                <w:bCs/>
                <w:color w:val="auto"/>
                <w:sz w:val="24"/>
              </w:rPr>
            </w:pPr>
            <w:r>
              <w:rPr>
                <w:rFonts w:hint="eastAsia"/>
                <w:bCs/>
                <w:color w:val="auto"/>
                <w:sz w:val="24"/>
              </w:rPr>
              <w:t>式中：M</w:t>
            </w:r>
            <w:r>
              <w:rPr>
                <w:rFonts w:hint="eastAsia"/>
                <w:bCs/>
                <w:color w:val="auto"/>
                <w:sz w:val="24"/>
                <w:vertAlign w:val="subscript"/>
              </w:rPr>
              <w:t>j</w:t>
            </w:r>
            <w:r>
              <w:rPr>
                <w:rFonts w:hint="eastAsia"/>
                <w:bCs/>
                <w:color w:val="auto"/>
                <w:sz w:val="24"/>
              </w:rPr>
              <w:t>—核算时段内第j个排放口污染物的实际排放量，t；</w:t>
            </w:r>
          </w:p>
          <w:p>
            <w:pPr>
              <w:adjustRightInd w:val="0"/>
              <w:snapToGrid w:val="0"/>
              <w:spacing w:line="360" w:lineRule="auto"/>
              <w:ind w:firstLine="1200" w:firstLineChars="500"/>
              <w:rPr>
                <w:bCs/>
                <w:color w:val="auto"/>
                <w:sz w:val="24"/>
              </w:rPr>
            </w:pPr>
            <w:r>
              <w:rPr>
                <w:rFonts w:hint="eastAsia"/>
                <w:bCs/>
                <w:color w:val="auto"/>
                <w:sz w:val="24"/>
              </w:rPr>
              <w:t>C</w:t>
            </w:r>
            <w:r>
              <w:rPr>
                <w:rFonts w:hint="eastAsia"/>
                <w:bCs/>
                <w:color w:val="auto"/>
                <w:sz w:val="24"/>
                <w:vertAlign w:val="subscript"/>
              </w:rPr>
              <w:t>i</w:t>
            </w:r>
            <w:r>
              <w:rPr>
                <w:rFonts w:hint="eastAsia"/>
                <w:bCs/>
                <w:color w:val="auto"/>
                <w:sz w:val="24"/>
              </w:rPr>
              <w:t>—第j个排放口在第i个监测时段的污染物实测小时排放浓度（标态），mg/m</w:t>
            </w:r>
            <w:r>
              <w:rPr>
                <w:rFonts w:hint="eastAsia"/>
                <w:bCs/>
                <w:color w:val="auto"/>
                <w:sz w:val="24"/>
                <w:vertAlign w:val="superscript"/>
              </w:rPr>
              <w:t>3</w:t>
            </w:r>
            <w:r>
              <w:rPr>
                <w:rFonts w:hint="eastAsia"/>
                <w:bCs/>
                <w:color w:val="auto"/>
                <w:sz w:val="24"/>
              </w:rPr>
              <w:t>；</w:t>
            </w:r>
          </w:p>
          <w:p>
            <w:pPr>
              <w:adjustRightInd w:val="0"/>
              <w:snapToGrid w:val="0"/>
              <w:spacing w:line="360" w:lineRule="auto"/>
              <w:ind w:firstLine="480" w:firstLineChars="200"/>
              <w:rPr>
                <w:bCs/>
                <w:color w:val="auto"/>
                <w:sz w:val="24"/>
              </w:rPr>
            </w:pPr>
            <w:r>
              <w:rPr>
                <w:rFonts w:hint="eastAsia"/>
                <w:bCs/>
                <w:color w:val="auto"/>
                <w:sz w:val="24"/>
              </w:rPr>
              <w:t xml:space="preserve">      q</w:t>
            </w:r>
            <w:r>
              <w:rPr>
                <w:rFonts w:hint="eastAsia"/>
                <w:bCs/>
                <w:color w:val="auto"/>
                <w:sz w:val="28"/>
                <w:szCs w:val="28"/>
                <w:vertAlign w:val="subscript"/>
              </w:rPr>
              <w:t>i</w:t>
            </w:r>
            <w:r>
              <w:rPr>
                <w:rFonts w:hint="eastAsia"/>
                <w:bCs/>
                <w:color w:val="auto"/>
                <w:sz w:val="24"/>
              </w:rPr>
              <w:t>—第j个排放口在第i个监测时段的排气量（标态），m</w:t>
            </w:r>
            <w:r>
              <w:rPr>
                <w:rFonts w:hint="eastAsia"/>
                <w:bCs/>
                <w:color w:val="auto"/>
                <w:sz w:val="24"/>
                <w:vertAlign w:val="superscript"/>
              </w:rPr>
              <w:t>3</w:t>
            </w:r>
            <w:r>
              <w:rPr>
                <w:rFonts w:hint="eastAsia"/>
                <w:bCs/>
                <w:color w:val="auto"/>
                <w:sz w:val="24"/>
              </w:rPr>
              <w:t>/h；</w:t>
            </w:r>
          </w:p>
          <w:p>
            <w:pPr>
              <w:adjustRightInd w:val="0"/>
              <w:snapToGrid w:val="0"/>
              <w:spacing w:line="360" w:lineRule="auto"/>
              <w:ind w:firstLine="480" w:firstLineChars="200"/>
              <w:rPr>
                <w:bCs/>
                <w:color w:val="auto"/>
                <w:sz w:val="24"/>
              </w:rPr>
            </w:pPr>
            <w:r>
              <w:rPr>
                <w:rFonts w:hint="eastAsia"/>
                <w:bCs/>
                <w:color w:val="auto"/>
                <w:sz w:val="24"/>
              </w:rPr>
              <w:t xml:space="preserve">      T—第i个监测时段内排放口累计运行时间，h；</w:t>
            </w:r>
          </w:p>
          <w:p>
            <w:pPr>
              <w:pStyle w:val="47"/>
              <w:adjustRightInd w:val="0"/>
              <w:snapToGrid w:val="0"/>
              <w:ind w:firstLine="0"/>
              <w:rPr>
                <w:color w:val="auto"/>
                <w:szCs w:val="24"/>
              </w:rPr>
            </w:pPr>
            <w:r>
              <w:rPr>
                <w:rFonts w:hint="eastAsia"/>
                <w:b/>
                <w:color w:val="auto"/>
                <w:szCs w:val="24"/>
              </w:rPr>
              <w:t xml:space="preserve">          </w:t>
            </w:r>
            <w:r>
              <w:rPr>
                <w:rFonts w:hint="eastAsia"/>
                <w:color w:val="auto"/>
                <w:szCs w:val="24"/>
              </w:rPr>
              <w:t>E—核算时段内排放口污染物的实际排放量，t。</w:t>
            </w:r>
          </w:p>
          <w:p>
            <w:pPr>
              <w:adjustRightInd w:val="0"/>
              <w:snapToGrid w:val="0"/>
              <w:jc w:val="center"/>
              <w:rPr>
                <w:b/>
                <w:color w:val="auto"/>
                <w:szCs w:val="21"/>
              </w:rPr>
            </w:pPr>
            <w:r>
              <w:rPr>
                <w:rFonts w:hint="eastAsia"/>
                <w:b/>
                <w:color w:val="auto"/>
                <w:szCs w:val="21"/>
              </w:rPr>
              <w:t>表2-1</w:t>
            </w:r>
            <w:r>
              <w:rPr>
                <w:rFonts w:hint="eastAsia"/>
                <w:b/>
                <w:color w:val="auto"/>
                <w:szCs w:val="21"/>
                <w:lang w:val="en-US" w:eastAsia="zh-CN"/>
              </w:rPr>
              <w:t>6</w:t>
            </w:r>
            <w:r>
              <w:rPr>
                <w:rFonts w:hint="eastAsia"/>
                <w:b/>
                <w:color w:val="auto"/>
                <w:szCs w:val="21"/>
              </w:rPr>
              <w:t xml:space="preserve">  现有隧道窑烟气实际排放情况一览表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416"/>
              <w:gridCol w:w="2060"/>
              <w:gridCol w:w="2060"/>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pct"/>
                  <w:vAlign w:val="center"/>
                </w:tcPr>
                <w:p>
                  <w:pPr>
                    <w:adjustRightInd w:val="0"/>
                    <w:snapToGrid w:val="0"/>
                    <w:jc w:val="center"/>
                    <w:rPr>
                      <w:bCs/>
                      <w:color w:val="auto"/>
                      <w:sz w:val="20"/>
                      <w:szCs w:val="20"/>
                    </w:rPr>
                  </w:pPr>
                  <w:r>
                    <w:rPr>
                      <w:rFonts w:hint="eastAsia"/>
                      <w:bCs/>
                      <w:color w:val="auto"/>
                      <w:sz w:val="20"/>
                      <w:szCs w:val="20"/>
                    </w:rPr>
                    <w:t>污染物</w:t>
                  </w:r>
                </w:p>
              </w:tc>
              <w:tc>
                <w:tcPr>
                  <w:tcW w:w="845" w:type="pct"/>
                  <w:vAlign w:val="center"/>
                </w:tcPr>
                <w:p>
                  <w:pPr>
                    <w:adjustRightInd w:val="0"/>
                    <w:snapToGrid w:val="0"/>
                    <w:jc w:val="center"/>
                    <w:rPr>
                      <w:bCs/>
                      <w:color w:val="auto"/>
                      <w:sz w:val="20"/>
                      <w:szCs w:val="20"/>
                    </w:rPr>
                  </w:pPr>
                  <w:r>
                    <w:rPr>
                      <w:rFonts w:hint="eastAsia"/>
                      <w:bCs/>
                      <w:color w:val="auto"/>
                      <w:sz w:val="20"/>
                      <w:szCs w:val="20"/>
                    </w:rPr>
                    <w:t>标干排气量（m</w:t>
                  </w:r>
                  <w:r>
                    <w:rPr>
                      <w:rFonts w:hint="eastAsia"/>
                      <w:bCs/>
                      <w:color w:val="auto"/>
                      <w:sz w:val="20"/>
                      <w:szCs w:val="20"/>
                      <w:vertAlign w:val="superscript"/>
                    </w:rPr>
                    <w:t>3</w:t>
                  </w:r>
                  <w:r>
                    <w:rPr>
                      <w:rFonts w:hint="eastAsia"/>
                      <w:bCs/>
                      <w:color w:val="auto"/>
                      <w:sz w:val="20"/>
                      <w:szCs w:val="20"/>
                    </w:rPr>
                    <w:t>/h）</w:t>
                  </w:r>
                </w:p>
              </w:tc>
              <w:tc>
                <w:tcPr>
                  <w:tcW w:w="1229" w:type="pct"/>
                  <w:vAlign w:val="center"/>
                </w:tcPr>
                <w:p>
                  <w:pPr>
                    <w:adjustRightInd w:val="0"/>
                    <w:snapToGrid w:val="0"/>
                    <w:jc w:val="center"/>
                    <w:rPr>
                      <w:bCs/>
                      <w:color w:val="auto"/>
                      <w:sz w:val="20"/>
                      <w:szCs w:val="20"/>
                    </w:rPr>
                  </w:pPr>
                  <w:r>
                    <w:rPr>
                      <w:rFonts w:hint="eastAsia"/>
                      <w:bCs/>
                      <w:color w:val="auto"/>
                      <w:sz w:val="20"/>
                      <w:szCs w:val="20"/>
                    </w:rPr>
                    <w:t>平均实测浓度（mg/m</w:t>
                  </w:r>
                  <w:r>
                    <w:rPr>
                      <w:rFonts w:hint="eastAsia"/>
                      <w:bCs/>
                      <w:color w:val="auto"/>
                      <w:sz w:val="20"/>
                      <w:szCs w:val="20"/>
                      <w:vertAlign w:val="superscript"/>
                    </w:rPr>
                    <w:t>3</w:t>
                  </w:r>
                  <w:r>
                    <w:rPr>
                      <w:rFonts w:hint="eastAsia"/>
                      <w:bCs/>
                      <w:color w:val="auto"/>
                      <w:sz w:val="20"/>
                      <w:szCs w:val="20"/>
                    </w:rPr>
                    <w:t>）</w:t>
                  </w:r>
                </w:p>
              </w:tc>
              <w:tc>
                <w:tcPr>
                  <w:tcW w:w="1229" w:type="pct"/>
                  <w:vAlign w:val="center"/>
                </w:tcPr>
                <w:p>
                  <w:pPr>
                    <w:adjustRightInd w:val="0"/>
                    <w:snapToGrid w:val="0"/>
                    <w:jc w:val="center"/>
                    <w:rPr>
                      <w:bCs/>
                      <w:color w:val="auto"/>
                      <w:sz w:val="20"/>
                      <w:szCs w:val="20"/>
                    </w:rPr>
                  </w:pPr>
                  <w:r>
                    <w:rPr>
                      <w:rFonts w:hint="eastAsia"/>
                      <w:bCs/>
                      <w:color w:val="auto"/>
                      <w:sz w:val="20"/>
                      <w:szCs w:val="20"/>
                    </w:rPr>
                    <w:t>监测时段排放口运行时间（h）</w:t>
                  </w:r>
                </w:p>
              </w:tc>
              <w:tc>
                <w:tcPr>
                  <w:tcW w:w="1041" w:type="pct"/>
                  <w:vAlign w:val="center"/>
                </w:tcPr>
                <w:p>
                  <w:pPr>
                    <w:adjustRightInd w:val="0"/>
                    <w:snapToGrid w:val="0"/>
                    <w:jc w:val="center"/>
                    <w:rPr>
                      <w:bCs/>
                      <w:color w:val="auto"/>
                      <w:sz w:val="20"/>
                      <w:szCs w:val="20"/>
                    </w:rPr>
                  </w:pPr>
                  <w:r>
                    <w:rPr>
                      <w:rFonts w:hint="eastAsia"/>
                      <w:bCs/>
                      <w:color w:val="auto"/>
                      <w:sz w:val="20"/>
                      <w:szCs w:val="20"/>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pct"/>
                  <w:vAlign w:val="center"/>
                </w:tcPr>
                <w:p>
                  <w:pPr>
                    <w:adjustRightInd w:val="0"/>
                    <w:snapToGrid w:val="0"/>
                    <w:jc w:val="center"/>
                    <w:rPr>
                      <w:rFonts w:hint="eastAsia" w:eastAsia="宋体"/>
                      <w:bCs/>
                      <w:color w:val="auto"/>
                      <w:sz w:val="20"/>
                      <w:szCs w:val="20"/>
                      <w:lang w:eastAsia="zh-CN"/>
                    </w:rPr>
                  </w:pPr>
                  <w:r>
                    <w:rPr>
                      <w:rFonts w:hint="eastAsia"/>
                      <w:bCs/>
                      <w:color w:val="auto"/>
                      <w:sz w:val="20"/>
                      <w:szCs w:val="20"/>
                      <w:lang w:eastAsia="zh-CN"/>
                    </w:rPr>
                    <w:t>氟及其化合物（以F计）</w:t>
                  </w:r>
                </w:p>
              </w:tc>
              <w:tc>
                <w:tcPr>
                  <w:tcW w:w="845" w:type="pct"/>
                  <w:vAlign w:val="center"/>
                </w:tcPr>
                <w:p>
                  <w:pPr>
                    <w:adjustRightInd w:val="0"/>
                    <w:snapToGrid w:val="0"/>
                    <w:jc w:val="center"/>
                    <w:rPr>
                      <w:color w:val="auto"/>
                      <w:sz w:val="20"/>
                      <w:szCs w:val="20"/>
                    </w:rPr>
                  </w:pPr>
                  <w:r>
                    <w:rPr>
                      <w:rFonts w:hint="eastAsia"/>
                      <w:color w:val="auto"/>
                      <w:sz w:val="20"/>
                      <w:szCs w:val="20"/>
                    </w:rPr>
                    <w:t>18367</w:t>
                  </w:r>
                </w:p>
              </w:tc>
              <w:tc>
                <w:tcPr>
                  <w:tcW w:w="1229" w:type="pct"/>
                  <w:vAlign w:val="center"/>
                </w:tcPr>
                <w:p>
                  <w:pPr>
                    <w:adjustRightInd w:val="0"/>
                    <w:snapToGrid w:val="0"/>
                    <w:jc w:val="center"/>
                    <w:rPr>
                      <w:bCs/>
                      <w:color w:val="auto"/>
                      <w:sz w:val="20"/>
                      <w:szCs w:val="20"/>
                    </w:rPr>
                  </w:pPr>
                  <w:r>
                    <w:rPr>
                      <w:rFonts w:hint="eastAsia"/>
                      <w:bCs/>
                      <w:color w:val="auto"/>
                      <w:sz w:val="20"/>
                      <w:szCs w:val="20"/>
                    </w:rPr>
                    <w:t>0.77</w:t>
                  </w:r>
                </w:p>
              </w:tc>
              <w:tc>
                <w:tcPr>
                  <w:tcW w:w="1229" w:type="pct"/>
                  <w:vAlign w:val="center"/>
                </w:tcPr>
                <w:p>
                  <w:pPr>
                    <w:adjustRightInd w:val="0"/>
                    <w:snapToGrid w:val="0"/>
                    <w:jc w:val="center"/>
                    <w:rPr>
                      <w:bCs/>
                      <w:color w:val="auto"/>
                      <w:sz w:val="20"/>
                      <w:szCs w:val="20"/>
                    </w:rPr>
                  </w:pPr>
                  <w:r>
                    <w:rPr>
                      <w:rFonts w:hint="eastAsia"/>
                      <w:bCs/>
                      <w:color w:val="auto"/>
                      <w:sz w:val="20"/>
                      <w:szCs w:val="20"/>
                    </w:rPr>
                    <w:t>7200</w:t>
                  </w:r>
                </w:p>
              </w:tc>
              <w:tc>
                <w:tcPr>
                  <w:tcW w:w="1041" w:type="pct"/>
                  <w:vAlign w:val="center"/>
                </w:tcPr>
                <w:p>
                  <w:pPr>
                    <w:adjustRightInd w:val="0"/>
                    <w:snapToGrid w:val="0"/>
                    <w:jc w:val="center"/>
                    <w:rPr>
                      <w:bCs/>
                      <w:color w:val="auto"/>
                      <w:sz w:val="20"/>
                      <w:szCs w:val="20"/>
                    </w:rPr>
                  </w:pPr>
                  <w:r>
                    <w:rPr>
                      <w:rFonts w:hint="eastAsia"/>
                      <w:bCs/>
                      <w:color w:val="auto"/>
                      <w:sz w:val="20"/>
                      <w:szCs w:val="20"/>
                    </w:rPr>
                    <w:t>0.1</w:t>
                  </w:r>
                </w:p>
              </w:tc>
            </w:tr>
          </w:tbl>
          <w:p>
            <w:pPr>
              <w:pStyle w:val="47"/>
              <w:adjustRightInd w:val="0"/>
              <w:snapToGrid w:val="0"/>
              <w:spacing w:line="240" w:lineRule="auto"/>
              <w:ind w:firstLine="0"/>
              <w:rPr>
                <w:b/>
                <w:color w:val="auto"/>
                <w:szCs w:val="24"/>
              </w:rPr>
            </w:pPr>
          </w:p>
          <w:p>
            <w:pPr>
              <w:pStyle w:val="47"/>
              <w:adjustRightInd w:val="0"/>
              <w:snapToGrid w:val="0"/>
              <w:ind w:firstLine="0"/>
              <w:rPr>
                <w:b/>
                <w:color w:val="auto"/>
                <w:szCs w:val="24"/>
              </w:rPr>
            </w:pPr>
            <w:r>
              <w:rPr>
                <w:rFonts w:hint="eastAsia"/>
                <w:b/>
                <w:color w:val="auto"/>
                <w:szCs w:val="24"/>
              </w:rPr>
              <w:t>2.15.2废水</w:t>
            </w:r>
          </w:p>
          <w:p>
            <w:pPr>
              <w:pStyle w:val="8"/>
              <w:tabs>
                <w:tab w:val="left" w:pos="5220"/>
              </w:tabs>
              <w:spacing w:before="0" w:after="0" w:line="360" w:lineRule="auto"/>
              <w:ind w:right="0" w:firstLine="482"/>
              <w:outlineLvl w:val="2"/>
              <w:rPr>
                <w:color w:val="auto"/>
                <w:sz w:val="24"/>
                <w:szCs w:val="24"/>
              </w:rPr>
            </w:pPr>
            <w:r>
              <w:rPr>
                <w:rFonts w:hint="eastAsia"/>
                <w:color w:val="auto"/>
                <w:sz w:val="24"/>
                <w:szCs w:val="24"/>
              </w:rPr>
              <w:t>（1）初期雨水</w:t>
            </w:r>
          </w:p>
          <w:p>
            <w:pPr>
              <w:pStyle w:val="8"/>
              <w:tabs>
                <w:tab w:val="left" w:pos="5220"/>
              </w:tabs>
              <w:spacing w:before="0" w:after="0" w:line="360" w:lineRule="auto"/>
              <w:ind w:right="0" w:firstLine="482"/>
              <w:outlineLvl w:val="2"/>
              <w:rPr>
                <w:color w:val="auto"/>
                <w:sz w:val="24"/>
                <w:szCs w:val="24"/>
              </w:rPr>
            </w:pPr>
            <w:r>
              <w:rPr>
                <w:rFonts w:hint="eastAsia"/>
                <w:color w:val="auto"/>
                <w:sz w:val="24"/>
                <w:szCs w:val="24"/>
              </w:rPr>
              <w:t>根据《建筑与小区雨水控制及利用工程技术规范》（GB50400-2016）5.3.4规定：初期径流气流量应按照下垫面实测收集雨水的CODcr、SS、色度等污染物浓度确定。当无资料时，地面弃流可采用3mm~5mm。初期径流弃流量按照下式计算：</w:t>
            </w:r>
          </w:p>
          <w:p>
            <w:pPr>
              <w:pStyle w:val="8"/>
              <w:tabs>
                <w:tab w:val="left" w:pos="5220"/>
              </w:tabs>
              <w:spacing w:before="0" w:after="0" w:line="360" w:lineRule="auto"/>
              <w:ind w:right="0"/>
              <w:outlineLvl w:val="2"/>
              <w:rPr>
                <w:color w:val="auto"/>
                <w:sz w:val="24"/>
                <w:szCs w:val="24"/>
              </w:rPr>
            </w:pPr>
            <m:oMathPara>
              <m:oMath>
                <m:sSub>
                  <m:sSubPr>
                    <m:ctrlPr>
                      <w:rPr>
                        <w:rFonts w:ascii="Cambria Math" w:hAnsi="Cambria Math"/>
                        <w:color w:val="auto"/>
                        <w:sz w:val="24"/>
                        <w:szCs w:val="24"/>
                      </w:rPr>
                    </m:ctrlPr>
                  </m:sSubPr>
                  <m:e>
                    <m:r>
                      <m:rPr/>
                      <w:rPr>
                        <w:rFonts w:ascii="Cambria Math" w:hAnsi="Cambria Math"/>
                        <w:color w:val="auto"/>
                        <w:sz w:val="24"/>
                        <w:szCs w:val="24"/>
                      </w:rPr>
                      <m:t>W</m:t>
                    </m:r>
                    <m:ctrlPr>
                      <w:rPr>
                        <w:rFonts w:ascii="Cambria Math" w:hAnsi="Cambria Math"/>
                        <w:color w:val="auto"/>
                        <w:sz w:val="24"/>
                        <w:szCs w:val="24"/>
                      </w:rPr>
                    </m:ctrlPr>
                  </m:e>
                  <m:sub>
                    <m:r>
                      <m:rPr/>
                      <w:rPr>
                        <w:rFonts w:ascii="Cambria Math" w:hAnsi="Cambria Math"/>
                        <w:color w:val="auto"/>
                        <w:sz w:val="24"/>
                        <w:szCs w:val="24"/>
                      </w:rPr>
                      <m:t>i</m:t>
                    </m:r>
                    <m:ctrlPr>
                      <w:rPr>
                        <w:rFonts w:ascii="Cambria Math" w:hAnsi="Cambria Math"/>
                        <w:color w:val="auto"/>
                        <w:sz w:val="24"/>
                        <w:szCs w:val="24"/>
                      </w:rPr>
                    </m:ctrlPr>
                  </m:sub>
                </m:sSub>
                <m:r>
                  <m:rPr/>
                  <w:rPr>
                    <w:rFonts w:hint="eastAsia" w:ascii="Cambria Math" w:hAnsi="Cambria Math"/>
                    <w:color w:val="auto"/>
                    <w:sz w:val="24"/>
                    <w:szCs w:val="24"/>
                  </w:rPr>
                  <m:t>=</m:t>
                </m:r>
                <m:r>
                  <m:rPr/>
                  <w:rPr>
                    <w:rFonts w:ascii="Cambria Math" w:hAnsi="Cambria Math"/>
                    <w:color w:val="auto"/>
                    <w:sz w:val="24"/>
                    <w:szCs w:val="24"/>
                  </w:rPr>
                  <m:t>10×</m:t>
                </m:r>
                <m:r>
                  <m:rPr/>
                  <w:rPr>
                    <w:rFonts w:hint="eastAsia" w:ascii="Cambria Math" w:hAnsi="Cambria Math"/>
                    <w:color w:val="auto"/>
                    <w:sz w:val="24"/>
                    <w:szCs w:val="24"/>
                  </w:rPr>
                  <m:t>δ</m:t>
                </m:r>
                <m:r>
                  <m:rPr/>
                  <w:rPr>
                    <w:rFonts w:ascii="Cambria Math" w:hAnsi="Cambria Math"/>
                    <w:color w:val="auto"/>
                    <w:sz w:val="24"/>
                    <w:szCs w:val="24"/>
                  </w:rPr>
                  <m:t>×F</m:t>
                </m:r>
              </m:oMath>
            </m:oMathPara>
          </w:p>
          <w:p>
            <w:pPr>
              <w:pStyle w:val="8"/>
              <w:tabs>
                <w:tab w:val="left" w:pos="5220"/>
              </w:tabs>
              <w:spacing w:before="0" w:after="0" w:line="360" w:lineRule="auto"/>
              <w:ind w:right="0" w:firstLine="482"/>
              <w:outlineLvl w:val="2"/>
              <w:rPr>
                <w:color w:val="auto"/>
                <w:sz w:val="24"/>
                <w:szCs w:val="24"/>
              </w:rPr>
            </w:pPr>
            <w:r>
              <w:rPr>
                <w:rFonts w:hint="eastAsia"/>
                <w:color w:val="auto"/>
                <w:sz w:val="24"/>
                <w:szCs w:val="24"/>
              </w:rPr>
              <w:t>式中：W</w:t>
            </w:r>
            <w:r>
              <w:rPr>
                <w:rFonts w:hint="eastAsia"/>
                <w:color w:val="auto"/>
                <w:sz w:val="24"/>
                <w:szCs w:val="24"/>
                <w:vertAlign w:val="subscript"/>
              </w:rPr>
              <w:t>i</w:t>
            </w:r>
            <w:r>
              <w:rPr>
                <w:rFonts w:hint="eastAsia"/>
                <w:color w:val="auto"/>
                <w:sz w:val="24"/>
                <w:szCs w:val="24"/>
              </w:rPr>
              <w:t>—初期径流弃流量，m</w:t>
            </w:r>
            <w:r>
              <w:rPr>
                <w:rFonts w:hint="eastAsia"/>
                <w:color w:val="auto"/>
                <w:sz w:val="24"/>
                <w:szCs w:val="24"/>
                <w:vertAlign w:val="superscript"/>
              </w:rPr>
              <w:t>3</w:t>
            </w:r>
            <w:r>
              <w:rPr>
                <w:rFonts w:hint="eastAsia"/>
                <w:color w:val="auto"/>
                <w:sz w:val="24"/>
                <w:szCs w:val="24"/>
              </w:rPr>
              <w:t>；</w:t>
            </w:r>
          </w:p>
          <w:p>
            <w:pPr>
              <w:pStyle w:val="8"/>
              <w:tabs>
                <w:tab w:val="left" w:pos="5220"/>
              </w:tabs>
              <w:spacing w:before="0" w:after="0" w:line="360" w:lineRule="auto"/>
              <w:ind w:right="0" w:firstLine="482"/>
              <w:outlineLvl w:val="2"/>
              <w:rPr>
                <w:color w:val="auto"/>
                <w:sz w:val="24"/>
                <w:szCs w:val="24"/>
              </w:rPr>
            </w:pPr>
            <w:r>
              <w:rPr>
                <w:rFonts w:hint="eastAsia"/>
                <w:color w:val="auto"/>
                <w:sz w:val="24"/>
                <w:szCs w:val="24"/>
              </w:rPr>
              <w:t xml:space="preserve">      δ—初期径流弃流厚度，mm；</w:t>
            </w:r>
          </w:p>
          <w:p>
            <w:pPr>
              <w:pStyle w:val="8"/>
              <w:tabs>
                <w:tab w:val="left" w:pos="5220"/>
              </w:tabs>
              <w:spacing w:before="0" w:after="0" w:line="360" w:lineRule="auto"/>
              <w:ind w:right="0" w:firstLine="482"/>
              <w:outlineLvl w:val="2"/>
              <w:rPr>
                <w:color w:val="auto"/>
                <w:sz w:val="24"/>
                <w:szCs w:val="24"/>
              </w:rPr>
            </w:pPr>
            <w:r>
              <w:rPr>
                <w:rFonts w:hint="eastAsia"/>
                <w:color w:val="auto"/>
                <w:sz w:val="24"/>
                <w:szCs w:val="24"/>
              </w:rPr>
              <w:t xml:space="preserve">       F—汇水面积，hm</w:t>
            </w:r>
            <w:r>
              <w:rPr>
                <w:rFonts w:hint="eastAsia"/>
                <w:color w:val="auto"/>
                <w:sz w:val="24"/>
                <w:szCs w:val="24"/>
                <w:vertAlign w:val="superscript"/>
              </w:rPr>
              <w:t>2</w:t>
            </w:r>
            <w:r>
              <w:rPr>
                <w:rFonts w:hint="eastAsia"/>
                <w:color w:val="auto"/>
                <w:sz w:val="24"/>
                <w:szCs w:val="24"/>
              </w:rPr>
              <w:t>。</w:t>
            </w:r>
          </w:p>
          <w:p>
            <w:pPr>
              <w:pStyle w:val="8"/>
              <w:tabs>
                <w:tab w:val="left" w:pos="5220"/>
              </w:tabs>
              <w:spacing w:before="0" w:after="0" w:line="360" w:lineRule="auto"/>
              <w:ind w:right="0" w:firstLine="482"/>
              <w:outlineLvl w:val="2"/>
              <w:rPr>
                <w:color w:val="auto"/>
                <w:sz w:val="24"/>
                <w:szCs w:val="24"/>
              </w:rPr>
            </w:pPr>
            <w:r>
              <w:rPr>
                <w:rFonts w:hint="eastAsia"/>
                <w:color w:val="auto"/>
                <w:sz w:val="24"/>
                <w:szCs w:val="24"/>
              </w:rPr>
              <w:t>现有项目生产车间、物料堆棚等均设有顶棚，雨水不会直接接触物料和生产过程中产生的无组织粉尘，故仅考虑生产区露天地表的初期径流收集。现有项目生产区露天地表面积为10243.45m</w:t>
            </w:r>
            <w:r>
              <w:rPr>
                <w:rFonts w:hint="eastAsia"/>
                <w:color w:val="auto"/>
                <w:sz w:val="24"/>
                <w:szCs w:val="24"/>
                <w:vertAlign w:val="superscript"/>
              </w:rPr>
              <w:t>2</w:t>
            </w:r>
            <w:r>
              <w:rPr>
                <w:rFonts w:hint="eastAsia"/>
                <w:color w:val="auto"/>
                <w:sz w:val="24"/>
                <w:szCs w:val="24"/>
              </w:rPr>
              <w:t>（1.02hn</w:t>
            </w:r>
            <w:r>
              <w:rPr>
                <w:rFonts w:hint="eastAsia"/>
                <w:color w:val="auto"/>
                <w:sz w:val="24"/>
                <w:szCs w:val="24"/>
                <w:vertAlign w:val="superscript"/>
              </w:rPr>
              <w:t>2</w:t>
            </w:r>
            <w:r>
              <w:rPr>
                <w:rFonts w:hint="eastAsia"/>
                <w:color w:val="auto"/>
                <w:sz w:val="24"/>
                <w:szCs w:val="24"/>
              </w:rPr>
              <w:t>）。按照公式计算，项目初期径流弃流量为30.6m</w:t>
            </w:r>
            <w:r>
              <w:rPr>
                <w:rFonts w:hint="eastAsia"/>
                <w:color w:val="auto"/>
                <w:sz w:val="24"/>
                <w:szCs w:val="24"/>
                <w:vertAlign w:val="superscript"/>
              </w:rPr>
              <w:t>3</w:t>
            </w:r>
            <w:r>
              <w:rPr>
                <w:rFonts w:hint="eastAsia"/>
                <w:color w:val="auto"/>
                <w:sz w:val="24"/>
                <w:szCs w:val="24"/>
              </w:rPr>
              <w:t>。项目所在地雨季天数为150天，则初期径流弃流量为4590m</w:t>
            </w:r>
            <w:r>
              <w:rPr>
                <w:rFonts w:hint="eastAsia"/>
                <w:color w:val="auto"/>
                <w:sz w:val="24"/>
                <w:szCs w:val="24"/>
                <w:vertAlign w:val="superscript"/>
              </w:rPr>
              <w:t>3</w:t>
            </w:r>
            <w:r>
              <w:rPr>
                <w:rFonts w:hint="eastAsia"/>
                <w:color w:val="auto"/>
                <w:sz w:val="24"/>
                <w:szCs w:val="24"/>
              </w:rPr>
              <w:t>/a。主要污染物为SS。现有项目初期雨水经雨水沟收集后排入厂区西南侧雨水管网。</w:t>
            </w:r>
          </w:p>
          <w:p>
            <w:pPr>
              <w:pStyle w:val="8"/>
              <w:tabs>
                <w:tab w:val="left" w:pos="5220"/>
              </w:tabs>
              <w:spacing w:before="0" w:after="0" w:line="360" w:lineRule="auto"/>
              <w:ind w:right="0" w:firstLine="482"/>
              <w:outlineLvl w:val="2"/>
              <w:rPr>
                <w:color w:val="auto"/>
                <w:sz w:val="24"/>
                <w:szCs w:val="24"/>
              </w:rPr>
            </w:pPr>
            <w:r>
              <w:rPr>
                <w:rFonts w:hint="eastAsia"/>
                <w:color w:val="auto"/>
                <w:sz w:val="24"/>
                <w:szCs w:val="24"/>
              </w:rPr>
              <w:t>（2）烟气处理废水</w:t>
            </w:r>
          </w:p>
          <w:p>
            <w:pPr>
              <w:widowControl/>
              <w:spacing w:line="360" w:lineRule="auto"/>
              <w:ind w:firstLine="480" w:firstLineChars="200"/>
              <w:rPr>
                <w:color w:val="auto"/>
                <w:kern w:val="0"/>
                <w:sz w:val="24"/>
                <w:lang w:bidi="ar"/>
              </w:rPr>
            </w:pPr>
            <w:r>
              <w:rPr>
                <w:rFonts w:hint="eastAsia"/>
                <w:color w:val="auto"/>
                <w:kern w:val="0"/>
                <w:sz w:val="24"/>
                <w:lang w:bidi="ar"/>
              </w:rPr>
              <w:t>根据在线监测数据统计，现有隧道窑烟气流量平均为42.51×10</w:t>
            </w:r>
            <w:r>
              <w:rPr>
                <w:rFonts w:hint="eastAsia"/>
                <w:color w:val="auto"/>
                <w:kern w:val="0"/>
                <w:sz w:val="24"/>
                <w:vertAlign w:val="superscript"/>
                <w:lang w:bidi="ar"/>
              </w:rPr>
              <w:t>4</w:t>
            </w:r>
            <w:r>
              <w:rPr>
                <w:color w:val="auto"/>
                <w:kern w:val="0"/>
                <w:sz w:val="24"/>
                <w:lang w:bidi="ar"/>
              </w:rPr>
              <w:t>m</w:t>
            </w:r>
            <w:r>
              <w:rPr>
                <w:color w:val="auto"/>
                <w:kern w:val="0"/>
                <w:sz w:val="24"/>
                <w:vertAlign w:val="superscript"/>
                <w:lang w:bidi="ar"/>
              </w:rPr>
              <w:t>3</w:t>
            </w:r>
            <w:r>
              <w:rPr>
                <w:color w:val="auto"/>
                <w:kern w:val="0"/>
                <w:sz w:val="24"/>
                <w:lang w:bidi="ar"/>
              </w:rPr>
              <w:t>/d</w:t>
            </w:r>
            <w:r>
              <w:rPr>
                <w:rFonts w:hint="eastAsia"/>
                <w:color w:val="auto"/>
                <w:kern w:val="0"/>
                <w:sz w:val="24"/>
                <w:lang w:bidi="ar"/>
              </w:rPr>
              <w:t>，项目采用双碱法处理烟气，</w:t>
            </w:r>
            <w:r>
              <w:rPr>
                <w:color w:val="auto"/>
                <w:kern w:val="0"/>
                <w:sz w:val="24"/>
                <w:lang w:bidi="ar"/>
              </w:rPr>
              <w:t>气液比</w:t>
            </w:r>
            <w:r>
              <w:rPr>
                <w:rFonts w:hint="eastAsia"/>
                <w:color w:val="auto"/>
                <w:kern w:val="0"/>
                <w:sz w:val="24"/>
                <w:lang w:bidi="ar"/>
              </w:rPr>
              <w:t>为2.5</w:t>
            </w:r>
            <w:r>
              <w:rPr>
                <w:color w:val="auto"/>
                <w:kern w:val="0"/>
                <w:sz w:val="24"/>
                <w:lang w:bidi="ar"/>
              </w:rPr>
              <w:t>L/m</w:t>
            </w:r>
            <w:r>
              <w:rPr>
                <w:color w:val="auto"/>
                <w:kern w:val="0"/>
                <w:sz w:val="24"/>
                <w:vertAlign w:val="superscript"/>
                <w:lang w:bidi="ar"/>
              </w:rPr>
              <w:t>3</w:t>
            </w:r>
            <w:r>
              <w:rPr>
                <w:rFonts w:hint="eastAsia"/>
                <w:color w:val="auto"/>
                <w:kern w:val="0"/>
                <w:sz w:val="24"/>
                <w:lang w:bidi="ar"/>
              </w:rPr>
              <w:t>，</w:t>
            </w:r>
            <w:r>
              <w:rPr>
                <w:color w:val="auto"/>
                <w:kern w:val="0"/>
                <w:sz w:val="24"/>
                <w:lang w:bidi="ar"/>
              </w:rPr>
              <w:t>则</w:t>
            </w:r>
            <w:r>
              <w:rPr>
                <w:rFonts w:hint="eastAsia"/>
                <w:color w:val="auto"/>
                <w:kern w:val="0"/>
                <w:sz w:val="24"/>
                <w:lang w:bidi="ar"/>
              </w:rPr>
              <w:t>烟气处理</w:t>
            </w:r>
            <w:r>
              <w:rPr>
                <w:color w:val="auto"/>
                <w:kern w:val="0"/>
                <w:sz w:val="24"/>
                <w:lang w:bidi="ar"/>
              </w:rPr>
              <w:t>用水量为</w:t>
            </w:r>
            <w:r>
              <w:rPr>
                <w:rFonts w:hint="eastAsia"/>
                <w:color w:val="auto"/>
                <w:kern w:val="0"/>
                <w:sz w:val="24"/>
                <w:lang w:bidi="ar"/>
              </w:rPr>
              <w:t>1002.75</w:t>
            </w:r>
            <w:r>
              <w:rPr>
                <w:color w:val="auto"/>
                <w:kern w:val="0"/>
                <w:sz w:val="24"/>
                <w:lang w:bidi="ar"/>
              </w:rPr>
              <w:t>m</w:t>
            </w:r>
            <w:r>
              <w:rPr>
                <w:color w:val="auto"/>
                <w:kern w:val="0"/>
                <w:sz w:val="24"/>
                <w:vertAlign w:val="superscript"/>
                <w:lang w:bidi="ar"/>
              </w:rPr>
              <w:t>3</w:t>
            </w:r>
            <w:r>
              <w:rPr>
                <w:color w:val="auto"/>
                <w:kern w:val="0"/>
                <w:sz w:val="24"/>
                <w:lang w:bidi="ar"/>
              </w:rPr>
              <w:t>/d</w:t>
            </w:r>
            <w:r>
              <w:rPr>
                <w:rFonts w:hint="eastAsia"/>
                <w:color w:val="auto"/>
                <w:kern w:val="0"/>
                <w:sz w:val="24"/>
                <w:lang w:bidi="ar"/>
              </w:rPr>
              <w:t>。烟气处理过程中水的</w:t>
            </w:r>
            <w:r>
              <w:rPr>
                <w:color w:val="auto"/>
                <w:kern w:val="0"/>
                <w:sz w:val="24"/>
                <w:lang w:bidi="ar"/>
              </w:rPr>
              <w:t>损耗量约为</w:t>
            </w:r>
            <w:r>
              <w:rPr>
                <w:rFonts w:hint="eastAsia"/>
                <w:color w:val="auto"/>
                <w:kern w:val="0"/>
                <w:sz w:val="24"/>
                <w:lang w:bidi="ar"/>
              </w:rPr>
              <w:t>1</w:t>
            </w:r>
            <w:r>
              <w:rPr>
                <w:color w:val="auto"/>
                <w:kern w:val="0"/>
                <w:sz w:val="24"/>
                <w:lang w:bidi="ar"/>
              </w:rPr>
              <w:t>%，</w:t>
            </w:r>
            <w:r>
              <w:rPr>
                <w:rFonts w:hint="eastAsia"/>
                <w:color w:val="auto"/>
                <w:kern w:val="0"/>
                <w:sz w:val="24"/>
                <w:lang w:bidi="ar"/>
              </w:rPr>
              <w:t>则烟气处理废水产生</w:t>
            </w:r>
            <w:r>
              <w:rPr>
                <w:color w:val="auto"/>
                <w:kern w:val="0"/>
                <w:sz w:val="24"/>
                <w:lang w:bidi="ar"/>
              </w:rPr>
              <w:t>量为</w:t>
            </w:r>
            <w:r>
              <w:rPr>
                <w:rFonts w:hint="eastAsia"/>
                <w:color w:val="auto"/>
                <w:kern w:val="0"/>
                <w:sz w:val="24"/>
                <w:lang w:bidi="ar"/>
              </w:rPr>
              <w:t>992.72t/d</w:t>
            </w:r>
            <w:r>
              <w:rPr>
                <w:color w:val="auto"/>
                <w:kern w:val="0"/>
                <w:sz w:val="24"/>
                <w:lang w:bidi="ar"/>
              </w:rPr>
              <w:t>m</w:t>
            </w:r>
            <w:r>
              <w:rPr>
                <w:color w:val="auto"/>
                <w:kern w:val="0"/>
                <w:sz w:val="24"/>
                <w:vertAlign w:val="superscript"/>
                <w:lang w:bidi="ar"/>
              </w:rPr>
              <w:t>3</w:t>
            </w:r>
            <w:r>
              <w:rPr>
                <w:color w:val="auto"/>
                <w:kern w:val="0"/>
                <w:sz w:val="24"/>
                <w:lang w:bidi="ar"/>
              </w:rPr>
              <w:t>/d，</w:t>
            </w:r>
            <w:r>
              <w:rPr>
                <w:rFonts w:hint="eastAsia"/>
                <w:color w:val="auto"/>
                <w:kern w:val="0"/>
                <w:sz w:val="24"/>
                <w:lang w:bidi="ar"/>
              </w:rPr>
              <w:t>297816</w:t>
            </w:r>
            <w:r>
              <w:rPr>
                <w:color w:val="auto"/>
                <w:kern w:val="0"/>
                <w:sz w:val="24"/>
                <w:lang w:bidi="ar"/>
              </w:rPr>
              <w:t>m</w:t>
            </w:r>
            <w:r>
              <w:rPr>
                <w:color w:val="auto"/>
                <w:kern w:val="0"/>
                <w:sz w:val="24"/>
                <w:vertAlign w:val="superscript"/>
                <w:lang w:bidi="ar"/>
              </w:rPr>
              <w:t>3</w:t>
            </w:r>
            <w:r>
              <w:rPr>
                <w:color w:val="auto"/>
                <w:kern w:val="0"/>
                <w:sz w:val="24"/>
                <w:lang w:bidi="ar"/>
              </w:rPr>
              <w:t>/a</w:t>
            </w:r>
            <w:r>
              <w:rPr>
                <w:rFonts w:hint="eastAsia"/>
                <w:color w:val="auto"/>
                <w:kern w:val="0"/>
                <w:sz w:val="24"/>
                <w:lang w:bidi="ar"/>
              </w:rPr>
              <w:t>。烟气处理废水在再生池中投入碳酸钙再生后循环使用，不外排。损耗的水量用新鲜水补充。</w:t>
            </w:r>
          </w:p>
          <w:p>
            <w:pPr>
              <w:widowControl/>
              <w:spacing w:line="360" w:lineRule="auto"/>
              <w:ind w:firstLine="480" w:firstLineChars="200"/>
              <w:jc w:val="left"/>
              <w:rPr>
                <w:bCs/>
                <w:color w:val="auto"/>
                <w:sz w:val="24"/>
              </w:rPr>
            </w:pPr>
            <w:r>
              <w:rPr>
                <w:rFonts w:hint="eastAsia"/>
                <w:bCs/>
                <w:color w:val="auto"/>
                <w:sz w:val="24"/>
              </w:rPr>
              <w:t>（3）</w:t>
            </w:r>
            <w:r>
              <w:rPr>
                <w:rFonts w:hint="eastAsia"/>
                <w:color w:val="auto"/>
                <w:sz w:val="24"/>
                <w:szCs w:val="32"/>
              </w:rPr>
              <w:t>煤气气化水和煤气冷却水</w:t>
            </w:r>
          </w:p>
          <w:p>
            <w:pPr>
              <w:pStyle w:val="47"/>
              <w:adjustRightInd w:val="0"/>
              <w:snapToGrid w:val="0"/>
              <w:ind w:firstLine="480" w:firstLineChars="200"/>
              <w:outlineLvl w:val="2"/>
              <w:rPr>
                <w:b/>
                <w:color w:val="auto"/>
                <w:szCs w:val="24"/>
              </w:rPr>
            </w:pPr>
            <w:r>
              <w:rPr>
                <w:rFonts w:hint="eastAsia"/>
                <w:color w:val="auto"/>
                <w:szCs w:val="24"/>
              </w:rPr>
              <w:t>根据煤气发生炉技术要求，煤气发生炉反应中需要水作为气化剂和冷却水。其中两段式煤气发生炉气化</w:t>
            </w:r>
            <w:r>
              <w:rPr>
                <w:rFonts w:hint="eastAsia"/>
                <w:color w:val="auto"/>
                <w:szCs w:val="32"/>
              </w:rPr>
              <w:t>煤气冷却用水</w:t>
            </w:r>
            <w:r>
              <w:rPr>
                <w:rFonts w:hint="eastAsia"/>
                <w:color w:val="auto"/>
                <w:szCs w:val="24"/>
              </w:rPr>
              <w:t>的量约为</w:t>
            </w:r>
            <w:r>
              <w:rPr>
                <w:color w:val="auto"/>
                <w:szCs w:val="24"/>
              </w:rPr>
              <w:t>100kg/t</w:t>
            </w:r>
            <w:r>
              <w:rPr>
                <w:rFonts w:hint="eastAsia"/>
                <w:color w:val="auto"/>
                <w:szCs w:val="24"/>
              </w:rPr>
              <w:t>煤，原项目煤用量为6315.8t/a，则冷却水用量为2.11t/d，631.58t/a。冷却水为含酚废水，经酚水蒸发器处理后回用做气化剂，不外排；每千克煤气化耗水量为</w:t>
            </w:r>
            <w:r>
              <w:rPr>
                <w:color w:val="auto"/>
                <w:szCs w:val="24"/>
              </w:rPr>
              <w:t>0.315</w:t>
            </w:r>
            <w:r>
              <w:rPr>
                <w:rFonts w:hint="eastAsia"/>
                <w:color w:val="auto"/>
                <w:szCs w:val="24"/>
              </w:rPr>
              <w:t>kg水。原有项目燃煤用量6315.8t/a，则气化所需软水为6.63t/d，1989.48t/a。除去冷却水提供部分，还需新鲜水量4.52/d，412.8t/a。</w:t>
            </w:r>
          </w:p>
          <w:p>
            <w:pPr>
              <w:widowControl/>
              <w:spacing w:line="360" w:lineRule="auto"/>
              <w:ind w:firstLine="480" w:firstLineChars="200"/>
              <w:jc w:val="left"/>
              <w:rPr>
                <w:bCs/>
                <w:color w:val="auto"/>
                <w:sz w:val="24"/>
              </w:rPr>
            </w:pPr>
            <w:r>
              <w:rPr>
                <w:rFonts w:hint="eastAsia"/>
                <w:bCs/>
                <w:color w:val="auto"/>
                <w:sz w:val="24"/>
              </w:rPr>
              <w:t>（4）生活污水</w:t>
            </w:r>
          </w:p>
          <w:p>
            <w:pPr>
              <w:widowControl/>
              <w:spacing w:line="360" w:lineRule="auto"/>
              <w:ind w:firstLine="480" w:firstLineChars="200"/>
              <w:jc w:val="left"/>
              <w:rPr>
                <w:color w:val="auto"/>
                <w:kern w:val="0"/>
                <w:sz w:val="24"/>
                <w:lang w:bidi="ar"/>
              </w:rPr>
            </w:pPr>
            <w:r>
              <w:rPr>
                <w:color w:val="auto"/>
                <w:kern w:val="0"/>
                <w:sz w:val="24"/>
                <w:lang w:bidi="ar"/>
              </w:rPr>
              <w:t>根据劳动定员，厂区共有员工80人，</w:t>
            </w:r>
            <w:r>
              <w:rPr>
                <w:rFonts w:hint="eastAsia"/>
                <w:color w:val="auto"/>
                <w:kern w:val="0"/>
                <w:sz w:val="24"/>
                <w:lang w:bidi="ar"/>
              </w:rPr>
              <w:t>员工用水量为110L/d，</w:t>
            </w:r>
            <w:r>
              <w:rPr>
                <w:color w:val="auto"/>
                <w:kern w:val="0"/>
                <w:sz w:val="24"/>
                <w:lang w:bidi="ar"/>
              </w:rPr>
              <w:t>则全厂日用水量为</w:t>
            </w:r>
            <w:r>
              <w:rPr>
                <w:rFonts w:hint="eastAsia"/>
                <w:color w:val="auto"/>
                <w:kern w:val="0"/>
                <w:sz w:val="24"/>
                <w:lang w:bidi="ar"/>
              </w:rPr>
              <w:t>8.8</w:t>
            </w:r>
            <w:r>
              <w:rPr>
                <w:color w:val="auto"/>
                <w:kern w:val="0"/>
                <w:sz w:val="24"/>
                <w:lang w:bidi="ar"/>
              </w:rPr>
              <w:t>m</w:t>
            </w:r>
            <w:r>
              <w:rPr>
                <w:color w:val="auto"/>
                <w:kern w:val="0"/>
                <w:sz w:val="24"/>
                <w:vertAlign w:val="superscript"/>
                <w:lang w:bidi="ar"/>
              </w:rPr>
              <w:t>3</w:t>
            </w:r>
            <w:r>
              <w:rPr>
                <w:color w:val="auto"/>
                <w:kern w:val="0"/>
                <w:sz w:val="24"/>
                <w:lang w:bidi="ar"/>
              </w:rPr>
              <w:t>/d，废水产生量为</w:t>
            </w:r>
            <w:r>
              <w:rPr>
                <w:rFonts w:hint="eastAsia"/>
                <w:color w:val="auto"/>
                <w:kern w:val="0"/>
                <w:sz w:val="24"/>
                <w:lang w:bidi="ar"/>
              </w:rPr>
              <w:t>7.04</w:t>
            </w:r>
            <w:r>
              <w:rPr>
                <w:color w:val="auto"/>
                <w:kern w:val="0"/>
                <w:sz w:val="24"/>
                <w:lang w:bidi="ar"/>
              </w:rPr>
              <w:t>m</w:t>
            </w:r>
            <w:r>
              <w:rPr>
                <w:color w:val="auto"/>
                <w:kern w:val="0"/>
                <w:sz w:val="24"/>
                <w:vertAlign w:val="superscript"/>
                <w:lang w:bidi="ar"/>
              </w:rPr>
              <w:t>3</w:t>
            </w:r>
            <w:r>
              <w:rPr>
                <w:color w:val="auto"/>
                <w:kern w:val="0"/>
                <w:sz w:val="24"/>
                <w:lang w:bidi="ar"/>
              </w:rPr>
              <w:t>/d。其中餐饮废水产生量为</w:t>
            </w:r>
            <w:r>
              <w:rPr>
                <w:rFonts w:hint="eastAsia"/>
                <w:color w:val="auto"/>
                <w:kern w:val="0"/>
                <w:sz w:val="24"/>
                <w:lang w:bidi="ar"/>
              </w:rPr>
              <w:t>2.11m</w:t>
            </w:r>
            <w:r>
              <w:rPr>
                <w:rFonts w:hint="eastAsia"/>
                <w:color w:val="auto"/>
                <w:kern w:val="0"/>
                <w:sz w:val="24"/>
                <w:vertAlign w:val="superscript"/>
                <w:lang w:bidi="ar"/>
              </w:rPr>
              <w:t>3</w:t>
            </w:r>
            <w:r>
              <w:rPr>
                <w:rFonts w:hint="eastAsia"/>
                <w:color w:val="auto"/>
                <w:kern w:val="0"/>
                <w:sz w:val="24"/>
                <w:lang w:bidi="ar"/>
              </w:rPr>
              <w:t>/d。餐饮废水经隔油池处理后，排入化粪池与其他生活污水一并处理后排入园区污水管网，最终排入宜良工业园区污水处理厂处理。</w:t>
            </w:r>
          </w:p>
          <w:p>
            <w:pPr>
              <w:widowControl/>
              <w:spacing w:line="360" w:lineRule="auto"/>
              <w:ind w:firstLine="480" w:firstLineChars="200"/>
              <w:jc w:val="left"/>
              <w:rPr>
                <w:bCs/>
                <w:color w:val="auto"/>
                <w:sz w:val="24"/>
              </w:rPr>
            </w:pPr>
            <w:r>
              <w:rPr>
                <w:rFonts w:hint="eastAsia"/>
                <w:bCs/>
                <w:color w:val="auto"/>
                <w:sz w:val="24"/>
              </w:rPr>
              <w:t>（5）实验室废水</w:t>
            </w:r>
          </w:p>
          <w:p>
            <w:pPr>
              <w:widowControl/>
              <w:spacing w:line="360" w:lineRule="auto"/>
              <w:ind w:firstLine="480" w:firstLineChars="200"/>
              <w:rPr>
                <w:b/>
                <w:color w:val="auto"/>
                <w:sz w:val="24"/>
              </w:rPr>
            </w:pPr>
            <w:r>
              <w:rPr>
                <w:rFonts w:hint="eastAsia"/>
                <w:bCs/>
                <w:color w:val="auto"/>
                <w:sz w:val="24"/>
              </w:rPr>
              <w:t>本项目实验室主要进行</w:t>
            </w:r>
            <w:r>
              <w:rPr>
                <w:color w:val="auto"/>
                <w:kern w:val="0"/>
                <w:sz w:val="24"/>
                <w:lang w:bidi="ar"/>
              </w:rPr>
              <w:t>耐火砖的硬度</w:t>
            </w:r>
            <w:r>
              <w:rPr>
                <w:rFonts w:hint="eastAsia"/>
                <w:color w:val="auto"/>
                <w:kern w:val="0"/>
                <w:sz w:val="24"/>
                <w:lang w:bidi="ar"/>
              </w:rPr>
              <w:t>、</w:t>
            </w:r>
            <w:r>
              <w:rPr>
                <w:color w:val="auto"/>
                <w:kern w:val="0"/>
                <w:sz w:val="24"/>
                <w:lang w:bidi="ar"/>
              </w:rPr>
              <w:t>耐热度试验</w:t>
            </w:r>
            <w:r>
              <w:rPr>
                <w:rFonts w:hint="eastAsia"/>
                <w:color w:val="auto"/>
                <w:kern w:val="0"/>
                <w:sz w:val="24"/>
                <w:lang w:bidi="ar"/>
              </w:rPr>
              <w:t>以及</w:t>
            </w:r>
            <w:r>
              <w:rPr>
                <w:color w:val="auto"/>
                <w:kern w:val="0"/>
                <w:sz w:val="24"/>
                <w:lang w:bidi="ar"/>
              </w:rPr>
              <w:t>检验原料</w:t>
            </w:r>
            <w:r>
              <w:rPr>
                <w:rFonts w:hint="eastAsia"/>
                <w:color w:val="auto"/>
                <w:kern w:val="0"/>
                <w:sz w:val="24"/>
                <w:lang w:bidi="ar"/>
              </w:rPr>
              <w:t>、</w:t>
            </w:r>
            <w:r>
              <w:rPr>
                <w:color w:val="auto"/>
                <w:kern w:val="0"/>
                <w:sz w:val="24"/>
                <w:lang w:bidi="ar"/>
              </w:rPr>
              <w:t>成品中耐火成分含量</w:t>
            </w:r>
            <w:r>
              <w:rPr>
                <w:rFonts w:hint="eastAsia"/>
                <w:color w:val="auto"/>
                <w:kern w:val="0"/>
                <w:sz w:val="24"/>
                <w:lang w:bidi="ar"/>
              </w:rPr>
              <w:t>。</w:t>
            </w:r>
            <w:r>
              <w:rPr>
                <w:color w:val="auto"/>
                <w:kern w:val="0"/>
                <w:sz w:val="24"/>
                <w:lang w:bidi="ar"/>
              </w:rPr>
              <w:t>实验室废水主要为仪器清洗废水</w:t>
            </w:r>
            <w:r>
              <w:rPr>
                <w:rFonts w:hint="eastAsia"/>
                <w:color w:val="auto"/>
                <w:kern w:val="0"/>
                <w:sz w:val="24"/>
                <w:lang w:bidi="ar"/>
              </w:rPr>
              <w:t>，</w:t>
            </w:r>
            <w:r>
              <w:rPr>
                <w:color w:val="auto"/>
                <w:kern w:val="0"/>
                <w:sz w:val="24"/>
                <w:lang w:bidi="ar"/>
              </w:rPr>
              <w:t>主要污染</w:t>
            </w:r>
            <w:r>
              <w:rPr>
                <w:rFonts w:hint="eastAsia"/>
                <w:color w:val="auto"/>
                <w:kern w:val="0"/>
                <w:sz w:val="24"/>
                <w:lang w:bidi="ar"/>
              </w:rPr>
              <w:t>因子</w:t>
            </w:r>
            <w:r>
              <w:rPr>
                <w:color w:val="auto"/>
                <w:kern w:val="0"/>
                <w:sz w:val="24"/>
                <w:lang w:bidi="ar"/>
              </w:rPr>
              <w:t>为</w:t>
            </w:r>
            <w:r>
              <w:rPr>
                <w:rFonts w:hint="eastAsia"/>
                <w:color w:val="auto"/>
                <w:kern w:val="0"/>
                <w:sz w:val="24"/>
                <w:lang w:bidi="ar"/>
              </w:rPr>
              <w:t>SS、酸和碱等。</w:t>
            </w:r>
            <w:r>
              <w:rPr>
                <w:rFonts w:hint="eastAsia"/>
                <w:bCs/>
                <w:color w:val="auto"/>
                <w:sz w:val="24"/>
              </w:rPr>
              <w:t>现有项目实验室废水约为0.1t/a，经中和池酸碱调节为中性后与化粪池生活污水一并处理</w:t>
            </w:r>
            <w:r>
              <w:rPr>
                <w:rFonts w:hint="eastAsia"/>
                <w:color w:val="auto"/>
                <w:kern w:val="0"/>
                <w:sz w:val="24"/>
                <w:lang w:bidi="ar"/>
              </w:rPr>
              <w:t>排入园区污水管网，最终进入宜良工业园区污水处理厂处理</w:t>
            </w:r>
            <w:r>
              <w:rPr>
                <w:rFonts w:hint="eastAsia"/>
                <w:bCs/>
                <w:color w:val="auto"/>
                <w:sz w:val="24"/>
              </w:rPr>
              <w:t>。</w:t>
            </w:r>
          </w:p>
          <w:p>
            <w:pPr>
              <w:widowControl/>
              <w:spacing w:line="360" w:lineRule="auto"/>
              <w:rPr>
                <w:b/>
                <w:color w:val="auto"/>
              </w:rPr>
            </w:pPr>
            <w:r>
              <w:rPr>
                <w:rFonts w:hint="eastAsia"/>
                <w:b/>
                <w:color w:val="auto"/>
                <w:sz w:val="24"/>
              </w:rPr>
              <w:t>2.15.3噪声</w:t>
            </w:r>
          </w:p>
          <w:p>
            <w:pPr>
              <w:pStyle w:val="8"/>
              <w:tabs>
                <w:tab w:val="left" w:pos="5220"/>
              </w:tabs>
              <w:spacing w:before="0" w:after="0" w:line="360" w:lineRule="auto"/>
              <w:ind w:right="0" w:firstLine="482"/>
              <w:outlineLvl w:val="2"/>
              <w:rPr>
                <w:bCs/>
                <w:color w:val="auto"/>
                <w:sz w:val="24"/>
              </w:rPr>
            </w:pPr>
            <w:r>
              <w:rPr>
                <w:color w:val="auto"/>
                <w:sz w:val="24"/>
                <w:szCs w:val="24"/>
              </w:rPr>
              <w:t>原有工程噪声主要来</w:t>
            </w:r>
            <w:r>
              <w:rPr>
                <w:rFonts w:hint="eastAsia"/>
                <w:color w:val="auto"/>
                <w:sz w:val="24"/>
                <w:szCs w:val="24"/>
              </w:rPr>
              <w:t>生产设备</w:t>
            </w:r>
            <w:r>
              <w:rPr>
                <w:color w:val="auto"/>
                <w:sz w:val="24"/>
                <w:szCs w:val="24"/>
              </w:rPr>
              <w:t>，源强为7</w:t>
            </w:r>
            <w:r>
              <w:rPr>
                <w:rFonts w:hint="eastAsia"/>
                <w:color w:val="auto"/>
                <w:sz w:val="24"/>
                <w:szCs w:val="24"/>
              </w:rPr>
              <w:t>0</w:t>
            </w:r>
            <w:r>
              <w:rPr>
                <w:color w:val="auto"/>
                <w:sz w:val="24"/>
                <w:szCs w:val="24"/>
              </w:rPr>
              <w:t>-</w:t>
            </w:r>
            <w:r>
              <w:rPr>
                <w:rFonts w:hint="eastAsia"/>
                <w:color w:val="auto"/>
                <w:sz w:val="24"/>
                <w:szCs w:val="24"/>
              </w:rPr>
              <w:t>90</w:t>
            </w:r>
            <w:r>
              <w:rPr>
                <w:color w:val="auto"/>
                <w:sz w:val="24"/>
                <w:szCs w:val="24"/>
              </w:rPr>
              <w:t>dB（A）。</w:t>
            </w:r>
            <w:r>
              <w:rPr>
                <w:rFonts w:hint="eastAsia"/>
                <w:color w:val="auto"/>
                <w:sz w:val="24"/>
                <w:szCs w:val="24"/>
              </w:rPr>
              <w:t>生产设备部分位于厂房内</w:t>
            </w:r>
            <w:r>
              <w:rPr>
                <w:color w:val="auto"/>
                <w:sz w:val="24"/>
                <w:szCs w:val="24"/>
              </w:rPr>
              <w:t>，且设置基础减振措施，项目运行噪声对外环境影响不大。</w:t>
            </w:r>
            <w:r>
              <w:rPr>
                <w:rFonts w:hint="eastAsia"/>
                <w:color w:val="auto"/>
                <w:sz w:val="24"/>
              </w:rPr>
              <w:t>由于现有项目建成后至项目改扩建前运行时段内设备均正常稳定运行，无新增产噪设备，污染源未发生改变。本次环评采用近一年噪声监测数据进行分析。现</w:t>
            </w:r>
            <w:r>
              <w:rPr>
                <w:bCs/>
                <w:color w:val="auto"/>
                <w:sz w:val="24"/>
              </w:rPr>
              <w:t>有工程</w:t>
            </w:r>
            <w:r>
              <w:rPr>
                <w:rFonts w:hint="eastAsia"/>
                <w:bCs/>
                <w:color w:val="auto"/>
                <w:sz w:val="24"/>
              </w:rPr>
              <w:t>厂界</w:t>
            </w:r>
            <w:r>
              <w:rPr>
                <w:bCs/>
                <w:color w:val="auto"/>
                <w:sz w:val="24"/>
              </w:rPr>
              <w:t>噪声监测结果见表2-1</w:t>
            </w:r>
            <w:r>
              <w:rPr>
                <w:rFonts w:hint="eastAsia"/>
                <w:bCs/>
                <w:color w:val="auto"/>
                <w:sz w:val="24"/>
                <w:lang w:val="en-US" w:eastAsia="zh-CN"/>
              </w:rPr>
              <w:t>7</w:t>
            </w:r>
            <w:r>
              <w:rPr>
                <w:bCs/>
                <w:color w:val="auto"/>
                <w:sz w:val="24"/>
              </w:rPr>
              <w:t>。</w:t>
            </w:r>
          </w:p>
          <w:p>
            <w:pPr>
              <w:pStyle w:val="8"/>
              <w:tabs>
                <w:tab w:val="left" w:pos="5220"/>
              </w:tabs>
              <w:spacing w:before="0" w:after="0" w:line="240" w:lineRule="auto"/>
              <w:ind w:right="0"/>
              <w:jc w:val="center"/>
              <w:outlineLvl w:val="2"/>
              <w:rPr>
                <w:b/>
                <w:bCs/>
                <w:color w:val="auto"/>
                <w:sz w:val="21"/>
                <w:szCs w:val="21"/>
              </w:rPr>
            </w:pPr>
            <w:r>
              <w:rPr>
                <w:b/>
                <w:bCs/>
                <w:color w:val="auto"/>
                <w:sz w:val="21"/>
                <w:szCs w:val="21"/>
              </w:rPr>
              <w:t>表2-1</w:t>
            </w:r>
            <w:r>
              <w:rPr>
                <w:rFonts w:hint="eastAsia"/>
                <w:b/>
                <w:bCs/>
                <w:color w:val="auto"/>
                <w:sz w:val="21"/>
                <w:szCs w:val="21"/>
                <w:lang w:val="en-US" w:eastAsia="zh-CN"/>
              </w:rPr>
              <w:t>7</w:t>
            </w:r>
            <w:r>
              <w:rPr>
                <w:b/>
                <w:bCs/>
                <w:color w:val="auto"/>
                <w:sz w:val="21"/>
                <w:szCs w:val="21"/>
              </w:rPr>
              <w:t xml:space="preserve">  现有项目厂界噪声监测统计表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196"/>
              <w:gridCol w:w="1160"/>
              <w:gridCol w:w="1168"/>
              <w:gridCol w:w="1168"/>
              <w:gridCol w:w="1169"/>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83" w:type="dxa"/>
                  <w:shd w:val="clear" w:color="auto" w:fill="auto"/>
                  <w:vAlign w:val="center"/>
                </w:tcPr>
                <w:p>
                  <w:pPr>
                    <w:pStyle w:val="8"/>
                    <w:tabs>
                      <w:tab w:val="left" w:pos="5220"/>
                    </w:tabs>
                    <w:spacing w:before="0" w:after="0" w:line="240" w:lineRule="auto"/>
                    <w:ind w:right="0"/>
                    <w:jc w:val="center"/>
                    <w:outlineLvl w:val="2"/>
                    <w:rPr>
                      <w:bCs/>
                      <w:color w:val="auto"/>
                      <w:sz w:val="21"/>
                      <w:szCs w:val="21"/>
                    </w:rPr>
                  </w:pPr>
                  <w:r>
                    <w:rPr>
                      <w:rFonts w:hint="eastAsia"/>
                      <w:bCs/>
                      <w:color w:val="auto"/>
                      <w:sz w:val="21"/>
                      <w:szCs w:val="21"/>
                    </w:rPr>
                    <w:t>数据来源</w:t>
                  </w:r>
                </w:p>
              </w:tc>
              <w:tc>
                <w:tcPr>
                  <w:tcW w:w="2205" w:type="dxa"/>
                  <w:gridSpan w:val="2"/>
                  <w:shd w:val="clear" w:color="auto" w:fill="auto"/>
                  <w:vAlign w:val="center"/>
                </w:tcPr>
                <w:p>
                  <w:pPr>
                    <w:pStyle w:val="8"/>
                    <w:tabs>
                      <w:tab w:val="left" w:pos="5220"/>
                    </w:tabs>
                    <w:spacing w:before="0" w:after="0" w:line="240" w:lineRule="auto"/>
                    <w:ind w:right="0"/>
                    <w:jc w:val="right"/>
                    <w:outlineLvl w:val="2"/>
                    <w:rPr>
                      <w:bCs/>
                      <w:color w:val="auto"/>
                      <w:sz w:val="21"/>
                      <w:szCs w:val="21"/>
                    </w:rPr>
                  </w:pPr>
                  <w:r>
                    <w:rPr>
                      <w:rFonts w:hint="eastAsia"/>
                      <w:bCs/>
                      <w:color w:val="auto"/>
                      <w:sz w:val="21"/>
                      <w:szCs w:val="21"/>
                    </w:rPr>
                    <w:t>监测点位</w:t>
                  </w:r>
                </w:p>
                <w:p>
                  <w:pPr>
                    <w:pStyle w:val="8"/>
                    <w:tabs>
                      <w:tab w:val="left" w:pos="5220"/>
                    </w:tabs>
                    <w:spacing w:before="0" w:after="0" w:line="240" w:lineRule="auto"/>
                    <w:ind w:right="0"/>
                    <w:jc w:val="left"/>
                    <w:outlineLvl w:val="2"/>
                    <w:rPr>
                      <w:bCs/>
                      <w:color w:val="auto"/>
                      <w:sz w:val="21"/>
                      <w:szCs w:val="21"/>
                    </w:rPr>
                  </w:pPr>
                  <w:r>
                    <w:rPr>
                      <w:rFonts w:hint="eastAsia"/>
                      <w:bCs/>
                      <w:color w:val="auto"/>
                      <w:sz w:val="21"/>
                      <w:szCs w:val="21"/>
                    </w:rPr>
                    <w:t>检测时间</w:t>
                  </w:r>
                </w:p>
              </w:tc>
              <w:tc>
                <w:tcPr>
                  <w:tcW w:w="1196" w:type="dxa"/>
                  <w:shd w:val="clear" w:color="auto" w:fill="auto"/>
                  <w:vAlign w:val="center"/>
                </w:tcPr>
                <w:p>
                  <w:pPr>
                    <w:pStyle w:val="8"/>
                    <w:tabs>
                      <w:tab w:val="left" w:pos="5220"/>
                    </w:tabs>
                    <w:spacing w:before="0" w:after="0" w:line="240" w:lineRule="auto"/>
                    <w:ind w:right="0"/>
                    <w:jc w:val="center"/>
                    <w:outlineLvl w:val="2"/>
                    <w:rPr>
                      <w:bCs/>
                      <w:color w:val="auto"/>
                      <w:sz w:val="21"/>
                      <w:szCs w:val="21"/>
                    </w:rPr>
                  </w:pPr>
                  <w:r>
                    <w:rPr>
                      <w:rFonts w:hint="eastAsia"/>
                      <w:bCs/>
                      <w:color w:val="auto"/>
                      <w:sz w:val="21"/>
                      <w:szCs w:val="21"/>
                    </w:rPr>
                    <w:t>厂界东侧</w:t>
                  </w:r>
                </w:p>
              </w:tc>
              <w:tc>
                <w:tcPr>
                  <w:tcW w:w="1196" w:type="dxa"/>
                  <w:shd w:val="clear" w:color="auto" w:fill="auto"/>
                  <w:vAlign w:val="center"/>
                </w:tcPr>
                <w:p>
                  <w:pPr>
                    <w:pStyle w:val="8"/>
                    <w:tabs>
                      <w:tab w:val="left" w:pos="5220"/>
                    </w:tabs>
                    <w:spacing w:before="0" w:after="0" w:line="240" w:lineRule="auto"/>
                    <w:ind w:right="0"/>
                    <w:jc w:val="center"/>
                    <w:outlineLvl w:val="2"/>
                    <w:rPr>
                      <w:bCs/>
                      <w:color w:val="auto"/>
                      <w:sz w:val="21"/>
                      <w:szCs w:val="21"/>
                    </w:rPr>
                  </w:pPr>
                  <w:r>
                    <w:rPr>
                      <w:rFonts w:hint="eastAsia"/>
                      <w:bCs/>
                      <w:color w:val="auto"/>
                      <w:sz w:val="21"/>
                      <w:szCs w:val="21"/>
                    </w:rPr>
                    <w:t>厂界南侧</w:t>
                  </w:r>
                </w:p>
              </w:tc>
              <w:tc>
                <w:tcPr>
                  <w:tcW w:w="1197" w:type="dxa"/>
                  <w:shd w:val="clear" w:color="auto" w:fill="auto"/>
                  <w:vAlign w:val="center"/>
                </w:tcPr>
                <w:p>
                  <w:pPr>
                    <w:pStyle w:val="8"/>
                    <w:tabs>
                      <w:tab w:val="left" w:pos="5220"/>
                    </w:tabs>
                    <w:spacing w:before="0" w:after="0" w:line="240" w:lineRule="auto"/>
                    <w:ind w:right="0"/>
                    <w:jc w:val="center"/>
                    <w:outlineLvl w:val="2"/>
                    <w:rPr>
                      <w:bCs/>
                      <w:color w:val="auto"/>
                      <w:sz w:val="21"/>
                      <w:szCs w:val="21"/>
                    </w:rPr>
                  </w:pPr>
                  <w:r>
                    <w:rPr>
                      <w:rFonts w:hint="eastAsia"/>
                      <w:bCs/>
                      <w:color w:val="auto"/>
                      <w:sz w:val="21"/>
                      <w:szCs w:val="21"/>
                    </w:rPr>
                    <w:t>厂界西侧</w:t>
                  </w:r>
                </w:p>
              </w:tc>
              <w:tc>
                <w:tcPr>
                  <w:tcW w:w="1197" w:type="dxa"/>
                  <w:shd w:val="clear" w:color="auto" w:fill="auto"/>
                  <w:vAlign w:val="center"/>
                </w:tcPr>
                <w:p>
                  <w:pPr>
                    <w:pStyle w:val="8"/>
                    <w:tabs>
                      <w:tab w:val="left" w:pos="5220"/>
                    </w:tabs>
                    <w:spacing w:before="0" w:after="0" w:line="240" w:lineRule="auto"/>
                    <w:ind w:right="0"/>
                    <w:jc w:val="center"/>
                    <w:outlineLvl w:val="2"/>
                    <w:rPr>
                      <w:bCs/>
                      <w:color w:val="auto"/>
                      <w:sz w:val="21"/>
                      <w:szCs w:val="21"/>
                    </w:rPr>
                  </w:pPr>
                  <w:r>
                    <w:rPr>
                      <w:rFonts w:hint="eastAsia"/>
                      <w:bCs/>
                      <w:color w:val="auto"/>
                      <w:sz w:val="21"/>
                      <w:szCs w:val="21"/>
                    </w:rPr>
                    <w:t>厂界北侧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83" w:type="dxa"/>
                  <w:vMerge w:val="restart"/>
                  <w:shd w:val="clear" w:color="auto" w:fill="auto"/>
                  <w:vAlign w:val="center"/>
                </w:tcPr>
                <w:p>
                  <w:pPr>
                    <w:adjustRightInd w:val="0"/>
                    <w:snapToGrid w:val="0"/>
                    <w:rPr>
                      <w:bCs/>
                      <w:color w:val="auto"/>
                      <w:szCs w:val="21"/>
                    </w:rPr>
                  </w:pPr>
                  <w:r>
                    <w:rPr>
                      <w:rFonts w:hint="eastAsia"/>
                      <w:bCs/>
                      <w:color w:val="auto"/>
                      <w:szCs w:val="21"/>
                    </w:rPr>
                    <w:t>《年产10万吨耐火材料生产线技改项目竣工环保验收检测》</w:t>
                  </w:r>
                </w:p>
              </w:tc>
              <w:tc>
                <w:tcPr>
                  <w:tcW w:w="1009" w:type="dxa"/>
                  <w:vMerge w:val="restart"/>
                  <w:shd w:val="clear" w:color="auto" w:fill="auto"/>
                  <w:vAlign w:val="center"/>
                </w:tcPr>
                <w:p>
                  <w:pPr>
                    <w:jc w:val="center"/>
                    <w:rPr>
                      <w:color w:val="auto"/>
                      <w:szCs w:val="21"/>
                    </w:rPr>
                  </w:pPr>
                  <w:r>
                    <w:rPr>
                      <w:rFonts w:hint="eastAsia"/>
                      <w:color w:val="auto"/>
                      <w:szCs w:val="21"/>
                    </w:rPr>
                    <w:t>2021-10-13</w:t>
                  </w:r>
                </w:p>
              </w:tc>
              <w:tc>
                <w:tcPr>
                  <w:tcW w:w="1196" w:type="dxa"/>
                  <w:shd w:val="clear" w:color="auto" w:fill="auto"/>
                  <w:vAlign w:val="center"/>
                </w:tcPr>
                <w:p>
                  <w:pPr>
                    <w:jc w:val="center"/>
                    <w:rPr>
                      <w:color w:val="auto"/>
                      <w:kern w:val="0"/>
                      <w:szCs w:val="21"/>
                    </w:rPr>
                  </w:pPr>
                  <w:r>
                    <w:rPr>
                      <w:rFonts w:hint="eastAsia"/>
                      <w:color w:val="auto"/>
                      <w:kern w:val="0"/>
                      <w:szCs w:val="21"/>
                    </w:rPr>
                    <w:t>昼间</w:t>
                  </w:r>
                </w:p>
              </w:tc>
              <w:tc>
                <w:tcPr>
                  <w:tcW w:w="1196" w:type="dxa"/>
                  <w:shd w:val="clear" w:color="auto" w:fill="auto"/>
                  <w:vAlign w:val="center"/>
                </w:tcPr>
                <w:p>
                  <w:pPr>
                    <w:jc w:val="center"/>
                    <w:rPr>
                      <w:color w:val="auto"/>
                      <w:kern w:val="0"/>
                      <w:szCs w:val="21"/>
                    </w:rPr>
                  </w:pPr>
                  <w:r>
                    <w:rPr>
                      <w:rFonts w:hint="eastAsia"/>
                      <w:color w:val="auto"/>
                      <w:kern w:val="0"/>
                      <w:szCs w:val="21"/>
                    </w:rPr>
                    <w:t>57.8</w:t>
                  </w:r>
                </w:p>
              </w:tc>
              <w:tc>
                <w:tcPr>
                  <w:tcW w:w="1196" w:type="dxa"/>
                  <w:shd w:val="clear" w:color="auto" w:fill="auto"/>
                  <w:vAlign w:val="center"/>
                </w:tcPr>
                <w:p>
                  <w:pPr>
                    <w:jc w:val="center"/>
                    <w:rPr>
                      <w:color w:val="auto"/>
                    </w:rPr>
                  </w:pPr>
                  <w:r>
                    <w:rPr>
                      <w:rFonts w:hint="eastAsia"/>
                      <w:color w:val="auto"/>
                    </w:rPr>
                    <w:t>58.3</w:t>
                  </w:r>
                </w:p>
              </w:tc>
              <w:tc>
                <w:tcPr>
                  <w:tcW w:w="1197" w:type="dxa"/>
                  <w:shd w:val="clear" w:color="auto" w:fill="auto"/>
                  <w:vAlign w:val="center"/>
                </w:tcPr>
                <w:p>
                  <w:pPr>
                    <w:jc w:val="center"/>
                    <w:rPr>
                      <w:color w:val="auto"/>
                      <w:kern w:val="0"/>
                      <w:szCs w:val="21"/>
                    </w:rPr>
                  </w:pPr>
                  <w:r>
                    <w:rPr>
                      <w:rFonts w:hint="eastAsia"/>
                      <w:color w:val="auto"/>
                      <w:kern w:val="0"/>
                      <w:szCs w:val="21"/>
                    </w:rPr>
                    <w:t>54.8</w:t>
                  </w:r>
                </w:p>
              </w:tc>
              <w:tc>
                <w:tcPr>
                  <w:tcW w:w="1197" w:type="dxa"/>
                  <w:shd w:val="clear" w:color="auto" w:fill="auto"/>
                  <w:vAlign w:val="center"/>
                </w:tcPr>
                <w:p>
                  <w:pPr>
                    <w:jc w:val="center"/>
                    <w:rPr>
                      <w:color w:val="auto"/>
                      <w:kern w:val="0"/>
                      <w:szCs w:val="21"/>
                    </w:rPr>
                  </w:pPr>
                  <w:r>
                    <w:rPr>
                      <w:rFonts w:hint="eastAsia"/>
                      <w:color w:val="auto"/>
                      <w:kern w:val="0"/>
                      <w:szCs w:val="21"/>
                    </w:rPr>
                    <w:t>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83" w:type="dxa"/>
                  <w:vMerge w:val="continue"/>
                  <w:shd w:val="clear" w:color="auto" w:fill="auto"/>
                  <w:vAlign w:val="center"/>
                </w:tcPr>
                <w:p>
                  <w:pPr>
                    <w:pStyle w:val="8"/>
                    <w:tabs>
                      <w:tab w:val="left" w:pos="5220"/>
                    </w:tabs>
                    <w:spacing w:before="0" w:after="0" w:line="240" w:lineRule="auto"/>
                    <w:ind w:right="0"/>
                    <w:jc w:val="center"/>
                    <w:outlineLvl w:val="2"/>
                    <w:rPr>
                      <w:bCs/>
                      <w:color w:val="auto"/>
                      <w:sz w:val="21"/>
                      <w:szCs w:val="21"/>
                    </w:rPr>
                  </w:pPr>
                </w:p>
              </w:tc>
              <w:tc>
                <w:tcPr>
                  <w:tcW w:w="1009" w:type="dxa"/>
                  <w:vMerge w:val="continue"/>
                  <w:shd w:val="clear" w:color="auto" w:fill="auto"/>
                  <w:vAlign w:val="center"/>
                </w:tcPr>
                <w:p>
                  <w:pPr>
                    <w:pStyle w:val="8"/>
                    <w:tabs>
                      <w:tab w:val="left" w:pos="5220"/>
                    </w:tabs>
                    <w:spacing w:before="0" w:after="0" w:line="240" w:lineRule="auto"/>
                    <w:ind w:right="0"/>
                    <w:jc w:val="center"/>
                    <w:outlineLvl w:val="2"/>
                    <w:rPr>
                      <w:bCs/>
                      <w:color w:val="auto"/>
                      <w:sz w:val="21"/>
                      <w:szCs w:val="21"/>
                    </w:rPr>
                  </w:pPr>
                </w:p>
              </w:tc>
              <w:tc>
                <w:tcPr>
                  <w:tcW w:w="1196" w:type="dxa"/>
                  <w:shd w:val="clear" w:color="auto" w:fill="auto"/>
                  <w:vAlign w:val="center"/>
                </w:tcPr>
                <w:p>
                  <w:pPr>
                    <w:pStyle w:val="8"/>
                    <w:tabs>
                      <w:tab w:val="left" w:pos="5220"/>
                    </w:tabs>
                    <w:spacing w:before="0" w:after="0" w:line="240" w:lineRule="auto"/>
                    <w:ind w:right="0"/>
                    <w:jc w:val="center"/>
                    <w:outlineLvl w:val="2"/>
                    <w:rPr>
                      <w:bCs/>
                      <w:color w:val="auto"/>
                      <w:sz w:val="21"/>
                      <w:szCs w:val="21"/>
                    </w:rPr>
                  </w:pPr>
                  <w:r>
                    <w:rPr>
                      <w:rFonts w:hint="eastAsia"/>
                      <w:color w:val="auto"/>
                      <w:szCs w:val="21"/>
                    </w:rPr>
                    <w:t>夜间</w:t>
                  </w:r>
                </w:p>
              </w:tc>
              <w:tc>
                <w:tcPr>
                  <w:tcW w:w="1196" w:type="dxa"/>
                  <w:shd w:val="clear" w:color="auto" w:fill="auto"/>
                  <w:vAlign w:val="center"/>
                </w:tcPr>
                <w:p>
                  <w:pPr>
                    <w:jc w:val="center"/>
                    <w:rPr>
                      <w:color w:val="auto"/>
                      <w:kern w:val="0"/>
                      <w:szCs w:val="21"/>
                    </w:rPr>
                  </w:pPr>
                  <w:r>
                    <w:rPr>
                      <w:rFonts w:hint="eastAsia"/>
                      <w:color w:val="auto"/>
                      <w:kern w:val="0"/>
                      <w:szCs w:val="21"/>
                    </w:rPr>
                    <w:t>44.2</w:t>
                  </w:r>
                </w:p>
              </w:tc>
              <w:tc>
                <w:tcPr>
                  <w:tcW w:w="1196" w:type="dxa"/>
                  <w:shd w:val="clear" w:color="auto" w:fill="auto"/>
                  <w:vAlign w:val="center"/>
                </w:tcPr>
                <w:p>
                  <w:pPr>
                    <w:jc w:val="center"/>
                    <w:rPr>
                      <w:color w:val="auto"/>
                    </w:rPr>
                  </w:pPr>
                  <w:r>
                    <w:rPr>
                      <w:rFonts w:hint="eastAsia"/>
                      <w:color w:val="auto"/>
                    </w:rPr>
                    <w:t>46.3</w:t>
                  </w:r>
                </w:p>
              </w:tc>
              <w:tc>
                <w:tcPr>
                  <w:tcW w:w="1197" w:type="dxa"/>
                  <w:shd w:val="clear" w:color="auto" w:fill="auto"/>
                  <w:vAlign w:val="center"/>
                </w:tcPr>
                <w:p>
                  <w:pPr>
                    <w:jc w:val="center"/>
                    <w:rPr>
                      <w:color w:val="auto"/>
                      <w:kern w:val="0"/>
                      <w:szCs w:val="21"/>
                    </w:rPr>
                  </w:pPr>
                  <w:r>
                    <w:rPr>
                      <w:rFonts w:hint="eastAsia"/>
                      <w:color w:val="auto"/>
                      <w:kern w:val="0"/>
                      <w:szCs w:val="21"/>
                    </w:rPr>
                    <w:t>43.4</w:t>
                  </w:r>
                </w:p>
              </w:tc>
              <w:tc>
                <w:tcPr>
                  <w:tcW w:w="1197" w:type="dxa"/>
                  <w:shd w:val="clear" w:color="auto" w:fill="auto"/>
                  <w:vAlign w:val="center"/>
                </w:tcPr>
                <w:p>
                  <w:pPr>
                    <w:jc w:val="center"/>
                    <w:rPr>
                      <w:color w:val="auto"/>
                      <w:kern w:val="0"/>
                      <w:szCs w:val="21"/>
                    </w:rPr>
                  </w:pPr>
                  <w:r>
                    <w:rPr>
                      <w:rFonts w:hint="eastAsia"/>
                      <w:color w:val="auto"/>
                      <w:kern w:val="0"/>
                      <w:szCs w:val="21"/>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383" w:type="dxa"/>
                  <w:vMerge w:val="continue"/>
                  <w:shd w:val="clear" w:color="auto" w:fill="auto"/>
                  <w:vAlign w:val="center"/>
                </w:tcPr>
                <w:p>
                  <w:pPr>
                    <w:jc w:val="center"/>
                    <w:rPr>
                      <w:color w:val="auto"/>
                      <w:szCs w:val="21"/>
                    </w:rPr>
                  </w:pPr>
                </w:p>
              </w:tc>
              <w:tc>
                <w:tcPr>
                  <w:tcW w:w="1009" w:type="dxa"/>
                  <w:vMerge w:val="restart"/>
                  <w:shd w:val="clear" w:color="auto" w:fill="auto"/>
                  <w:vAlign w:val="center"/>
                </w:tcPr>
                <w:p>
                  <w:pPr>
                    <w:jc w:val="center"/>
                    <w:rPr>
                      <w:color w:val="auto"/>
                      <w:szCs w:val="21"/>
                    </w:rPr>
                  </w:pPr>
                  <w:r>
                    <w:rPr>
                      <w:rFonts w:hint="eastAsia"/>
                      <w:color w:val="auto"/>
                      <w:szCs w:val="21"/>
                    </w:rPr>
                    <w:t>2021-10-14</w:t>
                  </w:r>
                </w:p>
              </w:tc>
              <w:tc>
                <w:tcPr>
                  <w:tcW w:w="1196" w:type="dxa"/>
                  <w:shd w:val="clear" w:color="auto" w:fill="auto"/>
                  <w:vAlign w:val="center"/>
                </w:tcPr>
                <w:p>
                  <w:pPr>
                    <w:jc w:val="center"/>
                    <w:rPr>
                      <w:color w:val="auto"/>
                      <w:kern w:val="0"/>
                      <w:szCs w:val="21"/>
                    </w:rPr>
                  </w:pPr>
                  <w:r>
                    <w:rPr>
                      <w:rFonts w:hint="eastAsia"/>
                      <w:color w:val="auto"/>
                      <w:kern w:val="0"/>
                      <w:szCs w:val="21"/>
                    </w:rPr>
                    <w:t>昼间</w:t>
                  </w:r>
                </w:p>
              </w:tc>
              <w:tc>
                <w:tcPr>
                  <w:tcW w:w="1196" w:type="dxa"/>
                  <w:shd w:val="clear" w:color="auto" w:fill="auto"/>
                  <w:vAlign w:val="center"/>
                </w:tcPr>
                <w:p>
                  <w:pPr>
                    <w:jc w:val="center"/>
                    <w:rPr>
                      <w:color w:val="auto"/>
                      <w:kern w:val="0"/>
                      <w:szCs w:val="21"/>
                    </w:rPr>
                  </w:pPr>
                  <w:r>
                    <w:rPr>
                      <w:rFonts w:hint="eastAsia"/>
                      <w:color w:val="auto"/>
                      <w:kern w:val="0"/>
                      <w:szCs w:val="21"/>
                    </w:rPr>
                    <w:t>57.2</w:t>
                  </w:r>
                </w:p>
              </w:tc>
              <w:tc>
                <w:tcPr>
                  <w:tcW w:w="1196" w:type="dxa"/>
                  <w:shd w:val="clear" w:color="auto" w:fill="auto"/>
                  <w:vAlign w:val="center"/>
                </w:tcPr>
                <w:p>
                  <w:pPr>
                    <w:jc w:val="center"/>
                    <w:rPr>
                      <w:color w:val="auto"/>
                    </w:rPr>
                  </w:pPr>
                  <w:r>
                    <w:rPr>
                      <w:rFonts w:hint="eastAsia"/>
                      <w:color w:val="auto"/>
                    </w:rPr>
                    <w:t>58.6</w:t>
                  </w:r>
                </w:p>
              </w:tc>
              <w:tc>
                <w:tcPr>
                  <w:tcW w:w="1197" w:type="dxa"/>
                  <w:shd w:val="clear" w:color="auto" w:fill="auto"/>
                  <w:vAlign w:val="center"/>
                </w:tcPr>
                <w:p>
                  <w:pPr>
                    <w:jc w:val="center"/>
                    <w:rPr>
                      <w:color w:val="auto"/>
                      <w:kern w:val="0"/>
                      <w:szCs w:val="21"/>
                    </w:rPr>
                  </w:pPr>
                  <w:r>
                    <w:rPr>
                      <w:rFonts w:hint="eastAsia"/>
                      <w:color w:val="auto"/>
                      <w:kern w:val="0"/>
                      <w:szCs w:val="21"/>
                    </w:rPr>
                    <w:t>54.6</w:t>
                  </w:r>
                </w:p>
              </w:tc>
              <w:tc>
                <w:tcPr>
                  <w:tcW w:w="1197" w:type="dxa"/>
                  <w:shd w:val="clear" w:color="auto" w:fill="auto"/>
                  <w:vAlign w:val="center"/>
                </w:tcPr>
                <w:p>
                  <w:pPr>
                    <w:jc w:val="center"/>
                    <w:rPr>
                      <w:color w:val="auto"/>
                      <w:kern w:val="0"/>
                      <w:szCs w:val="21"/>
                    </w:rPr>
                  </w:pPr>
                  <w:r>
                    <w:rPr>
                      <w:rFonts w:hint="eastAsia"/>
                      <w:color w:val="auto"/>
                      <w:kern w:val="0"/>
                      <w:szCs w:val="21"/>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83" w:type="dxa"/>
                  <w:vMerge w:val="continue"/>
                  <w:shd w:val="clear" w:color="auto" w:fill="auto"/>
                  <w:vAlign w:val="center"/>
                </w:tcPr>
                <w:p>
                  <w:pPr>
                    <w:pStyle w:val="8"/>
                    <w:tabs>
                      <w:tab w:val="left" w:pos="5220"/>
                    </w:tabs>
                    <w:spacing w:before="0" w:after="0" w:line="240" w:lineRule="auto"/>
                    <w:ind w:right="0"/>
                    <w:jc w:val="center"/>
                    <w:outlineLvl w:val="2"/>
                    <w:rPr>
                      <w:bCs/>
                      <w:color w:val="auto"/>
                      <w:sz w:val="21"/>
                      <w:szCs w:val="21"/>
                    </w:rPr>
                  </w:pPr>
                </w:p>
              </w:tc>
              <w:tc>
                <w:tcPr>
                  <w:tcW w:w="1009" w:type="dxa"/>
                  <w:vMerge w:val="continue"/>
                  <w:shd w:val="clear" w:color="auto" w:fill="auto"/>
                  <w:vAlign w:val="center"/>
                </w:tcPr>
                <w:p>
                  <w:pPr>
                    <w:pStyle w:val="8"/>
                    <w:tabs>
                      <w:tab w:val="left" w:pos="5220"/>
                    </w:tabs>
                    <w:spacing w:before="0" w:after="0" w:line="240" w:lineRule="auto"/>
                    <w:ind w:right="0"/>
                    <w:jc w:val="center"/>
                    <w:outlineLvl w:val="2"/>
                    <w:rPr>
                      <w:bCs/>
                      <w:color w:val="auto"/>
                      <w:sz w:val="21"/>
                      <w:szCs w:val="21"/>
                    </w:rPr>
                  </w:pPr>
                </w:p>
              </w:tc>
              <w:tc>
                <w:tcPr>
                  <w:tcW w:w="1196" w:type="dxa"/>
                  <w:shd w:val="clear" w:color="auto" w:fill="auto"/>
                  <w:vAlign w:val="center"/>
                </w:tcPr>
                <w:p>
                  <w:pPr>
                    <w:pStyle w:val="8"/>
                    <w:tabs>
                      <w:tab w:val="left" w:pos="5220"/>
                    </w:tabs>
                    <w:spacing w:before="0" w:after="0" w:line="240" w:lineRule="auto"/>
                    <w:ind w:right="0"/>
                    <w:jc w:val="center"/>
                    <w:outlineLvl w:val="2"/>
                    <w:rPr>
                      <w:bCs/>
                      <w:color w:val="auto"/>
                      <w:sz w:val="21"/>
                      <w:szCs w:val="21"/>
                    </w:rPr>
                  </w:pPr>
                  <w:r>
                    <w:rPr>
                      <w:rFonts w:hint="eastAsia"/>
                      <w:color w:val="auto"/>
                      <w:szCs w:val="21"/>
                    </w:rPr>
                    <w:t>夜间</w:t>
                  </w:r>
                </w:p>
              </w:tc>
              <w:tc>
                <w:tcPr>
                  <w:tcW w:w="1196" w:type="dxa"/>
                  <w:shd w:val="clear" w:color="auto" w:fill="auto"/>
                  <w:vAlign w:val="center"/>
                </w:tcPr>
                <w:p>
                  <w:pPr>
                    <w:jc w:val="center"/>
                    <w:rPr>
                      <w:color w:val="auto"/>
                      <w:kern w:val="0"/>
                      <w:szCs w:val="21"/>
                    </w:rPr>
                  </w:pPr>
                  <w:r>
                    <w:rPr>
                      <w:rFonts w:hint="eastAsia"/>
                      <w:color w:val="auto"/>
                      <w:kern w:val="0"/>
                      <w:szCs w:val="21"/>
                    </w:rPr>
                    <w:t>43.8</w:t>
                  </w:r>
                </w:p>
              </w:tc>
              <w:tc>
                <w:tcPr>
                  <w:tcW w:w="1196" w:type="dxa"/>
                  <w:shd w:val="clear" w:color="auto" w:fill="auto"/>
                  <w:vAlign w:val="center"/>
                </w:tcPr>
                <w:p>
                  <w:pPr>
                    <w:jc w:val="center"/>
                    <w:rPr>
                      <w:color w:val="auto"/>
                    </w:rPr>
                  </w:pPr>
                  <w:r>
                    <w:rPr>
                      <w:rFonts w:hint="eastAsia"/>
                      <w:color w:val="auto"/>
                    </w:rPr>
                    <w:t>45.8</w:t>
                  </w:r>
                </w:p>
              </w:tc>
              <w:tc>
                <w:tcPr>
                  <w:tcW w:w="1197" w:type="dxa"/>
                  <w:shd w:val="clear" w:color="auto" w:fill="auto"/>
                  <w:vAlign w:val="center"/>
                </w:tcPr>
                <w:p>
                  <w:pPr>
                    <w:jc w:val="center"/>
                    <w:rPr>
                      <w:color w:val="auto"/>
                      <w:kern w:val="0"/>
                      <w:szCs w:val="21"/>
                    </w:rPr>
                  </w:pPr>
                  <w:r>
                    <w:rPr>
                      <w:rFonts w:hint="eastAsia"/>
                      <w:color w:val="auto"/>
                      <w:kern w:val="0"/>
                      <w:szCs w:val="21"/>
                    </w:rPr>
                    <w:t>43.2</w:t>
                  </w:r>
                </w:p>
              </w:tc>
              <w:tc>
                <w:tcPr>
                  <w:tcW w:w="1197" w:type="dxa"/>
                  <w:shd w:val="clear" w:color="auto" w:fill="auto"/>
                  <w:vAlign w:val="center"/>
                </w:tcPr>
                <w:p>
                  <w:pPr>
                    <w:jc w:val="center"/>
                    <w:rPr>
                      <w:color w:val="auto"/>
                      <w:kern w:val="0"/>
                      <w:szCs w:val="21"/>
                    </w:rPr>
                  </w:pPr>
                  <w:r>
                    <w:rPr>
                      <w:rFonts w:hint="eastAsia"/>
                      <w:color w:val="auto"/>
                      <w:kern w:val="0"/>
                      <w:szCs w:val="21"/>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83" w:type="dxa"/>
                  <w:vMerge w:val="restart"/>
                  <w:shd w:val="clear" w:color="auto" w:fill="auto"/>
                  <w:vAlign w:val="center"/>
                </w:tcPr>
                <w:p>
                  <w:pPr>
                    <w:adjustRightInd w:val="0"/>
                    <w:snapToGrid w:val="0"/>
                    <w:jc w:val="center"/>
                    <w:rPr>
                      <w:bCs/>
                      <w:color w:val="auto"/>
                      <w:szCs w:val="21"/>
                    </w:rPr>
                  </w:pPr>
                  <w:r>
                    <w:rPr>
                      <w:rFonts w:hint="eastAsia"/>
                      <w:bCs/>
                      <w:color w:val="auto"/>
                      <w:szCs w:val="21"/>
                    </w:rPr>
                    <w:t>《昆明红枫湖耐火材料有限公司2022年2季度委托自行监测》</w:t>
                  </w:r>
                </w:p>
              </w:tc>
              <w:tc>
                <w:tcPr>
                  <w:tcW w:w="1009" w:type="dxa"/>
                  <w:vMerge w:val="restart"/>
                  <w:shd w:val="clear" w:color="auto" w:fill="auto"/>
                  <w:vAlign w:val="center"/>
                </w:tcPr>
                <w:p>
                  <w:pPr>
                    <w:pStyle w:val="8"/>
                    <w:tabs>
                      <w:tab w:val="left" w:pos="5220"/>
                    </w:tabs>
                    <w:spacing w:before="0" w:after="0" w:line="240" w:lineRule="auto"/>
                    <w:ind w:right="0"/>
                    <w:jc w:val="center"/>
                    <w:outlineLvl w:val="2"/>
                    <w:rPr>
                      <w:bCs/>
                      <w:color w:val="auto"/>
                      <w:sz w:val="21"/>
                      <w:szCs w:val="21"/>
                    </w:rPr>
                  </w:pPr>
                  <w:r>
                    <w:rPr>
                      <w:rFonts w:hint="eastAsia"/>
                      <w:bCs/>
                      <w:color w:val="auto"/>
                      <w:sz w:val="21"/>
                      <w:szCs w:val="21"/>
                    </w:rPr>
                    <w:t>2022-5-23</w:t>
                  </w:r>
                </w:p>
              </w:tc>
              <w:tc>
                <w:tcPr>
                  <w:tcW w:w="1196" w:type="dxa"/>
                  <w:shd w:val="clear" w:color="auto" w:fill="auto"/>
                  <w:vAlign w:val="center"/>
                </w:tcPr>
                <w:p>
                  <w:pPr>
                    <w:jc w:val="center"/>
                    <w:rPr>
                      <w:color w:val="auto"/>
                      <w:kern w:val="0"/>
                      <w:szCs w:val="21"/>
                    </w:rPr>
                  </w:pPr>
                  <w:r>
                    <w:rPr>
                      <w:rFonts w:hint="eastAsia"/>
                      <w:color w:val="auto"/>
                      <w:kern w:val="0"/>
                      <w:szCs w:val="21"/>
                    </w:rPr>
                    <w:t>昼间</w:t>
                  </w:r>
                </w:p>
              </w:tc>
              <w:tc>
                <w:tcPr>
                  <w:tcW w:w="1196" w:type="dxa"/>
                  <w:shd w:val="clear" w:color="auto" w:fill="auto"/>
                  <w:vAlign w:val="center"/>
                </w:tcPr>
                <w:p>
                  <w:pPr>
                    <w:pStyle w:val="8"/>
                    <w:tabs>
                      <w:tab w:val="left" w:pos="5220"/>
                    </w:tabs>
                    <w:spacing w:before="0" w:after="0" w:line="240" w:lineRule="auto"/>
                    <w:ind w:right="0"/>
                    <w:jc w:val="center"/>
                    <w:outlineLvl w:val="2"/>
                    <w:rPr>
                      <w:bCs/>
                      <w:color w:val="auto"/>
                      <w:sz w:val="21"/>
                      <w:szCs w:val="21"/>
                    </w:rPr>
                  </w:pPr>
                  <w:r>
                    <w:rPr>
                      <w:rFonts w:hint="eastAsia"/>
                      <w:bCs/>
                      <w:color w:val="auto"/>
                      <w:sz w:val="21"/>
                      <w:szCs w:val="21"/>
                    </w:rPr>
                    <w:t>57.1</w:t>
                  </w:r>
                </w:p>
              </w:tc>
              <w:tc>
                <w:tcPr>
                  <w:tcW w:w="1196" w:type="dxa"/>
                  <w:shd w:val="clear" w:color="auto" w:fill="auto"/>
                  <w:vAlign w:val="center"/>
                </w:tcPr>
                <w:p>
                  <w:pPr>
                    <w:pStyle w:val="8"/>
                    <w:tabs>
                      <w:tab w:val="left" w:pos="5220"/>
                    </w:tabs>
                    <w:spacing w:before="0" w:after="0" w:line="240" w:lineRule="auto"/>
                    <w:ind w:right="0"/>
                    <w:jc w:val="center"/>
                    <w:outlineLvl w:val="2"/>
                    <w:rPr>
                      <w:bCs/>
                      <w:color w:val="auto"/>
                      <w:sz w:val="21"/>
                      <w:szCs w:val="21"/>
                    </w:rPr>
                  </w:pPr>
                  <w:r>
                    <w:rPr>
                      <w:rFonts w:hint="eastAsia"/>
                      <w:bCs/>
                      <w:color w:val="auto"/>
                      <w:sz w:val="21"/>
                      <w:szCs w:val="21"/>
                    </w:rPr>
                    <w:t>58.5</w:t>
                  </w:r>
                </w:p>
              </w:tc>
              <w:tc>
                <w:tcPr>
                  <w:tcW w:w="1197" w:type="dxa"/>
                  <w:shd w:val="clear" w:color="auto" w:fill="auto"/>
                  <w:vAlign w:val="center"/>
                </w:tcPr>
                <w:p>
                  <w:pPr>
                    <w:pStyle w:val="8"/>
                    <w:tabs>
                      <w:tab w:val="left" w:pos="5220"/>
                    </w:tabs>
                    <w:spacing w:before="0" w:after="0" w:line="240" w:lineRule="auto"/>
                    <w:ind w:right="0"/>
                    <w:jc w:val="center"/>
                    <w:outlineLvl w:val="2"/>
                    <w:rPr>
                      <w:bCs/>
                      <w:color w:val="auto"/>
                      <w:sz w:val="21"/>
                      <w:szCs w:val="21"/>
                    </w:rPr>
                  </w:pPr>
                  <w:r>
                    <w:rPr>
                      <w:rFonts w:hint="eastAsia"/>
                      <w:bCs/>
                      <w:color w:val="auto"/>
                      <w:sz w:val="21"/>
                      <w:szCs w:val="21"/>
                    </w:rPr>
                    <w:t>54.3</w:t>
                  </w:r>
                </w:p>
              </w:tc>
              <w:tc>
                <w:tcPr>
                  <w:tcW w:w="1197" w:type="dxa"/>
                  <w:shd w:val="clear" w:color="auto" w:fill="auto"/>
                  <w:vAlign w:val="center"/>
                </w:tcPr>
                <w:p>
                  <w:pPr>
                    <w:pStyle w:val="8"/>
                    <w:tabs>
                      <w:tab w:val="left" w:pos="5220"/>
                    </w:tabs>
                    <w:spacing w:before="0" w:after="0" w:line="240" w:lineRule="auto"/>
                    <w:ind w:right="0"/>
                    <w:jc w:val="center"/>
                    <w:outlineLvl w:val="2"/>
                    <w:rPr>
                      <w:bCs/>
                      <w:color w:val="auto"/>
                      <w:sz w:val="21"/>
                      <w:szCs w:val="21"/>
                    </w:rPr>
                  </w:pPr>
                  <w:r>
                    <w:rPr>
                      <w:rFonts w:hint="eastAsia"/>
                      <w:bCs/>
                      <w:color w:val="auto"/>
                      <w:sz w:val="21"/>
                      <w:szCs w:val="21"/>
                    </w:rPr>
                    <w:t>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83" w:type="dxa"/>
                  <w:vMerge w:val="continue"/>
                  <w:shd w:val="clear" w:color="auto" w:fill="auto"/>
                  <w:vAlign w:val="center"/>
                </w:tcPr>
                <w:p>
                  <w:pPr>
                    <w:adjustRightInd w:val="0"/>
                    <w:snapToGrid w:val="0"/>
                    <w:jc w:val="center"/>
                    <w:rPr>
                      <w:bCs/>
                      <w:color w:val="auto"/>
                      <w:szCs w:val="21"/>
                    </w:rPr>
                  </w:pPr>
                </w:p>
              </w:tc>
              <w:tc>
                <w:tcPr>
                  <w:tcW w:w="1009" w:type="dxa"/>
                  <w:vMerge w:val="continue"/>
                  <w:shd w:val="clear" w:color="auto" w:fill="auto"/>
                  <w:vAlign w:val="center"/>
                </w:tcPr>
                <w:p>
                  <w:pPr>
                    <w:pStyle w:val="8"/>
                    <w:tabs>
                      <w:tab w:val="left" w:pos="5220"/>
                    </w:tabs>
                    <w:spacing w:before="0" w:after="0" w:line="240" w:lineRule="auto"/>
                    <w:ind w:right="0"/>
                    <w:jc w:val="center"/>
                    <w:outlineLvl w:val="2"/>
                    <w:rPr>
                      <w:bCs/>
                      <w:color w:val="auto"/>
                      <w:sz w:val="21"/>
                      <w:szCs w:val="21"/>
                    </w:rPr>
                  </w:pPr>
                </w:p>
              </w:tc>
              <w:tc>
                <w:tcPr>
                  <w:tcW w:w="1196" w:type="dxa"/>
                  <w:shd w:val="clear" w:color="auto" w:fill="auto"/>
                  <w:vAlign w:val="center"/>
                </w:tcPr>
                <w:p>
                  <w:pPr>
                    <w:pStyle w:val="8"/>
                    <w:tabs>
                      <w:tab w:val="left" w:pos="5220"/>
                    </w:tabs>
                    <w:spacing w:before="0" w:after="0" w:line="240" w:lineRule="auto"/>
                    <w:ind w:right="0"/>
                    <w:jc w:val="center"/>
                    <w:outlineLvl w:val="2"/>
                    <w:rPr>
                      <w:bCs/>
                      <w:color w:val="auto"/>
                      <w:sz w:val="21"/>
                      <w:szCs w:val="21"/>
                    </w:rPr>
                  </w:pPr>
                  <w:r>
                    <w:rPr>
                      <w:rFonts w:hint="eastAsia"/>
                      <w:color w:val="auto"/>
                      <w:szCs w:val="21"/>
                    </w:rPr>
                    <w:t>夜间</w:t>
                  </w:r>
                </w:p>
              </w:tc>
              <w:tc>
                <w:tcPr>
                  <w:tcW w:w="1196" w:type="dxa"/>
                  <w:shd w:val="clear" w:color="auto" w:fill="auto"/>
                  <w:vAlign w:val="center"/>
                </w:tcPr>
                <w:p>
                  <w:pPr>
                    <w:pStyle w:val="8"/>
                    <w:tabs>
                      <w:tab w:val="left" w:pos="5220"/>
                    </w:tabs>
                    <w:spacing w:before="0" w:after="0" w:line="240" w:lineRule="auto"/>
                    <w:ind w:right="0"/>
                    <w:jc w:val="center"/>
                    <w:outlineLvl w:val="2"/>
                    <w:rPr>
                      <w:bCs/>
                      <w:color w:val="auto"/>
                      <w:sz w:val="21"/>
                      <w:szCs w:val="21"/>
                    </w:rPr>
                  </w:pPr>
                  <w:r>
                    <w:rPr>
                      <w:rFonts w:hint="eastAsia"/>
                      <w:bCs/>
                      <w:color w:val="auto"/>
                      <w:sz w:val="21"/>
                      <w:szCs w:val="21"/>
                    </w:rPr>
                    <w:t>44.9</w:t>
                  </w:r>
                </w:p>
              </w:tc>
              <w:tc>
                <w:tcPr>
                  <w:tcW w:w="1196" w:type="dxa"/>
                  <w:shd w:val="clear" w:color="auto" w:fill="auto"/>
                  <w:vAlign w:val="center"/>
                </w:tcPr>
                <w:p>
                  <w:pPr>
                    <w:pStyle w:val="8"/>
                    <w:tabs>
                      <w:tab w:val="left" w:pos="5220"/>
                    </w:tabs>
                    <w:spacing w:before="0" w:after="0" w:line="240" w:lineRule="auto"/>
                    <w:ind w:right="0"/>
                    <w:jc w:val="center"/>
                    <w:outlineLvl w:val="2"/>
                    <w:rPr>
                      <w:bCs/>
                      <w:color w:val="auto"/>
                      <w:sz w:val="21"/>
                      <w:szCs w:val="21"/>
                    </w:rPr>
                  </w:pPr>
                  <w:r>
                    <w:rPr>
                      <w:rFonts w:hint="eastAsia"/>
                      <w:bCs/>
                      <w:color w:val="auto"/>
                      <w:sz w:val="21"/>
                      <w:szCs w:val="21"/>
                    </w:rPr>
                    <w:t>45.0</w:t>
                  </w:r>
                </w:p>
              </w:tc>
              <w:tc>
                <w:tcPr>
                  <w:tcW w:w="1197" w:type="dxa"/>
                  <w:shd w:val="clear" w:color="auto" w:fill="auto"/>
                  <w:vAlign w:val="center"/>
                </w:tcPr>
                <w:p>
                  <w:pPr>
                    <w:pStyle w:val="8"/>
                    <w:tabs>
                      <w:tab w:val="left" w:pos="5220"/>
                    </w:tabs>
                    <w:spacing w:before="0" w:after="0" w:line="240" w:lineRule="auto"/>
                    <w:ind w:right="0"/>
                    <w:jc w:val="center"/>
                    <w:outlineLvl w:val="2"/>
                    <w:rPr>
                      <w:bCs/>
                      <w:color w:val="auto"/>
                      <w:sz w:val="21"/>
                      <w:szCs w:val="21"/>
                    </w:rPr>
                  </w:pPr>
                  <w:r>
                    <w:rPr>
                      <w:rFonts w:hint="eastAsia"/>
                      <w:bCs/>
                      <w:color w:val="auto"/>
                      <w:sz w:val="21"/>
                      <w:szCs w:val="21"/>
                    </w:rPr>
                    <w:t>43.9</w:t>
                  </w:r>
                </w:p>
              </w:tc>
              <w:tc>
                <w:tcPr>
                  <w:tcW w:w="1197" w:type="dxa"/>
                  <w:shd w:val="clear" w:color="auto" w:fill="auto"/>
                  <w:vAlign w:val="center"/>
                </w:tcPr>
                <w:p>
                  <w:pPr>
                    <w:pStyle w:val="8"/>
                    <w:tabs>
                      <w:tab w:val="left" w:pos="5220"/>
                    </w:tabs>
                    <w:spacing w:before="0" w:after="0" w:line="240" w:lineRule="auto"/>
                    <w:ind w:right="0"/>
                    <w:jc w:val="center"/>
                    <w:outlineLvl w:val="2"/>
                    <w:rPr>
                      <w:bCs/>
                      <w:color w:val="auto"/>
                      <w:sz w:val="21"/>
                      <w:szCs w:val="21"/>
                    </w:rPr>
                  </w:pPr>
                  <w:r>
                    <w:rPr>
                      <w:rFonts w:hint="eastAsia"/>
                      <w:bCs/>
                      <w:color w:val="auto"/>
                      <w:sz w:val="21"/>
                      <w:szCs w:val="21"/>
                    </w:rPr>
                    <w:t>43.5</w:t>
                  </w:r>
                </w:p>
              </w:tc>
            </w:tr>
          </w:tbl>
          <w:p>
            <w:pPr>
              <w:pStyle w:val="8"/>
              <w:tabs>
                <w:tab w:val="left" w:pos="5220"/>
              </w:tabs>
              <w:spacing w:before="0" w:after="0" w:line="240" w:lineRule="auto"/>
              <w:ind w:right="0"/>
              <w:jc w:val="center"/>
              <w:outlineLvl w:val="2"/>
              <w:rPr>
                <w:b/>
                <w:bCs/>
                <w:color w:val="auto"/>
                <w:sz w:val="21"/>
                <w:szCs w:val="21"/>
              </w:rPr>
            </w:pPr>
          </w:p>
          <w:p>
            <w:pPr>
              <w:pStyle w:val="8"/>
              <w:tabs>
                <w:tab w:val="left" w:pos="5220"/>
              </w:tabs>
              <w:spacing w:before="0" w:after="0" w:line="360" w:lineRule="auto"/>
              <w:ind w:right="0" w:firstLine="480" w:firstLineChars="200"/>
              <w:outlineLvl w:val="2"/>
              <w:rPr>
                <w:b/>
                <w:color w:val="auto"/>
                <w:szCs w:val="24"/>
              </w:rPr>
            </w:pPr>
            <w:r>
              <w:rPr>
                <w:rFonts w:hint="eastAsia"/>
                <w:bCs/>
                <w:color w:val="auto"/>
                <w:sz w:val="24"/>
              </w:rPr>
              <w:t>根据</w:t>
            </w:r>
            <w:r>
              <w:rPr>
                <w:bCs/>
                <w:color w:val="auto"/>
                <w:sz w:val="24"/>
              </w:rPr>
              <w:t>2-1</w:t>
            </w:r>
            <w:r>
              <w:rPr>
                <w:rFonts w:hint="eastAsia"/>
                <w:bCs/>
                <w:color w:val="auto"/>
                <w:sz w:val="24"/>
              </w:rPr>
              <w:t>1可知</w:t>
            </w:r>
            <w:r>
              <w:rPr>
                <w:bCs/>
                <w:color w:val="auto"/>
                <w:sz w:val="24"/>
              </w:rPr>
              <w:t>，在监测时段内，</w:t>
            </w:r>
            <w:r>
              <w:rPr>
                <w:rFonts w:hint="eastAsia"/>
                <w:bCs/>
                <w:color w:val="auto"/>
                <w:sz w:val="24"/>
              </w:rPr>
              <w:t>昆明红枫湖耐火材料有限公司厂界</w:t>
            </w:r>
            <w:r>
              <w:rPr>
                <w:bCs/>
                <w:color w:val="auto"/>
                <w:sz w:val="24"/>
              </w:rPr>
              <w:t>噪声值可达到</w:t>
            </w:r>
            <w:r>
              <w:rPr>
                <w:color w:val="auto"/>
                <w:sz w:val="24"/>
                <w:szCs w:val="32"/>
              </w:rPr>
              <w:t>《工业企业厂界环境噪声排放标准》（GB12348-2008）中</w:t>
            </w:r>
            <w:r>
              <w:rPr>
                <w:rFonts w:hint="eastAsia"/>
                <w:color w:val="auto"/>
                <w:sz w:val="24"/>
                <w:szCs w:val="32"/>
              </w:rPr>
              <w:t>3</w:t>
            </w:r>
            <w:r>
              <w:rPr>
                <w:color w:val="auto"/>
                <w:sz w:val="24"/>
                <w:szCs w:val="32"/>
              </w:rPr>
              <w:t>类标</w:t>
            </w:r>
            <w:r>
              <w:rPr>
                <w:bCs/>
                <w:color w:val="auto"/>
                <w:sz w:val="24"/>
              </w:rPr>
              <w:t>准</w:t>
            </w:r>
            <w:r>
              <w:rPr>
                <w:rFonts w:hint="eastAsia"/>
                <w:bCs/>
                <w:color w:val="auto"/>
                <w:sz w:val="24"/>
              </w:rPr>
              <w:t>（昼间65dB（A）、夜间55dB（A））</w:t>
            </w:r>
            <w:r>
              <w:rPr>
                <w:bCs/>
                <w:color w:val="auto"/>
                <w:sz w:val="24"/>
              </w:rPr>
              <w:t>。</w:t>
            </w:r>
          </w:p>
          <w:p>
            <w:pPr>
              <w:pStyle w:val="47"/>
              <w:adjustRightInd w:val="0"/>
              <w:snapToGrid w:val="0"/>
              <w:ind w:firstLine="0"/>
              <w:rPr>
                <w:b/>
                <w:color w:val="auto"/>
                <w:szCs w:val="24"/>
              </w:rPr>
            </w:pPr>
            <w:r>
              <w:rPr>
                <w:rFonts w:hint="eastAsia"/>
                <w:b/>
                <w:color w:val="auto"/>
                <w:szCs w:val="24"/>
              </w:rPr>
              <w:t>2.15.4固废</w:t>
            </w:r>
          </w:p>
          <w:p>
            <w:pPr>
              <w:pStyle w:val="6"/>
              <w:spacing w:line="360" w:lineRule="auto"/>
              <w:ind w:firstLine="480"/>
              <w:rPr>
                <w:bCs/>
                <w:color w:val="auto"/>
                <w:sz w:val="24"/>
              </w:rPr>
            </w:pPr>
            <w:r>
              <w:rPr>
                <w:rFonts w:hint="eastAsia"/>
                <w:bCs/>
                <w:color w:val="auto"/>
                <w:sz w:val="24"/>
              </w:rPr>
              <w:t>（1）布袋除尘器粉尘</w:t>
            </w:r>
          </w:p>
          <w:p>
            <w:pPr>
              <w:pStyle w:val="6"/>
              <w:spacing w:line="360" w:lineRule="auto"/>
              <w:ind w:firstLine="480"/>
              <w:rPr>
                <w:bCs/>
                <w:color w:val="auto"/>
                <w:sz w:val="24"/>
              </w:rPr>
            </w:pPr>
            <w:r>
              <w:rPr>
                <w:rFonts w:hint="eastAsia"/>
                <w:bCs/>
                <w:color w:val="auto"/>
                <w:sz w:val="24"/>
              </w:rPr>
              <w:t>破碎研磨车间产生脉冲袋式除尘器收集粉尘收集量为35.64t/a，作为原料投入搅拌器中。</w:t>
            </w:r>
          </w:p>
          <w:p>
            <w:pPr>
              <w:pStyle w:val="6"/>
              <w:spacing w:line="360" w:lineRule="auto"/>
              <w:ind w:firstLine="480"/>
              <w:rPr>
                <w:bCs/>
                <w:color w:val="auto"/>
                <w:sz w:val="24"/>
              </w:rPr>
            </w:pPr>
            <w:r>
              <w:rPr>
                <w:rFonts w:hint="eastAsia"/>
                <w:bCs/>
                <w:color w:val="auto"/>
                <w:sz w:val="24"/>
              </w:rPr>
              <w:t>（2）烟气处理废渣</w:t>
            </w:r>
          </w:p>
          <w:p>
            <w:pPr>
              <w:pStyle w:val="6"/>
              <w:spacing w:line="360" w:lineRule="auto"/>
              <w:ind w:firstLine="480"/>
              <w:rPr>
                <w:bCs/>
                <w:color w:val="auto"/>
                <w:sz w:val="24"/>
              </w:rPr>
            </w:pPr>
            <w:r>
              <w:rPr>
                <w:rFonts w:hint="eastAsia"/>
                <w:bCs/>
                <w:color w:val="auto"/>
                <w:sz w:val="24"/>
              </w:rPr>
              <w:t>项目烟气处理废渣产生量为59.35t/a。作为制砖原料外售给周围砖厂。</w:t>
            </w:r>
          </w:p>
          <w:p>
            <w:pPr>
              <w:pStyle w:val="6"/>
              <w:spacing w:line="360" w:lineRule="auto"/>
              <w:ind w:firstLine="480"/>
              <w:rPr>
                <w:bCs/>
                <w:color w:val="auto"/>
                <w:sz w:val="24"/>
              </w:rPr>
            </w:pPr>
            <w:r>
              <w:rPr>
                <w:rFonts w:hint="eastAsia"/>
                <w:bCs/>
                <w:color w:val="auto"/>
                <w:sz w:val="24"/>
              </w:rPr>
              <w:t>（3）煤气发生炉渣</w:t>
            </w:r>
          </w:p>
          <w:p>
            <w:pPr>
              <w:pStyle w:val="6"/>
              <w:spacing w:line="360" w:lineRule="auto"/>
              <w:ind w:firstLine="480"/>
              <w:rPr>
                <w:bCs/>
                <w:color w:val="auto"/>
                <w:sz w:val="24"/>
              </w:rPr>
            </w:pPr>
            <w:r>
              <w:rPr>
                <w:rFonts w:hint="eastAsia"/>
                <w:bCs/>
                <w:color w:val="auto"/>
                <w:sz w:val="24"/>
              </w:rPr>
              <w:t>根据实际生产经验，煤气发生炉炉渣产生量为用煤量的20%，项目用煤量为6315.8t/a，则炉渣产生量为1263.16t/a。炉渣作为制砖原料外售给周围砖厂。</w:t>
            </w:r>
          </w:p>
          <w:p>
            <w:pPr>
              <w:pStyle w:val="6"/>
              <w:spacing w:line="360" w:lineRule="auto"/>
              <w:ind w:firstLine="480"/>
              <w:rPr>
                <w:bCs/>
                <w:color w:val="auto"/>
                <w:sz w:val="24"/>
              </w:rPr>
            </w:pPr>
            <w:r>
              <w:rPr>
                <w:rFonts w:hint="eastAsia"/>
                <w:bCs/>
                <w:color w:val="auto"/>
                <w:sz w:val="24"/>
              </w:rPr>
              <w:t>（4）不合格产品</w:t>
            </w:r>
          </w:p>
          <w:p>
            <w:pPr>
              <w:pStyle w:val="6"/>
              <w:spacing w:line="360" w:lineRule="auto"/>
              <w:ind w:firstLine="480"/>
              <w:rPr>
                <w:bCs/>
                <w:color w:val="auto"/>
                <w:sz w:val="24"/>
              </w:rPr>
            </w:pPr>
            <w:r>
              <w:rPr>
                <w:rFonts w:hint="eastAsia"/>
                <w:bCs/>
                <w:color w:val="auto"/>
                <w:sz w:val="24"/>
              </w:rPr>
              <w:t>根据实际生产经验，不合格产品产量为产品的0.05%，则项目不合格产品产量为20t/a。不合格产品作为原料投入破碎机中。</w:t>
            </w:r>
          </w:p>
          <w:p>
            <w:pPr>
              <w:pStyle w:val="6"/>
              <w:spacing w:line="360" w:lineRule="auto"/>
              <w:ind w:firstLine="480"/>
              <w:rPr>
                <w:bCs/>
                <w:color w:val="auto"/>
                <w:sz w:val="24"/>
              </w:rPr>
            </w:pPr>
            <w:r>
              <w:rPr>
                <w:rFonts w:hint="eastAsia"/>
                <w:bCs/>
                <w:color w:val="auto"/>
                <w:sz w:val="24"/>
              </w:rPr>
              <w:t>（5）生活垃圾</w:t>
            </w:r>
          </w:p>
          <w:p>
            <w:pPr>
              <w:pStyle w:val="6"/>
              <w:spacing w:line="360" w:lineRule="auto"/>
              <w:ind w:firstLine="480"/>
              <w:rPr>
                <w:bCs/>
                <w:color w:val="auto"/>
                <w:sz w:val="24"/>
              </w:rPr>
            </w:pPr>
            <w:r>
              <w:rPr>
                <w:rFonts w:hint="eastAsia"/>
                <w:bCs/>
                <w:color w:val="auto"/>
                <w:sz w:val="24"/>
              </w:rPr>
              <w:t xml:space="preserve">厂区劳动定员80人，生活垃圾产生量为 </w:t>
            </w:r>
            <w:r>
              <w:rPr>
                <w:bCs/>
                <w:color w:val="auto"/>
                <w:sz w:val="24"/>
              </w:rPr>
              <w:t>40kg/d</w:t>
            </w:r>
            <w:r>
              <w:rPr>
                <w:rFonts w:hint="eastAsia"/>
                <w:bCs/>
                <w:color w:val="auto"/>
                <w:sz w:val="24"/>
              </w:rPr>
              <w:t>，</w:t>
            </w:r>
            <w:r>
              <w:rPr>
                <w:bCs/>
                <w:color w:val="auto"/>
                <w:sz w:val="24"/>
              </w:rPr>
              <w:t>12t/a</w:t>
            </w:r>
            <w:r>
              <w:rPr>
                <w:rFonts w:hint="eastAsia"/>
                <w:bCs/>
                <w:color w:val="auto"/>
                <w:sz w:val="24"/>
              </w:rPr>
              <w:t xml:space="preserve">，废油脂产生量约为 </w:t>
            </w:r>
            <w:r>
              <w:rPr>
                <w:bCs/>
                <w:color w:val="auto"/>
                <w:sz w:val="24"/>
              </w:rPr>
              <w:t>0.5t/a</w:t>
            </w:r>
            <w:r>
              <w:rPr>
                <w:rFonts w:hint="eastAsia"/>
                <w:bCs/>
                <w:color w:val="auto"/>
                <w:sz w:val="24"/>
              </w:rPr>
              <w:t>。生活垃圾由垃圾桶收集后委托环卫部门清运，废油脂由昆明市有兴化工（兴海林油脂加工厂）负责打捞处置。</w:t>
            </w:r>
          </w:p>
          <w:p>
            <w:pPr>
              <w:pStyle w:val="6"/>
              <w:spacing w:line="360" w:lineRule="auto"/>
              <w:ind w:firstLine="480"/>
              <w:rPr>
                <w:bCs/>
                <w:color w:val="auto"/>
                <w:sz w:val="24"/>
              </w:rPr>
            </w:pPr>
            <w:r>
              <w:rPr>
                <w:rFonts w:hint="eastAsia"/>
                <w:bCs/>
                <w:color w:val="auto"/>
                <w:sz w:val="24"/>
              </w:rPr>
              <w:t>（6）煤焦油</w:t>
            </w:r>
          </w:p>
          <w:p>
            <w:pPr>
              <w:widowControl/>
              <w:spacing w:line="360" w:lineRule="auto"/>
              <w:ind w:firstLine="480" w:firstLineChars="200"/>
              <w:jc w:val="left"/>
              <w:rPr>
                <w:bCs/>
                <w:color w:val="auto"/>
                <w:sz w:val="24"/>
              </w:rPr>
            </w:pPr>
            <w:r>
              <w:rPr>
                <w:rFonts w:hint="eastAsia"/>
                <w:bCs/>
                <w:color w:val="auto"/>
                <w:sz w:val="24"/>
              </w:rPr>
              <w:t>煤气发生过程中会产生煤焦油，煤气制备焦油产量为其用煤量的</w:t>
            </w:r>
            <w:r>
              <w:rPr>
                <w:bCs/>
                <w:color w:val="auto"/>
                <w:sz w:val="24"/>
              </w:rPr>
              <w:t>2%~3%</w:t>
            </w:r>
            <w:r>
              <w:rPr>
                <w:rFonts w:hint="eastAsia"/>
                <w:bCs/>
                <w:color w:val="auto"/>
                <w:sz w:val="24"/>
              </w:rPr>
              <w:t>，则煤气发生是产生的煤焦油为57.6，煤焦油为危险固废</w:t>
            </w:r>
            <w:r>
              <w:rPr>
                <w:bCs/>
                <w:color w:val="auto"/>
                <w:sz w:val="24"/>
              </w:rPr>
              <w:t>（HW</w:t>
            </w:r>
            <w:r>
              <w:rPr>
                <w:color w:val="auto"/>
                <w:kern w:val="0"/>
                <w:sz w:val="24"/>
                <w:lang w:bidi="ar"/>
              </w:rPr>
              <w:t>-451-003-11</w:t>
            </w:r>
            <w:r>
              <w:rPr>
                <w:bCs/>
                <w:color w:val="auto"/>
                <w:sz w:val="24"/>
              </w:rPr>
              <w:t>）</w:t>
            </w:r>
            <w:r>
              <w:rPr>
                <w:rFonts w:hint="eastAsia"/>
                <w:bCs/>
                <w:color w:val="auto"/>
                <w:sz w:val="24"/>
              </w:rPr>
              <w:t>。煤焦油收集后暂存于危废暂存间内，定期委托巩义市巩亿达化工产品经销有限公司清运处置。</w:t>
            </w:r>
          </w:p>
          <w:p>
            <w:pPr>
              <w:pStyle w:val="6"/>
              <w:spacing w:line="360" w:lineRule="auto"/>
              <w:ind w:firstLine="480"/>
              <w:rPr>
                <w:bCs/>
                <w:color w:val="auto"/>
                <w:sz w:val="24"/>
              </w:rPr>
            </w:pPr>
            <w:r>
              <w:rPr>
                <w:rFonts w:hint="eastAsia"/>
                <w:bCs/>
                <w:color w:val="auto"/>
                <w:sz w:val="24"/>
              </w:rPr>
              <w:t>（7）废机油</w:t>
            </w:r>
          </w:p>
          <w:p>
            <w:pPr>
              <w:pStyle w:val="6"/>
              <w:spacing w:line="360" w:lineRule="auto"/>
              <w:ind w:firstLine="480"/>
              <w:rPr>
                <w:bCs/>
                <w:color w:val="auto"/>
                <w:sz w:val="24"/>
              </w:rPr>
            </w:pPr>
            <w:r>
              <w:rPr>
                <w:rFonts w:hint="eastAsia"/>
                <w:bCs/>
                <w:color w:val="auto"/>
                <w:sz w:val="24"/>
              </w:rPr>
              <w:t>根据实际情况统计，现有项目废机油年产量为1t/a。废机油为危险废物（HW08-900-214-08），收集后暂存于危废暂存间内，定期委托云南源润再生资源利用有限公司清运处置。</w:t>
            </w:r>
          </w:p>
          <w:p>
            <w:pPr>
              <w:pStyle w:val="47"/>
              <w:adjustRightInd w:val="0"/>
              <w:snapToGrid w:val="0"/>
              <w:ind w:firstLine="0"/>
              <w:rPr>
                <w:b/>
                <w:color w:val="auto"/>
                <w:szCs w:val="24"/>
              </w:rPr>
            </w:pPr>
            <w:r>
              <w:rPr>
                <w:rFonts w:hint="eastAsia"/>
                <w:b/>
                <w:color w:val="auto"/>
                <w:szCs w:val="24"/>
              </w:rPr>
              <w:t>2.16</w:t>
            </w:r>
            <w:r>
              <w:rPr>
                <w:b/>
                <w:color w:val="auto"/>
                <w:szCs w:val="24"/>
              </w:rPr>
              <w:t>现有项目存在的环境问题及整改措施</w:t>
            </w:r>
          </w:p>
          <w:p>
            <w:pPr>
              <w:widowControl/>
              <w:spacing w:line="360" w:lineRule="auto"/>
              <w:ind w:firstLine="480" w:firstLineChars="200"/>
              <w:jc w:val="left"/>
              <w:rPr>
                <w:bCs/>
                <w:color w:val="auto"/>
                <w:sz w:val="24"/>
              </w:rPr>
            </w:pPr>
            <w:r>
              <w:rPr>
                <w:rFonts w:hint="eastAsia"/>
                <w:bCs/>
                <w:color w:val="auto"/>
                <w:sz w:val="24"/>
              </w:rPr>
              <w:t>（1）存在的主要环境问题</w:t>
            </w:r>
          </w:p>
          <w:p>
            <w:pPr>
              <w:widowControl/>
              <w:spacing w:line="360" w:lineRule="auto"/>
              <w:ind w:firstLine="480" w:firstLineChars="200"/>
              <w:jc w:val="left"/>
              <w:rPr>
                <w:bCs/>
                <w:color w:val="auto"/>
                <w:sz w:val="24"/>
              </w:rPr>
            </w:pPr>
            <w:r>
              <w:rPr>
                <w:rFonts w:hint="eastAsia"/>
                <w:bCs/>
                <w:color w:val="auto"/>
                <w:sz w:val="24"/>
              </w:rPr>
              <w:t>①破碎、研磨、筛分工段废气经两台脉冲袋式除尘器处理后无组织排放，不满足《工业炉窑大气污染物综合治理方案》（环大气[2019]56号）中无组织排放控制要求。</w:t>
            </w:r>
          </w:p>
          <w:p>
            <w:pPr>
              <w:widowControl/>
              <w:spacing w:line="360" w:lineRule="auto"/>
              <w:ind w:firstLine="480" w:firstLineChars="200"/>
              <w:jc w:val="left"/>
              <w:rPr>
                <w:bCs/>
                <w:color w:val="auto"/>
                <w:sz w:val="24"/>
              </w:rPr>
            </w:pPr>
            <w:r>
              <w:rPr>
                <w:rFonts w:hint="eastAsia"/>
                <w:bCs/>
                <w:color w:val="auto"/>
                <w:sz w:val="24"/>
              </w:rPr>
              <w:t>②未对初期雨水进行收集处理。</w:t>
            </w:r>
          </w:p>
          <w:p>
            <w:pPr>
              <w:widowControl/>
              <w:spacing w:line="360" w:lineRule="auto"/>
              <w:ind w:firstLine="480" w:firstLineChars="200"/>
              <w:jc w:val="left"/>
              <w:rPr>
                <w:bCs/>
                <w:color w:val="auto"/>
                <w:sz w:val="24"/>
              </w:rPr>
            </w:pPr>
            <w:r>
              <w:rPr>
                <w:rFonts w:hint="eastAsia"/>
                <w:bCs/>
                <w:color w:val="auto"/>
                <w:sz w:val="24"/>
              </w:rPr>
              <w:t>③未按照排污许可证要求开展自行监测。</w:t>
            </w:r>
          </w:p>
          <w:p>
            <w:pPr>
              <w:widowControl/>
              <w:spacing w:line="360" w:lineRule="auto"/>
              <w:ind w:firstLine="480" w:firstLineChars="200"/>
              <w:jc w:val="left"/>
              <w:rPr>
                <w:bCs/>
                <w:color w:val="auto"/>
                <w:sz w:val="24"/>
              </w:rPr>
            </w:pPr>
            <w:r>
              <w:rPr>
                <w:rFonts w:hint="eastAsia"/>
                <w:bCs/>
                <w:color w:val="auto"/>
                <w:sz w:val="24"/>
              </w:rPr>
              <w:t>（2）“以新带老”措施</w:t>
            </w:r>
          </w:p>
          <w:p>
            <w:pPr>
              <w:widowControl/>
              <w:spacing w:line="360" w:lineRule="auto"/>
              <w:ind w:firstLine="480" w:firstLineChars="200"/>
              <w:jc w:val="left"/>
              <w:rPr>
                <w:bCs/>
                <w:color w:val="auto"/>
                <w:sz w:val="24"/>
              </w:rPr>
            </w:pPr>
            <w:r>
              <w:rPr>
                <w:rFonts w:hint="eastAsia"/>
                <w:bCs/>
                <w:color w:val="auto"/>
                <w:sz w:val="24"/>
              </w:rPr>
              <w:t>①新增4套脉冲布袋除尘器，并新建一根高15m排气筒排放破碎车间粉尘。</w:t>
            </w:r>
          </w:p>
          <w:p>
            <w:pPr>
              <w:widowControl/>
              <w:spacing w:line="360" w:lineRule="auto"/>
              <w:ind w:firstLine="480" w:firstLineChars="200"/>
              <w:jc w:val="left"/>
              <w:rPr>
                <w:bCs/>
                <w:color w:val="auto"/>
                <w:sz w:val="24"/>
              </w:rPr>
            </w:pPr>
            <w:r>
              <w:rPr>
                <w:rFonts w:hint="eastAsia"/>
                <w:bCs/>
                <w:color w:val="auto"/>
                <w:sz w:val="24"/>
              </w:rPr>
              <w:t>②新建1座200m</w:t>
            </w:r>
            <w:r>
              <w:rPr>
                <w:rFonts w:hint="eastAsia"/>
                <w:bCs/>
                <w:color w:val="auto"/>
                <w:sz w:val="24"/>
                <w:vertAlign w:val="superscript"/>
              </w:rPr>
              <w:t>3</w:t>
            </w:r>
            <w:r>
              <w:rPr>
                <w:rFonts w:hint="eastAsia"/>
                <w:bCs/>
                <w:color w:val="auto"/>
                <w:sz w:val="24"/>
              </w:rPr>
              <w:t>的初期雨水收集池收集初期雨水。</w:t>
            </w:r>
          </w:p>
          <w:p>
            <w:pPr>
              <w:widowControl/>
              <w:spacing w:line="360" w:lineRule="auto"/>
              <w:ind w:firstLine="480" w:firstLineChars="200"/>
              <w:jc w:val="left"/>
              <w:rPr>
                <w:bCs/>
                <w:color w:val="auto"/>
                <w:sz w:val="24"/>
              </w:rPr>
            </w:pPr>
            <w:r>
              <w:rPr>
                <w:rFonts w:hint="eastAsia"/>
                <w:bCs/>
                <w:color w:val="auto"/>
                <w:sz w:val="24"/>
              </w:rPr>
              <w:t>③建设单位需及时变更排污许可证，并按排污许可证要求开展自行监测。</w:t>
            </w:r>
          </w:p>
          <w:p>
            <w:pPr>
              <w:pStyle w:val="6"/>
              <w:spacing w:line="360" w:lineRule="auto"/>
              <w:ind w:firstLine="480"/>
              <w:rPr>
                <w:color w:val="auto"/>
                <w:sz w:val="24"/>
              </w:rPr>
            </w:pPr>
          </w:p>
          <w:p>
            <w:pPr>
              <w:pStyle w:val="6"/>
              <w:spacing w:line="360" w:lineRule="auto"/>
              <w:ind w:firstLine="480"/>
              <w:rPr>
                <w:color w:val="auto"/>
                <w:sz w:val="24"/>
              </w:rPr>
            </w:pPr>
          </w:p>
          <w:p>
            <w:pPr>
              <w:pStyle w:val="6"/>
              <w:spacing w:line="360" w:lineRule="auto"/>
              <w:ind w:firstLine="480"/>
              <w:rPr>
                <w:color w:val="auto"/>
                <w:sz w:val="24"/>
              </w:rPr>
            </w:pPr>
          </w:p>
          <w:p>
            <w:pPr>
              <w:pStyle w:val="6"/>
              <w:spacing w:line="360" w:lineRule="auto"/>
              <w:ind w:firstLine="480"/>
              <w:rPr>
                <w:color w:val="auto"/>
                <w:sz w:val="24"/>
              </w:rPr>
            </w:pPr>
          </w:p>
          <w:p>
            <w:pPr>
              <w:pStyle w:val="6"/>
              <w:spacing w:line="360" w:lineRule="auto"/>
              <w:ind w:firstLine="480"/>
              <w:rPr>
                <w:color w:val="auto"/>
                <w:sz w:val="24"/>
              </w:rPr>
            </w:pPr>
          </w:p>
          <w:p>
            <w:pPr>
              <w:pStyle w:val="6"/>
              <w:spacing w:line="360" w:lineRule="auto"/>
              <w:ind w:firstLine="0" w:firstLineChars="0"/>
              <w:rPr>
                <w:color w:val="auto"/>
                <w:sz w:val="24"/>
              </w:rPr>
            </w:pPr>
          </w:p>
        </w:tc>
      </w:tr>
    </w:tbl>
    <w:p>
      <w:pPr>
        <w:pStyle w:val="19"/>
        <w:jc w:val="center"/>
        <w:rPr>
          <w:rFonts w:ascii="黑体" w:hAnsi="黑体" w:eastAsia="黑体"/>
          <w:snapToGrid w:val="0"/>
          <w:color w:val="auto"/>
          <w:sz w:val="36"/>
          <w:szCs w:val="36"/>
        </w:rPr>
        <w:sectPr>
          <w:pgSz w:w="11906" w:h="16838"/>
          <w:pgMar w:top="1701" w:right="1531" w:bottom="1701" w:left="1531" w:header="851" w:footer="851" w:gutter="0"/>
          <w:cols w:space="720" w:num="1"/>
          <w:docGrid w:linePitch="312" w:charSpace="0"/>
        </w:sectPr>
      </w:pPr>
    </w:p>
    <w:p>
      <w:pPr>
        <w:pStyle w:val="19"/>
        <w:adjustRightInd w:val="0"/>
        <w:snapToGrid w:val="0"/>
        <w:spacing w:before="0" w:beforeAutospacing="0" w:after="0" w:afterAutospacing="0" w:line="14" w:lineRule="auto"/>
        <w:jc w:val="center"/>
        <w:rPr>
          <w:rFonts w:ascii="黑体" w:hAnsi="黑体" w:eastAsia="黑体"/>
          <w:snapToGrid w:val="0"/>
          <w:color w:val="auto"/>
          <w:sz w:val="30"/>
          <w:szCs w:val="30"/>
        </w:rPr>
      </w:pPr>
    </w:p>
    <w:p>
      <w:pPr>
        <w:pStyle w:val="19"/>
        <w:jc w:val="center"/>
        <w:outlineLvl w:val="0"/>
        <w:rPr>
          <w:rFonts w:ascii="黑体" w:hAnsi="黑体" w:eastAsia="黑体"/>
          <w:snapToGrid w:val="0"/>
          <w:color w:val="auto"/>
          <w:sz w:val="30"/>
          <w:szCs w:val="30"/>
        </w:rPr>
      </w:pPr>
      <w:bookmarkStart w:id="3" w:name="_Toc31056"/>
      <w:r>
        <w:rPr>
          <w:rFonts w:hint="eastAsia" w:ascii="黑体" w:hAnsi="黑体" w:eastAsia="黑体"/>
          <w:snapToGrid w:val="0"/>
          <w:color w:val="auto"/>
          <w:sz w:val="30"/>
          <w:szCs w:val="30"/>
        </w:rPr>
        <w:t>三、区域环境质量现状、环境保护目标及评价标准</w:t>
      </w:r>
      <w:bookmarkEnd w:id="3"/>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84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12" w:type="dxa"/>
            <w:vAlign w:val="center"/>
          </w:tcPr>
          <w:p>
            <w:pPr>
              <w:adjustRightInd w:val="0"/>
              <w:snapToGrid w:val="0"/>
              <w:jc w:val="center"/>
              <w:rPr>
                <w:rFonts w:ascii="宋体" w:hAnsi="宋体" w:cs="宋体"/>
                <w:color w:val="auto"/>
                <w:kern w:val="0"/>
                <w:sz w:val="24"/>
              </w:rPr>
            </w:pPr>
            <w:r>
              <w:rPr>
                <w:rFonts w:hint="eastAsia" w:ascii="宋体" w:hAnsi="宋体" w:cs="宋体"/>
                <w:color w:val="auto"/>
                <w:kern w:val="0"/>
                <w:sz w:val="24"/>
              </w:rPr>
              <w:t>区域</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环境</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质量</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现状</w:t>
            </w:r>
          </w:p>
        </w:tc>
        <w:tc>
          <w:tcPr>
            <w:tcW w:w="8478" w:type="dxa"/>
            <w:vAlign w:val="center"/>
          </w:tcPr>
          <w:p>
            <w:pPr>
              <w:adjustRightInd w:val="0"/>
              <w:snapToGrid w:val="0"/>
              <w:spacing w:line="360" w:lineRule="auto"/>
              <w:rPr>
                <w:b/>
                <w:color w:val="auto"/>
                <w:sz w:val="24"/>
              </w:rPr>
            </w:pPr>
            <w:r>
              <w:rPr>
                <w:rFonts w:hint="eastAsia"/>
                <w:b/>
                <w:color w:val="auto"/>
                <w:sz w:val="24"/>
              </w:rPr>
              <w:t>3.1环境空气质量现状</w:t>
            </w:r>
          </w:p>
          <w:p>
            <w:pPr>
              <w:adjustRightInd w:val="0"/>
              <w:snapToGrid w:val="0"/>
              <w:spacing w:line="360" w:lineRule="auto"/>
              <w:ind w:firstLine="480" w:firstLineChars="200"/>
              <w:jc w:val="left"/>
              <w:rPr>
                <w:color w:val="auto"/>
                <w:sz w:val="24"/>
              </w:rPr>
            </w:pPr>
            <w:r>
              <w:rPr>
                <w:color w:val="auto"/>
                <w:sz w:val="24"/>
              </w:rPr>
              <w:t>本项目位于</w:t>
            </w:r>
            <w:r>
              <w:rPr>
                <w:rFonts w:hint="eastAsia"/>
                <w:color w:val="auto"/>
                <w:sz w:val="24"/>
              </w:rPr>
              <w:t>宜良工业园区北古城片区</w:t>
            </w:r>
            <w:r>
              <w:rPr>
                <w:color w:val="auto"/>
                <w:sz w:val="24"/>
              </w:rPr>
              <w:t>，项目所在地为二类环境空气质量功能区，执行《环境空气质量标准》（GB3095-2012）二级标准。</w:t>
            </w:r>
          </w:p>
          <w:p>
            <w:pPr>
              <w:adjustRightInd w:val="0"/>
              <w:snapToGrid w:val="0"/>
              <w:spacing w:line="360" w:lineRule="auto"/>
              <w:jc w:val="left"/>
              <w:rPr>
                <w:rFonts w:hint="default"/>
                <w:b/>
                <w:color w:val="auto"/>
                <w:sz w:val="24"/>
                <w:lang w:val="en-US" w:eastAsia="zh-CN"/>
              </w:rPr>
            </w:pPr>
            <w:r>
              <w:rPr>
                <w:rFonts w:hint="eastAsia"/>
                <w:b/>
                <w:color w:val="auto"/>
                <w:sz w:val="24"/>
                <w:lang w:val="en-US" w:eastAsia="zh-CN"/>
              </w:rPr>
              <w:t>3.1.1常规污染物</w:t>
            </w:r>
          </w:p>
          <w:p>
            <w:pPr>
              <w:adjustRightInd w:val="0"/>
              <w:snapToGrid w:val="0"/>
              <w:spacing w:line="360" w:lineRule="auto"/>
              <w:ind w:firstLine="480" w:firstLineChars="200"/>
              <w:jc w:val="left"/>
              <w:rPr>
                <w:color w:val="auto"/>
              </w:rPr>
            </w:pPr>
            <w:r>
              <w:rPr>
                <w:color w:val="auto"/>
                <w:sz w:val="24"/>
              </w:rPr>
              <w:t>根据《202</w:t>
            </w:r>
            <w:r>
              <w:rPr>
                <w:rFonts w:hint="eastAsia"/>
                <w:color w:val="auto"/>
                <w:sz w:val="24"/>
              </w:rPr>
              <w:t>1</w:t>
            </w:r>
            <w:r>
              <w:rPr>
                <w:color w:val="auto"/>
                <w:sz w:val="24"/>
              </w:rPr>
              <w:t>年度昆明市生态环境状况公报》：202</w:t>
            </w:r>
            <w:r>
              <w:rPr>
                <w:rFonts w:hint="eastAsia"/>
                <w:color w:val="auto"/>
                <w:sz w:val="24"/>
              </w:rPr>
              <w:t>1</w:t>
            </w:r>
            <w:r>
              <w:rPr>
                <w:color w:val="auto"/>
                <w:sz w:val="24"/>
              </w:rPr>
              <w:t>年昆明市各县</w:t>
            </w:r>
            <w:r>
              <w:rPr>
                <w:rFonts w:hint="eastAsia"/>
                <w:color w:val="auto"/>
                <w:sz w:val="24"/>
              </w:rPr>
              <w:t>（市）区环境空气质量总体保持良好。与2020年相比，宜良县环境空气综合征污染指数有所上升，可达到</w:t>
            </w:r>
            <w:r>
              <w:rPr>
                <w:color w:val="auto"/>
                <w:sz w:val="24"/>
              </w:rPr>
              <w:t>执行《环境空气质量标准》（GB3095-2012）二级标准</w:t>
            </w:r>
            <w:r>
              <w:rPr>
                <w:rFonts w:hint="eastAsia"/>
                <w:color w:val="auto"/>
                <w:sz w:val="24"/>
              </w:rPr>
              <w:t>。</w:t>
            </w:r>
          </w:p>
          <w:p>
            <w:pPr>
              <w:adjustRightInd w:val="0"/>
              <w:snapToGrid w:val="0"/>
              <w:spacing w:line="360" w:lineRule="auto"/>
              <w:jc w:val="left"/>
              <w:rPr>
                <w:b/>
                <w:color w:val="auto"/>
                <w:sz w:val="24"/>
              </w:rPr>
            </w:pPr>
            <w:r>
              <w:rPr>
                <w:rFonts w:hint="eastAsia"/>
                <w:b/>
                <w:color w:val="auto"/>
                <w:sz w:val="24"/>
              </w:rPr>
              <w:t>3.1.2特征污染物</w:t>
            </w:r>
          </w:p>
          <w:p>
            <w:pPr>
              <w:adjustRightInd w:val="0"/>
              <w:snapToGrid w:val="0"/>
              <w:spacing w:line="360" w:lineRule="auto"/>
              <w:ind w:firstLine="480" w:firstLineChars="200"/>
              <w:jc w:val="left"/>
              <w:rPr>
                <w:color w:val="auto"/>
                <w:sz w:val="24"/>
              </w:rPr>
            </w:pPr>
            <w:r>
              <w:rPr>
                <w:rFonts w:hint="eastAsia"/>
                <w:color w:val="auto"/>
                <w:sz w:val="24"/>
              </w:rPr>
              <w:t>本项目为耐火材料生产项目，特征污染物为TSP、</w:t>
            </w:r>
            <w:r>
              <w:rPr>
                <w:rFonts w:hint="eastAsia"/>
                <w:color w:val="auto"/>
                <w:sz w:val="24"/>
                <w:lang w:eastAsia="zh-CN"/>
              </w:rPr>
              <w:t>氟及其化合物（以F计）</w:t>
            </w:r>
            <w:r>
              <w:rPr>
                <w:rFonts w:hint="eastAsia"/>
                <w:color w:val="auto"/>
                <w:sz w:val="24"/>
              </w:rPr>
              <w:t>和氮氧化物。由于特征污染物无可引用的有效数据。我公司委托云南有色金属及制品质量监督检验站对项目场地进行了环境空气质量现状监测，检测时间为2022年8月12日~2022年8月15日。</w:t>
            </w:r>
          </w:p>
          <w:p>
            <w:pPr>
              <w:spacing w:line="360" w:lineRule="auto"/>
              <w:ind w:firstLine="480" w:firstLineChars="200"/>
              <w:rPr>
                <w:color w:val="auto"/>
                <w:sz w:val="24"/>
              </w:rPr>
            </w:pPr>
            <w:r>
              <w:rPr>
                <w:rFonts w:hint="eastAsia"/>
                <w:color w:val="auto"/>
                <w:sz w:val="24"/>
              </w:rPr>
              <w:t>（1）</w:t>
            </w:r>
            <w:r>
              <w:rPr>
                <w:color w:val="auto"/>
                <w:sz w:val="24"/>
              </w:rPr>
              <w:t>监测因子</w:t>
            </w:r>
            <w:r>
              <w:rPr>
                <w:rFonts w:hint="eastAsia"/>
                <w:color w:val="auto"/>
                <w:sz w:val="24"/>
              </w:rPr>
              <w:t>：TSP、</w:t>
            </w:r>
            <w:r>
              <w:rPr>
                <w:rFonts w:hint="eastAsia"/>
                <w:color w:val="auto"/>
                <w:sz w:val="24"/>
                <w:lang w:val="en-US" w:eastAsia="zh-CN"/>
              </w:rPr>
              <w:t>氟化物</w:t>
            </w:r>
            <w:r>
              <w:rPr>
                <w:rFonts w:hint="eastAsia"/>
                <w:color w:val="auto"/>
                <w:sz w:val="24"/>
              </w:rPr>
              <w:t>、NO</w:t>
            </w:r>
            <w:r>
              <w:rPr>
                <w:rFonts w:hint="eastAsia"/>
                <w:color w:val="auto"/>
                <w:sz w:val="24"/>
                <w:vertAlign w:val="subscript"/>
              </w:rPr>
              <w:t>x</w:t>
            </w:r>
            <w:r>
              <w:rPr>
                <w:rFonts w:hint="eastAsia"/>
                <w:color w:val="auto"/>
                <w:sz w:val="24"/>
              </w:rPr>
              <w:t>；</w:t>
            </w:r>
          </w:p>
          <w:p>
            <w:pPr>
              <w:spacing w:line="360" w:lineRule="auto"/>
              <w:ind w:firstLine="480" w:firstLineChars="200"/>
              <w:rPr>
                <w:color w:val="auto"/>
                <w:sz w:val="24"/>
              </w:rPr>
            </w:pPr>
            <w:r>
              <w:rPr>
                <w:rFonts w:hint="eastAsia"/>
                <w:color w:val="auto"/>
                <w:sz w:val="24"/>
              </w:rPr>
              <w:t>（2）</w:t>
            </w:r>
            <w:r>
              <w:rPr>
                <w:color w:val="auto"/>
                <w:sz w:val="24"/>
              </w:rPr>
              <w:t>监测点布置</w:t>
            </w:r>
            <w:r>
              <w:rPr>
                <w:rFonts w:hint="eastAsia"/>
                <w:color w:val="auto"/>
                <w:sz w:val="24"/>
              </w:rPr>
              <w:t>：当季主导风向（西南风）下风向一个监测点位G1</w:t>
            </w:r>
            <w:r>
              <w:rPr>
                <w:color w:val="auto"/>
                <w:sz w:val="24"/>
              </w:rPr>
              <w:t>，具体位置见现状监测布点图</w:t>
            </w:r>
            <w:r>
              <w:rPr>
                <w:rFonts w:hint="eastAsia"/>
                <w:color w:val="auto"/>
                <w:sz w:val="24"/>
              </w:rPr>
              <w:t>；</w:t>
            </w:r>
          </w:p>
          <w:p>
            <w:pPr>
              <w:spacing w:line="360" w:lineRule="auto"/>
              <w:ind w:firstLine="480" w:firstLineChars="200"/>
              <w:rPr>
                <w:color w:val="auto"/>
                <w:sz w:val="24"/>
              </w:rPr>
            </w:pPr>
            <w:r>
              <w:rPr>
                <w:rFonts w:hint="eastAsia"/>
                <w:color w:val="auto"/>
                <w:sz w:val="24"/>
              </w:rPr>
              <w:t>（3）</w:t>
            </w:r>
            <w:r>
              <w:rPr>
                <w:color w:val="auto"/>
                <w:sz w:val="24"/>
              </w:rPr>
              <w:t>监测时间和频率</w:t>
            </w:r>
            <w:r>
              <w:rPr>
                <w:rFonts w:hint="eastAsia"/>
                <w:color w:val="auto"/>
                <w:sz w:val="24"/>
              </w:rPr>
              <w:t>：连续3天采样；</w:t>
            </w:r>
          </w:p>
          <w:p>
            <w:pPr>
              <w:spacing w:line="360" w:lineRule="auto"/>
              <w:ind w:firstLine="480" w:firstLineChars="200"/>
              <w:rPr>
                <w:color w:val="auto"/>
                <w:sz w:val="24"/>
              </w:rPr>
            </w:pPr>
            <w:r>
              <w:rPr>
                <w:rFonts w:hint="eastAsia"/>
                <w:color w:val="auto"/>
                <w:sz w:val="24"/>
              </w:rPr>
              <w:t>（4）</w:t>
            </w:r>
            <w:r>
              <w:rPr>
                <w:color w:val="auto"/>
                <w:sz w:val="24"/>
              </w:rPr>
              <w:t>监测分析方法</w:t>
            </w:r>
            <w:r>
              <w:rPr>
                <w:rFonts w:hint="eastAsia"/>
                <w:color w:val="auto"/>
                <w:sz w:val="24"/>
              </w:rPr>
              <w:t>：</w:t>
            </w:r>
            <w:r>
              <w:rPr>
                <w:color w:val="auto"/>
                <w:sz w:val="24"/>
              </w:rPr>
              <w:t>按照国家环保局颁布的《环境空气质量标准》（GB3095-2012）、《空气和废气监测方法》</w:t>
            </w:r>
            <w:r>
              <w:rPr>
                <w:rFonts w:hint="eastAsia"/>
                <w:color w:val="auto"/>
                <w:sz w:val="24"/>
              </w:rPr>
              <w:t>、</w:t>
            </w:r>
            <w:r>
              <w:rPr>
                <w:color w:val="auto"/>
                <w:sz w:val="24"/>
              </w:rPr>
              <w:t>《环境监测技术规范》中的有关规定执行</w:t>
            </w:r>
            <w:r>
              <w:rPr>
                <w:rFonts w:hint="eastAsia"/>
                <w:color w:val="auto"/>
                <w:sz w:val="24"/>
              </w:rPr>
              <w:t>；</w:t>
            </w:r>
          </w:p>
          <w:p>
            <w:pPr>
              <w:spacing w:line="360" w:lineRule="auto"/>
              <w:ind w:firstLine="480" w:firstLineChars="200"/>
              <w:rPr>
                <w:color w:val="auto"/>
                <w:sz w:val="24"/>
              </w:rPr>
            </w:pPr>
            <w:r>
              <w:rPr>
                <w:rFonts w:hint="eastAsia"/>
                <w:color w:val="auto"/>
                <w:sz w:val="24"/>
              </w:rPr>
              <w:t>（5）监测结果</w:t>
            </w:r>
          </w:p>
          <w:p>
            <w:pPr>
              <w:adjustRightInd w:val="0"/>
              <w:snapToGrid w:val="0"/>
              <w:jc w:val="center"/>
              <w:rPr>
                <w:b/>
                <w:color w:val="auto"/>
              </w:rPr>
            </w:pPr>
            <w:r>
              <w:rPr>
                <w:rFonts w:hint="eastAsia"/>
                <w:b/>
                <w:color w:val="auto"/>
              </w:rPr>
              <w:t>表3-1  环境空气小时值检测结果</w:t>
            </w:r>
          </w:p>
          <w:tbl>
            <w:tblPr>
              <w:tblStyle w:val="2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6"/>
              <w:gridCol w:w="951"/>
              <w:gridCol w:w="1196"/>
              <w:gridCol w:w="1287"/>
              <w:gridCol w:w="716"/>
              <w:gridCol w:w="716"/>
              <w:gridCol w:w="601"/>
              <w:gridCol w:w="716"/>
              <w:gridCol w:w="777"/>
              <w:gridCol w:w="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Header/>
                <w:jc w:val="center"/>
              </w:trPr>
              <w:tc>
                <w:tcPr>
                  <w:tcW w:w="385" w:type="pct"/>
                  <w:vMerge w:val="restart"/>
                  <w:vAlign w:val="center"/>
                </w:tcPr>
                <w:p>
                  <w:pPr>
                    <w:adjustRightInd w:val="0"/>
                    <w:snapToGrid w:val="0"/>
                    <w:jc w:val="center"/>
                    <w:rPr>
                      <w:color w:val="auto"/>
                      <w:szCs w:val="21"/>
                    </w:rPr>
                  </w:pPr>
                  <w:r>
                    <w:rPr>
                      <w:color w:val="auto"/>
                      <w:szCs w:val="21"/>
                    </w:rPr>
                    <w:t>采样</w:t>
                  </w:r>
                </w:p>
                <w:p>
                  <w:pPr>
                    <w:adjustRightInd w:val="0"/>
                    <w:snapToGrid w:val="0"/>
                    <w:jc w:val="center"/>
                    <w:rPr>
                      <w:color w:val="auto"/>
                      <w:szCs w:val="21"/>
                    </w:rPr>
                  </w:pPr>
                  <w:r>
                    <w:rPr>
                      <w:color w:val="auto"/>
                      <w:szCs w:val="21"/>
                    </w:rPr>
                    <w:t>点位</w:t>
                  </w:r>
                </w:p>
              </w:tc>
              <w:tc>
                <w:tcPr>
                  <w:tcW w:w="576" w:type="pct"/>
                  <w:vMerge w:val="restart"/>
                  <w:tcBorders>
                    <w:right w:val="single" w:color="auto" w:sz="4" w:space="0"/>
                  </w:tcBorders>
                  <w:vAlign w:val="center"/>
                </w:tcPr>
                <w:p>
                  <w:pPr>
                    <w:adjustRightInd w:val="0"/>
                    <w:snapToGrid w:val="0"/>
                    <w:jc w:val="center"/>
                    <w:rPr>
                      <w:color w:val="auto"/>
                      <w:szCs w:val="21"/>
                    </w:rPr>
                  </w:pPr>
                  <w:r>
                    <w:rPr>
                      <w:color w:val="auto"/>
                      <w:szCs w:val="21"/>
                    </w:rPr>
                    <w:t>样品</w:t>
                  </w:r>
                </w:p>
                <w:p>
                  <w:pPr>
                    <w:adjustRightInd w:val="0"/>
                    <w:snapToGrid w:val="0"/>
                    <w:jc w:val="center"/>
                    <w:rPr>
                      <w:color w:val="auto"/>
                      <w:szCs w:val="21"/>
                    </w:rPr>
                  </w:pPr>
                  <w:r>
                    <w:rPr>
                      <w:color w:val="auto"/>
                      <w:szCs w:val="21"/>
                    </w:rPr>
                    <w:t>编号</w:t>
                  </w:r>
                </w:p>
              </w:tc>
              <w:tc>
                <w:tcPr>
                  <w:tcW w:w="577" w:type="pct"/>
                  <w:vMerge w:val="restart"/>
                  <w:tcBorders>
                    <w:left w:val="single" w:color="auto" w:sz="4" w:space="0"/>
                    <w:right w:val="single" w:color="auto" w:sz="4" w:space="0"/>
                  </w:tcBorders>
                  <w:vAlign w:val="center"/>
                </w:tcPr>
                <w:p>
                  <w:pPr>
                    <w:adjustRightInd w:val="0"/>
                    <w:snapToGrid w:val="0"/>
                    <w:jc w:val="center"/>
                    <w:rPr>
                      <w:color w:val="auto"/>
                      <w:szCs w:val="21"/>
                    </w:rPr>
                  </w:pPr>
                  <w:r>
                    <w:rPr>
                      <w:color w:val="auto"/>
                      <w:szCs w:val="21"/>
                    </w:rPr>
                    <w:t>采样日期</w:t>
                  </w:r>
                </w:p>
              </w:tc>
              <w:tc>
                <w:tcPr>
                  <w:tcW w:w="517" w:type="pct"/>
                  <w:vMerge w:val="restart"/>
                  <w:tcBorders>
                    <w:left w:val="single" w:color="auto" w:sz="4" w:space="0"/>
                  </w:tcBorders>
                  <w:vAlign w:val="center"/>
                </w:tcPr>
                <w:p>
                  <w:pPr>
                    <w:adjustRightInd w:val="0"/>
                    <w:snapToGrid w:val="0"/>
                    <w:jc w:val="center"/>
                    <w:rPr>
                      <w:color w:val="auto"/>
                      <w:szCs w:val="21"/>
                    </w:rPr>
                  </w:pPr>
                  <w:r>
                    <w:rPr>
                      <w:color w:val="auto"/>
                      <w:szCs w:val="21"/>
                    </w:rPr>
                    <w:t>采样时间</w:t>
                  </w:r>
                </w:p>
              </w:tc>
              <w:tc>
                <w:tcPr>
                  <w:tcW w:w="2943" w:type="pct"/>
                  <w:gridSpan w:val="6"/>
                  <w:tcBorders>
                    <w:right w:val="single" w:color="auto" w:sz="4" w:space="0"/>
                  </w:tcBorders>
                  <w:vAlign w:val="center"/>
                </w:tcPr>
                <w:p>
                  <w:pPr>
                    <w:adjustRightInd w:val="0"/>
                    <w:snapToGrid w:val="0"/>
                    <w:jc w:val="center"/>
                    <w:rPr>
                      <w:color w:val="auto"/>
                      <w:szCs w:val="21"/>
                    </w:rPr>
                  </w:pPr>
                  <w:r>
                    <w:rPr>
                      <w:color w:val="auto"/>
                      <w:szCs w:val="21"/>
                    </w:rPr>
                    <w:t>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Header/>
                <w:jc w:val="center"/>
              </w:trPr>
              <w:tc>
                <w:tcPr>
                  <w:tcW w:w="385" w:type="pct"/>
                  <w:vMerge w:val="continue"/>
                  <w:vAlign w:val="center"/>
                </w:tcPr>
                <w:p>
                  <w:pPr>
                    <w:adjustRightInd w:val="0"/>
                    <w:snapToGrid w:val="0"/>
                    <w:jc w:val="center"/>
                    <w:rPr>
                      <w:color w:val="auto"/>
                      <w:szCs w:val="21"/>
                    </w:rPr>
                  </w:pPr>
                </w:p>
              </w:tc>
              <w:tc>
                <w:tcPr>
                  <w:tcW w:w="576" w:type="pct"/>
                  <w:vMerge w:val="continue"/>
                  <w:tcBorders>
                    <w:right w:val="single" w:color="auto" w:sz="4" w:space="0"/>
                  </w:tcBorders>
                  <w:vAlign w:val="center"/>
                </w:tcPr>
                <w:p>
                  <w:pPr>
                    <w:adjustRightInd w:val="0"/>
                    <w:snapToGrid w:val="0"/>
                    <w:jc w:val="center"/>
                    <w:rPr>
                      <w:color w:val="auto"/>
                      <w:szCs w:val="21"/>
                    </w:rPr>
                  </w:pPr>
                </w:p>
              </w:tc>
              <w:tc>
                <w:tcPr>
                  <w:tcW w:w="577" w:type="pct"/>
                  <w:vMerge w:val="continue"/>
                  <w:tcBorders>
                    <w:left w:val="single" w:color="auto" w:sz="4" w:space="0"/>
                    <w:right w:val="single" w:color="auto" w:sz="4" w:space="0"/>
                  </w:tcBorders>
                  <w:vAlign w:val="center"/>
                </w:tcPr>
                <w:p>
                  <w:pPr>
                    <w:adjustRightInd w:val="0"/>
                    <w:snapToGrid w:val="0"/>
                    <w:jc w:val="center"/>
                    <w:rPr>
                      <w:color w:val="auto"/>
                      <w:szCs w:val="21"/>
                    </w:rPr>
                  </w:pPr>
                </w:p>
              </w:tc>
              <w:tc>
                <w:tcPr>
                  <w:tcW w:w="517" w:type="pct"/>
                  <w:vMerge w:val="continue"/>
                  <w:tcBorders>
                    <w:left w:val="single" w:color="auto" w:sz="4" w:space="0"/>
                  </w:tcBorders>
                  <w:vAlign w:val="center"/>
                </w:tcPr>
                <w:p>
                  <w:pPr>
                    <w:adjustRightInd w:val="0"/>
                    <w:snapToGrid w:val="0"/>
                    <w:jc w:val="center"/>
                    <w:rPr>
                      <w:color w:val="auto"/>
                      <w:szCs w:val="21"/>
                    </w:rPr>
                  </w:pPr>
                </w:p>
              </w:tc>
              <w:tc>
                <w:tcPr>
                  <w:tcW w:w="1437" w:type="pct"/>
                  <w:gridSpan w:val="3"/>
                  <w:tcBorders>
                    <w:right w:val="single" w:color="auto" w:sz="4" w:space="0"/>
                  </w:tcBorders>
                  <w:vAlign w:val="center"/>
                </w:tcPr>
                <w:p>
                  <w:pPr>
                    <w:widowControl/>
                    <w:jc w:val="center"/>
                    <w:rPr>
                      <w:color w:val="auto"/>
                      <w:szCs w:val="21"/>
                    </w:rPr>
                  </w:pPr>
                  <w:r>
                    <w:rPr>
                      <w:color w:val="auto"/>
                      <w:szCs w:val="21"/>
                    </w:rPr>
                    <w:t>氮氧化物</w:t>
                  </w:r>
                </w:p>
              </w:tc>
              <w:tc>
                <w:tcPr>
                  <w:tcW w:w="1505" w:type="pct"/>
                  <w:gridSpan w:val="3"/>
                  <w:tcBorders>
                    <w:right w:val="single" w:color="auto" w:sz="4" w:space="0"/>
                  </w:tcBorders>
                  <w:vAlign w:val="center"/>
                </w:tcPr>
                <w:p>
                  <w:pPr>
                    <w:jc w:val="center"/>
                    <w:rPr>
                      <w:rFonts w:hint="eastAsia" w:eastAsia="宋体"/>
                      <w:color w:val="auto"/>
                      <w:szCs w:val="21"/>
                      <w:lang w:eastAsia="zh-CN"/>
                    </w:rPr>
                  </w:pPr>
                  <w:r>
                    <w:rPr>
                      <w:rFonts w:hint="eastAsia" w:eastAsia="宋体"/>
                      <w:color w:val="auto"/>
                      <w:szCs w:val="21"/>
                      <w:lang w:eastAsia="zh-CN"/>
                    </w:rPr>
                    <w:t>氟化物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Header/>
                <w:jc w:val="center"/>
              </w:trPr>
              <w:tc>
                <w:tcPr>
                  <w:tcW w:w="385" w:type="pct"/>
                  <w:vMerge w:val="continue"/>
                  <w:vAlign w:val="center"/>
                </w:tcPr>
                <w:p>
                  <w:pPr>
                    <w:adjustRightInd w:val="0"/>
                    <w:snapToGrid w:val="0"/>
                    <w:jc w:val="center"/>
                    <w:rPr>
                      <w:color w:val="auto"/>
                      <w:szCs w:val="21"/>
                    </w:rPr>
                  </w:pPr>
                </w:p>
              </w:tc>
              <w:tc>
                <w:tcPr>
                  <w:tcW w:w="576" w:type="pct"/>
                  <w:vMerge w:val="continue"/>
                  <w:tcBorders>
                    <w:right w:val="single" w:color="auto" w:sz="4" w:space="0"/>
                  </w:tcBorders>
                  <w:vAlign w:val="center"/>
                </w:tcPr>
                <w:p>
                  <w:pPr>
                    <w:adjustRightInd w:val="0"/>
                    <w:snapToGrid w:val="0"/>
                    <w:jc w:val="center"/>
                    <w:rPr>
                      <w:color w:val="auto"/>
                      <w:szCs w:val="21"/>
                    </w:rPr>
                  </w:pPr>
                </w:p>
              </w:tc>
              <w:tc>
                <w:tcPr>
                  <w:tcW w:w="577" w:type="pct"/>
                  <w:vMerge w:val="continue"/>
                  <w:tcBorders>
                    <w:left w:val="single" w:color="auto" w:sz="4" w:space="0"/>
                    <w:right w:val="single" w:color="auto" w:sz="4" w:space="0"/>
                  </w:tcBorders>
                  <w:vAlign w:val="center"/>
                </w:tcPr>
                <w:p>
                  <w:pPr>
                    <w:adjustRightInd w:val="0"/>
                    <w:snapToGrid w:val="0"/>
                    <w:jc w:val="center"/>
                    <w:rPr>
                      <w:color w:val="auto"/>
                      <w:szCs w:val="21"/>
                    </w:rPr>
                  </w:pPr>
                </w:p>
              </w:tc>
              <w:tc>
                <w:tcPr>
                  <w:tcW w:w="517" w:type="pct"/>
                  <w:vMerge w:val="continue"/>
                  <w:tcBorders>
                    <w:left w:val="single" w:color="auto" w:sz="4" w:space="0"/>
                  </w:tcBorders>
                  <w:vAlign w:val="center"/>
                </w:tcPr>
                <w:p>
                  <w:pPr>
                    <w:adjustRightInd w:val="0"/>
                    <w:snapToGrid w:val="0"/>
                    <w:jc w:val="center"/>
                    <w:rPr>
                      <w:color w:val="auto"/>
                      <w:szCs w:val="21"/>
                    </w:rPr>
                  </w:pPr>
                </w:p>
              </w:tc>
              <w:tc>
                <w:tcPr>
                  <w:tcW w:w="460" w:type="pct"/>
                  <w:tcBorders>
                    <w:right w:val="single" w:color="auto" w:sz="4" w:space="0"/>
                  </w:tcBorders>
                  <w:vAlign w:val="center"/>
                </w:tcPr>
                <w:p>
                  <w:pPr>
                    <w:widowControl/>
                    <w:jc w:val="center"/>
                    <w:rPr>
                      <w:color w:val="auto"/>
                      <w:szCs w:val="21"/>
                    </w:rPr>
                  </w:pPr>
                  <w:r>
                    <w:rPr>
                      <w:rFonts w:hint="eastAsia"/>
                      <w:color w:val="auto"/>
                      <w:szCs w:val="21"/>
                    </w:rPr>
                    <w:t>浓度ug/m</w:t>
                  </w:r>
                  <w:r>
                    <w:rPr>
                      <w:rFonts w:hint="eastAsia"/>
                      <w:color w:val="auto"/>
                      <w:szCs w:val="21"/>
                      <w:vertAlign w:val="superscript"/>
                    </w:rPr>
                    <w:t>3</w:t>
                  </w:r>
                </w:p>
              </w:tc>
              <w:tc>
                <w:tcPr>
                  <w:tcW w:w="516" w:type="pct"/>
                  <w:tcBorders>
                    <w:left w:val="single" w:color="auto" w:sz="4" w:space="0"/>
                    <w:right w:val="single" w:color="auto" w:sz="4" w:space="0"/>
                  </w:tcBorders>
                  <w:vAlign w:val="center"/>
                </w:tcPr>
                <w:p>
                  <w:pPr>
                    <w:widowControl/>
                    <w:jc w:val="center"/>
                    <w:rPr>
                      <w:color w:val="auto"/>
                      <w:szCs w:val="21"/>
                    </w:rPr>
                  </w:pPr>
                  <w:r>
                    <w:rPr>
                      <w:rFonts w:hint="eastAsia"/>
                      <w:color w:val="auto"/>
                      <w:szCs w:val="21"/>
                    </w:rPr>
                    <w:t>标准值ug/m</w:t>
                  </w:r>
                  <w:r>
                    <w:rPr>
                      <w:rFonts w:hint="eastAsia"/>
                      <w:color w:val="auto"/>
                      <w:szCs w:val="21"/>
                      <w:vertAlign w:val="superscript"/>
                    </w:rPr>
                    <w:t>3</w:t>
                  </w:r>
                </w:p>
              </w:tc>
              <w:tc>
                <w:tcPr>
                  <w:tcW w:w="460" w:type="pct"/>
                  <w:tcBorders>
                    <w:left w:val="single" w:color="auto" w:sz="4" w:space="0"/>
                    <w:right w:val="single" w:color="auto" w:sz="4" w:space="0"/>
                  </w:tcBorders>
                  <w:vAlign w:val="center"/>
                </w:tcPr>
                <w:p>
                  <w:pPr>
                    <w:widowControl/>
                    <w:jc w:val="center"/>
                    <w:rPr>
                      <w:color w:val="auto"/>
                      <w:szCs w:val="21"/>
                    </w:rPr>
                  </w:pPr>
                  <w:r>
                    <w:rPr>
                      <w:rFonts w:hint="eastAsia"/>
                      <w:color w:val="auto"/>
                      <w:szCs w:val="21"/>
                    </w:rPr>
                    <w:t>达标情况</w:t>
                  </w:r>
                </w:p>
              </w:tc>
              <w:tc>
                <w:tcPr>
                  <w:tcW w:w="484" w:type="pct"/>
                  <w:tcBorders>
                    <w:right w:val="single" w:color="auto" w:sz="4" w:space="0"/>
                  </w:tcBorders>
                  <w:vAlign w:val="center"/>
                </w:tcPr>
                <w:p>
                  <w:pPr>
                    <w:widowControl/>
                    <w:jc w:val="center"/>
                    <w:rPr>
                      <w:color w:val="auto"/>
                      <w:szCs w:val="21"/>
                    </w:rPr>
                  </w:pPr>
                  <w:r>
                    <w:rPr>
                      <w:rFonts w:hint="eastAsia"/>
                      <w:color w:val="auto"/>
                      <w:szCs w:val="21"/>
                    </w:rPr>
                    <w:t>浓度ug/m</w:t>
                  </w:r>
                  <w:r>
                    <w:rPr>
                      <w:rFonts w:hint="eastAsia"/>
                      <w:color w:val="auto"/>
                      <w:szCs w:val="21"/>
                      <w:vertAlign w:val="superscript"/>
                    </w:rPr>
                    <w:t>3</w:t>
                  </w:r>
                </w:p>
              </w:tc>
              <w:tc>
                <w:tcPr>
                  <w:tcW w:w="557" w:type="pct"/>
                  <w:tcBorders>
                    <w:left w:val="single" w:color="auto" w:sz="4" w:space="0"/>
                    <w:right w:val="single" w:color="auto" w:sz="4" w:space="0"/>
                  </w:tcBorders>
                  <w:vAlign w:val="center"/>
                </w:tcPr>
                <w:p>
                  <w:pPr>
                    <w:widowControl/>
                    <w:jc w:val="center"/>
                    <w:rPr>
                      <w:color w:val="auto"/>
                      <w:szCs w:val="21"/>
                    </w:rPr>
                  </w:pPr>
                  <w:r>
                    <w:rPr>
                      <w:rFonts w:hint="eastAsia"/>
                      <w:color w:val="auto"/>
                      <w:szCs w:val="21"/>
                    </w:rPr>
                    <w:t>标准值ug/m</w:t>
                  </w:r>
                  <w:r>
                    <w:rPr>
                      <w:rFonts w:hint="eastAsia"/>
                      <w:color w:val="auto"/>
                      <w:szCs w:val="21"/>
                      <w:vertAlign w:val="superscript"/>
                    </w:rPr>
                    <w:t>3</w:t>
                  </w:r>
                </w:p>
              </w:tc>
              <w:tc>
                <w:tcPr>
                  <w:tcW w:w="463" w:type="pct"/>
                  <w:tcBorders>
                    <w:left w:val="single" w:color="auto" w:sz="4" w:space="0"/>
                    <w:right w:val="single" w:color="auto" w:sz="4" w:space="0"/>
                  </w:tcBorders>
                  <w:vAlign w:val="center"/>
                </w:tcPr>
                <w:p>
                  <w:pPr>
                    <w:widowControl/>
                    <w:jc w:val="center"/>
                    <w:rPr>
                      <w:color w:val="auto"/>
                      <w:szCs w:val="21"/>
                    </w:rPr>
                  </w:pPr>
                  <w:r>
                    <w:rPr>
                      <w:rFonts w:hint="eastAsia"/>
                      <w:color w:val="auto"/>
                      <w:szCs w:val="21"/>
                    </w:rPr>
                    <w:t>达标情况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85" w:type="pct"/>
                  <w:vMerge w:val="restart"/>
                  <w:vAlign w:val="center"/>
                </w:tcPr>
                <w:p>
                  <w:pPr>
                    <w:adjustRightInd w:val="0"/>
                    <w:snapToGrid w:val="0"/>
                    <w:jc w:val="center"/>
                    <w:rPr>
                      <w:color w:val="auto"/>
                      <w:szCs w:val="21"/>
                    </w:rPr>
                  </w:pPr>
                  <w:r>
                    <w:rPr>
                      <w:color w:val="auto"/>
                      <w:szCs w:val="21"/>
                    </w:rPr>
                    <w:t>G1项目当季主导风向（西南风）下风向50m处</w:t>
                  </w:r>
                </w:p>
              </w:tc>
              <w:tc>
                <w:tcPr>
                  <w:tcW w:w="576" w:type="pct"/>
                  <w:tcBorders>
                    <w:right w:val="single" w:color="auto" w:sz="4" w:space="0"/>
                  </w:tcBorders>
                  <w:vAlign w:val="center"/>
                </w:tcPr>
                <w:p>
                  <w:pPr>
                    <w:adjustRightInd w:val="0"/>
                    <w:snapToGrid w:val="0"/>
                    <w:jc w:val="center"/>
                    <w:rPr>
                      <w:color w:val="auto"/>
                      <w:szCs w:val="21"/>
                    </w:rPr>
                  </w:pPr>
                  <w:r>
                    <w:rPr>
                      <w:color w:val="auto"/>
                      <w:szCs w:val="21"/>
                    </w:rPr>
                    <w:t>HJ2022</w:t>
                  </w:r>
                </w:p>
                <w:p>
                  <w:pPr>
                    <w:adjustRightInd w:val="0"/>
                    <w:snapToGrid w:val="0"/>
                    <w:jc w:val="center"/>
                    <w:rPr>
                      <w:color w:val="auto"/>
                      <w:szCs w:val="21"/>
                    </w:rPr>
                  </w:pPr>
                  <w:r>
                    <w:rPr>
                      <w:color w:val="auto"/>
                      <w:szCs w:val="21"/>
                    </w:rPr>
                    <w:t>0813203</w:t>
                  </w:r>
                </w:p>
              </w:tc>
              <w:tc>
                <w:tcPr>
                  <w:tcW w:w="577" w:type="pct"/>
                  <w:vMerge w:val="restart"/>
                  <w:tcBorders>
                    <w:left w:val="single" w:color="auto" w:sz="4" w:space="0"/>
                    <w:right w:val="single" w:color="auto" w:sz="4" w:space="0"/>
                  </w:tcBorders>
                  <w:vAlign w:val="center"/>
                </w:tcPr>
                <w:p>
                  <w:pPr>
                    <w:adjustRightInd w:val="0"/>
                    <w:snapToGrid w:val="0"/>
                    <w:jc w:val="center"/>
                    <w:rPr>
                      <w:color w:val="auto"/>
                      <w:szCs w:val="21"/>
                    </w:rPr>
                  </w:pPr>
                  <w:r>
                    <w:rPr>
                      <w:color w:val="auto"/>
                      <w:szCs w:val="21"/>
                    </w:rPr>
                    <w:t>2022</w:t>
                  </w:r>
                </w:p>
                <w:p>
                  <w:pPr>
                    <w:adjustRightInd w:val="0"/>
                    <w:snapToGrid w:val="0"/>
                    <w:jc w:val="center"/>
                    <w:rPr>
                      <w:color w:val="auto"/>
                      <w:szCs w:val="21"/>
                    </w:rPr>
                  </w:pPr>
                  <w:r>
                    <w:rPr>
                      <w:color w:val="auto"/>
                      <w:szCs w:val="21"/>
                    </w:rPr>
                    <w:t>08-12</w:t>
                  </w:r>
                </w:p>
              </w:tc>
              <w:tc>
                <w:tcPr>
                  <w:tcW w:w="517" w:type="pct"/>
                  <w:tcBorders>
                    <w:left w:val="single" w:color="auto" w:sz="4" w:space="0"/>
                  </w:tcBorders>
                  <w:vAlign w:val="center"/>
                </w:tcPr>
                <w:p>
                  <w:pPr>
                    <w:adjustRightInd w:val="0"/>
                    <w:snapToGrid w:val="0"/>
                    <w:jc w:val="center"/>
                    <w:rPr>
                      <w:color w:val="auto"/>
                      <w:szCs w:val="21"/>
                    </w:rPr>
                  </w:pPr>
                  <w:r>
                    <w:rPr>
                      <w:color w:val="auto"/>
                      <w:szCs w:val="21"/>
                    </w:rPr>
                    <w:t>02:00~03:00</w:t>
                  </w:r>
                </w:p>
              </w:tc>
              <w:tc>
                <w:tcPr>
                  <w:tcW w:w="460" w:type="pct"/>
                  <w:tcBorders>
                    <w:right w:val="single" w:color="auto" w:sz="4" w:space="0"/>
                  </w:tcBorders>
                  <w:vAlign w:val="center"/>
                </w:tcPr>
                <w:p>
                  <w:pPr>
                    <w:adjustRightInd w:val="0"/>
                    <w:snapToGrid w:val="0"/>
                    <w:jc w:val="center"/>
                    <w:rPr>
                      <w:color w:val="auto"/>
                      <w:szCs w:val="21"/>
                    </w:rPr>
                  </w:pPr>
                  <w:r>
                    <w:rPr>
                      <w:color w:val="auto"/>
                      <w:szCs w:val="21"/>
                    </w:rPr>
                    <w:t>10</w:t>
                  </w:r>
                </w:p>
              </w:tc>
              <w:tc>
                <w:tcPr>
                  <w:tcW w:w="516" w:type="pct"/>
                  <w:vMerge w:val="restart"/>
                  <w:tcBorders>
                    <w:left w:val="single" w:color="auto" w:sz="4" w:space="0"/>
                    <w:right w:val="single" w:color="auto" w:sz="4" w:space="0"/>
                  </w:tcBorders>
                  <w:vAlign w:val="center"/>
                </w:tcPr>
                <w:p>
                  <w:pPr>
                    <w:adjustRightInd w:val="0"/>
                    <w:snapToGrid w:val="0"/>
                    <w:spacing w:before="120" w:beforeLines="50" w:after="120" w:afterLines="50"/>
                    <w:jc w:val="center"/>
                    <w:rPr>
                      <w:color w:val="auto"/>
                      <w:szCs w:val="21"/>
                    </w:rPr>
                  </w:pPr>
                  <w:r>
                    <w:rPr>
                      <w:rFonts w:hint="eastAsia"/>
                      <w:color w:val="auto"/>
                      <w:szCs w:val="21"/>
                    </w:rPr>
                    <w:t>250</w:t>
                  </w:r>
                </w:p>
              </w:tc>
              <w:tc>
                <w:tcPr>
                  <w:tcW w:w="460" w:type="pct"/>
                  <w:tcBorders>
                    <w:left w:val="single" w:color="auto" w:sz="4" w:space="0"/>
                  </w:tcBorders>
                  <w:vAlign w:val="center"/>
                </w:tcPr>
                <w:p>
                  <w:pPr>
                    <w:adjustRightInd w:val="0"/>
                    <w:snapToGrid w:val="0"/>
                    <w:jc w:val="center"/>
                    <w:rPr>
                      <w:color w:val="auto"/>
                      <w:szCs w:val="21"/>
                    </w:rPr>
                  </w:pPr>
                  <w:r>
                    <w:rPr>
                      <w:rFonts w:hint="eastAsia"/>
                      <w:color w:val="auto"/>
                      <w:szCs w:val="21"/>
                    </w:rPr>
                    <w:t>达标</w:t>
                  </w:r>
                </w:p>
              </w:tc>
              <w:tc>
                <w:tcPr>
                  <w:tcW w:w="484" w:type="pct"/>
                  <w:tcBorders>
                    <w:right w:val="single" w:color="auto" w:sz="4" w:space="0"/>
                  </w:tcBorders>
                  <w:vAlign w:val="center"/>
                </w:tcPr>
                <w:p>
                  <w:pPr>
                    <w:adjustRightInd w:val="0"/>
                    <w:snapToGrid w:val="0"/>
                    <w:jc w:val="center"/>
                    <w:rPr>
                      <w:color w:val="auto"/>
                      <w:szCs w:val="21"/>
                    </w:rPr>
                  </w:pPr>
                  <w:r>
                    <w:rPr>
                      <w:color w:val="auto"/>
                      <w:szCs w:val="21"/>
                    </w:rPr>
                    <w:t>5.4</w:t>
                  </w:r>
                </w:p>
              </w:tc>
              <w:tc>
                <w:tcPr>
                  <w:tcW w:w="557" w:type="pct"/>
                  <w:vMerge w:val="restart"/>
                  <w:tcBorders>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20</w:t>
                  </w:r>
                </w:p>
              </w:tc>
              <w:tc>
                <w:tcPr>
                  <w:tcW w:w="463" w:type="pct"/>
                  <w:tcBorders>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85" w:type="pct"/>
                  <w:vMerge w:val="continue"/>
                  <w:vAlign w:val="center"/>
                </w:tcPr>
                <w:p>
                  <w:pPr>
                    <w:adjustRightInd w:val="0"/>
                    <w:snapToGrid w:val="0"/>
                    <w:jc w:val="center"/>
                    <w:rPr>
                      <w:color w:val="auto"/>
                      <w:szCs w:val="21"/>
                    </w:rPr>
                  </w:pPr>
                </w:p>
              </w:tc>
              <w:tc>
                <w:tcPr>
                  <w:tcW w:w="576" w:type="pct"/>
                  <w:tcBorders>
                    <w:right w:val="single" w:color="auto" w:sz="4" w:space="0"/>
                  </w:tcBorders>
                  <w:vAlign w:val="center"/>
                </w:tcPr>
                <w:p>
                  <w:pPr>
                    <w:adjustRightInd w:val="0"/>
                    <w:snapToGrid w:val="0"/>
                    <w:jc w:val="center"/>
                    <w:rPr>
                      <w:color w:val="auto"/>
                      <w:szCs w:val="21"/>
                    </w:rPr>
                  </w:pPr>
                  <w:r>
                    <w:rPr>
                      <w:color w:val="auto"/>
                      <w:szCs w:val="21"/>
                    </w:rPr>
                    <w:t>HJ2022</w:t>
                  </w:r>
                </w:p>
                <w:p>
                  <w:pPr>
                    <w:adjustRightInd w:val="0"/>
                    <w:snapToGrid w:val="0"/>
                    <w:jc w:val="center"/>
                    <w:rPr>
                      <w:color w:val="auto"/>
                      <w:szCs w:val="21"/>
                    </w:rPr>
                  </w:pPr>
                  <w:r>
                    <w:rPr>
                      <w:color w:val="auto"/>
                      <w:szCs w:val="21"/>
                    </w:rPr>
                    <w:t>0813204</w:t>
                  </w:r>
                </w:p>
              </w:tc>
              <w:tc>
                <w:tcPr>
                  <w:tcW w:w="577" w:type="pct"/>
                  <w:vMerge w:val="continue"/>
                  <w:tcBorders>
                    <w:left w:val="single" w:color="auto" w:sz="4" w:space="0"/>
                    <w:right w:val="single" w:color="auto" w:sz="4" w:space="0"/>
                  </w:tcBorders>
                  <w:vAlign w:val="center"/>
                </w:tcPr>
                <w:p>
                  <w:pPr>
                    <w:adjustRightInd w:val="0"/>
                    <w:snapToGrid w:val="0"/>
                    <w:jc w:val="center"/>
                    <w:rPr>
                      <w:color w:val="auto"/>
                      <w:szCs w:val="21"/>
                    </w:rPr>
                  </w:pPr>
                </w:p>
              </w:tc>
              <w:tc>
                <w:tcPr>
                  <w:tcW w:w="517" w:type="pct"/>
                  <w:tcBorders>
                    <w:left w:val="single" w:color="auto" w:sz="4" w:space="0"/>
                  </w:tcBorders>
                  <w:vAlign w:val="center"/>
                </w:tcPr>
                <w:p>
                  <w:pPr>
                    <w:adjustRightInd w:val="0"/>
                    <w:snapToGrid w:val="0"/>
                    <w:jc w:val="center"/>
                    <w:rPr>
                      <w:color w:val="auto"/>
                      <w:szCs w:val="21"/>
                    </w:rPr>
                  </w:pPr>
                  <w:r>
                    <w:rPr>
                      <w:color w:val="auto"/>
                      <w:szCs w:val="21"/>
                    </w:rPr>
                    <w:t>08:00~09:00</w:t>
                  </w:r>
                </w:p>
              </w:tc>
              <w:tc>
                <w:tcPr>
                  <w:tcW w:w="460" w:type="pct"/>
                  <w:tcBorders>
                    <w:right w:val="single" w:color="auto" w:sz="4" w:space="0"/>
                  </w:tcBorders>
                  <w:vAlign w:val="center"/>
                </w:tcPr>
                <w:p>
                  <w:pPr>
                    <w:adjustRightInd w:val="0"/>
                    <w:snapToGrid w:val="0"/>
                    <w:jc w:val="center"/>
                    <w:rPr>
                      <w:color w:val="auto"/>
                      <w:szCs w:val="21"/>
                    </w:rPr>
                  </w:pPr>
                  <w:r>
                    <w:rPr>
                      <w:color w:val="auto"/>
                      <w:szCs w:val="21"/>
                    </w:rPr>
                    <w:t>10</w:t>
                  </w:r>
                </w:p>
              </w:tc>
              <w:tc>
                <w:tcPr>
                  <w:tcW w:w="516" w:type="pct"/>
                  <w:vMerge w:val="continue"/>
                  <w:tcBorders>
                    <w:left w:val="single" w:color="auto" w:sz="4" w:space="0"/>
                    <w:right w:val="single" w:color="auto" w:sz="4" w:space="0"/>
                  </w:tcBorders>
                  <w:vAlign w:val="center"/>
                </w:tcPr>
                <w:p>
                  <w:pPr>
                    <w:adjustRightInd w:val="0"/>
                    <w:snapToGrid w:val="0"/>
                    <w:spacing w:before="120" w:beforeLines="50" w:after="120" w:afterLines="50"/>
                    <w:jc w:val="center"/>
                    <w:rPr>
                      <w:color w:val="auto"/>
                      <w:szCs w:val="21"/>
                    </w:rPr>
                  </w:pPr>
                </w:p>
              </w:tc>
              <w:tc>
                <w:tcPr>
                  <w:tcW w:w="460" w:type="pct"/>
                  <w:tcBorders>
                    <w:left w:val="single" w:color="auto" w:sz="4" w:space="0"/>
                  </w:tcBorders>
                  <w:vAlign w:val="center"/>
                </w:tcPr>
                <w:p>
                  <w:pPr>
                    <w:adjustRightInd w:val="0"/>
                    <w:snapToGrid w:val="0"/>
                    <w:jc w:val="center"/>
                    <w:rPr>
                      <w:color w:val="auto"/>
                      <w:szCs w:val="21"/>
                    </w:rPr>
                  </w:pPr>
                  <w:r>
                    <w:rPr>
                      <w:rFonts w:hint="eastAsia"/>
                      <w:color w:val="auto"/>
                      <w:szCs w:val="21"/>
                    </w:rPr>
                    <w:t>达标</w:t>
                  </w:r>
                </w:p>
              </w:tc>
              <w:tc>
                <w:tcPr>
                  <w:tcW w:w="484" w:type="pct"/>
                  <w:tcBorders>
                    <w:right w:val="single" w:color="auto" w:sz="4" w:space="0"/>
                  </w:tcBorders>
                  <w:vAlign w:val="center"/>
                </w:tcPr>
                <w:p>
                  <w:pPr>
                    <w:adjustRightInd w:val="0"/>
                    <w:snapToGrid w:val="0"/>
                    <w:jc w:val="center"/>
                    <w:rPr>
                      <w:color w:val="auto"/>
                      <w:szCs w:val="21"/>
                    </w:rPr>
                  </w:pPr>
                  <w:r>
                    <w:rPr>
                      <w:color w:val="auto"/>
                      <w:szCs w:val="21"/>
                    </w:rPr>
                    <w:t>6.2</w:t>
                  </w:r>
                </w:p>
              </w:tc>
              <w:tc>
                <w:tcPr>
                  <w:tcW w:w="557" w:type="pct"/>
                  <w:vMerge w:val="continue"/>
                  <w:tcBorders>
                    <w:left w:val="single" w:color="auto" w:sz="4" w:space="0"/>
                    <w:right w:val="single" w:color="auto" w:sz="4" w:space="0"/>
                  </w:tcBorders>
                  <w:vAlign w:val="center"/>
                </w:tcPr>
                <w:p>
                  <w:pPr>
                    <w:adjustRightInd w:val="0"/>
                    <w:snapToGrid w:val="0"/>
                    <w:jc w:val="center"/>
                    <w:rPr>
                      <w:color w:val="auto"/>
                      <w:szCs w:val="21"/>
                    </w:rPr>
                  </w:pPr>
                </w:p>
              </w:tc>
              <w:tc>
                <w:tcPr>
                  <w:tcW w:w="463" w:type="pct"/>
                  <w:tcBorders>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85" w:type="pct"/>
                  <w:vMerge w:val="continue"/>
                  <w:vAlign w:val="center"/>
                </w:tcPr>
                <w:p>
                  <w:pPr>
                    <w:adjustRightInd w:val="0"/>
                    <w:snapToGrid w:val="0"/>
                    <w:jc w:val="center"/>
                    <w:rPr>
                      <w:color w:val="auto"/>
                      <w:szCs w:val="21"/>
                    </w:rPr>
                  </w:pPr>
                </w:p>
              </w:tc>
              <w:tc>
                <w:tcPr>
                  <w:tcW w:w="576" w:type="pct"/>
                  <w:tcBorders>
                    <w:right w:val="single" w:color="auto" w:sz="4" w:space="0"/>
                  </w:tcBorders>
                  <w:vAlign w:val="center"/>
                </w:tcPr>
                <w:p>
                  <w:pPr>
                    <w:adjustRightInd w:val="0"/>
                    <w:snapToGrid w:val="0"/>
                    <w:jc w:val="center"/>
                    <w:rPr>
                      <w:color w:val="auto"/>
                      <w:szCs w:val="21"/>
                    </w:rPr>
                  </w:pPr>
                  <w:r>
                    <w:rPr>
                      <w:color w:val="auto"/>
                      <w:szCs w:val="21"/>
                    </w:rPr>
                    <w:t>HJ2022</w:t>
                  </w:r>
                </w:p>
                <w:p>
                  <w:pPr>
                    <w:adjustRightInd w:val="0"/>
                    <w:snapToGrid w:val="0"/>
                    <w:jc w:val="center"/>
                    <w:rPr>
                      <w:color w:val="auto"/>
                      <w:szCs w:val="21"/>
                    </w:rPr>
                  </w:pPr>
                  <w:r>
                    <w:rPr>
                      <w:color w:val="auto"/>
                      <w:szCs w:val="21"/>
                    </w:rPr>
                    <w:t>0813205</w:t>
                  </w:r>
                </w:p>
              </w:tc>
              <w:tc>
                <w:tcPr>
                  <w:tcW w:w="577" w:type="pct"/>
                  <w:vMerge w:val="continue"/>
                  <w:tcBorders>
                    <w:left w:val="single" w:color="auto" w:sz="4" w:space="0"/>
                    <w:right w:val="single" w:color="auto" w:sz="4" w:space="0"/>
                  </w:tcBorders>
                  <w:vAlign w:val="center"/>
                </w:tcPr>
                <w:p>
                  <w:pPr>
                    <w:adjustRightInd w:val="0"/>
                    <w:snapToGrid w:val="0"/>
                    <w:jc w:val="center"/>
                    <w:rPr>
                      <w:color w:val="auto"/>
                      <w:szCs w:val="21"/>
                    </w:rPr>
                  </w:pPr>
                </w:p>
              </w:tc>
              <w:tc>
                <w:tcPr>
                  <w:tcW w:w="517" w:type="pct"/>
                  <w:tcBorders>
                    <w:left w:val="single" w:color="auto" w:sz="4" w:space="0"/>
                  </w:tcBorders>
                  <w:vAlign w:val="center"/>
                </w:tcPr>
                <w:p>
                  <w:pPr>
                    <w:adjustRightInd w:val="0"/>
                    <w:snapToGrid w:val="0"/>
                    <w:jc w:val="center"/>
                    <w:rPr>
                      <w:color w:val="auto"/>
                      <w:szCs w:val="21"/>
                    </w:rPr>
                  </w:pPr>
                  <w:r>
                    <w:rPr>
                      <w:color w:val="auto"/>
                      <w:szCs w:val="21"/>
                    </w:rPr>
                    <w:t>14:00~15:00</w:t>
                  </w:r>
                </w:p>
              </w:tc>
              <w:tc>
                <w:tcPr>
                  <w:tcW w:w="460" w:type="pct"/>
                  <w:tcBorders>
                    <w:right w:val="single" w:color="auto" w:sz="4" w:space="0"/>
                  </w:tcBorders>
                  <w:vAlign w:val="center"/>
                </w:tcPr>
                <w:p>
                  <w:pPr>
                    <w:adjustRightInd w:val="0"/>
                    <w:snapToGrid w:val="0"/>
                    <w:jc w:val="center"/>
                    <w:rPr>
                      <w:color w:val="auto"/>
                      <w:szCs w:val="21"/>
                    </w:rPr>
                  </w:pPr>
                  <w:r>
                    <w:rPr>
                      <w:color w:val="auto"/>
                      <w:szCs w:val="21"/>
                    </w:rPr>
                    <w:t>13</w:t>
                  </w:r>
                </w:p>
              </w:tc>
              <w:tc>
                <w:tcPr>
                  <w:tcW w:w="516" w:type="pct"/>
                  <w:vMerge w:val="continue"/>
                  <w:tcBorders>
                    <w:left w:val="single" w:color="auto" w:sz="4" w:space="0"/>
                    <w:right w:val="single" w:color="auto" w:sz="4" w:space="0"/>
                  </w:tcBorders>
                  <w:vAlign w:val="center"/>
                </w:tcPr>
                <w:p>
                  <w:pPr>
                    <w:adjustRightInd w:val="0"/>
                    <w:snapToGrid w:val="0"/>
                    <w:spacing w:before="120" w:beforeLines="50" w:after="120" w:afterLines="50"/>
                    <w:jc w:val="center"/>
                    <w:rPr>
                      <w:color w:val="auto"/>
                      <w:szCs w:val="21"/>
                    </w:rPr>
                  </w:pPr>
                </w:p>
              </w:tc>
              <w:tc>
                <w:tcPr>
                  <w:tcW w:w="460" w:type="pct"/>
                  <w:tcBorders>
                    <w:left w:val="single" w:color="auto" w:sz="4" w:space="0"/>
                  </w:tcBorders>
                  <w:vAlign w:val="center"/>
                </w:tcPr>
                <w:p>
                  <w:pPr>
                    <w:adjustRightInd w:val="0"/>
                    <w:snapToGrid w:val="0"/>
                    <w:jc w:val="center"/>
                    <w:rPr>
                      <w:color w:val="auto"/>
                      <w:szCs w:val="21"/>
                    </w:rPr>
                  </w:pPr>
                  <w:r>
                    <w:rPr>
                      <w:rFonts w:hint="eastAsia"/>
                      <w:color w:val="auto"/>
                      <w:szCs w:val="21"/>
                    </w:rPr>
                    <w:t>达标</w:t>
                  </w:r>
                </w:p>
              </w:tc>
              <w:tc>
                <w:tcPr>
                  <w:tcW w:w="484" w:type="pct"/>
                  <w:tcBorders>
                    <w:right w:val="single" w:color="auto" w:sz="4" w:space="0"/>
                  </w:tcBorders>
                  <w:vAlign w:val="center"/>
                </w:tcPr>
                <w:p>
                  <w:pPr>
                    <w:adjustRightInd w:val="0"/>
                    <w:snapToGrid w:val="0"/>
                    <w:jc w:val="center"/>
                    <w:rPr>
                      <w:color w:val="auto"/>
                      <w:szCs w:val="21"/>
                    </w:rPr>
                  </w:pPr>
                  <w:r>
                    <w:rPr>
                      <w:color w:val="auto"/>
                      <w:szCs w:val="21"/>
                    </w:rPr>
                    <w:t>4.8</w:t>
                  </w:r>
                </w:p>
              </w:tc>
              <w:tc>
                <w:tcPr>
                  <w:tcW w:w="557" w:type="pct"/>
                  <w:vMerge w:val="continue"/>
                  <w:tcBorders>
                    <w:left w:val="single" w:color="auto" w:sz="4" w:space="0"/>
                    <w:right w:val="single" w:color="auto" w:sz="4" w:space="0"/>
                  </w:tcBorders>
                  <w:vAlign w:val="center"/>
                </w:tcPr>
                <w:p>
                  <w:pPr>
                    <w:adjustRightInd w:val="0"/>
                    <w:snapToGrid w:val="0"/>
                    <w:jc w:val="center"/>
                    <w:rPr>
                      <w:color w:val="auto"/>
                      <w:szCs w:val="21"/>
                    </w:rPr>
                  </w:pPr>
                </w:p>
              </w:tc>
              <w:tc>
                <w:tcPr>
                  <w:tcW w:w="463" w:type="pct"/>
                  <w:tcBorders>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85" w:type="pct"/>
                  <w:vMerge w:val="continue"/>
                  <w:vAlign w:val="center"/>
                </w:tcPr>
                <w:p>
                  <w:pPr>
                    <w:adjustRightInd w:val="0"/>
                    <w:snapToGrid w:val="0"/>
                    <w:jc w:val="center"/>
                    <w:rPr>
                      <w:color w:val="auto"/>
                      <w:szCs w:val="21"/>
                    </w:rPr>
                  </w:pPr>
                </w:p>
              </w:tc>
              <w:tc>
                <w:tcPr>
                  <w:tcW w:w="576" w:type="pct"/>
                  <w:tcBorders>
                    <w:right w:val="single" w:color="auto" w:sz="4" w:space="0"/>
                  </w:tcBorders>
                  <w:vAlign w:val="center"/>
                </w:tcPr>
                <w:p>
                  <w:pPr>
                    <w:adjustRightInd w:val="0"/>
                    <w:snapToGrid w:val="0"/>
                    <w:jc w:val="center"/>
                    <w:rPr>
                      <w:color w:val="auto"/>
                      <w:szCs w:val="21"/>
                    </w:rPr>
                  </w:pPr>
                  <w:r>
                    <w:rPr>
                      <w:color w:val="auto"/>
                      <w:szCs w:val="21"/>
                    </w:rPr>
                    <w:t>HJ2022</w:t>
                  </w:r>
                </w:p>
                <w:p>
                  <w:pPr>
                    <w:adjustRightInd w:val="0"/>
                    <w:snapToGrid w:val="0"/>
                    <w:jc w:val="center"/>
                    <w:rPr>
                      <w:color w:val="auto"/>
                      <w:szCs w:val="21"/>
                    </w:rPr>
                  </w:pPr>
                  <w:r>
                    <w:rPr>
                      <w:color w:val="auto"/>
                      <w:szCs w:val="21"/>
                    </w:rPr>
                    <w:t>0813206</w:t>
                  </w:r>
                </w:p>
              </w:tc>
              <w:tc>
                <w:tcPr>
                  <w:tcW w:w="577" w:type="pct"/>
                  <w:vMerge w:val="continue"/>
                  <w:tcBorders>
                    <w:left w:val="single" w:color="auto" w:sz="4" w:space="0"/>
                    <w:bottom w:val="single" w:color="auto" w:sz="4" w:space="0"/>
                    <w:right w:val="single" w:color="auto" w:sz="4" w:space="0"/>
                  </w:tcBorders>
                  <w:vAlign w:val="center"/>
                </w:tcPr>
                <w:p>
                  <w:pPr>
                    <w:adjustRightInd w:val="0"/>
                    <w:snapToGrid w:val="0"/>
                    <w:jc w:val="center"/>
                    <w:rPr>
                      <w:color w:val="auto"/>
                      <w:szCs w:val="21"/>
                    </w:rPr>
                  </w:pPr>
                </w:p>
              </w:tc>
              <w:tc>
                <w:tcPr>
                  <w:tcW w:w="517" w:type="pct"/>
                  <w:tcBorders>
                    <w:left w:val="single" w:color="auto" w:sz="4" w:space="0"/>
                  </w:tcBorders>
                  <w:vAlign w:val="center"/>
                </w:tcPr>
                <w:p>
                  <w:pPr>
                    <w:adjustRightInd w:val="0"/>
                    <w:snapToGrid w:val="0"/>
                    <w:jc w:val="center"/>
                    <w:rPr>
                      <w:color w:val="auto"/>
                      <w:szCs w:val="21"/>
                    </w:rPr>
                  </w:pPr>
                  <w:r>
                    <w:rPr>
                      <w:color w:val="auto"/>
                      <w:szCs w:val="21"/>
                    </w:rPr>
                    <w:t>20:00~21:00</w:t>
                  </w:r>
                </w:p>
              </w:tc>
              <w:tc>
                <w:tcPr>
                  <w:tcW w:w="460" w:type="pct"/>
                  <w:tcBorders>
                    <w:right w:val="single" w:color="auto" w:sz="4" w:space="0"/>
                  </w:tcBorders>
                  <w:vAlign w:val="center"/>
                </w:tcPr>
                <w:p>
                  <w:pPr>
                    <w:adjustRightInd w:val="0"/>
                    <w:snapToGrid w:val="0"/>
                    <w:jc w:val="center"/>
                    <w:rPr>
                      <w:color w:val="auto"/>
                      <w:szCs w:val="21"/>
                    </w:rPr>
                  </w:pPr>
                  <w:r>
                    <w:rPr>
                      <w:color w:val="auto"/>
                      <w:szCs w:val="21"/>
                    </w:rPr>
                    <w:t>12</w:t>
                  </w:r>
                </w:p>
              </w:tc>
              <w:tc>
                <w:tcPr>
                  <w:tcW w:w="516" w:type="pct"/>
                  <w:vMerge w:val="continue"/>
                  <w:tcBorders>
                    <w:left w:val="single" w:color="auto" w:sz="4" w:space="0"/>
                    <w:right w:val="single" w:color="auto" w:sz="4" w:space="0"/>
                  </w:tcBorders>
                  <w:vAlign w:val="center"/>
                </w:tcPr>
                <w:p>
                  <w:pPr>
                    <w:adjustRightInd w:val="0"/>
                    <w:snapToGrid w:val="0"/>
                    <w:spacing w:before="120" w:beforeLines="50" w:after="120" w:afterLines="50"/>
                    <w:jc w:val="center"/>
                    <w:rPr>
                      <w:color w:val="auto"/>
                      <w:szCs w:val="21"/>
                    </w:rPr>
                  </w:pPr>
                </w:p>
              </w:tc>
              <w:tc>
                <w:tcPr>
                  <w:tcW w:w="460" w:type="pct"/>
                  <w:tcBorders>
                    <w:left w:val="single" w:color="auto" w:sz="4" w:space="0"/>
                  </w:tcBorders>
                  <w:vAlign w:val="center"/>
                </w:tcPr>
                <w:p>
                  <w:pPr>
                    <w:adjustRightInd w:val="0"/>
                    <w:snapToGrid w:val="0"/>
                    <w:jc w:val="center"/>
                    <w:rPr>
                      <w:color w:val="auto"/>
                      <w:szCs w:val="21"/>
                    </w:rPr>
                  </w:pPr>
                  <w:r>
                    <w:rPr>
                      <w:rFonts w:hint="eastAsia"/>
                      <w:color w:val="auto"/>
                      <w:szCs w:val="21"/>
                    </w:rPr>
                    <w:t>达标</w:t>
                  </w:r>
                </w:p>
              </w:tc>
              <w:tc>
                <w:tcPr>
                  <w:tcW w:w="484" w:type="pct"/>
                  <w:tcBorders>
                    <w:right w:val="single" w:color="auto" w:sz="4" w:space="0"/>
                  </w:tcBorders>
                  <w:vAlign w:val="center"/>
                </w:tcPr>
                <w:p>
                  <w:pPr>
                    <w:adjustRightInd w:val="0"/>
                    <w:snapToGrid w:val="0"/>
                    <w:jc w:val="center"/>
                    <w:rPr>
                      <w:color w:val="auto"/>
                      <w:szCs w:val="21"/>
                    </w:rPr>
                  </w:pPr>
                  <w:r>
                    <w:rPr>
                      <w:color w:val="auto"/>
                      <w:szCs w:val="21"/>
                    </w:rPr>
                    <w:t>5.6</w:t>
                  </w:r>
                </w:p>
              </w:tc>
              <w:tc>
                <w:tcPr>
                  <w:tcW w:w="557" w:type="pct"/>
                  <w:vMerge w:val="continue"/>
                  <w:tcBorders>
                    <w:left w:val="single" w:color="auto" w:sz="4" w:space="0"/>
                    <w:right w:val="single" w:color="auto" w:sz="4" w:space="0"/>
                  </w:tcBorders>
                  <w:vAlign w:val="center"/>
                </w:tcPr>
                <w:p>
                  <w:pPr>
                    <w:adjustRightInd w:val="0"/>
                    <w:snapToGrid w:val="0"/>
                    <w:jc w:val="center"/>
                    <w:rPr>
                      <w:color w:val="auto"/>
                      <w:szCs w:val="21"/>
                    </w:rPr>
                  </w:pPr>
                </w:p>
              </w:tc>
              <w:tc>
                <w:tcPr>
                  <w:tcW w:w="463" w:type="pct"/>
                  <w:tcBorders>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85" w:type="pct"/>
                  <w:vMerge w:val="continue"/>
                  <w:vAlign w:val="center"/>
                </w:tcPr>
                <w:p>
                  <w:pPr>
                    <w:adjustRightInd w:val="0"/>
                    <w:snapToGrid w:val="0"/>
                    <w:jc w:val="center"/>
                    <w:rPr>
                      <w:color w:val="auto"/>
                      <w:szCs w:val="21"/>
                    </w:rPr>
                  </w:pPr>
                </w:p>
              </w:tc>
              <w:tc>
                <w:tcPr>
                  <w:tcW w:w="576" w:type="pct"/>
                  <w:tcBorders>
                    <w:bottom w:val="single" w:color="auto" w:sz="4" w:space="0"/>
                    <w:right w:val="single" w:color="auto" w:sz="4" w:space="0"/>
                  </w:tcBorders>
                  <w:vAlign w:val="center"/>
                </w:tcPr>
                <w:p>
                  <w:pPr>
                    <w:adjustRightInd w:val="0"/>
                    <w:snapToGrid w:val="0"/>
                    <w:jc w:val="center"/>
                    <w:rPr>
                      <w:color w:val="auto"/>
                      <w:szCs w:val="21"/>
                    </w:rPr>
                  </w:pPr>
                  <w:r>
                    <w:rPr>
                      <w:color w:val="auto"/>
                      <w:szCs w:val="21"/>
                    </w:rPr>
                    <w:t>HJ2022</w:t>
                  </w:r>
                </w:p>
                <w:p>
                  <w:pPr>
                    <w:adjustRightInd w:val="0"/>
                    <w:snapToGrid w:val="0"/>
                    <w:jc w:val="center"/>
                    <w:rPr>
                      <w:color w:val="auto"/>
                      <w:szCs w:val="21"/>
                    </w:rPr>
                  </w:pPr>
                  <w:r>
                    <w:rPr>
                      <w:color w:val="auto"/>
                      <w:szCs w:val="21"/>
                    </w:rPr>
                    <w:t>0814075</w:t>
                  </w:r>
                </w:p>
              </w:tc>
              <w:tc>
                <w:tcPr>
                  <w:tcW w:w="577" w:type="pct"/>
                  <w:vMerge w:val="restart"/>
                  <w:tcBorders>
                    <w:top w:val="single" w:color="auto" w:sz="4" w:space="0"/>
                    <w:left w:val="single" w:color="auto" w:sz="4" w:space="0"/>
                    <w:right w:val="single" w:color="auto" w:sz="4" w:space="0"/>
                  </w:tcBorders>
                  <w:vAlign w:val="center"/>
                </w:tcPr>
                <w:p>
                  <w:pPr>
                    <w:adjustRightInd w:val="0"/>
                    <w:snapToGrid w:val="0"/>
                    <w:jc w:val="center"/>
                    <w:rPr>
                      <w:color w:val="auto"/>
                      <w:szCs w:val="21"/>
                    </w:rPr>
                  </w:pPr>
                  <w:r>
                    <w:rPr>
                      <w:color w:val="auto"/>
                      <w:szCs w:val="21"/>
                    </w:rPr>
                    <w:t>2022-08-13</w:t>
                  </w:r>
                </w:p>
              </w:tc>
              <w:tc>
                <w:tcPr>
                  <w:tcW w:w="517" w:type="pct"/>
                  <w:tcBorders>
                    <w:left w:val="single" w:color="auto" w:sz="4" w:space="0"/>
                    <w:bottom w:val="single" w:color="auto" w:sz="4" w:space="0"/>
                  </w:tcBorders>
                  <w:vAlign w:val="center"/>
                </w:tcPr>
                <w:p>
                  <w:pPr>
                    <w:adjustRightInd w:val="0"/>
                    <w:snapToGrid w:val="0"/>
                    <w:jc w:val="center"/>
                    <w:rPr>
                      <w:color w:val="auto"/>
                      <w:szCs w:val="21"/>
                    </w:rPr>
                  </w:pPr>
                  <w:r>
                    <w:rPr>
                      <w:color w:val="auto"/>
                      <w:szCs w:val="21"/>
                    </w:rPr>
                    <w:t>02:00~03:00</w:t>
                  </w:r>
                </w:p>
              </w:tc>
              <w:tc>
                <w:tcPr>
                  <w:tcW w:w="460" w:type="pct"/>
                  <w:tcBorders>
                    <w:bottom w:val="single" w:color="auto" w:sz="4" w:space="0"/>
                    <w:right w:val="single" w:color="auto" w:sz="4" w:space="0"/>
                  </w:tcBorders>
                  <w:vAlign w:val="center"/>
                </w:tcPr>
                <w:p>
                  <w:pPr>
                    <w:adjustRightInd w:val="0"/>
                    <w:snapToGrid w:val="0"/>
                    <w:jc w:val="center"/>
                    <w:rPr>
                      <w:color w:val="auto"/>
                      <w:szCs w:val="21"/>
                    </w:rPr>
                  </w:pPr>
                  <w:r>
                    <w:rPr>
                      <w:color w:val="auto"/>
                      <w:szCs w:val="21"/>
                    </w:rPr>
                    <w:t>11</w:t>
                  </w:r>
                </w:p>
              </w:tc>
              <w:tc>
                <w:tcPr>
                  <w:tcW w:w="516" w:type="pct"/>
                  <w:vMerge w:val="continue"/>
                  <w:tcBorders>
                    <w:left w:val="single" w:color="auto" w:sz="4" w:space="0"/>
                    <w:right w:val="single" w:color="auto" w:sz="4" w:space="0"/>
                  </w:tcBorders>
                  <w:vAlign w:val="center"/>
                </w:tcPr>
                <w:p>
                  <w:pPr>
                    <w:adjustRightInd w:val="0"/>
                    <w:snapToGrid w:val="0"/>
                    <w:spacing w:before="120" w:beforeLines="50" w:after="120" w:afterLines="50"/>
                    <w:jc w:val="center"/>
                    <w:rPr>
                      <w:color w:val="auto"/>
                      <w:szCs w:val="21"/>
                    </w:rPr>
                  </w:pPr>
                </w:p>
              </w:tc>
              <w:tc>
                <w:tcPr>
                  <w:tcW w:w="460" w:type="pct"/>
                  <w:tcBorders>
                    <w:left w:val="single" w:color="auto" w:sz="4" w:space="0"/>
                    <w:bottom w:val="single" w:color="auto" w:sz="4" w:space="0"/>
                  </w:tcBorders>
                  <w:vAlign w:val="center"/>
                </w:tcPr>
                <w:p>
                  <w:pPr>
                    <w:adjustRightInd w:val="0"/>
                    <w:snapToGrid w:val="0"/>
                    <w:jc w:val="center"/>
                    <w:rPr>
                      <w:color w:val="auto"/>
                      <w:szCs w:val="21"/>
                    </w:rPr>
                  </w:pPr>
                  <w:r>
                    <w:rPr>
                      <w:rFonts w:hint="eastAsia"/>
                      <w:color w:val="auto"/>
                      <w:szCs w:val="21"/>
                    </w:rPr>
                    <w:t>达标</w:t>
                  </w:r>
                </w:p>
              </w:tc>
              <w:tc>
                <w:tcPr>
                  <w:tcW w:w="484" w:type="pct"/>
                  <w:tcBorders>
                    <w:right w:val="single" w:color="auto" w:sz="4" w:space="0"/>
                  </w:tcBorders>
                  <w:vAlign w:val="center"/>
                </w:tcPr>
                <w:p>
                  <w:pPr>
                    <w:adjustRightInd w:val="0"/>
                    <w:snapToGrid w:val="0"/>
                    <w:jc w:val="center"/>
                    <w:rPr>
                      <w:color w:val="auto"/>
                      <w:szCs w:val="21"/>
                    </w:rPr>
                  </w:pPr>
                  <w:r>
                    <w:rPr>
                      <w:color w:val="auto"/>
                      <w:szCs w:val="21"/>
                    </w:rPr>
                    <w:t>4.7</w:t>
                  </w:r>
                </w:p>
              </w:tc>
              <w:tc>
                <w:tcPr>
                  <w:tcW w:w="557" w:type="pct"/>
                  <w:vMerge w:val="continue"/>
                  <w:tcBorders>
                    <w:left w:val="single" w:color="auto" w:sz="4" w:space="0"/>
                    <w:right w:val="single" w:color="auto" w:sz="4" w:space="0"/>
                  </w:tcBorders>
                  <w:vAlign w:val="center"/>
                </w:tcPr>
                <w:p>
                  <w:pPr>
                    <w:adjustRightInd w:val="0"/>
                    <w:snapToGrid w:val="0"/>
                    <w:jc w:val="center"/>
                    <w:rPr>
                      <w:color w:val="auto"/>
                      <w:szCs w:val="21"/>
                    </w:rPr>
                  </w:pPr>
                </w:p>
              </w:tc>
              <w:tc>
                <w:tcPr>
                  <w:tcW w:w="463" w:type="pct"/>
                  <w:tcBorders>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85" w:type="pct"/>
                  <w:vMerge w:val="continue"/>
                  <w:vAlign w:val="center"/>
                </w:tcPr>
                <w:p>
                  <w:pPr>
                    <w:adjustRightInd w:val="0"/>
                    <w:snapToGrid w:val="0"/>
                    <w:jc w:val="center"/>
                    <w:rPr>
                      <w:color w:val="auto"/>
                      <w:szCs w:val="21"/>
                    </w:rPr>
                  </w:pPr>
                </w:p>
              </w:tc>
              <w:tc>
                <w:tcPr>
                  <w:tcW w:w="576" w:type="pct"/>
                  <w:tcBorders>
                    <w:right w:val="single" w:color="auto" w:sz="4" w:space="0"/>
                  </w:tcBorders>
                  <w:vAlign w:val="center"/>
                </w:tcPr>
                <w:p>
                  <w:pPr>
                    <w:adjustRightInd w:val="0"/>
                    <w:snapToGrid w:val="0"/>
                    <w:jc w:val="center"/>
                    <w:rPr>
                      <w:color w:val="auto"/>
                      <w:szCs w:val="21"/>
                    </w:rPr>
                  </w:pPr>
                  <w:r>
                    <w:rPr>
                      <w:color w:val="auto"/>
                      <w:szCs w:val="21"/>
                    </w:rPr>
                    <w:t>HJ2022</w:t>
                  </w:r>
                </w:p>
                <w:p>
                  <w:pPr>
                    <w:adjustRightInd w:val="0"/>
                    <w:snapToGrid w:val="0"/>
                    <w:jc w:val="center"/>
                    <w:rPr>
                      <w:color w:val="auto"/>
                      <w:szCs w:val="21"/>
                    </w:rPr>
                  </w:pPr>
                  <w:r>
                    <w:rPr>
                      <w:color w:val="auto"/>
                      <w:szCs w:val="21"/>
                    </w:rPr>
                    <w:t>0814076</w:t>
                  </w:r>
                </w:p>
              </w:tc>
              <w:tc>
                <w:tcPr>
                  <w:tcW w:w="577" w:type="pct"/>
                  <w:vMerge w:val="continue"/>
                  <w:tcBorders>
                    <w:left w:val="single" w:color="auto" w:sz="4" w:space="0"/>
                    <w:right w:val="single" w:color="auto" w:sz="4" w:space="0"/>
                  </w:tcBorders>
                  <w:vAlign w:val="center"/>
                </w:tcPr>
                <w:p>
                  <w:pPr>
                    <w:adjustRightInd w:val="0"/>
                    <w:snapToGrid w:val="0"/>
                    <w:jc w:val="center"/>
                    <w:rPr>
                      <w:color w:val="auto"/>
                      <w:szCs w:val="21"/>
                    </w:rPr>
                  </w:pPr>
                </w:p>
              </w:tc>
              <w:tc>
                <w:tcPr>
                  <w:tcW w:w="517" w:type="pct"/>
                  <w:tcBorders>
                    <w:left w:val="single" w:color="auto" w:sz="4" w:space="0"/>
                  </w:tcBorders>
                  <w:vAlign w:val="center"/>
                </w:tcPr>
                <w:p>
                  <w:pPr>
                    <w:adjustRightInd w:val="0"/>
                    <w:snapToGrid w:val="0"/>
                    <w:jc w:val="center"/>
                    <w:rPr>
                      <w:color w:val="auto"/>
                      <w:szCs w:val="21"/>
                    </w:rPr>
                  </w:pPr>
                  <w:r>
                    <w:rPr>
                      <w:color w:val="auto"/>
                      <w:szCs w:val="21"/>
                    </w:rPr>
                    <w:t>08:00~09:00</w:t>
                  </w:r>
                </w:p>
              </w:tc>
              <w:tc>
                <w:tcPr>
                  <w:tcW w:w="460" w:type="pct"/>
                  <w:tcBorders>
                    <w:right w:val="single" w:color="auto" w:sz="4" w:space="0"/>
                  </w:tcBorders>
                  <w:vAlign w:val="center"/>
                </w:tcPr>
                <w:p>
                  <w:pPr>
                    <w:adjustRightInd w:val="0"/>
                    <w:snapToGrid w:val="0"/>
                    <w:jc w:val="center"/>
                    <w:rPr>
                      <w:color w:val="auto"/>
                      <w:szCs w:val="21"/>
                    </w:rPr>
                  </w:pPr>
                  <w:r>
                    <w:rPr>
                      <w:color w:val="auto"/>
                      <w:szCs w:val="21"/>
                    </w:rPr>
                    <w:t>10</w:t>
                  </w:r>
                </w:p>
              </w:tc>
              <w:tc>
                <w:tcPr>
                  <w:tcW w:w="516" w:type="pct"/>
                  <w:vMerge w:val="continue"/>
                  <w:tcBorders>
                    <w:left w:val="single" w:color="auto" w:sz="4" w:space="0"/>
                    <w:right w:val="single" w:color="auto" w:sz="4" w:space="0"/>
                  </w:tcBorders>
                  <w:vAlign w:val="center"/>
                </w:tcPr>
                <w:p>
                  <w:pPr>
                    <w:adjustRightInd w:val="0"/>
                    <w:snapToGrid w:val="0"/>
                    <w:spacing w:before="120" w:beforeLines="50" w:after="120" w:afterLines="50"/>
                    <w:jc w:val="center"/>
                    <w:rPr>
                      <w:color w:val="auto"/>
                      <w:szCs w:val="21"/>
                    </w:rPr>
                  </w:pPr>
                </w:p>
              </w:tc>
              <w:tc>
                <w:tcPr>
                  <w:tcW w:w="460" w:type="pct"/>
                  <w:tcBorders>
                    <w:left w:val="single" w:color="auto" w:sz="4" w:space="0"/>
                  </w:tcBorders>
                  <w:vAlign w:val="center"/>
                </w:tcPr>
                <w:p>
                  <w:pPr>
                    <w:adjustRightInd w:val="0"/>
                    <w:snapToGrid w:val="0"/>
                    <w:jc w:val="center"/>
                    <w:rPr>
                      <w:color w:val="auto"/>
                      <w:szCs w:val="21"/>
                    </w:rPr>
                  </w:pPr>
                  <w:r>
                    <w:rPr>
                      <w:rFonts w:hint="eastAsia"/>
                      <w:color w:val="auto"/>
                      <w:szCs w:val="21"/>
                    </w:rPr>
                    <w:t>达标</w:t>
                  </w:r>
                </w:p>
              </w:tc>
              <w:tc>
                <w:tcPr>
                  <w:tcW w:w="484" w:type="pct"/>
                  <w:tcBorders>
                    <w:right w:val="single" w:color="auto" w:sz="4" w:space="0"/>
                  </w:tcBorders>
                  <w:vAlign w:val="center"/>
                </w:tcPr>
                <w:p>
                  <w:pPr>
                    <w:adjustRightInd w:val="0"/>
                    <w:snapToGrid w:val="0"/>
                    <w:jc w:val="center"/>
                    <w:rPr>
                      <w:color w:val="auto"/>
                      <w:szCs w:val="21"/>
                    </w:rPr>
                  </w:pPr>
                  <w:r>
                    <w:rPr>
                      <w:color w:val="auto"/>
                      <w:szCs w:val="21"/>
                    </w:rPr>
                    <w:t>6.8</w:t>
                  </w:r>
                </w:p>
              </w:tc>
              <w:tc>
                <w:tcPr>
                  <w:tcW w:w="557" w:type="pct"/>
                  <w:vMerge w:val="continue"/>
                  <w:tcBorders>
                    <w:left w:val="single" w:color="auto" w:sz="4" w:space="0"/>
                    <w:right w:val="single" w:color="auto" w:sz="4" w:space="0"/>
                  </w:tcBorders>
                  <w:vAlign w:val="center"/>
                </w:tcPr>
                <w:p>
                  <w:pPr>
                    <w:adjustRightInd w:val="0"/>
                    <w:snapToGrid w:val="0"/>
                    <w:jc w:val="center"/>
                    <w:rPr>
                      <w:color w:val="auto"/>
                      <w:szCs w:val="21"/>
                    </w:rPr>
                  </w:pPr>
                </w:p>
              </w:tc>
              <w:tc>
                <w:tcPr>
                  <w:tcW w:w="463" w:type="pct"/>
                  <w:tcBorders>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85" w:type="pct"/>
                  <w:vMerge w:val="continue"/>
                  <w:vAlign w:val="center"/>
                </w:tcPr>
                <w:p>
                  <w:pPr>
                    <w:adjustRightInd w:val="0"/>
                    <w:snapToGrid w:val="0"/>
                    <w:jc w:val="center"/>
                    <w:rPr>
                      <w:color w:val="auto"/>
                      <w:szCs w:val="21"/>
                    </w:rPr>
                  </w:pPr>
                </w:p>
              </w:tc>
              <w:tc>
                <w:tcPr>
                  <w:tcW w:w="576" w:type="pct"/>
                  <w:tcBorders>
                    <w:right w:val="single" w:color="auto" w:sz="4" w:space="0"/>
                  </w:tcBorders>
                  <w:vAlign w:val="center"/>
                </w:tcPr>
                <w:p>
                  <w:pPr>
                    <w:adjustRightInd w:val="0"/>
                    <w:snapToGrid w:val="0"/>
                    <w:jc w:val="center"/>
                    <w:rPr>
                      <w:color w:val="auto"/>
                      <w:szCs w:val="21"/>
                    </w:rPr>
                  </w:pPr>
                  <w:r>
                    <w:rPr>
                      <w:color w:val="auto"/>
                      <w:szCs w:val="21"/>
                    </w:rPr>
                    <w:t>HJ2022</w:t>
                  </w:r>
                </w:p>
                <w:p>
                  <w:pPr>
                    <w:adjustRightInd w:val="0"/>
                    <w:snapToGrid w:val="0"/>
                    <w:jc w:val="center"/>
                    <w:rPr>
                      <w:color w:val="auto"/>
                      <w:szCs w:val="21"/>
                    </w:rPr>
                  </w:pPr>
                  <w:r>
                    <w:rPr>
                      <w:color w:val="auto"/>
                      <w:szCs w:val="21"/>
                    </w:rPr>
                    <w:t>0814077</w:t>
                  </w:r>
                </w:p>
              </w:tc>
              <w:tc>
                <w:tcPr>
                  <w:tcW w:w="577" w:type="pct"/>
                  <w:vMerge w:val="continue"/>
                  <w:tcBorders>
                    <w:left w:val="single" w:color="auto" w:sz="4" w:space="0"/>
                    <w:right w:val="single" w:color="auto" w:sz="4" w:space="0"/>
                  </w:tcBorders>
                  <w:vAlign w:val="center"/>
                </w:tcPr>
                <w:p>
                  <w:pPr>
                    <w:adjustRightInd w:val="0"/>
                    <w:snapToGrid w:val="0"/>
                    <w:jc w:val="center"/>
                    <w:rPr>
                      <w:color w:val="auto"/>
                      <w:szCs w:val="21"/>
                    </w:rPr>
                  </w:pPr>
                </w:p>
              </w:tc>
              <w:tc>
                <w:tcPr>
                  <w:tcW w:w="517" w:type="pct"/>
                  <w:tcBorders>
                    <w:left w:val="single" w:color="auto" w:sz="4" w:space="0"/>
                  </w:tcBorders>
                  <w:vAlign w:val="center"/>
                </w:tcPr>
                <w:p>
                  <w:pPr>
                    <w:adjustRightInd w:val="0"/>
                    <w:snapToGrid w:val="0"/>
                    <w:jc w:val="center"/>
                    <w:rPr>
                      <w:color w:val="auto"/>
                      <w:szCs w:val="21"/>
                    </w:rPr>
                  </w:pPr>
                  <w:r>
                    <w:rPr>
                      <w:color w:val="auto"/>
                      <w:szCs w:val="21"/>
                    </w:rPr>
                    <w:t>14:00~15:00</w:t>
                  </w:r>
                </w:p>
              </w:tc>
              <w:tc>
                <w:tcPr>
                  <w:tcW w:w="460" w:type="pct"/>
                  <w:tcBorders>
                    <w:right w:val="single" w:color="auto" w:sz="4" w:space="0"/>
                  </w:tcBorders>
                  <w:vAlign w:val="center"/>
                </w:tcPr>
                <w:p>
                  <w:pPr>
                    <w:adjustRightInd w:val="0"/>
                    <w:snapToGrid w:val="0"/>
                    <w:jc w:val="center"/>
                    <w:rPr>
                      <w:color w:val="auto"/>
                      <w:szCs w:val="21"/>
                    </w:rPr>
                  </w:pPr>
                  <w:r>
                    <w:rPr>
                      <w:color w:val="auto"/>
                      <w:szCs w:val="21"/>
                    </w:rPr>
                    <w:t>13</w:t>
                  </w:r>
                </w:p>
              </w:tc>
              <w:tc>
                <w:tcPr>
                  <w:tcW w:w="516" w:type="pct"/>
                  <w:vMerge w:val="continue"/>
                  <w:tcBorders>
                    <w:left w:val="single" w:color="auto" w:sz="4" w:space="0"/>
                    <w:right w:val="single" w:color="auto" w:sz="4" w:space="0"/>
                  </w:tcBorders>
                  <w:vAlign w:val="center"/>
                </w:tcPr>
                <w:p>
                  <w:pPr>
                    <w:adjustRightInd w:val="0"/>
                    <w:snapToGrid w:val="0"/>
                    <w:spacing w:before="120" w:beforeLines="50" w:after="120" w:afterLines="50"/>
                    <w:jc w:val="center"/>
                    <w:rPr>
                      <w:color w:val="auto"/>
                      <w:szCs w:val="21"/>
                    </w:rPr>
                  </w:pPr>
                </w:p>
              </w:tc>
              <w:tc>
                <w:tcPr>
                  <w:tcW w:w="460" w:type="pct"/>
                  <w:tcBorders>
                    <w:left w:val="single" w:color="auto" w:sz="4" w:space="0"/>
                  </w:tcBorders>
                  <w:vAlign w:val="center"/>
                </w:tcPr>
                <w:p>
                  <w:pPr>
                    <w:adjustRightInd w:val="0"/>
                    <w:snapToGrid w:val="0"/>
                    <w:jc w:val="center"/>
                    <w:rPr>
                      <w:color w:val="auto"/>
                      <w:szCs w:val="21"/>
                    </w:rPr>
                  </w:pPr>
                  <w:r>
                    <w:rPr>
                      <w:rFonts w:hint="eastAsia"/>
                      <w:color w:val="auto"/>
                      <w:szCs w:val="21"/>
                    </w:rPr>
                    <w:t>达标</w:t>
                  </w:r>
                </w:p>
              </w:tc>
              <w:tc>
                <w:tcPr>
                  <w:tcW w:w="484" w:type="pct"/>
                  <w:tcBorders>
                    <w:right w:val="single" w:color="auto" w:sz="4" w:space="0"/>
                  </w:tcBorders>
                  <w:vAlign w:val="center"/>
                </w:tcPr>
                <w:p>
                  <w:pPr>
                    <w:adjustRightInd w:val="0"/>
                    <w:snapToGrid w:val="0"/>
                    <w:jc w:val="center"/>
                    <w:rPr>
                      <w:color w:val="auto"/>
                      <w:szCs w:val="21"/>
                    </w:rPr>
                  </w:pPr>
                  <w:r>
                    <w:rPr>
                      <w:color w:val="auto"/>
                      <w:szCs w:val="21"/>
                    </w:rPr>
                    <w:t>4.0</w:t>
                  </w:r>
                </w:p>
              </w:tc>
              <w:tc>
                <w:tcPr>
                  <w:tcW w:w="557" w:type="pct"/>
                  <w:vMerge w:val="continue"/>
                  <w:tcBorders>
                    <w:left w:val="single" w:color="auto" w:sz="4" w:space="0"/>
                    <w:right w:val="single" w:color="auto" w:sz="4" w:space="0"/>
                  </w:tcBorders>
                  <w:vAlign w:val="center"/>
                </w:tcPr>
                <w:p>
                  <w:pPr>
                    <w:adjustRightInd w:val="0"/>
                    <w:snapToGrid w:val="0"/>
                    <w:jc w:val="center"/>
                    <w:rPr>
                      <w:color w:val="auto"/>
                      <w:szCs w:val="21"/>
                    </w:rPr>
                  </w:pPr>
                </w:p>
              </w:tc>
              <w:tc>
                <w:tcPr>
                  <w:tcW w:w="463" w:type="pct"/>
                  <w:tcBorders>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85" w:type="pct"/>
                  <w:vMerge w:val="continue"/>
                  <w:vAlign w:val="center"/>
                </w:tcPr>
                <w:p>
                  <w:pPr>
                    <w:adjustRightInd w:val="0"/>
                    <w:snapToGrid w:val="0"/>
                    <w:jc w:val="center"/>
                    <w:rPr>
                      <w:color w:val="auto"/>
                      <w:szCs w:val="21"/>
                    </w:rPr>
                  </w:pPr>
                </w:p>
              </w:tc>
              <w:tc>
                <w:tcPr>
                  <w:tcW w:w="576" w:type="pct"/>
                  <w:tcBorders>
                    <w:right w:val="single" w:color="auto" w:sz="4" w:space="0"/>
                  </w:tcBorders>
                  <w:vAlign w:val="center"/>
                </w:tcPr>
                <w:p>
                  <w:pPr>
                    <w:adjustRightInd w:val="0"/>
                    <w:snapToGrid w:val="0"/>
                    <w:jc w:val="center"/>
                    <w:rPr>
                      <w:color w:val="auto"/>
                      <w:szCs w:val="21"/>
                    </w:rPr>
                  </w:pPr>
                  <w:r>
                    <w:rPr>
                      <w:color w:val="auto"/>
                      <w:szCs w:val="21"/>
                    </w:rPr>
                    <w:t>HJ2022</w:t>
                  </w:r>
                </w:p>
                <w:p>
                  <w:pPr>
                    <w:adjustRightInd w:val="0"/>
                    <w:snapToGrid w:val="0"/>
                    <w:jc w:val="center"/>
                    <w:rPr>
                      <w:color w:val="auto"/>
                      <w:szCs w:val="21"/>
                    </w:rPr>
                  </w:pPr>
                  <w:r>
                    <w:rPr>
                      <w:color w:val="auto"/>
                      <w:szCs w:val="21"/>
                    </w:rPr>
                    <w:t>0814078</w:t>
                  </w:r>
                </w:p>
              </w:tc>
              <w:tc>
                <w:tcPr>
                  <w:tcW w:w="577" w:type="pct"/>
                  <w:vMerge w:val="continue"/>
                  <w:tcBorders>
                    <w:left w:val="single" w:color="auto" w:sz="4" w:space="0"/>
                    <w:right w:val="single" w:color="auto" w:sz="4" w:space="0"/>
                  </w:tcBorders>
                  <w:vAlign w:val="center"/>
                </w:tcPr>
                <w:p>
                  <w:pPr>
                    <w:adjustRightInd w:val="0"/>
                    <w:snapToGrid w:val="0"/>
                    <w:jc w:val="center"/>
                    <w:rPr>
                      <w:color w:val="auto"/>
                      <w:szCs w:val="21"/>
                    </w:rPr>
                  </w:pPr>
                </w:p>
              </w:tc>
              <w:tc>
                <w:tcPr>
                  <w:tcW w:w="517" w:type="pct"/>
                  <w:tcBorders>
                    <w:left w:val="single" w:color="auto" w:sz="4" w:space="0"/>
                  </w:tcBorders>
                  <w:vAlign w:val="center"/>
                </w:tcPr>
                <w:p>
                  <w:pPr>
                    <w:adjustRightInd w:val="0"/>
                    <w:snapToGrid w:val="0"/>
                    <w:jc w:val="center"/>
                    <w:rPr>
                      <w:color w:val="auto"/>
                      <w:szCs w:val="21"/>
                    </w:rPr>
                  </w:pPr>
                  <w:r>
                    <w:rPr>
                      <w:color w:val="auto"/>
                      <w:szCs w:val="21"/>
                    </w:rPr>
                    <w:t>20:00~21:00</w:t>
                  </w:r>
                </w:p>
              </w:tc>
              <w:tc>
                <w:tcPr>
                  <w:tcW w:w="460" w:type="pct"/>
                  <w:tcBorders>
                    <w:right w:val="single" w:color="auto" w:sz="4" w:space="0"/>
                  </w:tcBorders>
                  <w:vAlign w:val="center"/>
                </w:tcPr>
                <w:p>
                  <w:pPr>
                    <w:adjustRightInd w:val="0"/>
                    <w:snapToGrid w:val="0"/>
                    <w:jc w:val="center"/>
                    <w:rPr>
                      <w:color w:val="auto"/>
                      <w:szCs w:val="21"/>
                    </w:rPr>
                  </w:pPr>
                  <w:r>
                    <w:rPr>
                      <w:color w:val="auto"/>
                      <w:szCs w:val="21"/>
                    </w:rPr>
                    <w:t>12</w:t>
                  </w:r>
                </w:p>
              </w:tc>
              <w:tc>
                <w:tcPr>
                  <w:tcW w:w="516" w:type="pct"/>
                  <w:vMerge w:val="continue"/>
                  <w:tcBorders>
                    <w:left w:val="single" w:color="auto" w:sz="4" w:space="0"/>
                    <w:right w:val="single" w:color="auto" w:sz="4" w:space="0"/>
                  </w:tcBorders>
                  <w:vAlign w:val="center"/>
                </w:tcPr>
                <w:p>
                  <w:pPr>
                    <w:adjustRightInd w:val="0"/>
                    <w:snapToGrid w:val="0"/>
                    <w:spacing w:before="120" w:beforeLines="50" w:after="120" w:afterLines="50"/>
                    <w:jc w:val="center"/>
                    <w:rPr>
                      <w:color w:val="auto"/>
                      <w:szCs w:val="21"/>
                    </w:rPr>
                  </w:pPr>
                </w:p>
              </w:tc>
              <w:tc>
                <w:tcPr>
                  <w:tcW w:w="460" w:type="pct"/>
                  <w:tcBorders>
                    <w:left w:val="single" w:color="auto" w:sz="4" w:space="0"/>
                  </w:tcBorders>
                  <w:vAlign w:val="center"/>
                </w:tcPr>
                <w:p>
                  <w:pPr>
                    <w:adjustRightInd w:val="0"/>
                    <w:snapToGrid w:val="0"/>
                    <w:jc w:val="center"/>
                    <w:rPr>
                      <w:color w:val="auto"/>
                      <w:szCs w:val="21"/>
                    </w:rPr>
                  </w:pPr>
                  <w:r>
                    <w:rPr>
                      <w:rFonts w:hint="eastAsia"/>
                      <w:color w:val="auto"/>
                      <w:szCs w:val="21"/>
                    </w:rPr>
                    <w:t>达标</w:t>
                  </w:r>
                </w:p>
              </w:tc>
              <w:tc>
                <w:tcPr>
                  <w:tcW w:w="484" w:type="pct"/>
                  <w:tcBorders>
                    <w:right w:val="single" w:color="auto" w:sz="4" w:space="0"/>
                  </w:tcBorders>
                  <w:vAlign w:val="center"/>
                </w:tcPr>
                <w:p>
                  <w:pPr>
                    <w:adjustRightInd w:val="0"/>
                    <w:snapToGrid w:val="0"/>
                    <w:jc w:val="center"/>
                    <w:rPr>
                      <w:color w:val="auto"/>
                      <w:szCs w:val="21"/>
                    </w:rPr>
                  </w:pPr>
                  <w:r>
                    <w:rPr>
                      <w:color w:val="auto"/>
                      <w:szCs w:val="21"/>
                    </w:rPr>
                    <w:t>5.2</w:t>
                  </w:r>
                </w:p>
              </w:tc>
              <w:tc>
                <w:tcPr>
                  <w:tcW w:w="557" w:type="pct"/>
                  <w:vMerge w:val="continue"/>
                  <w:tcBorders>
                    <w:left w:val="single" w:color="auto" w:sz="4" w:space="0"/>
                    <w:right w:val="single" w:color="auto" w:sz="4" w:space="0"/>
                  </w:tcBorders>
                  <w:vAlign w:val="center"/>
                </w:tcPr>
                <w:p>
                  <w:pPr>
                    <w:adjustRightInd w:val="0"/>
                    <w:snapToGrid w:val="0"/>
                    <w:jc w:val="center"/>
                    <w:rPr>
                      <w:color w:val="auto"/>
                      <w:szCs w:val="21"/>
                    </w:rPr>
                  </w:pPr>
                </w:p>
              </w:tc>
              <w:tc>
                <w:tcPr>
                  <w:tcW w:w="463" w:type="pct"/>
                  <w:tcBorders>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85" w:type="pct"/>
                  <w:vMerge w:val="continue"/>
                  <w:vAlign w:val="center"/>
                </w:tcPr>
                <w:p>
                  <w:pPr>
                    <w:adjustRightInd w:val="0"/>
                    <w:snapToGrid w:val="0"/>
                    <w:jc w:val="center"/>
                    <w:rPr>
                      <w:color w:val="auto"/>
                      <w:szCs w:val="21"/>
                    </w:rPr>
                  </w:pPr>
                </w:p>
              </w:tc>
              <w:tc>
                <w:tcPr>
                  <w:tcW w:w="576" w:type="pct"/>
                  <w:tcBorders>
                    <w:right w:val="single" w:color="auto" w:sz="4" w:space="0"/>
                  </w:tcBorders>
                  <w:vAlign w:val="center"/>
                </w:tcPr>
                <w:p>
                  <w:pPr>
                    <w:adjustRightInd w:val="0"/>
                    <w:snapToGrid w:val="0"/>
                    <w:jc w:val="center"/>
                    <w:rPr>
                      <w:color w:val="auto"/>
                      <w:szCs w:val="21"/>
                    </w:rPr>
                  </w:pPr>
                  <w:r>
                    <w:rPr>
                      <w:color w:val="auto"/>
                      <w:szCs w:val="21"/>
                    </w:rPr>
                    <w:t>HJ2022</w:t>
                  </w:r>
                </w:p>
                <w:p>
                  <w:pPr>
                    <w:adjustRightInd w:val="0"/>
                    <w:snapToGrid w:val="0"/>
                    <w:jc w:val="center"/>
                    <w:rPr>
                      <w:color w:val="auto"/>
                      <w:szCs w:val="21"/>
                    </w:rPr>
                  </w:pPr>
                  <w:r>
                    <w:rPr>
                      <w:color w:val="auto"/>
                      <w:szCs w:val="21"/>
                    </w:rPr>
                    <w:t>0815129</w:t>
                  </w:r>
                </w:p>
              </w:tc>
              <w:tc>
                <w:tcPr>
                  <w:tcW w:w="577" w:type="pct"/>
                  <w:vMerge w:val="restart"/>
                  <w:tcBorders>
                    <w:left w:val="single" w:color="auto" w:sz="4" w:space="0"/>
                    <w:right w:val="single" w:color="auto" w:sz="4" w:space="0"/>
                  </w:tcBorders>
                  <w:vAlign w:val="center"/>
                </w:tcPr>
                <w:p>
                  <w:pPr>
                    <w:adjustRightInd w:val="0"/>
                    <w:snapToGrid w:val="0"/>
                    <w:jc w:val="center"/>
                    <w:rPr>
                      <w:color w:val="auto"/>
                      <w:szCs w:val="21"/>
                    </w:rPr>
                  </w:pPr>
                  <w:r>
                    <w:rPr>
                      <w:color w:val="auto"/>
                      <w:szCs w:val="21"/>
                    </w:rPr>
                    <w:t>2022-08-14</w:t>
                  </w:r>
                </w:p>
              </w:tc>
              <w:tc>
                <w:tcPr>
                  <w:tcW w:w="517" w:type="pct"/>
                  <w:tcBorders>
                    <w:left w:val="single" w:color="auto" w:sz="4" w:space="0"/>
                  </w:tcBorders>
                  <w:vAlign w:val="center"/>
                </w:tcPr>
                <w:p>
                  <w:pPr>
                    <w:adjustRightInd w:val="0"/>
                    <w:snapToGrid w:val="0"/>
                    <w:jc w:val="center"/>
                    <w:rPr>
                      <w:color w:val="auto"/>
                      <w:szCs w:val="21"/>
                    </w:rPr>
                  </w:pPr>
                  <w:r>
                    <w:rPr>
                      <w:color w:val="auto"/>
                      <w:szCs w:val="21"/>
                    </w:rPr>
                    <w:t>02:00~03:00</w:t>
                  </w:r>
                </w:p>
              </w:tc>
              <w:tc>
                <w:tcPr>
                  <w:tcW w:w="460" w:type="pct"/>
                  <w:tcBorders>
                    <w:right w:val="single" w:color="auto" w:sz="4" w:space="0"/>
                  </w:tcBorders>
                  <w:vAlign w:val="center"/>
                </w:tcPr>
                <w:p>
                  <w:pPr>
                    <w:adjustRightInd w:val="0"/>
                    <w:snapToGrid w:val="0"/>
                    <w:jc w:val="center"/>
                    <w:rPr>
                      <w:color w:val="auto"/>
                      <w:szCs w:val="21"/>
                    </w:rPr>
                  </w:pPr>
                  <w:r>
                    <w:rPr>
                      <w:color w:val="auto"/>
                      <w:szCs w:val="21"/>
                    </w:rPr>
                    <w:t>9</w:t>
                  </w:r>
                </w:p>
              </w:tc>
              <w:tc>
                <w:tcPr>
                  <w:tcW w:w="516" w:type="pct"/>
                  <w:vMerge w:val="continue"/>
                  <w:tcBorders>
                    <w:left w:val="single" w:color="auto" w:sz="4" w:space="0"/>
                    <w:right w:val="single" w:color="auto" w:sz="4" w:space="0"/>
                  </w:tcBorders>
                  <w:vAlign w:val="center"/>
                </w:tcPr>
                <w:p>
                  <w:pPr>
                    <w:adjustRightInd w:val="0"/>
                    <w:snapToGrid w:val="0"/>
                    <w:spacing w:before="120" w:beforeLines="50" w:after="120" w:afterLines="50"/>
                    <w:jc w:val="center"/>
                    <w:rPr>
                      <w:color w:val="auto"/>
                      <w:szCs w:val="21"/>
                    </w:rPr>
                  </w:pPr>
                </w:p>
              </w:tc>
              <w:tc>
                <w:tcPr>
                  <w:tcW w:w="460" w:type="pct"/>
                  <w:tcBorders>
                    <w:left w:val="single" w:color="auto" w:sz="4" w:space="0"/>
                  </w:tcBorders>
                  <w:vAlign w:val="center"/>
                </w:tcPr>
                <w:p>
                  <w:pPr>
                    <w:adjustRightInd w:val="0"/>
                    <w:snapToGrid w:val="0"/>
                    <w:jc w:val="center"/>
                    <w:rPr>
                      <w:color w:val="auto"/>
                      <w:szCs w:val="21"/>
                    </w:rPr>
                  </w:pPr>
                  <w:r>
                    <w:rPr>
                      <w:rFonts w:hint="eastAsia"/>
                      <w:color w:val="auto"/>
                      <w:szCs w:val="21"/>
                    </w:rPr>
                    <w:t>达标</w:t>
                  </w:r>
                </w:p>
              </w:tc>
              <w:tc>
                <w:tcPr>
                  <w:tcW w:w="484" w:type="pct"/>
                  <w:tcBorders>
                    <w:right w:val="single" w:color="auto" w:sz="4" w:space="0"/>
                  </w:tcBorders>
                  <w:vAlign w:val="center"/>
                </w:tcPr>
                <w:p>
                  <w:pPr>
                    <w:adjustRightInd w:val="0"/>
                    <w:snapToGrid w:val="0"/>
                    <w:jc w:val="center"/>
                    <w:rPr>
                      <w:color w:val="auto"/>
                      <w:szCs w:val="21"/>
                    </w:rPr>
                  </w:pPr>
                  <w:r>
                    <w:rPr>
                      <w:color w:val="auto"/>
                      <w:szCs w:val="21"/>
                    </w:rPr>
                    <w:t>5.0</w:t>
                  </w:r>
                </w:p>
              </w:tc>
              <w:tc>
                <w:tcPr>
                  <w:tcW w:w="557" w:type="pct"/>
                  <w:vMerge w:val="continue"/>
                  <w:tcBorders>
                    <w:left w:val="single" w:color="auto" w:sz="4" w:space="0"/>
                    <w:right w:val="single" w:color="auto" w:sz="4" w:space="0"/>
                  </w:tcBorders>
                  <w:vAlign w:val="center"/>
                </w:tcPr>
                <w:p>
                  <w:pPr>
                    <w:adjustRightInd w:val="0"/>
                    <w:snapToGrid w:val="0"/>
                    <w:jc w:val="center"/>
                    <w:rPr>
                      <w:color w:val="auto"/>
                      <w:szCs w:val="21"/>
                    </w:rPr>
                  </w:pPr>
                </w:p>
              </w:tc>
              <w:tc>
                <w:tcPr>
                  <w:tcW w:w="463" w:type="pct"/>
                  <w:tcBorders>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85" w:type="pct"/>
                  <w:vMerge w:val="continue"/>
                  <w:vAlign w:val="center"/>
                </w:tcPr>
                <w:p>
                  <w:pPr>
                    <w:adjustRightInd w:val="0"/>
                    <w:snapToGrid w:val="0"/>
                    <w:jc w:val="center"/>
                    <w:rPr>
                      <w:color w:val="auto"/>
                      <w:szCs w:val="21"/>
                    </w:rPr>
                  </w:pPr>
                </w:p>
              </w:tc>
              <w:tc>
                <w:tcPr>
                  <w:tcW w:w="576" w:type="pct"/>
                  <w:tcBorders>
                    <w:right w:val="single" w:color="auto" w:sz="4" w:space="0"/>
                  </w:tcBorders>
                  <w:vAlign w:val="center"/>
                </w:tcPr>
                <w:p>
                  <w:pPr>
                    <w:adjustRightInd w:val="0"/>
                    <w:snapToGrid w:val="0"/>
                    <w:jc w:val="center"/>
                    <w:rPr>
                      <w:color w:val="auto"/>
                      <w:szCs w:val="21"/>
                    </w:rPr>
                  </w:pPr>
                  <w:r>
                    <w:rPr>
                      <w:color w:val="auto"/>
                      <w:szCs w:val="21"/>
                    </w:rPr>
                    <w:t>HJ2022</w:t>
                  </w:r>
                </w:p>
                <w:p>
                  <w:pPr>
                    <w:adjustRightInd w:val="0"/>
                    <w:snapToGrid w:val="0"/>
                    <w:jc w:val="center"/>
                    <w:rPr>
                      <w:color w:val="auto"/>
                      <w:szCs w:val="21"/>
                    </w:rPr>
                  </w:pPr>
                  <w:r>
                    <w:rPr>
                      <w:color w:val="auto"/>
                      <w:szCs w:val="21"/>
                    </w:rPr>
                    <w:t>0815130</w:t>
                  </w:r>
                </w:p>
              </w:tc>
              <w:tc>
                <w:tcPr>
                  <w:tcW w:w="577" w:type="pct"/>
                  <w:vMerge w:val="continue"/>
                  <w:tcBorders>
                    <w:left w:val="single" w:color="auto" w:sz="4" w:space="0"/>
                    <w:right w:val="single" w:color="auto" w:sz="4" w:space="0"/>
                  </w:tcBorders>
                  <w:vAlign w:val="center"/>
                </w:tcPr>
                <w:p>
                  <w:pPr>
                    <w:adjustRightInd w:val="0"/>
                    <w:snapToGrid w:val="0"/>
                    <w:spacing w:before="120" w:beforeLines="50" w:after="120" w:afterLines="50"/>
                    <w:jc w:val="center"/>
                    <w:rPr>
                      <w:color w:val="auto"/>
                      <w:szCs w:val="21"/>
                    </w:rPr>
                  </w:pPr>
                </w:p>
              </w:tc>
              <w:tc>
                <w:tcPr>
                  <w:tcW w:w="517" w:type="pct"/>
                  <w:tcBorders>
                    <w:left w:val="single" w:color="auto" w:sz="4" w:space="0"/>
                  </w:tcBorders>
                  <w:vAlign w:val="center"/>
                </w:tcPr>
                <w:p>
                  <w:pPr>
                    <w:adjustRightInd w:val="0"/>
                    <w:snapToGrid w:val="0"/>
                    <w:jc w:val="center"/>
                    <w:rPr>
                      <w:color w:val="auto"/>
                      <w:szCs w:val="21"/>
                    </w:rPr>
                  </w:pPr>
                  <w:r>
                    <w:rPr>
                      <w:color w:val="auto"/>
                      <w:szCs w:val="21"/>
                    </w:rPr>
                    <w:t>08:00~09:00</w:t>
                  </w:r>
                </w:p>
              </w:tc>
              <w:tc>
                <w:tcPr>
                  <w:tcW w:w="460" w:type="pct"/>
                  <w:tcBorders>
                    <w:right w:val="single" w:color="auto" w:sz="4" w:space="0"/>
                  </w:tcBorders>
                  <w:vAlign w:val="center"/>
                </w:tcPr>
                <w:p>
                  <w:pPr>
                    <w:adjustRightInd w:val="0"/>
                    <w:snapToGrid w:val="0"/>
                    <w:jc w:val="center"/>
                    <w:rPr>
                      <w:color w:val="auto"/>
                      <w:szCs w:val="21"/>
                    </w:rPr>
                  </w:pPr>
                  <w:r>
                    <w:rPr>
                      <w:color w:val="auto"/>
                      <w:szCs w:val="21"/>
                    </w:rPr>
                    <w:t>12</w:t>
                  </w:r>
                </w:p>
              </w:tc>
              <w:tc>
                <w:tcPr>
                  <w:tcW w:w="516" w:type="pct"/>
                  <w:vMerge w:val="continue"/>
                  <w:tcBorders>
                    <w:left w:val="single" w:color="auto" w:sz="4" w:space="0"/>
                    <w:right w:val="single" w:color="auto" w:sz="4" w:space="0"/>
                  </w:tcBorders>
                  <w:vAlign w:val="center"/>
                </w:tcPr>
                <w:p>
                  <w:pPr>
                    <w:adjustRightInd w:val="0"/>
                    <w:snapToGrid w:val="0"/>
                    <w:spacing w:before="120" w:beforeLines="50" w:after="120" w:afterLines="50"/>
                    <w:jc w:val="center"/>
                    <w:rPr>
                      <w:color w:val="auto"/>
                      <w:szCs w:val="21"/>
                    </w:rPr>
                  </w:pPr>
                </w:p>
              </w:tc>
              <w:tc>
                <w:tcPr>
                  <w:tcW w:w="460" w:type="pct"/>
                  <w:tcBorders>
                    <w:left w:val="single" w:color="auto" w:sz="4" w:space="0"/>
                  </w:tcBorders>
                  <w:vAlign w:val="center"/>
                </w:tcPr>
                <w:p>
                  <w:pPr>
                    <w:adjustRightInd w:val="0"/>
                    <w:snapToGrid w:val="0"/>
                    <w:jc w:val="center"/>
                    <w:rPr>
                      <w:color w:val="auto"/>
                      <w:szCs w:val="21"/>
                    </w:rPr>
                  </w:pPr>
                  <w:r>
                    <w:rPr>
                      <w:rFonts w:hint="eastAsia"/>
                      <w:color w:val="auto"/>
                      <w:szCs w:val="21"/>
                    </w:rPr>
                    <w:t>达标</w:t>
                  </w:r>
                </w:p>
              </w:tc>
              <w:tc>
                <w:tcPr>
                  <w:tcW w:w="484" w:type="pct"/>
                  <w:tcBorders>
                    <w:right w:val="single" w:color="auto" w:sz="4" w:space="0"/>
                  </w:tcBorders>
                  <w:vAlign w:val="center"/>
                </w:tcPr>
                <w:p>
                  <w:pPr>
                    <w:adjustRightInd w:val="0"/>
                    <w:snapToGrid w:val="0"/>
                    <w:jc w:val="center"/>
                    <w:rPr>
                      <w:color w:val="auto"/>
                      <w:szCs w:val="21"/>
                    </w:rPr>
                  </w:pPr>
                  <w:r>
                    <w:rPr>
                      <w:color w:val="auto"/>
                      <w:szCs w:val="21"/>
                    </w:rPr>
                    <w:t>5.8</w:t>
                  </w:r>
                </w:p>
              </w:tc>
              <w:tc>
                <w:tcPr>
                  <w:tcW w:w="557" w:type="pct"/>
                  <w:vMerge w:val="continue"/>
                  <w:tcBorders>
                    <w:left w:val="single" w:color="auto" w:sz="4" w:space="0"/>
                    <w:right w:val="single" w:color="auto" w:sz="4" w:space="0"/>
                  </w:tcBorders>
                  <w:vAlign w:val="center"/>
                </w:tcPr>
                <w:p>
                  <w:pPr>
                    <w:adjustRightInd w:val="0"/>
                    <w:snapToGrid w:val="0"/>
                    <w:jc w:val="center"/>
                    <w:rPr>
                      <w:color w:val="auto"/>
                      <w:szCs w:val="21"/>
                    </w:rPr>
                  </w:pPr>
                </w:p>
              </w:tc>
              <w:tc>
                <w:tcPr>
                  <w:tcW w:w="463" w:type="pct"/>
                  <w:tcBorders>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85" w:type="pct"/>
                  <w:vMerge w:val="continue"/>
                  <w:vAlign w:val="center"/>
                </w:tcPr>
                <w:p>
                  <w:pPr>
                    <w:adjustRightInd w:val="0"/>
                    <w:snapToGrid w:val="0"/>
                    <w:jc w:val="center"/>
                    <w:rPr>
                      <w:color w:val="auto"/>
                      <w:szCs w:val="21"/>
                    </w:rPr>
                  </w:pPr>
                </w:p>
              </w:tc>
              <w:tc>
                <w:tcPr>
                  <w:tcW w:w="576" w:type="pct"/>
                  <w:tcBorders>
                    <w:right w:val="single" w:color="auto" w:sz="4" w:space="0"/>
                  </w:tcBorders>
                  <w:vAlign w:val="center"/>
                </w:tcPr>
                <w:p>
                  <w:pPr>
                    <w:adjustRightInd w:val="0"/>
                    <w:snapToGrid w:val="0"/>
                    <w:jc w:val="center"/>
                    <w:rPr>
                      <w:color w:val="auto"/>
                      <w:szCs w:val="21"/>
                    </w:rPr>
                  </w:pPr>
                  <w:r>
                    <w:rPr>
                      <w:color w:val="auto"/>
                      <w:szCs w:val="21"/>
                    </w:rPr>
                    <w:t>HJ2022</w:t>
                  </w:r>
                </w:p>
                <w:p>
                  <w:pPr>
                    <w:adjustRightInd w:val="0"/>
                    <w:snapToGrid w:val="0"/>
                    <w:jc w:val="center"/>
                    <w:rPr>
                      <w:color w:val="auto"/>
                      <w:szCs w:val="21"/>
                    </w:rPr>
                  </w:pPr>
                  <w:r>
                    <w:rPr>
                      <w:color w:val="auto"/>
                      <w:szCs w:val="21"/>
                    </w:rPr>
                    <w:t>0815131</w:t>
                  </w:r>
                </w:p>
              </w:tc>
              <w:tc>
                <w:tcPr>
                  <w:tcW w:w="577" w:type="pct"/>
                  <w:vMerge w:val="continue"/>
                  <w:tcBorders>
                    <w:left w:val="single" w:color="auto" w:sz="4" w:space="0"/>
                    <w:right w:val="single" w:color="auto" w:sz="4" w:space="0"/>
                  </w:tcBorders>
                  <w:vAlign w:val="center"/>
                </w:tcPr>
                <w:p>
                  <w:pPr>
                    <w:adjustRightInd w:val="0"/>
                    <w:snapToGrid w:val="0"/>
                    <w:spacing w:before="120" w:beforeLines="50" w:after="120" w:afterLines="50"/>
                    <w:jc w:val="center"/>
                    <w:rPr>
                      <w:color w:val="auto"/>
                      <w:szCs w:val="21"/>
                    </w:rPr>
                  </w:pPr>
                </w:p>
              </w:tc>
              <w:tc>
                <w:tcPr>
                  <w:tcW w:w="517" w:type="pct"/>
                  <w:tcBorders>
                    <w:left w:val="single" w:color="auto" w:sz="4" w:space="0"/>
                  </w:tcBorders>
                  <w:vAlign w:val="center"/>
                </w:tcPr>
                <w:p>
                  <w:pPr>
                    <w:adjustRightInd w:val="0"/>
                    <w:snapToGrid w:val="0"/>
                    <w:jc w:val="center"/>
                    <w:rPr>
                      <w:color w:val="auto"/>
                      <w:szCs w:val="21"/>
                    </w:rPr>
                  </w:pPr>
                  <w:r>
                    <w:rPr>
                      <w:color w:val="auto"/>
                      <w:szCs w:val="21"/>
                    </w:rPr>
                    <w:t>14:00~15:00</w:t>
                  </w:r>
                </w:p>
              </w:tc>
              <w:tc>
                <w:tcPr>
                  <w:tcW w:w="460" w:type="pct"/>
                  <w:tcBorders>
                    <w:right w:val="single" w:color="auto" w:sz="4" w:space="0"/>
                  </w:tcBorders>
                  <w:vAlign w:val="center"/>
                </w:tcPr>
                <w:p>
                  <w:pPr>
                    <w:adjustRightInd w:val="0"/>
                    <w:snapToGrid w:val="0"/>
                    <w:jc w:val="center"/>
                    <w:rPr>
                      <w:color w:val="auto"/>
                      <w:szCs w:val="21"/>
                    </w:rPr>
                  </w:pPr>
                  <w:r>
                    <w:rPr>
                      <w:color w:val="auto"/>
                      <w:szCs w:val="21"/>
                    </w:rPr>
                    <w:t>9</w:t>
                  </w:r>
                </w:p>
              </w:tc>
              <w:tc>
                <w:tcPr>
                  <w:tcW w:w="516" w:type="pct"/>
                  <w:vMerge w:val="continue"/>
                  <w:tcBorders>
                    <w:left w:val="single" w:color="auto" w:sz="4" w:space="0"/>
                    <w:right w:val="single" w:color="auto" w:sz="4" w:space="0"/>
                  </w:tcBorders>
                  <w:vAlign w:val="center"/>
                </w:tcPr>
                <w:p>
                  <w:pPr>
                    <w:adjustRightInd w:val="0"/>
                    <w:snapToGrid w:val="0"/>
                    <w:spacing w:before="120" w:beforeLines="50" w:after="120" w:afterLines="50"/>
                    <w:jc w:val="center"/>
                    <w:rPr>
                      <w:color w:val="auto"/>
                      <w:szCs w:val="21"/>
                    </w:rPr>
                  </w:pPr>
                </w:p>
              </w:tc>
              <w:tc>
                <w:tcPr>
                  <w:tcW w:w="460" w:type="pct"/>
                  <w:tcBorders>
                    <w:left w:val="single" w:color="auto" w:sz="4" w:space="0"/>
                  </w:tcBorders>
                  <w:vAlign w:val="center"/>
                </w:tcPr>
                <w:p>
                  <w:pPr>
                    <w:adjustRightInd w:val="0"/>
                    <w:snapToGrid w:val="0"/>
                    <w:jc w:val="center"/>
                    <w:rPr>
                      <w:color w:val="auto"/>
                      <w:szCs w:val="21"/>
                    </w:rPr>
                  </w:pPr>
                  <w:r>
                    <w:rPr>
                      <w:rFonts w:hint="eastAsia"/>
                      <w:color w:val="auto"/>
                      <w:szCs w:val="21"/>
                    </w:rPr>
                    <w:t>达标</w:t>
                  </w:r>
                </w:p>
              </w:tc>
              <w:tc>
                <w:tcPr>
                  <w:tcW w:w="484" w:type="pct"/>
                  <w:tcBorders>
                    <w:right w:val="single" w:color="auto" w:sz="4" w:space="0"/>
                  </w:tcBorders>
                  <w:vAlign w:val="center"/>
                </w:tcPr>
                <w:p>
                  <w:pPr>
                    <w:adjustRightInd w:val="0"/>
                    <w:snapToGrid w:val="0"/>
                    <w:jc w:val="center"/>
                    <w:rPr>
                      <w:color w:val="auto"/>
                      <w:szCs w:val="21"/>
                    </w:rPr>
                  </w:pPr>
                  <w:r>
                    <w:rPr>
                      <w:color w:val="auto"/>
                      <w:szCs w:val="21"/>
                    </w:rPr>
                    <w:t>4.8</w:t>
                  </w:r>
                </w:p>
              </w:tc>
              <w:tc>
                <w:tcPr>
                  <w:tcW w:w="557" w:type="pct"/>
                  <w:vMerge w:val="continue"/>
                  <w:tcBorders>
                    <w:left w:val="single" w:color="auto" w:sz="4" w:space="0"/>
                    <w:right w:val="single" w:color="auto" w:sz="4" w:space="0"/>
                  </w:tcBorders>
                  <w:vAlign w:val="center"/>
                </w:tcPr>
                <w:p>
                  <w:pPr>
                    <w:adjustRightInd w:val="0"/>
                    <w:snapToGrid w:val="0"/>
                    <w:jc w:val="center"/>
                    <w:rPr>
                      <w:color w:val="auto"/>
                      <w:szCs w:val="21"/>
                    </w:rPr>
                  </w:pPr>
                </w:p>
              </w:tc>
              <w:tc>
                <w:tcPr>
                  <w:tcW w:w="463" w:type="pct"/>
                  <w:tcBorders>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85" w:type="pct"/>
                  <w:vMerge w:val="continue"/>
                  <w:vAlign w:val="center"/>
                </w:tcPr>
                <w:p>
                  <w:pPr>
                    <w:adjustRightInd w:val="0"/>
                    <w:snapToGrid w:val="0"/>
                    <w:jc w:val="center"/>
                    <w:rPr>
                      <w:color w:val="auto"/>
                      <w:szCs w:val="21"/>
                    </w:rPr>
                  </w:pPr>
                </w:p>
              </w:tc>
              <w:tc>
                <w:tcPr>
                  <w:tcW w:w="576" w:type="pct"/>
                  <w:tcBorders>
                    <w:right w:val="single" w:color="auto" w:sz="4" w:space="0"/>
                  </w:tcBorders>
                  <w:vAlign w:val="center"/>
                </w:tcPr>
                <w:p>
                  <w:pPr>
                    <w:adjustRightInd w:val="0"/>
                    <w:snapToGrid w:val="0"/>
                    <w:jc w:val="center"/>
                    <w:rPr>
                      <w:color w:val="auto"/>
                      <w:szCs w:val="21"/>
                    </w:rPr>
                  </w:pPr>
                  <w:r>
                    <w:rPr>
                      <w:color w:val="auto"/>
                      <w:szCs w:val="21"/>
                    </w:rPr>
                    <w:t>HJ2022</w:t>
                  </w:r>
                </w:p>
                <w:p>
                  <w:pPr>
                    <w:adjustRightInd w:val="0"/>
                    <w:snapToGrid w:val="0"/>
                    <w:jc w:val="center"/>
                    <w:rPr>
                      <w:color w:val="auto"/>
                      <w:szCs w:val="21"/>
                    </w:rPr>
                  </w:pPr>
                  <w:r>
                    <w:rPr>
                      <w:color w:val="auto"/>
                      <w:szCs w:val="21"/>
                    </w:rPr>
                    <w:t>0815132</w:t>
                  </w:r>
                </w:p>
              </w:tc>
              <w:tc>
                <w:tcPr>
                  <w:tcW w:w="577" w:type="pct"/>
                  <w:vMerge w:val="continue"/>
                  <w:tcBorders>
                    <w:left w:val="single" w:color="auto" w:sz="4" w:space="0"/>
                    <w:right w:val="single" w:color="auto" w:sz="4" w:space="0"/>
                  </w:tcBorders>
                  <w:vAlign w:val="center"/>
                </w:tcPr>
                <w:p>
                  <w:pPr>
                    <w:adjustRightInd w:val="0"/>
                    <w:snapToGrid w:val="0"/>
                    <w:spacing w:before="120" w:beforeLines="50" w:after="120" w:afterLines="50"/>
                    <w:jc w:val="center"/>
                    <w:rPr>
                      <w:color w:val="auto"/>
                      <w:szCs w:val="21"/>
                    </w:rPr>
                  </w:pPr>
                </w:p>
              </w:tc>
              <w:tc>
                <w:tcPr>
                  <w:tcW w:w="517" w:type="pct"/>
                  <w:tcBorders>
                    <w:left w:val="single" w:color="auto" w:sz="4" w:space="0"/>
                  </w:tcBorders>
                  <w:vAlign w:val="center"/>
                </w:tcPr>
                <w:p>
                  <w:pPr>
                    <w:adjustRightInd w:val="0"/>
                    <w:snapToGrid w:val="0"/>
                    <w:jc w:val="center"/>
                    <w:rPr>
                      <w:color w:val="auto"/>
                      <w:szCs w:val="21"/>
                    </w:rPr>
                  </w:pPr>
                  <w:r>
                    <w:rPr>
                      <w:color w:val="auto"/>
                      <w:szCs w:val="21"/>
                    </w:rPr>
                    <w:t>20:00~21:00</w:t>
                  </w:r>
                </w:p>
              </w:tc>
              <w:tc>
                <w:tcPr>
                  <w:tcW w:w="460" w:type="pct"/>
                  <w:tcBorders>
                    <w:right w:val="single" w:color="auto" w:sz="4" w:space="0"/>
                  </w:tcBorders>
                  <w:vAlign w:val="center"/>
                </w:tcPr>
                <w:p>
                  <w:pPr>
                    <w:adjustRightInd w:val="0"/>
                    <w:snapToGrid w:val="0"/>
                    <w:jc w:val="center"/>
                    <w:rPr>
                      <w:color w:val="auto"/>
                      <w:szCs w:val="21"/>
                    </w:rPr>
                  </w:pPr>
                  <w:r>
                    <w:rPr>
                      <w:color w:val="auto"/>
                      <w:szCs w:val="21"/>
                    </w:rPr>
                    <w:t>10</w:t>
                  </w:r>
                </w:p>
              </w:tc>
              <w:tc>
                <w:tcPr>
                  <w:tcW w:w="516" w:type="pct"/>
                  <w:vMerge w:val="continue"/>
                  <w:tcBorders>
                    <w:left w:val="single" w:color="auto" w:sz="4" w:space="0"/>
                    <w:right w:val="single" w:color="auto" w:sz="4" w:space="0"/>
                  </w:tcBorders>
                  <w:vAlign w:val="center"/>
                </w:tcPr>
                <w:p>
                  <w:pPr>
                    <w:adjustRightInd w:val="0"/>
                    <w:snapToGrid w:val="0"/>
                    <w:spacing w:before="120" w:beforeLines="50" w:after="120" w:afterLines="50"/>
                    <w:jc w:val="center"/>
                    <w:rPr>
                      <w:color w:val="auto"/>
                      <w:szCs w:val="21"/>
                    </w:rPr>
                  </w:pPr>
                </w:p>
              </w:tc>
              <w:tc>
                <w:tcPr>
                  <w:tcW w:w="460" w:type="pct"/>
                  <w:tcBorders>
                    <w:left w:val="single" w:color="auto" w:sz="4" w:space="0"/>
                  </w:tcBorders>
                  <w:vAlign w:val="center"/>
                </w:tcPr>
                <w:p>
                  <w:pPr>
                    <w:adjustRightInd w:val="0"/>
                    <w:snapToGrid w:val="0"/>
                    <w:jc w:val="center"/>
                    <w:rPr>
                      <w:color w:val="auto"/>
                      <w:szCs w:val="21"/>
                    </w:rPr>
                  </w:pPr>
                  <w:r>
                    <w:rPr>
                      <w:rFonts w:hint="eastAsia"/>
                      <w:color w:val="auto"/>
                      <w:szCs w:val="21"/>
                    </w:rPr>
                    <w:t>达标</w:t>
                  </w:r>
                </w:p>
              </w:tc>
              <w:tc>
                <w:tcPr>
                  <w:tcW w:w="484" w:type="pct"/>
                  <w:tcBorders>
                    <w:right w:val="single" w:color="auto" w:sz="4" w:space="0"/>
                  </w:tcBorders>
                  <w:vAlign w:val="center"/>
                </w:tcPr>
                <w:p>
                  <w:pPr>
                    <w:adjustRightInd w:val="0"/>
                    <w:snapToGrid w:val="0"/>
                    <w:jc w:val="center"/>
                    <w:rPr>
                      <w:color w:val="auto"/>
                      <w:szCs w:val="21"/>
                    </w:rPr>
                  </w:pPr>
                  <w:r>
                    <w:rPr>
                      <w:color w:val="auto"/>
                      <w:szCs w:val="21"/>
                    </w:rPr>
                    <w:t>4.1</w:t>
                  </w:r>
                </w:p>
              </w:tc>
              <w:tc>
                <w:tcPr>
                  <w:tcW w:w="557" w:type="pct"/>
                  <w:vMerge w:val="continue"/>
                  <w:tcBorders>
                    <w:left w:val="single" w:color="auto" w:sz="4" w:space="0"/>
                    <w:right w:val="single" w:color="auto" w:sz="4" w:space="0"/>
                  </w:tcBorders>
                  <w:vAlign w:val="center"/>
                </w:tcPr>
                <w:p>
                  <w:pPr>
                    <w:adjustRightInd w:val="0"/>
                    <w:snapToGrid w:val="0"/>
                    <w:jc w:val="center"/>
                    <w:rPr>
                      <w:color w:val="auto"/>
                      <w:szCs w:val="21"/>
                    </w:rPr>
                  </w:pPr>
                </w:p>
              </w:tc>
              <w:tc>
                <w:tcPr>
                  <w:tcW w:w="463" w:type="pct"/>
                  <w:tcBorders>
                    <w:left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达标</w:t>
                  </w:r>
                </w:p>
              </w:tc>
            </w:tr>
          </w:tbl>
          <w:p>
            <w:pPr>
              <w:adjustRightInd w:val="0"/>
              <w:snapToGrid w:val="0"/>
              <w:jc w:val="left"/>
              <w:rPr>
                <w:b/>
                <w:color w:val="auto"/>
                <w:szCs w:val="21"/>
              </w:rPr>
            </w:pPr>
          </w:p>
          <w:p>
            <w:pPr>
              <w:adjustRightInd w:val="0"/>
              <w:snapToGrid w:val="0"/>
              <w:jc w:val="center"/>
              <w:rPr>
                <w:b/>
                <w:color w:val="auto"/>
                <w:sz w:val="24"/>
              </w:rPr>
            </w:pPr>
            <w:r>
              <w:rPr>
                <w:rFonts w:hint="eastAsia"/>
                <w:b/>
                <w:color w:val="auto"/>
                <w:sz w:val="24"/>
              </w:rPr>
              <w:t>表3-2  环境空气日均值检测结果</w:t>
            </w:r>
          </w:p>
          <w:tbl>
            <w:tblPr>
              <w:tblStyle w:val="2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0"/>
              <w:gridCol w:w="1274"/>
              <w:gridCol w:w="803"/>
              <w:gridCol w:w="602"/>
              <w:gridCol w:w="709"/>
              <w:gridCol w:w="511"/>
              <w:gridCol w:w="602"/>
              <w:gridCol w:w="697"/>
              <w:gridCol w:w="526"/>
              <w:gridCol w:w="598"/>
              <w:gridCol w:w="757"/>
              <w:gridCol w:w="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442" w:type="pct"/>
                  <w:vMerge w:val="restart"/>
                  <w:vAlign w:val="center"/>
                </w:tcPr>
                <w:p>
                  <w:pPr>
                    <w:adjustRightInd w:val="0"/>
                    <w:snapToGrid w:val="0"/>
                    <w:jc w:val="center"/>
                    <w:rPr>
                      <w:color w:val="auto"/>
                      <w:sz w:val="16"/>
                      <w:szCs w:val="16"/>
                    </w:rPr>
                  </w:pPr>
                  <w:r>
                    <w:rPr>
                      <w:color w:val="auto"/>
                      <w:sz w:val="16"/>
                      <w:szCs w:val="16"/>
                    </w:rPr>
                    <w:t>采样</w:t>
                  </w:r>
                </w:p>
                <w:p>
                  <w:pPr>
                    <w:adjustRightInd w:val="0"/>
                    <w:snapToGrid w:val="0"/>
                    <w:jc w:val="center"/>
                    <w:rPr>
                      <w:color w:val="auto"/>
                      <w:sz w:val="16"/>
                      <w:szCs w:val="16"/>
                    </w:rPr>
                  </w:pPr>
                  <w:r>
                    <w:rPr>
                      <w:color w:val="auto"/>
                      <w:sz w:val="16"/>
                      <w:szCs w:val="16"/>
                    </w:rPr>
                    <w:t>点位</w:t>
                  </w:r>
                </w:p>
              </w:tc>
              <w:tc>
                <w:tcPr>
                  <w:tcW w:w="482" w:type="pct"/>
                  <w:vMerge w:val="restart"/>
                  <w:tcBorders>
                    <w:right w:val="single" w:color="auto" w:sz="4" w:space="0"/>
                  </w:tcBorders>
                  <w:vAlign w:val="center"/>
                </w:tcPr>
                <w:p>
                  <w:pPr>
                    <w:adjustRightInd w:val="0"/>
                    <w:snapToGrid w:val="0"/>
                    <w:jc w:val="center"/>
                    <w:rPr>
                      <w:color w:val="auto"/>
                      <w:sz w:val="16"/>
                      <w:szCs w:val="16"/>
                    </w:rPr>
                  </w:pPr>
                  <w:r>
                    <w:rPr>
                      <w:color w:val="auto"/>
                      <w:sz w:val="16"/>
                      <w:szCs w:val="16"/>
                    </w:rPr>
                    <w:t>样品</w:t>
                  </w:r>
                </w:p>
                <w:p>
                  <w:pPr>
                    <w:adjustRightInd w:val="0"/>
                    <w:snapToGrid w:val="0"/>
                    <w:jc w:val="center"/>
                    <w:rPr>
                      <w:color w:val="auto"/>
                      <w:sz w:val="16"/>
                      <w:szCs w:val="16"/>
                    </w:rPr>
                  </w:pPr>
                  <w:r>
                    <w:rPr>
                      <w:color w:val="auto"/>
                      <w:sz w:val="16"/>
                      <w:szCs w:val="16"/>
                    </w:rPr>
                    <w:t>编号</w:t>
                  </w:r>
                </w:p>
              </w:tc>
              <w:tc>
                <w:tcPr>
                  <w:tcW w:w="476" w:type="pct"/>
                  <w:vMerge w:val="restart"/>
                  <w:tcBorders>
                    <w:left w:val="single" w:color="auto" w:sz="4" w:space="0"/>
                    <w:right w:val="single" w:color="auto" w:sz="4" w:space="0"/>
                  </w:tcBorders>
                  <w:vAlign w:val="center"/>
                </w:tcPr>
                <w:p>
                  <w:pPr>
                    <w:adjustRightInd w:val="0"/>
                    <w:snapToGrid w:val="0"/>
                    <w:jc w:val="center"/>
                    <w:rPr>
                      <w:color w:val="auto"/>
                      <w:sz w:val="16"/>
                      <w:szCs w:val="16"/>
                    </w:rPr>
                  </w:pPr>
                  <w:r>
                    <w:rPr>
                      <w:color w:val="auto"/>
                      <w:sz w:val="16"/>
                      <w:szCs w:val="16"/>
                    </w:rPr>
                    <w:t>采样</w:t>
                  </w:r>
                </w:p>
                <w:p>
                  <w:pPr>
                    <w:adjustRightInd w:val="0"/>
                    <w:snapToGrid w:val="0"/>
                    <w:jc w:val="center"/>
                    <w:rPr>
                      <w:color w:val="auto"/>
                      <w:sz w:val="16"/>
                      <w:szCs w:val="16"/>
                    </w:rPr>
                  </w:pPr>
                  <w:r>
                    <w:rPr>
                      <w:color w:val="auto"/>
                      <w:sz w:val="16"/>
                      <w:szCs w:val="16"/>
                    </w:rPr>
                    <w:t>日期</w:t>
                  </w:r>
                </w:p>
              </w:tc>
              <w:tc>
                <w:tcPr>
                  <w:tcW w:w="3597" w:type="pct"/>
                  <w:gridSpan w:val="9"/>
                  <w:tcBorders>
                    <w:right w:val="single" w:color="auto" w:sz="4" w:space="0"/>
                  </w:tcBorders>
                  <w:vAlign w:val="center"/>
                </w:tcPr>
                <w:p>
                  <w:pPr>
                    <w:adjustRightInd w:val="0"/>
                    <w:snapToGrid w:val="0"/>
                    <w:jc w:val="center"/>
                    <w:rPr>
                      <w:color w:val="auto"/>
                      <w:sz w:val="16"/>
                      <w:szCs w:val="16"/>
                    </w:rPr>
                  </w:pPr>
                  <w:r>
                    <w:rPr>
                      <w:color w:val="auto"/>
                      <w:sz w:val="16"/>
                      <w:szCs w:val="16"/>
                    </w:rPr>
                    <w:t>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442" w:type="pct"/>
                  <w:vMerge w:val="continue"/>
                  <w:vAlign w:val="center"/>
                </w:tcPr>
                <w:p>
                  <w:pPr>
                    <w:adjustRightInd w:val="0"/>
                    <w:snapToGrid w:val="0"/>
                    <w:jc w:val="center"/>
                    <w:rPr>
                      <w:color w:val="auto"/>
                      <w:sz w:val="16"/>
                      <w:szCs w:val="16"/>
                    </w:rPr>
                  </w:pPr>
                </w:p>
              </w:tc>
              <w:tc>
                <w:tcPr>
                  <w:tcW w:w="482" w:type="pct"/>
                  <w:vMerge w:val="continue"/>
                  <w:tcBorders>
                    <w:right w:val="single" w:color="auto" w:sz="4" w:space="0"/>
                  </w:tcBorders>
                  <w:vAlign w:val="center"/>
                </w:tcPr>
                <w:p>
                  <w:pPr>
                    <w:adjustRightInd w:val="0"/>
                    <w:snapToGrid w:val="0"/>
                    <w:jc w:val="center"/>
                    <w:rPr>
                      <w:color w:val="auto"/>
                      <w:sz w:val="16"/>
                      <w:szCs w:val="16"/>
                    </w:rPr>
                  </w:pPr>
                </w:p>
              </w:tc>
              <w:tc>
                <w:tcPr>
                  <w:tcW w:w="476" w:type="pct"/>
                  <w:vMerge w:val="continue"/>
                  <w:tcBorders>
                    <w:left w:val="single" w:color="auto" w:sz="4" w:space="0"/>
                    <w:right w:val="single" w:color="auto" w:sz="4" w:space="0"/>
                  </w:tcBorders>
                  <w:vAlign w:val="center"/>
                </w:tcPr>
                <w:p>
                  <w:pPr>
                    <w:adjustRightInd w:val="0"/>
                    <w:snapToGrid w:val="0"/>
                    <w:jc w:val="center"/>
                    <w:rPr>
                      <w:color w:val="auto"/>
                      <w:sz w:val="16"/>
                      <w:szCs w:val="16"/>
                    </w:rPr>
                  </w:pPr>
                </w:p>
              </w:tc>
              <w:tc>
                <w:tcPr>
                  <w:tcW w:w="1195" w:type="pct"/>
                  <w:gridSpan w:val="3"/>
                  <w:tcBorders>
                    <w:bottom w:val="single" w:color="auto" w:sz="4" w:space="0"/>
                    <w:right w:val="single" w:color="auto" w:sz="4" w:space="0"/>
                  </w:tcBorders>
                  <w:vAlign w:val="center"/>
                </w:tcPr>
                <w:p>
                  <w:pPr>
                    <w:widowControl/>
                    <w:jc w:val="center"/>
                    <w:rPr>
                      <w:color w:val="auto"/>
                      <w:sz w:val="16"/>
                      <w:szCs w:val="16"/>
                    </w:rPr>
                  </w:pPr>
                  <w:r>
                    <w:rPr>
                      <w:color w:val="auto"/>
                      <w:sz w:val="16"/>
                      <w:szCs w:val="16"/>
                    </w:rPr>
                    <w:t>氮氧化物</w:t>
                  </w:r>
                </w:p>
              </w:tc>
              <w:tc>
                <w:tcPr>
                  <w:tcW w:w="1195" w:type="pct"/>
                  <w:gridSpan w:val="3"/>
                  <w:tcBorders>
                    <w:left w:val="single" w:color="auto" w:sz="4" w:space="0"/>
                    <w:bottom w:val="single" w:color="auto" w:sz="4" w:space="0"/>
                    <w:right w:val="single" w:color="auto" w:sz="4" w:space="0"/>
                  </w:tcBorders>
                  <w:vAlign w:val="center"/>
                </w:tcPr>
                <w:p>
                  <w:pPr>
                    <w:jc w:val="center"/>
                    <w:rPr>
                      <w:rFonts w:hint="eastAsia" w:eastAsia="宋体"/>
                      <w:color w:val="auto"/>
                      <w:sz w:val="16"/>
                      <w:szCs w:val="16"/>
                      <w:lang w:eastAsia="zh-CN"/>
                    </w:rPr>
                  </w:pPr>
                  <w:r>
                    <w:rPr>
                      <w:rFonts w:hint="eastAsia" w:eastAsia="宋体"/>
                      <w:color w:val="auto"/>
                      <w:sz w:val="16"/>
                      <w:szCs w:val="16"/>
                      <w:lang w:val="en-US" w:eastAsia="zh-CN"/>
                    </w:rPr>
                    <w:t>氟化物</w:t>
                  </w:r>
                </w:p>
              </w:tc>
              <w:tc>
                <w:tcPr>
                  <w:tcW w:w="1206" w:type="pct"/>
                  <w:gridSpan w:val="3"/>
                  <w:tcBorders>
                    <w:bottom w:val="single" w:color="auto" w:sz="4" w:space="0"/>
                    <w:right w:val="single" w:color="auto" w:sz="4" w:space="0"/>
                  </w:tcBorders>
                  <w:vAlign w:val="center"/>
                </w:tcPr>
                <w:p>
                  <w:pPr>
                    <w:jc w:val="center"/>
                    <w:rPr>
                      <w:color w:val="auto"/>
                      <w:sz w:val="16"/>
                      <w:szCs w:val="16"/>
                    </w:rPr>
                  </w:pPr>
                  <w:r>
                    <w:rPr>
                      <w:color w:val="auto"/>
                      <w:sz w:val="16"/>
                      <w:szCs w:val="16"/>
                    </w:rPr>
                    <w:t>总悬浮颗粒物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442" w:type="pct"/>
                  <w:vMerge w:val="continue"/>
                  <w:vAlign w:val="center"/>
                </w:tcPr>
                <w:p>
                  <w:pPr>
                    <w:adjustRightInd w:val="0"/>
                    <w:snapToGrid w:val="0"/>
                    <w:jc w:val="center"/>
                    <w:rPr>
                      <w:color w:val="auto"/>
                      <w:sz w:val="16"/>
                      <w:szCs w:val="16"/>
                    </w:rPr>
                  </w:pPr>
                </w:p>
              </w:tc>
              <w:tc>
                <w:tcPr>
                  <w:tcW w:w="482" w:type="pct"/>
                  <w:vMerge w:val="continue"/>
                  <w:tcBorders>
                    <w:right w:val="single" w:color="auto" w:sz="4" w:space="0"/>
                  </w:tcBorders>
                  <w:vAlign w:val="center"/>
                </w:tcPr>
                <w:p>
                  <w:pPr>
                    <w:adjustRightInd w:val="0"/>
                    <w:snapToGrid w:val="0"/>
                    <w:jc w:val="center"/>
                    <w:rPr>
                      <w:color w:val="auto"/>
                      <w:sz w:val="16"/>
                      <w:szCs w:val="16"/>
                    </w:rPr>
                  </w:pPr>
                </w:p>
              </w:tc>
              <w:tc>
                <w:tcPr>
                  <w:tcW w:w="476" w:type="pct"/>
                  <w:vMerge w:val="continue"/>
                  <w:tcBorders>
                    <w:left w:val="single" w:color="auto" w:sz="4" w:space="0"/>
                    <w:right w:val="single" w:color="auto" w:sz="4" w:space="0"/>
                  </w:tcBorders>
                  <w:vAlign w:val="center"/>
                </w:tcPr>
                <w:p>
                  <w:pPr>
                    <w:adjustRightInd w:val="0"/>
                    <w:snapToGrid w:val="0"/>
                    <w:jc w:val="center"/>
                    <w:rPr>
                      <w:color w:val="auto"/>
                      <w:sz w:val="16"/>
                      <w:szCs w:val="16"/>
                    </w:rPr>
                  </w:pPr>
                </w:p>
              </w:tc>
              <w:tc>
                <w:tcPr>
                  <w:tcW w:w="395" w:type="pct"/>
                  <w:tcBorders>
                    <w:top w:val="single" w:color="auto" w:sz="4" w:space="0"/>
                    <w:right w:val="single" w:color="auto" w:sz="4" w:space="0"/>
                  </w:tcBorders>
                  <w:vAlign w:val="center"/>
                </w:tcPr>
                <w:p>
                  <w:pPr>
                    <w:widowControl/>
                    <w:jc w:val="center"/>
                    <w:rPr>
                      <w:color w:val="auto"/>
                      <w:sz w:val="16"/>
                      <w:szCs w:val="16"/>
                    </w:rPr>
                  </w:pPr>
                  <w:r>
                    <w:rPr>
                      <w:rFonts w:hint="eastAsia"/>
                      <w:color w:val="auto"/>
                      <w:sz w:val="16"/>
                      <w:szCs w:val="16"/>
                    </w:rPr>
                    <w:t>浓度ug/m</w:t>
                  </w:r>
                  <w:r>
                    <w:rPr>
                      <w:rFonts w:hint="eastAsia"/>
                      <w:color w:val="auto"/>
                      <w:sz w:val="16"/>
                      <w:szCs w:val="16"/>
                      <w:vertAlign w:val="superscript"/>
                    </w:rPr>
                    <w:t>3</w:t>
                  </w:r>
                </w:p>
              </w:tc>
              <w:tc>
                <w:tcPr>
                  <w:tcW w:w="460" w:type="pct"/>
                  <w:tcBorders>
                    <w:top w:val="single" w:color="auto" w:sz="4" w:space="0"/>
                    <w:left w:val="single" w:color="auto" w:sz="4" w:space="0"/>
                    <w:right w:val="single" w:color="auto" w:sz="4" w:space="0"/>
                  </w:tcBorders>
                  <w:vAlign w:val="center"/>
                </w:tcPr>
                <w:p>
                  <w:pPr>
                    <w:widowControl/>
                    <w:jc w:val="center"/>
                    <w:rPr>
                      <w:color w:val="auto"/>
                      <w:sz w:val="16"/>
                      <w:szCs w:val="16"/>
                    </w:rPr>
                  </w:pPr>
                  <w:r>
                    <w:rPr>
                      <w:rFonts w:hint="eastAsia"/>
                      <w:color w:val="auto"/>
                      <w:sz w:val="16"/>
                      <w:szCs w:val="16"/>
                    </w:rPr>
                    <w:t>标准值ug/m</w:t>
                  </w:r>
                  <w:r>
                    <w:rPr>
                      <w:rFonts w:hint="eastAsia"/>
                      <w:color w:val="auto"/>
                      <w:sz w:val="16"/>
                      <w:szCs w:val="16"/>
                      <w:vertAlign w:val="superscript"/>
                    </w:rPr>
                    <w:t>3</w:t>
                  </w:r>
                </w:p>
              </w:tc>
              <w:tc>
                <w:tcPr>
                  <w:tcW w:w="339" w:type="pct"/>
                  <w:tcBorders>
                    <w:top w:val="single" w:color="auto" w:sz="4" w:space="0"/>
                    <w:left w:val="single" w:color="auto" w:sz="4" w:space="0"/>
                    <w:right w:val="single" w:color="auto" w:sz="4" w:space="0"/>
                  </w:tcBorders>
                  <w:vAlign w:val="center"/>
                </w:tcPr>
                <w:p>
                  <w:pPr>
                    <w:widowControl/>
                    <w:jc w:val="center"/>
                    <w:rPr>
                      <w:color w:val="auto"/>
                      <w:sz w:val="16"/>
                      <w:szCs w:val="16"/>
                    </w:rPr>
                  </w:pPr>
                  <w:r>
                    <w:rPr>
                      <w:rFonts w:hint="eastAsia"/>
                      <w:color w:val="auto"/>
                      <w:sz w:val="16"/>
                      <w:szCs w:val="16"/>
                    </w:rPr>
                    <w:t>达标情况</w:t>
                  </w:r>
                </w:p>
              </w:tc>
              <w:tc>
                <w:tcPr>
                  <w:tcW w:w="395" w:type="pct"/>
                  <w:tcBorders>
                    <w:top w:val="single" w:color="auto" w:sz="4" w:space="0"/>
                    <w:left w:val="single" w:color="auto" w:sz="4" w:space="0"/>
                    <w:right w:val="single" w:color="auto" w:sz="4" w:space="0"/>
                  </w:tcBorders>
                  <w:vAlign w:val="center"/>
                </w:tcPr>
                <w:p>
                  <w:pPr>
                    <w:widowControl/>
                    <w:jc w:val="center"/>
                    <w:rPr>
                      <w:color w:val="auto"/>
                      <w:sz w:val="16"/>
                      <w:szCs w:val="16"/>
                    </w:rPr>
                  </w:pPr>
                  <w:r>
                    <w:rPr>
                      <w:rFonts w:hint="eastAsia"/>
                      <w:color w:val="auto"/>
                      <w:sz w:val="16"/>
                      <w:szCs w:val="16"/>
                    </w:rPr>
                    <w:t>浓度ug/m</w:t>
                  </w:r>
                  <w:r>
                    <w:rPr>
                      <w:rFonts w:hint="eastAsia"/>
                      <w:color w:val="auto"/>
                      <w:sz w:val="16"/>
                      <w:szCs w:val="16"/>
                      <w:vertAlign w:val="superscript"/>
                    </w:rPr>
                    <w:t>3</w:t>
                  </w:r>
                </w:p>
              </w:tc>
              <w:tc>
                <w:tcPr>
                  <w:tcW w:w="452" w:type="pct"/>
                  <w:tcBorders>
                    <w:top w:val="single" w:color="auto" w:sz="4" w:space="0"/>
                    <w:right w:val="single" w:color="auto" w:sz="4" w:space="0"/>
                  </w:tcBorders>
                  <w:vAlign w:val="center"/>
                </w:tcPr>
                <w:p>
                  <w:pPr>
                    <w:widowControl/>
                    <w:jc w:val="center"/>
                    <w:rPr>
                      <w:color w:val="auto"/>
                      <w:sz w:val="16"/>
                      <w:szCs w:val="16"/>
                    </w:rPr>
                  </w:pPr>
                  <w:r>
                    <w:rPr>
                      <w:rFonts w:hint="eastAsia"/>
                      <w:color w:val="auto"/>
                      <w:sz w:val="16"/>
                      <w:szCs w:val="16"/>
                    </w:rPr>
                    <w:t>标准值ug/m</w:t>
                  </w:r>
                  <w:r>
                    <w:rPr>
                      <w:rFonts w:hint="eastAsia"/>
                      <w:color w:val="auto"/>
                      <w:sz w:val="16"/>
                      <w:szCs w:val="16"/>
                      <w:vertAlign w:val="superscript"/>
                    </w:rPr>
                    <w:t>3</w:t>
                  </w:r>
                </w:p>
              </w:tc>
              <w:tc>
                <w:tcPr>
                  <w:tcW w:w="347" w:type="pct"/>
                  <w:tcBorders>
                    <w:top w:val="single" w:color="auto" w:sz="4" w:space="0"/>
                    <w:left w:val="single" w:color="auto" w:sz="4" w:space="0"/>
                    <w:right w:val="single" w:color="auto" w:sz="4" w:space="0"/>
                  </w:tcBorders>
                  <w:vAlign w:val="center"/>
                </w:tcPr>
                <w:p>
                  <w:pPr>
                    <w:widowControl/>
                    <w:jc w:val="center"/>
                    <w:rPr>
                      <w:color w:val="auto"/>
                      <w:sz w:val="16"/>
                      <w:szCs w:val="16"/>
                    </w:rPr>
                  </w:pPr>
                  <w:r>
                    <w:rPr>
                      <w:rFonts w:hint="eastAsia"/>
                      <w:color w:val="auto"/>
                      <w:sz w:val="16"/>
                      <w:szCs w:val="16"/>
                    </w:rPr>
                    <w:t>达标情况</w:t>
                  </w:r>
                </w:p>
              </w:tc>
              <w:tc>
                <w:tcPr>
                  <w:tcW w:w="387" w:type="pct"/>
                  <w:tcBorders>
                    <w:top w:val="single" w:color="auto" w:sz="4" w:space="0"/>
                    <w:right w:val="single" w:color="auto" w:sz="4" w:space="0"/>
                  </w:tcBorders>
                  <w:vAlign w:val="center"/>
                </w:tcPr>
                <w:p>
                  <w:pPr>
                    <w:widowControl/>
                    <w:jc w:val="center"/>
                    <w:rPr>
                      <w:color w:val="auto"/>
                      <w:sz w:val="16"/>
                      <w:szCs w:val="16"/>
                    </w:rPr>
                  </w:pPr>
                  <w:r>
                    <w:rPr>
                      <w:rFonts w:hint="eastAsia"/>
                      <w:color w:val="auto"/>
                      <w:sz w:val="16"/>
                      <w:szCs w:val="16"/>
                    </w:rPr>
                    <w:t>浓度ug/m</w:t>
                  </w:r>
                  <w:r>
                    <w:rPr>
                      <w:rFonts w:hint="eastAsia"/>
                      <w:color w:val="auto"/>
                      <w:sz w:val="16"/>
                      <w:szCs w:val="16"/>
                      <w:vertAlign w:val="superscript"/>
                    </w:rPr>
                    <w:t>3</w:t>
                  </w:r>
                </w:p>
              </w:tc>
              <w:tc>
                <w:tcPr>
                  <w:tcW w:w="493" w:type="pct"/>
                  <w:tcBorders>
                    <w:top w:val="single" w:color="auto" w:sz="4" w:space="0"/>
                    <w:left w:val="single" w:color="auto" w:sz="4" w:space="0"/>
                    <w:right w:val="single" w:color="auto" w:sz="4" w:space="0"/>
                  </w:tcBorders>
                  <w:vAlign w:val="center"/>
                </w:tcPr>
                <w:p>
                  <w:pPr>
                    <w:widowControl/>
                    <w:jc w:val="center"/>
                    <w:rPr>
                      <w:color w:val="auto"/>
                      <w:sz w:val="16"/>
                      <w:szCs w:val="16"/>
                    </w:rPr>
                  </w:pPr>
                  <w:r>
                    <w:rPr>
                      <w:rFonts w:hint="eastAsia"/>
                      <w:color w:val="auto"/>
                      <w:sz w:val="16"/>
                      <w:szCs w:val="16"/>
                    </w:rPr>
                    <w:t>标准值ug/m</w:t>
                  </w:r>
                  <w:r>
                    <w:rPr>
                      <w:rFonts w:hint="eastAsia"/>
                      <w:color w:val="auto"/>
                      <w:sz w:val="16"/>
                      <w:szCs w:val="16"/>
                      <w:vertAlign w:val="superscript"/>
                    </w:rPr>
                    <w:t>3</w:t>
                  </w:r>
                </w:p>
              </w:tc>
              <w:tc>
                <w:tcPr>
                  <w:tcW w:w="325" w:type="pct"/>
                  <w:tcBorders>
                    <w:top w:val="single" w:color="auto" w:sz="4" w:space="0"/>
                    <w:left w:val="single" w:color="auto" w:sz="4" w:space="0"/>
                    <w:right w:val="single" w:color="auto" w:sz="4" w:space="0"/>
                  </w:tcBorders>
                  <w:vAlign w:val="center"/>
                </w:tcPr>
                <w:p>
                  <w:pPr>
                    <w:widowControl/>
                    <w:jc w:val="center"/>
                    <w:rPr>
                      <w:color w:val="auto"/>
                      <w:sz w:val="16"/>
                      <w:szCs w:val="16"/>
                    </w:rPr>
                  </w:pPr>
                  <w:r>
                    <w:rPr>
                      <w:rFonts w:hint="eastAsia"/>
                      <w:color w:val="auto"/>
                      <w:sz w:val="16"/>
                      <w:szCs w:val="16"/>
                    </w:rPr>
                    <w:t>达标情况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42" w:type="pct"/>
                  <w:vMerge w:val="restart"/>
                  <w:vAlign w:val="center"/>
                </w:tcPr>
                <w:p>
                  <w:pPr>
                    <w:adjustRightInd w:val="0"/>
                    <w:snapToGrid w:val="0"/>
                    <w:jc w:val="center"/>
                    <w:rPr>
                      <w:color w:val="auto"/>
                      <w:sz w:val="16"/>
                      <w:szCs w:val="16"/>
                    </w:rPr>
                  </w:pPr>
                  <w:r>
                    <w:rPr>
                      <w:color w:val="auto"/>
                      <w:sz w:val="16"/>
                      <w:szCs w:val="16"/>
                    </w:rPr>
                    <w:t>G1项目当季主导风向（西南风）下风向50m处</w:t>
                  </w:r>
                </w:p>
              </w:tc>
              <w:tc>
                <w:tcPr>
                  <w:tcW w:w="482" w:type="pct"/>
                  <w:tcBorders>
                    <w:right w:val="single" w:color="auto" w:sz="4" w:space="0"/>
                  </w:tcBorders>
                  <w:vAlign w:val="center"/>
                </w:tcPr>
                <w:p>
                  <w:pPr>
                    <w:adjustRightInd w:val="0"/>
                    <w:snapToGrid w:val="0"/>
                    <w:jc w:val="center"/>
                    <w:rPr>
                      <w:color w:val="auto"/>
                      <w:sz w:val="16"/>
                      <w:szCs w:val="16"/>
                    </w:rPr>
                  </w:pPr>
                  <w:r>
                    <w:rPr>
                      <w:color w:val="auto"/>
                      <w:sz w:val="16"/>
                      <w:szCs w:val="16"/>
                    </w:rPr>
                    <w:t>HJ20220813202</w:t>
                  </w:r>
                </w:p>
              </w:tc>
              <w:tc>
                <w:tcPr>
                  <w:tcW w:w="476" w:type="pct"/>
                  <w:tcBorders>
                    <w:left w:val="single" w:color="auto" w:sz="4" w:space="0"/>
                    <w:right w:val="single" w:color="auto" w:sz="4" w:space="0"/>
                  </w:tcBorders>
                  <w:vAlign w:val="center"/>
                </w:tcPr>
                <w:p>
                  <w:pPr>
                    <w:adjustRightInd w:val="0"/>
                    <w:snapToGrid w:val="0"/>
                    <w:jc w:val="center"/>
                    <w:rPr>
                      <w:color w:val="auto"/>
                      <w:sz w:val="16"/>
                      <w:szCs w:val="16"/>
                    </w:rPr>
                  </w:pPr>
                  <w:r>
                    <w:rPr>
                      <w:color w:val="auto"/>
                      <w:sz w:val="16"/>
                      <w:szCs w:val="16"/>
                    </w:rPr>
                    <w:t>08-12至22-08-13</w:t>
                  </w:r>
                </w:p>
              </w:tc>
              <w:tc>
                <w:tcPr>
                  <w:tcW w:w="395" w:type="pct"/>
                  <w:tcBorders>
                    <w:right w:val="single" w:color="auto" w:sz="4" w:space="0"/>
                  </w:tcBorders>
                  <w:vAlign w:val="center"/>
                </w:tcPr>
                <w:p>
                  <w:pPr>
                    <w:adjustRightInd w:val="0"/>
                    <w:snapToGrid w:val="0"/>
                    <w:spacing w:before="120" w:beforeLines="50" w:after="120" w:afterLines="50"/>
                    <w:jc w:val="center"/>
                    <w:rPr>
                      <w:color w:val="auto"/>
                      <w:sz w:val="16"/>
                      <w:szCs w:val="16"/>
                    </w:rPr>
                  </w:pPr>
                  <w:r>
                    <w:rPr>
                      <w:color w:val="auto"/>
                      <w:sz w:val="16"/>
                      <w:szCs w:val="16"/>
                    </w:rPr>
                    <w:t>＜3</w:t>
                  </w:r>
                </w:p>
              </w:tc>
              <w:tc>
                <w:tcPr>
                  <w:tcW w:w="460" w:type="pct"/>
                  <w:vMerge w:val="restart"/>
                  <w:tcBorders>
                    <w:left w:val="single" w:color="auto" w:sz="4" w:space="0"/>
                    <w:right w:val="single" w:color="auto" w:sz="4" w:space="0"/>
                  </w:tcBorders>
                  <w:vAlign w:val="center"/>
                </w:tcPr>
                <w:p>
                  <w:pPr>
                    <w:adjustRightInd w:val="0"/>
                    <w:snapToGrid w:val="0"/>
                    <w:spacing w:before="120" w:beforeLines="50" w:after="120" w:afterLines="50"/>
                    <w:jc w:val="center"/>
                    <w:rPr>
                      <w:color w:val="auto"/>
                      <w:sz w:val="16"/>
                      <w:szCs w:val="16"/>
                    </w:rPr>
                  </w:pPr>
                  <w:r>
                    <w:rPr>
                      <w:rFonts w:hint="eastAsia"/>
                      <w:color w:val="auto"/>
                      <w:sz w:val="16"/>
                      <w:szCs w:val="16"/>
                    </w:rPr>
                    <w:t>100</w:t>
                  </w:r>
                </w:p>
              </w:tc>
              <w:tc>
                <w:tcPr>
                  <w:tcW w:w="339" w:type="pct"/>
                  <w:tcBorders>
                    <w:left w:val="single" w:color="auto" w:sz="4" w:space="0"/>
                    <w:right w:val="single" w:color="auto" w:sz="4" w:space="0"/>
                  </w:tcBorders>
                  <w:vAlign w:val="center"/>
                </w:tcPr>
                <w:p>
                  <w:pPr>
                    <w:adjustRightInd w:val="0"/>
                    <w:snapToGrid w:val="0"/>
                    <w:spacing w:before="120" w:beforeLines="50" w:after="120" w:afterLines="50"/>
                    <w:jc w:val="center"/>
                    <w:rPr>
                      <w:color w:val="auto"/>
                      <w:sz w:val="16"/>
                      <w:szCs w:val="16"/>
                    </w:rPr>
                  </w:pPr>
                  <w:r>
                    <w:rPr>
                      <w:rFonts w:hint="eastAsia"/>
                      <w:color w:val="auto"/>
                      <w:sz w:val="16"/>
                      <w:szCs w:val="16"/>
                    </w:rPr>
                    <w:t>达标</w:t>
                  </w:r>
                </w:p>
              </w:tc>
              <w:tc>
                <w:tcPr>
                  <w:tcW w:w="395" w:type="pct"/>
                  <w:tcBorders>
                    <w:left w:val="single" w:color="auto" w:sz="4" w:space="0"/>
                  </w:tcBorders>
                  <w:vAlign w:val="center"/>
                </w:tcPr>
                <w:p>
                  <w:pPr>
                    <w:adjustRightInd w:val="0"/>
                    <w:snapToGrid w:val="0"/>
                    <w:jc w:val="center"/>
                    <w:rPr>
                      <w:color w:val="auto"/>
                      <w:sz w:val="16"/>
                      <w:szCs w:val="16"/>
                    </w:rPr>
                  </w:pPr>
                  <w:r>
                    <w:rPr>
                      <w:color w:val="auto"/>
                      <w:sz w:val="16"/>
                      <w:szCs w:val="16"/>
                    </w:rPr>
                    <w:t>1.89</w:t>
                  </w:r>
                </w:p>
              </w:tc>
              <w:tc>
                <w:tcPr>
                  <w:tcW w:w="452" w:type="pct"/>
                  <w:vMerge w:val="restart"/>
                  <w:tcBorders>
                    <w:right w:val="single" w:color="auto" w:sz="4" w:space="0"/>
                  </w:tcBorders>
                  <w:vAlign w:val="center"/>
                </w:tcPr>
                <w:p>
                  <w:pPr>
                    <w:adjustRightInd w:val="0"/>
                    <w:snapToGrid w:val="0"/>
                    <w:spacing w:before="120" w:beforeLines="50" w:after="120" w:afterLines="50"/>
                    <w:jc w:val="center"/>
                    <w:rPr>
                      <w:color w:val="auto"/>
                      <w:sz w:val="16"/>
                      <w:szCs w:val="16"/>
                    </w:rPr>
                  </w:pPr>
                  <w:r>
                    <w:rPr>
                      <w:rFonts w:hint="eastAsia"/>
                      <w:color w:val="auto"/>
                      <w:sz w:val="16"/>
                      <w:szCs w:val="16"/>
                    </w:rPr>
                    <w:t>7</w:t>
                  </w:r>
                </w:p>
              </w:tc>
              <w:tc>
                <w:tcPr>
                  <w:tcW w:w="347" w:type="pct"/>
                  <w:tcBorders>
                    <w:left w:val="single" w:color="auto" w:sz="4" w:space="0"/>
                    <w:right w:val="single" w:color="auto" w:sz="4" w:space="0"/>
                  </w:tcBorders>
                  <w:vAlign w:val="center"/>
                </w:tcPr>
                <w:p>
                  <w:pPr>
                    <w:adjustRightInd w:val="0"/>
                    <w:snapToGrid w:val="0"/>
                    <w:spacing w:before="120" w:beforeLines="50" w:after="120" w:afterLines="50"/>
                    <w:jc w:val="center"/>
                    <w:rPr>
                      <w:color w:val="auto"/>
                      <w:sz w:val="16"/>
                      <w:szCs w:val="16"/>
                    </w:rPr>
                  </w:pPr>
                  <w:r>
                    <w:rPr>
                      <w:rFonts w:hint="eastAsia"/>
                      <w:color w:val="auto"/>
                      <w:sz w:val="16"/>
                      <w:szCs w:val="16"/>
                    </w:rPr>
                    <w:t>达标</w:t>
                  </w:r>
                </w:p>
              </w:tc>
              <w:tc>
                <w:tcPr>
                  <w:tcW w:w="387" w:type="pct"/>
                  <w:tcBorders>
                    <w:right w:val="single" w:color="auto" w:sz="4" w:space="0"/>
                  </w:tcBorders>
                  <w:vAlign w:val="center"/>
                </w:tcPr>
                <w:p>
                  <w:pPr>
                    <w:adjustRightInd w:val="0"/>
                    <w:snapToGrid w:val="0"/>
                    <w:jc w:val="center"/>
                    <w:rPr>
                      <w:color w:val="auto"/>
                      <w:sz w:val="16"/>
                      <w:szCs w:val="16"/>
                    </w:rPr>
                  </w:pPr>
                  <w:r>
                    <w:rPr>
                      <w:color w:val="auto"/>
                      <w:sz w:val="16"/>
                      <w:szCs w:val="16"/>
                    </w:rPr>
                    <w:t>158</w:t>
                  </w:r>
                </w:p>
              </w:tc>
              <w:tc>
                <w:tcPr>
                  <w:tcW w:w="493" w:type="pct"/>
                  <w:vMerge w:val="restart"/>
                  <w:tcBorders>
                    <w:left w:val="single" w:color="auto" w:sz="4" w:space="0"/>
                    <w:right w:val="single" w:color="auto" w:sz="4" w:space="0"/>
                  </w:tcBorders>
                  <w:vAlign w:val="center"/>
                </w:tcPr>
                <w:p>
                  <w:pPr>
                    <w:adjustRightInd w:val="0"/>
                    <w:snapToGrid w:val="0"/>
                    <w:spacing w:before="120" w:beforeLines="50" w:after="120" w:afterLines="50"/>
                    <w:jc w:val="center"/>
                    <w:rPr>
                      <w:color w:val="auto"/>
                      <w:sz w:val="16"/>
                      <w:szCs w:val="16"/>
                    </w:rPr>
                  </w:pPr>
                  <w:r>
                    <w:rPr>
                      <w:rFonts w:hint="eastAsia"/>
                      <w:color w:val="auto"/>
                      <w:sz w:val="16"/>
                      <w:szCs w:val="16"/>
                    </w:rPr>
                    <w:t>300</w:t>
                  </w:r>
                </w:p>
              </w:tc>
              <w:tc>
                <w:tcPr>
                  <w:tcW w:w="325" w:type="pct"/>
                  <w:tcBorders>
                    <w:left w:val="single" w:color="auto" w:sz="4" w:space="0"/>
                    <w:right w:val="single" w:color="auto" w:sz="4" w:space="0"/>
                  </w:tcBorders>
                  <w:vAlign w:val="center"/>
                </w:tcPr>
                <w:p>
                  <w:pPr>
                    <w:adjustRightInd w:val="0"/>
                    <w:snapToGrid w:val="0"/>
                    <w:spacing w:before="120" w:beforeLines="50" w:after="120" w:afterLines="50"/>
                    <w:jc w:val="center"/>
                    <w:rPr>
                      <w:color w:val="auto"/>
                      <w:sz w:val="16"/>
                      <w:szCs w:val="16"/>
                    </w:rPr>
                  </w:pPr>
                  <w:r>
                    <w:rPr>
                      <w:rFonts w:hint="eastAsia"/>
                      <w:color w:val="auto"/>
                      <w:sz w:val="16"/>
                      <w:szCs w:val="16"/>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42" w:type="pct"/>
                  <w:vMerge w:val="continue"/>
                  <w:vAlign w:val="center"/>
                </w:tcPr>
                <w:p>
                  <w:pPr>
                    <w:adjustRightInd w:val="0"/>
                    <w:snapToGrid w:val="0"/>
                    <w:jc w:val="center"/>
                    <w:rPr>
                      <w:color w:val="auto"/>
                      <w:sz w:val="16"/>
                      <w:szCs w:val="16"/>
                    </w:rPr>
                  </w:pPr>
                </w:p>
              </w:tc>
              <w:tc>
                <w:tcPr>
                  <w:tcW w:w="482" w:type="pct"/>
                  <w:tcBorders>
                    <w:right w:val="single" w:color="auto" w:sz="4" w:space="0"/>
                  </w:tcBorders>
                  <w:vAlign w:val="center"/>
                </w:tcPr>
                <w:p>
                  <w:pPr>
                    <w:adjustRightInd w:val="0"/>
                    <w:snapToGrid w:val="0"/>
                    <w:jc w:val="center"/>
                    <w:rPr>
                      <w:color w:val="auto"/>
                      <w:sz w:val="16"/>
                      <w:szCs w:val="16"/>
                    </w:rPr>
                  </w:pPr>
                  <w:r>
                    <w:rPr>
                      <w:color w:val="auto"/>
                      <w:sz w:val="16"/>
                      <w:szCs w:val="16"/>
                    </w:rPr>
                    <w:t>HJ20220814074</w:t>
                  </w:r>
                </w:p>
              </w:tc>
              <w:tc>
                <w:tcPr>
                  <w:tcW w:w="476" w:type="pct"/>
                  <w:tcBorders>
                    <w:left w:val="single" w:color="auto" w:sz="4" w:space="0"/>
                    <w:right w:val="single" w:color="auto" w:sz="4" w:space="0"/>
                  </w:tcBorders>
                  <w:vAlign w:val="center"/>
                </w:tcPr>
                <w:p>
                  <w:pPr>
                    <w:adjustRightInd w:val="0"/>
                    <w:snapToGrid w:val="0"/>
                    <w:jc w:val="center"/>
                    <w:rPr>
                      <w:color w:val="auto"/>
                      <w:sz w:val="16"/>
                      <w:szCs w:val="16"/>
                    </w:rPr>
                  </w:pPr>
                  <w:r>
                    <w:rPr>
                      <w:color w:val="auto"/>
                      <w:sz w:val="16"/>
                      <w:szCs w:val="16"/>
                    </w:rPr>
                    <w:t>08-13至08-14</w:t>
                  </w:r>
                </w:p>
              </w:tc>
              <w:tc>
                <w:tcPr>
                  <w:tcW w:w="395" w:type="pct"/>
                  <w:tcBorders>
                    <w:right w:val="single" w:color="auto" w:sz="4" w:space="0"/>
                  </w:tcBorders>
                  <w:vAlign w:val="center"/>
                </w:tcPr>
                <w:p>
                  <w:pPr>
                    <w:adjustRightInd w:val="0"/>
                    <w:snapToGrid w:val="0"/>
                    <w:spacing w:before="120" w:beforeLines="50" w:after="120" w:afterLines="50"/>
                    <w:jc w:val="center"/>
                    <w:rPr>
                      <w:color w:val="auto"/>
                      <w:sz w:val="16"/>
                      <w:szCs w:val="16"/>
                    </w:rPr>
                  </w:pPr>
                  <w:r>
                    <w:rPr>
                      <w:color w:val="auto"/>
                      <w:sz w:val="16"/>
                      <w:szCs w:val="16"/>
                    </w:rPr>
                    <w:t>＜3</w:t>
                  </w:r>
                </w:p>
              </w:tc>
              <w:tc>
                <w:tcPr>
                  <w:tcW w:w="460" w:type="pct"/>
                  <w:vMerge w:val="continue"/>
                  <w:tcBorders>
                    <w:left w:val="single" w:color="auto" w:sz="4" w:space="0"/>
                    <w:right w:val="single" w:color="auto" w:sz="4" w:space="0"/>
                  </w:tcBorders>
                  <w:vAlign w:val="center"/>
                </w:tcPr>
                <w:p>
                  <w:pPr>
                    <w:adjustRightInd w:val="0"/>
                    <w:snapToGrid w:val="0"/>
                    <w:spacing w:before="120" w:beforeLines="50" w:after="120" w:afterLines="50"/>
                    <w:jc w:val="center"/>
                    <w:rPr>
                      <w:color w:val="auto"/>
                      <w:sz w:val="16"/>
                      <w:szCs w:val="16"/>
                    </w:rPr>
                  </w:pPr>
                </w:p>
              </w:tc>
              <w:tc>
                <w:tcPr>
                  <w:tcW w:w="339" w:type="pct"/>
                  <w:tcBorders>
                    <w:left w:val="single" w:color="auto" w:sz="4" w:space="0"/>
                    <w:right w:val="single" w:color="auto" w:sz="4" w:space="0"/>
                  </w:tcBorders>
                  <w:vAlign w:val="center"/>
                </w:tcPr>
                <w:p>
                  <w:pPr>
                    <w:adjustRightInd w:val="0"/>
                    <w:snapToGrid w:val="0"/>
                    <w:spacing w:before="120" w:beforeLines="50" w:after="120" w:afterLines="50"/>
                    <w:jc w:val="center"/>
                    <w:rPr>
                      <w:color w:val="auto"/>
                      <w:sz w:val="16"/>
                      <w:szCs w:val="16"/>
                    </w:rPr>
                  </w:pPr>
                  <w:r>
                    <w:rPr>
                      <w:rFonts w:hint="eastAsia"/>
                      <w:color w:val="auto"/>
                      <w:sz w:val="16"/>
                      <w:szCs w:val="16"/>
                    </w:rPr>
                    <w:t>达标</w:t>
                  </w:r>
                </w:p>
              </w:tc>
              <w:tc>
                <w:tcPr>
                  <w:tcW w:w="395" w:type="pct"/>
                  <w:tcBorders>
                    <w:left w:val="single" w:color="auto" w:sz="4" w:space="0"/>
                  </w:tcBorders>
                  <w:vAlign w:val="center"/>
                </w:tcPr>
                <w:p>
                  <w:pPr>
                    <w:adjustRightInd w:val="0"/>
                    <w:snapToGrid w:val="0"/>
                    <w:jc w:val="center"/>
                    <w:rPr>
                      <w:color w:val="auto"/>
                      <w:sz w:val="16"/>
                      <w:szCs w:val="16"/>
                    </w:rPr>
                  </w:pPr>
                  <w:r>
                    <w:rPr>
                      <w:color w:val="auto"/>
                      <w:sz w:val="16"/>
                      <w:szCs w:val="16"/>
                    </w:rPr>
                    <w:t>1.73</w:t>
                  </w:r>
                </w:p>
              </w:tc>
              <w:tc>
                <w:tcPr>
                  <w:tcW w:w="452" w:type="pct"/>
                  <w:vMerge w:val="continue"/>
                  <w:tcBorders>
                    <w:right w:val="single" w:color="auto" w:sz="4" w:space="0"/>
                  </w:tcBorders>
                  <w:vAlign w:val="center"/>
                </w:tcPr>
                <w:p>
                  <w:pPr>
                    <w:adjustRightInd w:val="0"/>
                    <w:snapToGrid w:val="0"/>
                    <w:spacing w:before="120" w:beforeLines="50" w:after="120" w:afterLines="50"/>
                    <w:jc w:val="center"/>
                    <w:rPr>
                      <w:color w:val="auto"/>
                      <w:sz w:val="16"/>
                      <w:szCs w:val="16"/>
                    </w:rPr>
                  </w:pPr>
                </w:p>
              </w:tc>
              <w:tc>
                <w:tcPr>
                  <w:tcW w:w="347" w:type="pct"/>
                  <w:tcBorders>
                    <w:left w:val="single" w:color="auto" w:sz="4" w:space="0"/>
                    <w:right w:val="single" w:color="auto" w:sz="4" w:space="0"/>
                  </w:tcBorders>
                  <w:vAlign w:val="center"/>
                </w:tcPr>
                <w:p>
                  <w:pPr>
                    <w:adjustRightInd w:val="0"/>
                    <w:snapToGrid w:val="0"/>
                    <w:spacing w:before="120" w:beforeLines="50" w:after="120" w:afterLines="50"/>
                    <w:jc w:val="center"/>
                    <w:rPr>
                      <w:color w:val="auto"/>
                      <w:sz w:val="16"/>
                      <w:szCs w:val="16"/>
                    </w:rPr>
                  </w:pPr>
                  <w:r>
                    <w:rPr>
                      <w:rFonts w:hint="eastAsia"/>
                      <w:color w:val="auto"/>
                      <w:sz w:val="16"/>
                      <w:szCs w:val="16"/>
                    </w:rPr>
                    <w:t>达标</w:t>
                  </w:r>
                </w:p>
              </w:tc>
              <w:tc>
                <w:tcPr>
                  <w:tcW w:w="387" w:type="pct"/>
                  <w:tcBorders>
                    <w:right w:val="single" w:color="auto" w:sz="4" w:space="0"/>
                  </w:tcBorders>
                  <w:vAlign w:val="center"/>
                </w:tcPr>
                <w:p>
                  <w:pPr>
                    <w:adjustRightInd w:val="0"/>
                    <w:snapToGrid w:val="0"/>
                    <w:jc w:val="center"/>
                    <w:rPr>
                      <w:color w:val="auto"/>
                      <w:sz w:val="16"/>
                      <w:szCs w:val="16"/>
                    </w:rPr>
                  </w:pPr>
                  <w:r>
                    <w:rPr>
                      <w:color w:val="auto"/>
                      <w:sz w:val="16"/>
                      <w:szCs w:val="16"/>
                    </w:rPr>
                    <w:t>189</w:t>
                  </w:r>
                </w:p>
              </w:tc>
              <w:tc>
                <w:tcPr>
                  <w:tcW w:w="493" w:type="pct"/>
                  <w:vMerge w:val="continue"/>
                  <w:tcBorders>
                    <w:left w:val="single" w:color="auto" w:sz="4" w:space="0"/>
                    <w:right w:val="single" w:color="auto" w:sz="4" w:space="0"/>
                  </w:tcBorders>
                  <w:vAlign w:val="center"/>
                </w:tcPr>
                <w:p>
                  <w:pPr>
                    <w:adjustRightInd w:val="0"/>
                    <w:snapToGrid w:val="0"/>
                    <w:spacing w:before="120" w:beforeLines="50" w:after="120" w:afterLines="50"/>
                    <w:jc w:val="center"/>
                    <w:rPr>
                      <w:color w:val="auto"/>
                      <w:sz w:val="16"/>
                      <w:szCs w:val="16"/>
                    </w:rPr>
                  </w:pPr>
                </w:p>
              </w:tc>
              <w:tc>
                <w:tcPr>
                  <w:tcW w:w="325" w:type="pct"/>
                  <w:tcBorders>
                    <w:left w:val="single" w:color="auto" w:sz="4" w:space="0"/>
                    <w:right w:val="single" w:color="auto" w:sz="4" w:space="0"/>
                  </w:tcBorders>
                  <w:vAlign w:val="center"/>
                </w:tcPr>
                <w:p>
                  <w:pPr>
                    <w:adjustRightInd w:val="0"/>
                    <w:snapToGrid w:val="0"/>
                    <w:spacing w:before="120" w:beforeLines="50" w:after="120" w:afterLines="50"/>
                    <w:jc w:val="center"/>
                    <w:rPr>
                      <w:color w:val="auto"/>
                      <w:sz w:val="16"/>
                      <w:szCs w:val="16"/>
                    </w:rPr>
                  </w:pPr>
                  <w:r>
                    <w:rPr>
                      <w:rFonts w:hint="eastAsia"/>
                      <w:color w:val="auto"/>
                      <w:sz w:val="16"/>
                      <w:szCs w:val="16"/>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42" w:type="pct"/>
                  <w:vMerge w:val="continue"/>
                  <w:vAlign w:val="center"/>
                </w:tcPr>
                <w:p>
                  <w:pPr>
                    <w:adjustRightInd w:val="0"/>
                    <w:snapToGrid w:val="0"/>
                    <w:jc w:val="center"/>
                    <w:rPr>
                      <w:color w:val="auto"/>
                      <w:sz w:val="16"/>
                      <w:szCs w:val="16"/>
                    </w:rPr>
                  </w:pPr>
                </w:p>
              </w:tc>
              <w:tc>
                <w:tcPr>
                  <w:tcW w:w="482" w:type="pct"/>
                  <w:tcBorders>
                    <w:right w:val="single" w:color="auto" w:sz="4" w:space="0"/>
                  </w:tcBorders>
                  <w:vAlign w:val="center"/>
                </w:tcPr>
                <w:p>
                  <w:pPr>
                    <w:adjustRightInd w:val="0"/>
                    <w:snapToGrid w:val="0"/>
                    <w:jc w:val="center"/>
                    <w:rPr>
                      <w:color w:val="auto"/>
                      <w:sz w:val="16"/>
                      <w:szCs w:val="16"/>
                    </w:rPr>
                  </w:pPr>
                  <w:r>
                    <w:rPr>
                      <w:color w:val="auto"/>
                      <w:sz w:val="16"/>
                      <w:szCs w:val="16"/>
                    </w:rPr>
                    <w:t>HJ20220815128</w:t>
                  </w:r>
                </w:p>
              </w:tc>
              <w:tc>
                <w:tcPr>
                  <w:tcW w:w="476" w:type="pct"/>
                  <w:tcBorders>
                    <w:left w:val="single" w:color="auto" w:sz="4" w:space="0"/>
                    <w:right w:val="single" w:color="auto" w:sz="4" w:space="0"/>
                  </w:tcBorders>
                  <w:vAlign w:val="center"/>
                </w:tcPr>
                <w:p>
                  <w:pPr>
                    <w:adjustRightInd w:val="0"/>
                    <w:snapToGrid w:val="0"/>
                    <w:jc w:val="center"/>
                    <w:rPr>
                      <w:color w:val="auto"/>
                      <w:sz w:val="16"/>
                      <w:szCs w:val="16"/>
                    </w:rPr>
                  </w:pPr>
                  <w:r>
                    <w:rPr>
                      <w:color w:val="auto"/>
                      <w:sz w:val="16"/>
                      <w:szCs w:val="16"/>
                    </w:rPr>
                    <w:t>08-14至08-15</w:t>
                  </w:r>
                </w:p>
              </w:tc>
              <w:tc>
                <w:tcPr>
                  <w:tcW w:w="395" w:type="pct"/>
                  <w:tcBorders>
                    <w:right w:val="single" w:color="auto" w:sz="4" w:space="0"/>
                  </w:tcBorders>
                  <w:vAlign w:val="center"/>
                </w:tcPr>
                <w:p>
                  <w:pPr>
                    <w:adjustRightInd w:val="0"/>
                    <w:snapToGrid w:val="0"/>
                    <w:spacing w:before="120" w:beforeLines="50" w:after="120" w:afterLines="50"/>
                    <w:jc w:val="center"/>
                    <w:rPr>
                      <w:color w:val="auto"/>
                      <w:sz w:val="16"/>
                      <w:szCs w:val="16"/>
                    </w:rPr>
                  </w:pPr>
                  <w:r>
                    <w:rPr>
                      <w:color w:val="auto"/>
                      <w:sz w:val="16"/>
                      <w:szCs w:val="16"/>
                    </w:rPr>
                    <w:t>＜3</w:t>
                  </w:r>
                </w:p>
              </w:tc>
              <w:tc>
                <w:tcPr>
                  <w:tcW w:w="460" w:type="pct"/>
                  <w:vMerge w:val="continue"/>
                  <w:tcBorders>
                    <w:left w:val="single" w:color="auto" w:sz="4" w:space="0"/>
                    <w:right w:val="single" w:color="auto" w:sz="4" w:space="0"/>
                  </w:tcBorders>
                  <w:vAlign w:val="center"/>
                </w:tcPr>
                <w:p>
                  <w:pPr>
                    <w:adjustRightInd w:val="0"/>
                    <w:snapToGrid w:val="0"/>
                    <w:spacing w:before="120" w:beforeLines="50" w:after="120" w:afterLines="50"/>
                    <w:jc w:val="center"/>
                    <w:rPr>
                      <w:color w:val="auto"/>
                      <w:sz w:val="16"/>
                      <w:szCs w:val="16"/>
                    </w:rPr>
                  </w:pPr>
                </w:p>
              </w:tc>
              <w:tc>
                <w:tcPr>
                  <w:tcW w:w="339" w:type="pct"/>
                  <w:tcBorders>
                    <w:left w:val="single" w:color="auto" w:sz="4" w:space="0"/>
                    <w:right w:val="single" w:color="auto" w:sz="4" w:space="0"/>
                  </w:tcBorders>
                  <w:vAlign w:val="center"/>
                </w:tcPr>
                <w:p>
                  <w:pPr>
                    <w:adjustRightInd w:val="0"/>
                    <w:snapToGrid w:val="0"/>
                    <w:spacing w:before="120" w:beforeLines="50" w:after="120" w:afterLines="50"/>
                    <w:jc w:val="center"/>
                    <w:rPr>
                      <w:color w:val="auto"/>
                      <w:sz w:val="16"/>
                      <w:szCs w:val="16"/>
                    </w:rPr>
                  </w:pPr>
                  <w:r>
                    <w:rPr>
                      <w:rFonts w:hint="eastAsia"/>
                      <w:color w:val="auto"/>
                      <w:sz w:val="16"/>
                      <w:szCs w:val="16"/>
                    </w:rPr>
                    <w:t>达标</w:t>
                  </w:r>
                </w:p>
              </w:tc>
              <w:tc>
                <w:tcPr>
                  <w:tcW w:w="395" w:type="pct"/>
                  <w:tcBorders>
                    <w:left w:val="single" w:color="auto" w:sz="4" w:space="0"/>
                  </w:tcBorders>
                  <w:vAlign w:val="center"/>
                </w:tcPr>
                <w:p>
                  <w:pPr>
                    <w:adjustRightInd w:val="0"/>
                    <w:snapToGrid w:val="0"/>
                    <w:jc w:val="center"/>
                    <w:rPr>
                      <w:color w:val="auto"/>
                      <w:sz w:val="16"/>
                      <w:szCs w:val="16"/>
                    </w:rPr>
                  </w:pPr>
                  <w:r>
                    <w:rPr>
                      <w:color w:val="auto"/>
                      <w:sz w:val="16"/>
                      <w:szCs w:val="16"/>
                    </w:rPr>
                    <w:t>1.50</w:t>
                  </w:r>
                </w:p>
              </w:tc>
              <w:tc>
                <w:tcPr>
                  <w:tcW w:w="452" w:type="pct"/>
                  <w:vMerge w:val="continue"/>
                  <w:tcBorders>
                    <w:right w:val="single" w:color="auto" w:sz="4" w:space="0"/>
                  </w:tcBorders>
                  <w:vAlign w:val="center"/>
                </w:tcPr>
                <w:p>
                  <w:pPr>
                    <w:adjustRightInd w:val="0"/>
                    <w:snapToGrid w:val="0"/>
                    <w:spacing w:before="120" w:beforeLines="50" w:after="120" w:afterLines="50"/>
                    <w:jc w:val="center"/>
                    <w:rPr>
                      <w:color w:val="auto"/>
                      <w:sz w:val="16"/>
                      <w:szCs w:val="16"/>
                    </w:rPr>
                  </w:pPr>
                </w:p>
              </w:tc>
              <w:tc>
                <w:tcPr>
                  <w:tcW w:w="347" w:type="pct"/>
                  <w:tcBorders>
                    <w:left w:val="single" w:color="auto" w:sz="4" w:space="0"/>
                    <w:right w:val="single" w:color="auto" w:sz="4" w:space="0"/>
                  </w:tcBorders>
                  <w:vAlign w:val="center"/>
                </w:tcPr>
                <w:p>
                  <w:pPr>
                    <w:adjustRightInd w:val="0"/>
                    <w:snapToGrid w:val="0"/>
                    <w:spacing w:before="120" w:beforeLines="50" w:after="120" w:afterLines="50"/>
                    <w:jc w:val="center"/>
                    <w:rPr>
                      <w:color w:val="auto"/>
                      <w:sz w:val="16"/>
                      <w:szCs w:val="16"/>
                    </w:rPr>
                  </w:pPr>
                  <w:r>
                    <w:rPr>
                      <w:rFonts w:hint="eastAsia"/>
                      <w:color w:val="auto"/>
                      <w:sz w:val="16"/>
                      <w:szCs w:val="16"/>
                    </w:rPr>
                    <w:t>达标</w:t>
                  </w:r>
                </w:p>
              </w:tc>
              <w:tc>
                <w:tcPr>
                  <w:tcW w:w="387" w:type="pct"/>
                  <w:tcBorders>
                    <w:right w:val="single" w:color="auto" w:sz="4" w:space="0"/>
                  </w:tcBorders>
                  <w:vAlign w:val="center"/>
                </w:tcPr>
                <w:p>
                  <w:pPr>
                    <w:adjustRightInd w:val="0"/>
                    <w:snapToGrid w:val="0"/>
                    <w:jc w:val="center"/>
                    <w:rPr>
                      <w:color w:val="auto"/>
                      <w:sz w:val="16"/>
                      <w:szCs w:val="16"/>
                    </w:rPr>
                  </w:pPr>
                  <w:r>
                    <w:rPr>
                      <w:color w:val="auto"/>
                      <w:sz w:val="16"/>
                      <w:szCs w:val="16"/>
                    </w:rPr>
                    <w:t>192</w:t>
                  </w:r>
                </w:p>
              </w:tc>
              <w:tc>
                <w:tcPr>
                  <w:tcW w:w="493" w:type="pct"/>
                  <w:vMerge w:val="continue"/>
                  <w:tcBorders>
                    <w:left w:val="single" w:color="auto" w:sz="4" w:space="0"/>
                    <w:right w:val="single" w:color="auto" w:sz="4" w:space="0"/>
                  </w:tcBorders>
                  <w:vAlign w:val="center"/>
                </w:tcPr>
                <w:p>
                  <w:pPr>
                    <w:adjustRightInd w:val="0"/>
                    <w:snapToGrid w:val="0"/>
                    <w:spacing w:before="120" w:beforeLines="50" w:after="120" w:afterLines="50"/>
                    <w:jc w:val="center"/>
                    <w:rPr>
                      <w:color w:val="auto"/>
                      <w:sz w:val="16"/>
                      <w:szCs w:val="16"/>
                    </w:rPr>
                  </w:pPr>
                </w:p>
              </w:tc>
              <w:tc>
                <w:tcPr>
                  <w:tcW w:w="325" w:type="pct"/>
                  <w:tcBorders>
                    <w:left w:val="single" w:color="auto" w:sz="4" w:space="0"/>
                    <w:right w:val="single" w:color="auto" w:sz="4" w:space="0"/>
                  </w:tcBorders>
                  <w:vAlign w:val="center"/>
                </w:tcPr>
                <w:p>
                  <w:pPr>
                    <w:adjustRightInd w:val="0"/>
                    <w:snapToGrid w:val="0"/>
                    <w:spacing w:before="120" w:beforeLines="50" w:after="120" w:afterLines="50"/>
                    <w:jc w:val="center"/>
                    <w:rPr>
                      <w:color w:val="auto"/>
                      <w:sz w:val="16"/>
                      <w:szCs w:val="16"/>
                    </w:rPr>
                  </w:pPr>
                  <w:r>
                    <w:rPr>
                      <w:rFonts w:hint="eastAsia"/>
                      <w:color w:val="auto"/>
                      <w:sz w:val="16"/>
                      <w:szCs w:val="16"/>
                    </w:rPr>
                    <w:t>达标</w:t>
                  </w:r>
                </w:p>
              </w:tc>
            </w:tr>
          </w:tbl>
          <w:p>
            <w:pPr>
              <w:adjustRightInd w:val="0"/>
              <w:snapToGrid w:val="0"/>
              <w:jc w:val="left"/>
              <w:rPr>
                <w:b/>
                <w:color w:val="auto"/>
                <w:szCs w:val="21"/>
              </w:rPr>
            </w:pPr>
          </w:p>
          <w:p>
            <w:pPr>
              <w:spacing w:line="360" w:lineRule="auto"/>
              <w:ind w:firstLine="480" w:firstLineChars="200"/>
              <w:rPr>
                <w:b/>
                <w:color w:val="auto"/>
                <w:sz w:val="24"/>
              </w:rPr>
            </w:pPr>
            <w:r>
              <w:rPr>
                <w:rFonts w:hint="eastAsia"/>
                <w:color w:val="auto"/>
                <w:sz w:val="24"/>
              </w:rPr>
              <w:t>根据表3-1、3-2项目区氮氧化物、总悬浮颗粒物和</w:t>
            </w:r>
            <w:r>
              <w:rPr>
                <w:rFonts w:hint="eastAsia"/>
                <w:color w:val="auto"/>
                <w:sz w:val="24"/>
                <w:lang w:val="en-US" w:eastAsia="zh-CN"/>
              </w:rPr>
              <w:t>氟化物</w:t>
            </w:r>
            <w:r>
              <w:rPr>
                <w:rFonts w:hint="eastAsia"/>
                <w:color w:val="auto"/>
                <w:sz w:val="24"/>
              </w:rPr>
              <w:t>浓度均能达到《环境空气质量标准》（GB3095-2012）二级标准。</w:t>
            </w:r>
          </w:p>
          <w:p>
            <w:pPr>
              <w:adjustRightInd w:val="0"/>
              <w:snapToGrid w:val="0"/>
              <w:spacing w:line="360" w:lineRule="auto"/>
              <w:jc w:val="left"/>
              <w:rPr>
                <w:b/>
                <w:color w:val="auto"/>
                <w:sz w:val="24"/>
              </w:rPr>
            </w:pPr>
            <w:r>
              <w:rPr>
                <w:rFonts w:hint="eastAsia"/>
                <w:b/>
                <w:color w:val="auto"/>
                <w:sz w:val="24"/>
              </w:rPr>
              <w:t>3.2地表水环境质量现状</w:t>
            </w:r>
          </w:p>
          <w:p>
            <w:pPr>
              <w:spacing w:line="360" w:lineRule="auto"/>
              <w:ind w:firstLine="480" w:firstLineChars="200"/>
              <w:rPr>
                <w:color w:val="auto"/>
                <w:sz w:val="24"/>
              </w:rPr>
            </w:pPr>
            <w:r>
              <w:rPr>
                <w:rFonts w:hint="eastAsia"/>
                <w:color w:val="auto"/>
                <w:sz w:val="24"/>
              </w:rPr>
              <w:t>项目附近河流为项目南侧1330m的南盘江，</w:t>
            </w:r>
            <w:r>
              <w:rPr>
                <w:color w:val="auto"/>
                <w:sz w:val="24"/>
              </w:rPr>
              <w:t>根据《云南省水功能区划</w:t>
            </w:r>
            <w:r>
              <w:rPr>
                <w:rFonts w:hint="eastAsia"/>
                <w:color w:val="auto"/>
                <w:sz w:val="24"/>
              </w:rPr>
              <w:t>（2014年修订）</w:t>
            </w:r>
            <w:r>
              <w:rPr>
                <w:color w:val="auto"/>
                <w:sz w:val="24"/>
              </w:rPr>
              <w:t>》，</w:t>
            </w:r>
            <w:r>
              <w:rPr>
                <w:rFonts w:hint="eastAsia"/>
                <w:color w:val="auto"/>
                <w:sz w:val="24"/>
              </w:rPr>
              <w:t>南盘江宜良工业、农业、渔业用水区2030年水质目标为</w:t>
            </w:r>
            <w:r>
              <w:rPr>
                <w:rFonts w:hint="eastAsia"/>
                <w:color w:val="auto"/>
                <w:sz w:val="24"/>
              </w:rPr>
              <w:fldChar w:fldCharType="begin"/>
            </w:r>
            <w:r>
              <w:rPr>
                <w:rFonts w:hint="eastAsia"/>
                <w:color w:val="auto"/>
                <w:sz w:val="24"/>
              </w:rPr>
              <w:instrText xml:space="preserve"> = 3 \* ROMAN \* MERGEFORMAT </w:instrText>
            </w:r>
            <w:r>
              <w:rPr>
                <w:rFonts w:hint="eastAsia"/>
                <w:color w:val="auto"/>
                <w:sz w:val="24"/>
              </w:rPr>
              <w:fldChar w:fldCharType="separate"/>
            </w:r>
            <w:r>
              <w:rPr>
                <w:color w:val="auto"/>
              </w:rPr>
              <w:t>III</w:t>
            </w:r>
            <w:r>
              <w:rPr>
                <w:rFonts w:hint="eastAsia"/>
                <w:color w:val="auto"/>
                <w:sz w:val="24"/>
              </w:rPr>
              <w:fldChar w:fldCharType="end"/>
            </w:r>
            <w:r>
              <w:rPr>
                <w:color w:val="auto"/>
                <w:sz w:val="24"/>
              </w:rPr>
              <w:t>类</w:t>
            </w:r>
            <w:r>
              <w:rPr>
                <w:rFonts w:hint="eastAsia"/>
                <w:color w:val="auto"/>
                <w:sz w:val="24"/>
              </w:rPr>
              <w:t>，按照</w:t>
            </w:r>
            <w:r>
              <w:rPr>
                <w:color w:val="auto"/>
                <w:sz w:val="24"/>
              </w:rPr>
              <w:t>《地表水环境质量标准》（GB3838-2002）</w:t>
            </w:r>
            <w:r>
              <w:rPr>
                <w:rFonts w:hint="eastAsia"/>
                <w:color w:val="auto"/>
                <w:sz w:val="24"/>
              </w:rPr>
              <w:fldChar w:fldCharType="begin"/>
            </w:r>
            <w:r>
              <w:rPr>
                <w:rFonts w:hint="eastAsia"/>
                <w:color w:val="auto"/>
                <w:sz w:val="24"/>
              </w:rPr>
              <w:instrText xml:space="preserve"> = 3 \* ROMAN \* MERGEFORMAT </w:instrText>
            </w:r>
            <w:r>
              <w:rPr>
                <w:rFonts w:hint="eastAsia"/>
                <w:color w:val="auto"/>
                <w:sz w:val="24"/>
              </w:rPr>
              <w:fldChar w:fldCharType="separate"/>
            </w:r>
            <w:r>
              <w:rPr>
                <w:color w:val="auto"/>
              </w:rPr>
              <w:t>III</w:t>
            </w:r>
            <w:r>
              <w:rPr>
                <w:rFonts w:hint="eastAsia"/>
                <w:color w:val="auto"/>
                <w:sz w:val="24"/>
              </w:rPr>
              <w:fldChar w:fldCharType="end"/>
            </w:r>
            <w:r>
              <w:rPr>
                <w:color w:val="auto"/>
                <w:sz w:val="24"/>
              </w:rPr>
              <w:t>类水质标准进行保护。</w:t>
            </w:r>
          </w:p>
          <w:p>
            <w:pPr>
              <w:spacing w:line="360" w:lineRule="auto"/>
              <w:ind w:firstLine="480" w:firstLineChars="200"/>
              <w:rPr>
                <w:color w:val="auto"/>
                <w:sz w:val="24"/>
              </w:rPr>
            </w:pPr>
            <w:r>
              <w:rPr>
                <w:rFonts w:hint="eastAsia"/>
                <w:color w:val="auto"/>
                <w:sz w:val="24"/>
              </w:rPr>
              <w:t>项目位于南盘江狗街国控监测断面上游，狗街断面水质能代表项目区地表水质量现状。</w:t>
            </w:r>
            <w:r>
              <w:rPr>
                <w:color w:val="auto"/>
                <w:sz w:val="24"/>
              </w:rPr>
              <w:t>根据《202</w:t>
            </w:r>
            <w:r>
              <w:rPr>
                <w:rFonts w:hint="eastAsia"/>
                <w:color w:val="auto"/>
                <w:sz w:val="24"/>
              </w:rPr>
              <w:t>1</w:t>
            </w:r>
            <w:r>
              <w:rPr>
                <w:color w:val="auto"/>
                <w:sz w:val="24"/>
              </w:rPr>
              <w:t>年度昆明市生态环境状况公报》，区域地表水</w:t>
            </w:r>
            <w:r>
              <w:rPr>
                <w:rFonts w:hint="eastAsia"/>
                <w:color w:val="auto"/>
                <w:sz w:val="24"/>
              </w:rPr>
              <w:t>南盘江狗街断面水质类别由劣</w:t>
            </w:r>
            <w:r>
              <w:rPr>
                <w:color w:val="auto"/>
                <w:sz w:val="24"/>
              </w:rPr>
              <w:t>V</w:t>
            </w:r>
            <w:r>
              <w:rPr>
                <w:rFonts w:hint="eastAsia"/>
                <w:color w:val="auto"/>
                <w:sz w:val="24"/>
              </w:rPr>
              <w:t>类提升为</w:t>
            </w:r>
            <w:r>
              <w:rPr>
                <w:color w:val="auto"/>
                <w:sz w:val="24"/>
              </w:rPr>
              <w:t>V</w:t>
            </w:r>
            <w:r>
              <w:rPr>
                <w:rFonts w:hint="eastAsia"/>
                <w:color w:val="auto"/>
                <w:sz w:val="24"/>
              </w:rPr>
              <w:t>类，</w:t>
            </w:r>
            <w:r>
              <w:rPr>
                <w:color w:val="auto"/>
                <w:sz w:val="24"/>
              </w:rPr>
              <w:t>水质现状</w:t>
            </w:r>
            <w:r>
              <w:rPr>
                <w:rFonts w:hint="eastAsia"/>
                <w:color w:val="auto"/>
                <w:sz w:val="24"/>
              </w:rPr>
              <w:t>不</w:t>
            </w:r>
            <w:r>
              <w:rPr>
                <w:color w:val="auto"/>
                <w:sz w:val="24"/>
              </w:rPr>
              <w:t>能满足《地表水环境质量标准》（GB3838-2002）</w:t>
            </w:r>
            <w:r>
              <w:rPr>
                <w:rFonts w:hint="eastAsia"/>
                <w:color w:val="auto"/>
                <w:sz w:val="24"/>
              </w:rPr>
              <w:fldChar w:fldCharType="begin"/>
            </w:r>
            <w:r>
              <w:rPr>
                <w:rFonts w:hint="eastAsia"/>
                <w:color w:val="auto"/>
                <w:sz w:val="24"/>
              </w:rPr>
              <w:instrText xml:space="preserve"> = 3 \* ROMAN \* MERGEFORMAT </w:instrText>
            </w:r>
            <w:r>
              <w:rPr>
                <w:rFonts w:hint="eastAsia"/>
                <w:color w:val="auto"/>
                <w:sz w:val="24"/>
              </w:rPr>
              <w:fldChar w:fldCharType="separate"/>
            </w:r>
            <w:r>
              <w:rPr>
                <w:color w:val="auto"/>
              </w:rPr>
              <w:t>III</w:t>
            </w:r>
            <w:r>
              <w:rPr>
                <w:rFonts w:hint="eastAsia"/>
                <w:color w:val="auto"/>
                <w:sz w:val="24"/>
              </w:rPr>
              <w:fldChar w:fldCharType="end"/>
            </w:r>
            <w:r>
              <w:rPr>
                <w:color w:val="auto"/>
                <w:sz w:val="24"/>
              </w:rPr>
              <w:t>类标准</w:t>
            </w:r>
            <w:r>
              <w:rPr>
                <w:rFonts w:hint="eastAsia"/>
                <w:color w:val="auto"/>
                <w:sz w:val="24"/>
              </w:rPr>
              <w:t>。</w:t>
            </w:r>
          </w:p>
          <w:p>
            <w:pPr>
              <w:adjustRightInd w:val="0"/>
              <w:snapToGrid w:val="0"/>
              <w:spacing w:line="360" w:lineRule="auto"/>
              <w:jc w:val="left"/>
              <w:rPr>
                <w:b/>
                <w:color w:val="auto"/>
                <w:sz w:val="24"/>
              </w:rPr>
            </w:pPr>
            <w:r>
              <w:rPr>
                <w:rFonts w:hint="eastAsia"/>
                <w:b/>
                <w:color w:val="auto"/>
                <w:sz w:val="24"/>
              </w:rPr>
              <w:t>3.3声环境现状</w:t>
            </w:r>
          </w:p>
          <w:p>
            <w:pPr>
              <w:spacing w:line="360" w:lineRule="auto"/>
              <w:ind w:firstLine="480" w:firstLineChars="200"/>
              <w:rPr>
                <w:color w:val="auto"/>
                <w:sz w:val="24"/>
              </w:rPr>
            </w:pPr>
            <w:r>
              <w:rPr>
                <w:color w:val="auto"/>
                <w:sz w:val="24"/>
              </w:rPr>
              <w:t>项目</w:t>
            </w:r>
            <w:r>
              <w:rPr>
                <w:rFonts w:hint="eastAsia"/>
                <w:color w:val="auto"/>
                <w:sz w:val="24"/>
              </w:rPr>
              <w:t>位于云南省昆明市宜良县北古城工业园区</w:t>
            </w:r>
            <w:r>
              <w:rPr>
                <w:color w:val="auto"/>
                <w:sz w:val="24"/>
              </w:rPr>
              <w:t>，</w:t>
            </w:r>
            <w:r>
              <w:rPr>
                <w:rFonts w:hint="eastAsia"/>
                <w:color w:val="auto"/>
                <w:sz w:val="24"/>
              </w:rPr>
              <w:t>根据</w:t>
            </w:r>
            <w:r>
              <w:rPr>
                <w:color w:val="auto"/>
                <w:sz w:val="24"/>
                <w:lang w:bidi="ar"/>
              </w:rPr>
              <w:t>《宜良县声环境功能区划分（2019-2029）》，</w:t>
            </w:r>
            <w:r>
              <w:rPr>
                <w:rFonts w:hint="eastAsia"/>
                <w:color w:val="auto"/>
                <w:sz w:val="24"/>
                <w:lang w:bidi="ar"/>
              </w:rPr>
              <w:t>项目所在区域</w:t>
            </w:r>
            <w:r>
              <w:rPr>
                <w:color w:val="auto"/>
                <w:sz w:val="24"/>
              </w:rPr>
              <w:t>属于</w:t>
            </w:r>
            <w:r>
              <w:rPr>
                <w:rFonts w:hint="eastAsia"/>
                <w:color w:val="auto"/>
                <w:sz w:val="24"/>
              </w:rPr>
              <w:t>3</w:t>
            </w:r>
            <w:r>
              <w:rPr>
                <w:color w:val="auto"/>
                <w:sz w:val="24"/>
              </w:rPr>
              <w:t>类声环境功能区，声环境质量执行《声环境质量标准》（GB3096-2008）</w:t>
            </w:r>
            <w:r>
              <w:rPr>
                <w:rFonts w:hint="eastAsia"/>
                <w:color w:val="auto"/>
                <w:sz w:val="24"/>
              </w:rPr>
              <w:t>3</w:t>
            </w:r>
            <w:r>
              <w:rPr>
                <w:color w:val="auto"/>
                <w:sz w:val="24"/>
              </w:rPr>
              <w:t>类标准。</w:t>
            </w:r>
            <w:r>
              <w:rPr>
                <w:rFonts w:hint="eastAsia"/>
                <w:color w:val="auto"/>
                <w:sz w:val="24"/>
              </w:rPr>
              <w:t>根据现场勘查，项目区厂界外</w:t>
            </w:r>
            <w:r>
              <w:rPr>
                <w:color w:val="auto"/>
                <w:sz w:val="24"/>
              </w:rPr>
              <w:t>50m</w:t>
            </w:r>
            <w:r>
              <w:rPr>
                <w:rFonts w:hint="eastAsia"/>
                <w:color w:val="auto"/>
                <w:sz w:val="24"/>
              </w:rPr>
              <w:t>范围内无声环境保护目标，故未进行现状监测。</w:t>
            </w:r>
          </w:p>
          <w:p>
            <w:pPr>
              <w:adjustRightInd w:val="0"/>
              <w:snapToGrid w:val="0"/>
              <w:spacing w:line="360" w:lineRule="auto"/>
              <w:jc w:val="left"/>
              <w:rPr>
                <w:b/>
                <w:color w:val="auto"/>
                <w:sz w:val="24"/>
              </w:rPr>
            </w:pPr>
            <w:r>
              <w:rPr>
                <w:rFonts w:hint="eastAsia"/>
                <w:b/>
                <w:color w:val="auto"/>
                <w:sz w:val="24"/>
              </w:rPr>
              <w:t>3.4生态环境质量现状</w:t>
            </w:r>
          </w:p>
          <w:p>
            <w:pPr>
              <w:adjustRightInd w:val="0"/>
              <w:snapToGrid w:val="0"/>
              <w:spacing w:line="360" w:lineRule="auto"/>
              <w:ind w:firstLine="480" w:firstLineChars="200"/>
              <w:jc w:val="left"/>
              <w:rPr>
                <w:bCs/>
                <w:color w:val="auto"/>
                <w:kern w:val="0"/>
                <w:sz w:val="24"/>
              </w:rPr>
            </w:pPr>
            <w:r>
              <w:rPr>
                <w:bCs/>
                <w:color w:val="auto"/>
                <w:kern w:val="0"/>
                <w:sz w:val="24"/>
              </w:rPr>
              <w:t>本次</w:t>
            </w:r>
            <w:r>
              <w:rPr>
                <w:rFonts w:hint="eastAsia"/>
                <w:bCs/>
                <w:color w:val="auto"/>
                <w:kern w:val="0"/>
                <w:sz w:val="24"/>
              </w:rPr>
              <w:t>改扩建</w:t>
            </w:r>
            <w:r>
              <w:rPr>
                <w:bCs/>
                <w:color w:val="auto"/>
                <w:kern w:val="0"/>
                <w:sz w:val="24"/>
              </w:rPr>
              <w:t>工程不新增厂区外建设用地，设施占地均属厂区原有占地，且用地范围内不含生态环境保护目标，不需要进行生态现状调查与评价。</w:t>
            </w:r>
          </w:p>
          <w:p>
            <w:pPr>
              <w:adjustRightInd w:val="0"/>
              <w:snapToGrid w:val="0"/>
              <w:spacing w:line="360" w:lineRule="auto"/>
              <w:jc w:val="left"/>
              <w:rPr>
                <w:b/>
                <w:color w:val="auto"/>
                <w:sz w:val="24"/>
              </w:rPr>
            </w:pPr>
            <w:r>
              <w:rPr>
                <w:rFonts w:hint="eastAsia"/>
                <w:b/>
                <w:color w:val="auto"/>
                <w:sz w:val="24"/>
              </w:rPr>
              <w:t>3.5地下水、土壤环境</w:t>
            </w:r>
          </w:p>
          <w:p>
            <w:pPr>
              <w:adjustRightInd w:val="0"/>
              <w:snapToGrid w:val="0"/>
              <w:spacing w:line="360" w:lineRule="auto"/>
              <w:ind w:firstLine="480" w:firstLineChars="200"/>
              <w:jc w:val="left"/>
              <w:rPr>
                <w:color w:val="auto"/>
                <w:sz w:val="24"/>
              </w:rPr>
            </w:pPr>
            <w:r>
              <w:rPr>
                <w:color w:val="auto"/>
                <w:sz w:val="24"/>
              </w:rPr>
              <w:t>根据《建设项目环境影响报告表编制技术指南》（污染影响类）（试行）中区域环境质量现状中相关要求：地下水、土壤环境原则上不开展环境质量现状调查。建设项目存在土壤、地下水污染途径的，应结合污染源、保护目标分布情况开展现状调查以留作背景值。本项目不存在地下水、土壤环境污染途径，因此不开展土壤、地下水环境质量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6" w:hRule="atLeast"/>
          <w:jc w:val="center"/>
        </w:trPr>
        <w:tc>
          <w:tcPr>
            <w:tcW w:w="512" w:type="dxa"/>
            <w:vAlign w:val="center"/>
          </w:tcPr>
          <w:p>
            <w:pPr>
              <w:adjustRightInd w:val="0"/>
              <w:snapToGrid w:val="0"/>
              <w:jc w:val="center"/>
              <w:rPr>
                <w:rFonts w:ascii="宋体" w:hAnsi="宋体" w:cs="宋体"/>
                <w:color w:val="auto"/>
                <w:kern w:val="0"/>
                <w:sz w:val="24"/>
              </w:rPr>
            </w:pPr>
            <w:r>
              <w:rPr>
                <w:rFonts w:hint="eastAsia" w:ascii="宋体" w:hAnsi="宋体" w:cs="宋体"/>
                <w:color w:val="auto"/>
                <w:kern w:val="0"/>
                <w:sz w:val="24"/>
              </w:rPr>
              <w:t>环境</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保护</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目标</w:t>
            </w:r>
          </w:p>
        </w:tc>
        <w:tc>
          <w:tcPr>
            <w:tcW w:w="8478" w:type="dxa"/>
          </w:tcPr>
          <w:p>
            <w:pPr>
              <w:adjustRightInd w:val="0"/>
              <w:snapToGrid w:val="0"/>
              <w:spacing w:line="360" w:lineRule="auto"/>
              <w:jc w:val="left"/>
              <w:rPr>
                <w:b/>
                <w:color w:val="auto"/>
                <w:sz w:val="24"/>
              </w:rPr>
            </w:pPr>
            <w:r>
              <w:rPr>
                <w:rFonts w:hint="eastAsia"/>
                <w:b/>
                <w:color w:val="auto"/>
                <w:sz w:val="24"/>
              </w:rPr>
              <w:t>3.6环境保护目标判定</w:t>
            </w:r>
          </w:p>
          <w:p>
            <w:pPr>
              <w:pStyle w:val="19"/>
              <w:widowControl w:val="0"/>
              <w:spacing w:before="60" w:beforeLines="25" w:beforeAutospacing="0" w:after="60" w:afterLines="25" w:afterAutospacing="0" w:line="360" w:lineRule="auto"/>
              <w:ind w:firstLine="420" w:firstLineChars="175"/>
              <w:jc w:val="both"/>
              <w:rPr>
                <w:rFonts w:ascii="Times New Roman" w:hAnsi="Times New Roman"/>
                <w:b/>
                <w:color w:val="auto"/>
                <w:kern w:val="10"/>
                <w:sz w:val="21"/>
                <w:szCs w:val="21"/>
              </w:rPr>
            </w:pPr>
            <w:r>
              <w:rPr>
                <w:rFonts w:ascii="Times New Roman" w:hAnsi="Times New Roman"/>
                <w:bCs/>
                <w:color w:val="auto"/>
                <w:kern w:val="2"/>
                <w:szCs w:val="24"/>
              </w:rPr>
              <w:t>根据本区域的环境状况，</w:t>
            </w:r>
            <w:r>
              <w:rPr>
                <w:rFonts w:hint="eastAsia" w:ascii="Times New Roman" w:hAnsi="Times New Roman"/>
                <w:bCs/>
                <w:color w:val="auto"/>
                <w:kern w:val="2"/>
                <w:szCs w:val="24"/>
              </w:rPr>
              <w:t>项目厂界外500m范围内无环境空气保护目标，厂界外50m范围内无声环境保护目标。经现场踏勘，</w:t>
            </w:r>
            <w:r>
              <w:rPr>
                <w:rFonts w:ascii="Times New Roman" w:hAnsi="Times New Roman"/>
                <w:bCs/>
                <w:color w:val="auto"/>
                <w:kern w:val="2"/>
                <w:szCs w:val="24"/>
              </w:rPr>
              <w:t>环境保护目标见表3-</w:t>
            </w:r>
            <w:r>
              <w:rPr>
                <w:rFonts w:hint="eastAsia" w:ascii="Times New Roman" w:hAnsi="Times New Roman"/>
                <w:bCs/>
                <w:color w:val="auto"/>
                <w:kern w:val="2"/>
                <w:szCs w:val="24"/>
              </w:rPr>
              <w:t>3</w:t>
            </w:r>
            <w:r>
              <w:rPr>
                <w:rFonts w:ascii="Times New Roman" w:hAnsi="Times New Roman"/>
                <w:bCs/>
                <w:color w:val="auto"/>
                <w:kern w:val="2"/>
                <w:szCs w:val="24"/>
              </w:rPr>
              <w:t>。</w:t>
            </w:r>
          </w:p>
          <w:p>
            <w:pPr>
              <w:pStyle w:val="14"/>
              <w:adjustRightInd w:val="0"/>
              <w:snapToGrid w:val="0"/>
              <w:spacing w:line="240" w:lineRule="auto"/>
              <w:ind w:firstLine="415" w:firstLineChars="197"/>
              <w:jc w:val="center"/>
              <w:rPr>
                <w:b/>
                <w:color w:val="auto"/>
                <w:kern w:val="10"/>
                <w:sz w:val="21"/>
                <w:szCs w:val="21"/>
              </w:rPr>
            </w:pPr>
            <w:r>
              <w:rPr>
                <w:b/>
                <w:color w:val="auto"/>
                <w:kern w:val="10"/>
                <w:sz w:val="21"/>
                <w:szCs w:val="21"/>
              </w:rPr>
              <w:t>表3-</w:t>
            </w:r>
            <w:r>
              <w:rPr>
                <w:rFonts w:hint="eastAsia"/>
                <w:b/>
                <w:color w:val="auto"/>
                <w:kern w:val="10"/>
                <w:sz w:val="21"/>
                <w:szCs w:val="21"/>
              </w:rPr>
              <w:t>3</w:t>
            </w:r>
            <w:r>
              <w:rPr>
                <w:b/>
                <w:color w:val="auto"/>
                <w:kern w:val="10"/>
                <w:sz w:val="21"/>
                <w:szCs w:val="21"/>
              </w:rPr>
              <w:t xml:space="preserve">  主要环境保护目标一览表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804"/>
              <w:gridCol w:w="955"/>
              <w:gridCol w:w="1020"/>
              <w:gridCol w:w="731"/>
              <w:gridCol w:w="719"/>
              <w:gridCol w:w="1839"/>
              <w:gridCol w:w="747"/>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39" w:type="pct"/>
                  <w:vMerge w:val="restart"/>
                  <w:vAlign w:val="center"/>
                </w:tcPr>
                <w:p>
                  <w:pPr>
                    <w:pStyle w:val="14"/>
                    <w:adjustRightInd w:val="0"/>
                    <w:snapToGrid w:val="0"/>
                    <w:spacing w:line="240" w:lineRule="auto"/>
                    <w:ind w:firstLine="0"/>
                    <w:jc w:val="center"/>
                    <w:rPr>
                      <w:bCs/>
                      <w:color w:val="auto"/>
                      <w:kern w:val="10"/>
                      <w:sz w:val="21"/>
                      <w:szCs w:val="21"/>
                    </w:rPr>
                  </w:pPr>
                  <w:r>
                    <w:rPr>
                      <w:rFonts w:hint="eastAsia"/>
                      <w:bCs/>
                      <w:color w:val="auto"/>
                      <w:kern w:val="10"/>
                      <w:sz w:val="21"/>
                      <w:szCs w:val="21"/>
                    </w:rPr>
                    <w:t>环境要素</w:t>
                  </w:r>
                </w:p>
              </w:tc>
              <w:tc>
                <w:tcPr>
                  <w:tcW w:w="508" w:type="pct"/>
                  <w:vMerge w:val="restart"/>
                  <w:vAlign w:val="center"/>
                </w:tcPr>
                <w:p>
                  <w:pPr>
                    <w:pStyle w:val="14"/>
                    <w:adjustRightInd w:val="0"/>
                    <w:snapToGrid w:val="0"/>
                    <w:spacing w:line="240" w:lineRule="auto"/>
                    <w:ind w:firstLine="0"/>
                    <w:jc w:val="center"/>
                    <w:rPr>
                      <w:bCs/>
                      <w:color w:val="auto"/>
                      <w:kern w:val="10"/>
                      <w:sz w:val="21"/>
                      <w:szCs w:val="21"/>
                    </w:rPr>
                  </w:pPr>
                  <w:r>
                    <w:rPr>
                      <w:rFonts w:hint="eastAsia"/>
                      <w:bCs/>
                      <w:color w:val="auto"/>
                      <w:kern w:val="10"/>
                      <w:sz w:val="21"/>
                      <w:szCs w:val="21"/>
                    </w:rPr>
                    <w:t>名称</w:t>
                  </w:r>
                </w:p>
              </w:tc>
              <w:tc>
                <w:tcPr>
                  <w:tcW w:w="1239" w:type="pct"/>
                  <w:gridSpan w:val="2"/>
                  <w:vAlign w:val="center"/>
                </w:tcPr>
                <w:p>
                  <w:pPr>
                    <w:pStyle w:val="14"/>
                    <w:adjustRightInd w:val="0"/>
                    <w:snapToGrid w:val="0"/>
                    <w:spacing w:line="240" w:lineRule="auto"/>
                    <w:ind w:firstLine="0"/>
                    <w:jc w:val="center"/>
                    <w:rPr>
                      <w:bCs/>
                      <w:color w:val="auto"/>
                      <w:kern w:val="10"/>
                      <w:sz w:val="21"/>
                      <w:szCs w:val="21"/>
                    </w:rPr>
                  </w:pPr>
                  <w:r>
                    <w:rPr>
                      <w:rFonts w:hint="eastAsia"/>
                      <w:bCs/>
                      <w:color w:val="auto"/>
                      <w:kern w:val="10"/>
                      <w:sz w:val="21"/>
                      <w:szCs w:val="21"/>
                    </w:rPr>
                    <w:t>坐标</w:t>
                  </w:r>
                </w:p>
              </w:tc>
              <w:tc>
                <w:tcPr>
                  <w:tcW w:w="464" w:type="pct"/>
                  <w:vMerge w:val="restart"/>
                  <w:vAlign w:val="center"/>
                </w:tcPr>
                <w:p>
                  <w:pPr>
                    <w:pStyle w:val="14"/>
                    <w:adjustRightInd w:val="0"/>
                    <w:snapToGrid w:val="0"/>
                    <w:spacing w:line="240" w:lineRule="auto"/>
                    <w:ind w:firstLine="0"/>
                    <w:jc w:val="center"/>
                    <w:rPr>
                      <w:bCs/>
                      <w:color w:val="auto"/>
                      <w:kern w:val="10"/>
                      <w:sz w:val="21"/>
                      <w:szCs w:val="21"/>
                    </w:rPr>
                  </w:pPr>
                  <w:r>
                    <w:rPr>
                      <w:rFonts w:hint="eastAsia"/>
                      <w:bCs/>
                      <w:color w:val="auto"/>
                      <w:kern w:val="10"/>
                      <w:sz w:val="21"/>
                      <w:szCs w:val="21"/>
                    </w:rPr>
                    <w:t>保护对象</w:t>
                  </w:r>
                </w:p>
              </w:tc>
              <w:tc>
                <w:tcPr>
                  <w:tcW w:w="457" w:type="pct"/>
                  <w:vMerge w:val="restart"/>
                  <w:vAlign w:val="center"/>
                </w:tcPr>
                <w:p>
                  <w:pPr>
                    <w:pStyle w:val="14"/>
                    <w:adjustRightInd w:val="0"/>
                    <w:snapToGrid w:val="0"/>
                    <w:spacing w:line="240" w:lineRule="auto"/>
                    <w:ind w:firstLine="0"/>
                    <w:jc w:val="center"/>
                    <w:rPr>
                      <w:bCs/>
                      <w:color w:val="auto"/>
                      <w:kern w:val="10"/>
                      <w:sz w:val="21"/>
                      <w:szCs w:val="21"/>
                    </w:rPr>
                  </w:pPr>
                  <w:r>
                    <w:rPr>
                      <w:rFonts w:hint="eastAsia"/>
                      <w:bCs/>
                      <w:color w:val="auto"/>
                      <w:kern w:val="10"/>
                      <w:sz w:val="21"/>
                      <w:szCs w:val="21"/>
                    </w:rPr>
                    <w:t>保护内容</w:t>
                  </w:r>
                </w:p>
              </w:tc>
              <w:tc>
                <w:tcPr>
                  <w:tcW w:w="946" w:type="pct"/>
                  <w:vMerge w:val="restart"/>
                  <w:vAlign w:val="center"/>
                </w:tcPr>
                <w:p>
                  <w:pPr>
                    <w:pStyle w:val="14"/>
                    <w:adjustRightInd w:val="0"/>
                    <w:snapToGrid w:val="0"/>
                    <w:spacing w:line="240" w:lineRule="auto"/>
                    <w:ind w:firstLine="0"/>
                    <w:jc w:val="center"/>
                    <w:rPr>
                      <w:bCs/>
                      <w:color w:val="auto"/>
                      <w:kern w:val="10"/>
                      <w:sz w:val="21"/>
                      <w:szCs w:val="21"/>
                    </w:rPr>
                  </w:pPr>
                  <w:r>
                    <w:rPr>
                      <w:rFonts w:hint="eastAsia"/>
                      <w:bCs/>
                      <w:color w:val="auto"/>
                      <w:kern w:val="10"/>
                      <w:sz w:val="21"/>
                      <w:szCs w:val="21"/>
                    </w:rPr>
                    <w:t>环境功能区</w:t>
                  </w:r>
                </w:p>
              </w:tc>
              <w:tc>
                <w:tcPr>
                  <w:tcW w:w="473" w:type="pct"/>
                  <w:vMerge w:val="restart"/>
                  <w:vAlign w:val="center"/>
                </w:tcPr>
                <w:p>
                  <w:pPr>
                    <w:pStyle w:val="14"/>
                    <w:adjustRightInd w:val="0"/>
                    <w:snapToGrid w:val="0"/>
                    <w:spacing w:line="240" w:lineRule="auto"/>
                    <w:ind w:firstLine="0"/>
                    <w:jc w:val="center"/>
                    <w:rPr>
                      <w:bCs/>
                      <w:color w:val="auto"/>
                      <w:kern w:val="10"/>
                      <w:sz w:val="21"/>
                      <w:szCs w:val="21"/>
                    </w:rPr>
                  </w:pPr>
                  <w:r>
                    <w:rPr>
                      <w:rFonts w:hint="eastAsia"/>
                      <w:bCs/>
                      <w:color w:val="auto"/>
                      <w:kern w:val="10"/>
                      <w:sz w:val="21"/>
                      <w:szCs w:val="21"/>
                    </w:rPr>
                    <w:t>相对厂址方位</w:t>
                  </w:r>
                </w:p>
              </w:tc>
              <w:tc>
                <w:tcPr>
                  <w:tcW w:w="473" w:type="pct"/>
                  <w:vMerge w:val="restart"/>
                  <w:vAlign w:val="center"/>
                </w:tcPr>
                <w:p>
                  <w:pPr>
                    <w:pStyle w:val="14"/>
                    <w:adjustRightInd w:val="0"/>
                    <w:snapToGrid w:val="0"/>
                    <w:spacing w:line="240" w:lineRule="auto"/>
                    <w:ind w:firstLine="0"/>
                    <w:jc w:val="center"/>
                    <w:rPr>
                      <w:bCs/>
                      <w:color w:val="auto"/>
                      <w:kern w:val="10"/>
                      <w:sz w:val="21"/>
                      <w:szCs w:val="21"/>
                    </w:rPr>
                  </w:pPr>
                  <w:r>
                    <w:rPr>
                      <w:rFonts w:hint="eastAsia"/>
                      <w:bCs/>
                      <w:color w:val="auto"/>
                      <w:kern w:val="10"/>
                      <w:sz w:val="21"/>
                      <w:szCs w:val="21"/>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39" w:type="pct"/>
                  <w:vMerge w:val="continue"/>
                  <w:vAlign w:val="center"/>
                </w:tcPr>
                <w:p>
                  <w:pPr>
                    <w:pStyle w:val="14"/>
                    <w:adjustRightInd w:val="0"/>
                    <w:snapToGrid w:val="0"/>
                    <w:spacing w:line="240" w:lineRule="auto"/>
                    <w:ind w:firstLine="0"/>
                    <w:jc w:val="center"/>
                    <w:rPr>
                      <w:bCs/>
                      <w:color w:val="auto"/>
                      <w:kern w:val="10"/>
                      <w:sz w:val="21"/>
                      <w:szCs w:val="21"/>
                    </w:rPr>
                  </w:pPr>
                </w:p>
              </w:tc>
              <w:tc>
                <w:tcPr>
                  <w:tcW w:w="508" w:type="pct"/>
                  <w:vMerge w:val="continue"/>
                  <w:vAlign w:val="center"/>
                </w:tcPr>
                <w:p>
                  <w:pPr>
                    <w:pStyle w:val="14"/>
                    <w:adjustRightInd w:val="0"/>
                    <w:snapToGrid w:val="0"/>
                    <w:spacing w:line="240" w:lineRule="auto"/>
                    <w:ind w:firstLine="0"/>
                    <w:jc w:val="center"/>
                    <w:rPr>
                      <w:bCs/>
                      <w:color w:val="auto"/>
                      <w:kern w:val="10"/>
                      <w:sz w:val="21"/>
                      <w:szCs w:val="21"/>
                    </w:rPr>
                  </w:pPr>
                </w:p>
              </w:tc>
              <w:tc>
                <w:tcPr>
                  <w:tcW w:w="600" w:type="pct"/>
                  <w:vAlign w:val="center"/>
                </w:tcPr>
                <w:p>
                  <w:pPr>
                    <w:pStyle w:val="14"/>
                    <w:adjustRightInd w:val="0"/>
                    <w:snapToGrid w:val="0"/>
                    <w:spacing w:line="240" w:lineRule="auto"/>
                    <w:ind w:firstLine="0"/>
                    <w:jc w:val="center"/>
                    <w:rPr>
                      <w:bCs/>
                      <w:color w:val="auto"/>
                      <w:kern w:val="10"/>
                      <w:sz w:val="21"/>
                      <w:szCs w:val="21"/>
                    </w:rPr>
                  </w:pPr>
                  <w:r>
                    <w:rPr>
                      <w:rFonts w:hint="eastAsia"/>
                      <w:bCs/>
                      <w:color w:val="auto"/>
                      <w:kern w:val="10"/>
                      <w:sz w:val="21"/>
                      <w:szCs w:val="21"/>
                    </w:rPr>
                    <w:t>经度</w:t>
                  </w:r>
                </w:p>
              </w:tc>
              <w:tc>
                <w:tcPr>
                  <w:tcW w:w="639" w:type="pct"/>
                  <w:vAlign w:val="center"/>
                </w:tcPr>
                <w:p>
                  <w:pPr>
                    <w:pStyle w:val="14"/>
                    <w:adjustRightInd w:val="0"/>
                    <w:snapToGrid w:val="0"/>
                    <w:spacing w:line="240" w:lineRule="auto"/>
                    <w:ind w:firstLine="0"/>
                    <w:jc w:val="center"/>
                    <w:rPr>
                      <w:bCs/>
                      <w:color w:val="auto"/>
                      <w:kern w:val="10"/>
                      <w:sz w:val="21"/>
                      <w:szCs w:val="21"/>
                    </w:rPr>
                  </w:pPr>
                  <w:r>
                    <w:rPr>
                      <w:rFonts w:hint="eastAsia"/>
                      <w:bCs/>
                      <w:color w:val="auto"/>
                      <w:kern w:val="10"/>
                      <w:sz w:val="21"/>
                      <w:szCs w:val="21"/>
                    </w:rPr>
                    <w:t>纬度</w:t>
                  </w:r>
                </w:p>
              </w:tc>
              <w:tc>
                <w:tcPr>
                  <w:tcW w:w="464" w:type="pct"/>
                  <w:vMerge w:val="continue"/>
                  <w:vAlign w:val="center"/>
                </w:tcPr>
                <w:p>
                  <w:pPr>
                    <w:pStyle w:val="14"/>
                    <w:adjustRightInd w:val="0"/>
                    <w:snapToGrid w:val="0"/>
                    <w:spacing w:line="240" w:lineRule="auto"/>
                    <w:ind w:firstLine="0"/>
                    <w:jc w:val="center"/>
                    <w:rPr>
                      <w:bCs/>
                      <w:color w:val="auto"/>
                      <w:kern w:val="10"/>
                      <w:sz w:val="21"/>
                      <w:szCs w:val="21"/>
                    </w:rPr>
                  </w:pPr>
                </w:p>
              </w:tc>
              <w:tc>
                <w:tcPr>
                  <w:tcW w:w="457" w:type="pct"/>
                  <w:vMerge w:val="continue"/>
                  <w:vAlign w:val="center"/>
                </w:tcPr>
                <w:p>
                  <w:pPr>
                    <w:pStyle w:val="14"/>
                    <w:adjustRightInd w:val="0"/>
                    <w:snapToGrid w:val="0"/>
                    <w:spacing w:line="240" w:lineRule="auto"/>
                    <w:ind w:firstLine="0"/>
                    <w:jc w:val="center"/>
                    <w:rPr>
                      <w:bCs/>
                      <w:color w:val="auto"/>
                      <w:kern w:val="10"/>
                      <w:sz w:val="21"/>
                      <w:szCs w:val="21"/>
                    </w:rPr>
                  </w:pPr>
                </w:p>
              </w:tc>
              <w:tc>
                <w:tcPr>
                  <w:tcW w:w="946" w:type="pct"/>
                  <w:vMerge w:val="continue"/>
                  <w:vAlign w:val="center"/>
                </w:tcPr>
                <w:p>
                  <w:pPr>
                    <w:pStyle w:val="14"/>
                    <w:adjustRightInd w:val="0"/>
                    <w:snapToGrid w:val="0"/>
                    <w:spacing w:line="240" w:lineRule="auto"/>
                    <w:ind w:firstLine="0"/>
                    <w:jc w:val="center"/>
                    <w:rPr>
                      <w:bCs/>
                      <w:color w:val="auto"/>
                      <w:kern w:val="10"/>
                      <w:sz w:val="21"/>
                      <w:szCs w:val="21"/>
                    </w:rPr>
                  </w:pPr>
                </w:p>
              </w:tc>
              <w:tc>
                <w:tcPr>
                  <w:tcW w:w="473" w:type="pct"/>
                  <w:vMerge w:val="continue"/>
                  <w:vAlign w:val="center"/>
                </w:tcPr>
                <w:p>
                  <w:pPr>
                    <w:pStyle w:val="14"/>
                    <w:adjustRightInd w:val="0"/>
                    <w:snapToGrid w:val="0"/>
                    <w:spacing w:line="240" w:lineRule="auto"/>
                    <w:ind w:firstLine="0"/>
                    <w:jc w:val="center"/>
                    <w:rPr>
                      <w:bCs/>
                      <w:color w:val="auto"/>
                      <w:kern w:val="10"/>
                      <w:sz w:val="21"/>
                      <w:szCs w:val="21"/>
                    </w:rPr>
                  </w:pPr>
                </w:p>
              </w:tc>
              <w:tc>
                <w:tcPr>
                  <w:tcW w:w="473" w:type="pct"/>
                  <w:vMerge w:val="continue"/>
                  <w:vAlign w:val="center"/>
                </w:tcPr>
                <w:p>
                  <w:pPr>
                    <w:pStyle w:val="14"/>
                    <w:adjustRightInd w:val="0"/>
                    <w:snapToGrid w:val="0"/>
                    <w:spacing w:line="240" w:lineRule="auto"/>
                    <w:ind w:firstLine="0"/>
                    <w:jc w:val="center"/>
                    <w:rPr>
                      <w:bCs/>
                      <w:color w:val="auto"/>
                      <w:kern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39" w:type="pct"/>
                  <w:vAlign w:val="center"/>
                </w:tcPr>
                <w:p>
                  <w:pPr>
                    <w:pStyle w:val="14"/>
                    <w:adjustRightInd w:val="0"/>
                    <w:snapToGrid w:val="0"/>
                    <w:spacing w:line="240" w:lineRule="auto"/>
                    <w:ind w:firstLine="0"/>
                    <w:jc w:val="center"/>
                    <w:rPr>
                      <w:bCs/>
                      <w:color w:val="auto"/>
                      <w:kern w:val="10"/>
                      <w:sz w:val="21"/>
                      <w:szCs w:val="21"/>
                    </w:rPr>
                  </w:pPr>
                  <w:r>
                    <w:rPr>
                      <w:rFonts w:hint="eastAsia"/>
                      <w:bCs/>
                      <w:color w:val="auto"/>
                      <w:kern w:val="10"/>
                      <w:sz w:val="21"/>
                      <w:szCs w:val="21"/>
                    </w:rPr>
                    <w:t>地表水</w:t>
                  </w:r>
                </w:p>
              </w:tc>
              <w:tc>
                <w:tcPr>
                  <w:tcW w:w="508" w:type="pct"/>
                  <w:vAlign w:val="center"/>
                </w:tcPr>
                <w:p>
                  <w:pPr>
                    <w:widowControl/>
                    <w:jc w:val="center"/>
                    <w:rPr>
                      <w:bCs/>
                      <w:color w:val="auto"/>
                      <w:kern w:val="10"/>
                      <w:szCs w:val="21"/>
                    </w:rPr>
                  </w:pPr>
                  <w:r>
                    <w:rPr>
                      <w:bCs/>
                      <w:color w:val="auto"/>
                      <w:kern w:val="10"/>
                      <w:szCs w:val="21"/>
                    </w:rPr>
                    <w:t>南盘江</w:t>
                  </w:r>
                </w:p>
              </w:tc>
              <w:tc>
                <w:tcPr>
                  <w:tcW w:w="1239" w:type="pct"/>
                  <w:gridSpan w:val="2"/>
                  <w:vAlign w:val="center"/>
                </w:tcPr>
                <w:p>
                  <w:pPr>
                    <w:widowControl/>
                    <w:jc w:val="center"/>
                    <w:rPr>
                      <w:bCs/>
                      <w:color w:val="auto"/>
                      <w:kern w:val="10"/>
                      <w:szCs w:val="21"/>
                    </w:rPr>
                  </w:pPr>
                  <w:r>
                    <w:rPr>
                      <w:rFonts w:hint="eastAsia"/>
                      <w:bCs/>
                      <w:color w:val="auto"/>
                      <w:kern w:val="10"/>
                      <w:szCs w:val="21"/>
                    </w:rPr>
                    <w:t>/</w:t>
                  </w:r>
                </w:p>
              </w:tc>
              <w:tc>
                <w:tcPr>
                  <w:tcW w:w="464" w:type="pct"/>
                  <w:vAlign w:val="center"/>
                </w:tcPr>
                <w:p>
                  <w:pPr>
                    <w:pStyle w:val="14"/>
                    <w:adjustRightInd w:val="0"/>
                    <w:snapToGrid w:val="0"/>
                    <w:spacing w:line="240" w:lineRule="auto"/>
                    <w:ind w:firstLine="0"/>
                    <w:jc w:val="center"/>
                    <w:rPr>
                      <w:bCs/>
                      <w:color w:val="auto"/>
                      <w:kern w:val="10"/>
                      <w:sz w:val="21"/>
                      <w:szCs w:val="21"/>
                    </w:rPr>
                  </w:pPr>
                  <w:r>
                    <w:rPr>
                      <w:rFonts w:hint="eastAsia"/>
                      <w:bCs/>
                      <w:color w:val="auto"/>
                      <w:kern w:val="10"/>
                      <w:sz w:val="21"/>
                      <w:szCs w:val="21"/>
                    </w:rPr>
                    <w:t>地表水</w:t>
                  </w:r>
                </w:p>
              </w:tc>
              <w:tc>
                <w:tcPr>
                  <w:tcW w:w="457" w:type="pct"/>
                  <w:vAlign w:val="center"/>
                </w:tcPr>
                <w:p>
                  <w:pPr>
                    <w:pStyle w:val="14"/>
                    <w:adjustRightInd w:val="0"/>
                    <w:snapToGrid w:val="0"/>
                    <w:spacing w:line="240" w:lineRule="auto"/>
                    <w:ind w:firstLine="0"/>
                    <w:jc w:val="center"/>
                    <w:rPr>
                      <w:bCs/>
                      <w:color w:val="auto"/>
                      <w:kern w:val="10"/>
                      <w:sz w:val="21"/>
                      <w:szCs w:val="21"/>
                    </w:rPr>
                  </w:pPr>
                  <w:r>
                    <w:rPr>
                      <w:rFonts w:hint="eastAsia"/>
                      <w:bCs/>
                      <w:color w:val="auto"/>
                      <w:kern w:val="10"/>
                      <w:sz w:val="21"/>
                      <w:szCs w:val="21"/>
                    </w:rPr>
                    <w:t>水质</w:t>
                  </w:r>
                </w:p>
              </w:tc>
              <w:tc>
                <w:tcPr>
                  <w:tcW w:w="946" w:type="pct"/>
                  <w:vAlign w:val="center"/>
                </w:tcPr>
                <w:p>
                  <w:pPr>
                    <w:pStyle w:val="14"/>
                    <w:adjustRightInd w:val="0"/>
                    <w:snapToGrid w:val="0"/>
                    <w:spacing w:line="240" w:lineRule="auto"/>
                    <w:ind w:firstLine="0"/>
                    <w:jc w:val="center"/>
                    <w:rPr>
                      <w:bCs/>
                      <w:color w:val="auto"/>
                      <w:kern w:val="10"/>
                      <w:sz w:val="21"/>
                      <w:szCs w:val="21"/>
                    </w:rPr>
                  </w:pPr>
                  <w:r>
                    <w:rPr>
                      <w:bCs/>
                      <w:color w:val="auto"/>
                      <w:sz w:val="21"/>
                      <w:szCs w:val="21"/>
                    </w:rPr>
                    <w:t>《地表水环境质量标准》（GB3838-2002）</w:t>
                  </w:r>
                  <w:r>
                    <w:rPr>
                      <w:rFonts w:hint="eastAsia"/>
                      <w:bCs/>
                      <w:color w:val="auto"/>
                      <w:sz w:val="21"/>
                      <w:szCs w:val="21"/>
                    </w:rPr>
                    <w:fldChar w:fldCharType="begin"/>
                  </w:r>
                  <w:r>
                    <w:rPr>
                      <w:rFonts w:hint="eastAsia"/>
                      <w:bCs/>
                      <w:color w:val="auto"/>
                      <w:sz w:val="21"/>
                      <w:szCs w:val="21"/>
                    </w:rPr>
                    <w:instrText xml:space="preserve"> = 3 \* ROMAN \* MERGEFORMAT </w:instrText>
                  </w:r>
                  <w:r>
                    <w:rPr>
                      <w:rFonts w:hint="eastAsia"/>
                      <w:bCs/>
                      <w:color w:val="auto"/>
                      <w:sz w:val="21"/>
                      <w:szCs w:val="21"/>
                    </w:rPr>
                    <w:fldChar w:fldCharType="separate"/>
                  </w:r>
                  <w:r>
                    <w:rPr>
                      <w:bCs/>
                      <w:color w:val="auto"/>
                      <w:sz w:val="21"/>
                      <w:szCs w:val="21"/>
                    </w:rPr>
                    <w:t>III</w:t>
                  </w:r>
                  <w:r>
                    <w:rPr>
                      <w:rFonts w:hint="eastAsia"/>
                      <w:bCs/>
                      <w:color w:val="auto"/>
                      <w:sz w:val="21"/>
                      <w:szCs w:val="21"/>
                    </w:rPr>
                    <w:fldChar w:fldCharType="end"/>
                  </w:r>
                  <w:r>
                    <w:rPr>
                      <w:bCs/>
                      <w:color w:val="auto"/>
                      <w:sz w:val="21"/>
                      <w:szCs w:val="21"/>
                    </w:rPr>
                    <w:t>类</w:t>
                  </w:r>
                </w:p>
              </w:tc>
              <w:tc>
                <w:tcPr>
                  <w:tcW w:w="473" w:type="pct"/>
                  <w:vAlign w:val="center"/>
                </w:tcPr>
                <w:p>
                  <w:pPr>
                    <w:pStyle w:val="14"/>
                    <w:adjustRightInd w:val="0"/>
                    <w:snapToGrid w:val="0"/>
                    <w:spacing w:line="240" w:lineRule="auto"/>
                    <w:ind w:firstLine="0"/>
                    <w:jc w:val="center"/>
                    <w:rPr>
                      <w:bCs/>
                      <w:color w:val="auto"/>
                      <w:kern w:val="10"/>
                      <w:sz w:val="21"/>
                      <w:szCs w:val="21"/>
                    </w:rPr>
                  </w:pPr>
                  <w:r>
                    <w:rPr>
                      <w:rFonts w:hint="eastAsia"/>
                      <w:bCs/>
                      <w:color w:val="auto"/>
                      <w:kern w:val="10"/>
                      <w:sz w:val="21"/>
                      <w:szCs w:val="21"/>
                    </w:rPr>
                    <w:t>南侧</w:t>
                  </w:r>
                </w:p>
              </w:tc>
              <w:tc>
                <w:tcPr>
                  <w:tcW w:w="473" w:type="pct"/>
                  <w:vAlign w:val="center"/>
                </w:tcPr>
                <w:p>
                  <w:pPr>
                    <w:pStyle w:val="14"/>
                    <w:adjustRightInd w:val="0"/>
                    <w:snapToGrid w:val="0"/>
                    <w:spacing w:line="240" w:lineRule="auto"/>
                    <w:ind w:firstLine="0"/>
                    <w:jc w:val="center"/>
                    <w:rPr>
                      <w:bCs/>
                      <w:color w:val="auto"/>
                      <w:kern w:val="10"/>
                      <w:sz w:val="21"/>
                      <w:szCs w:val="21"/>
                    </w:rPr>
                  </w:pPr>
                  <w:r>
                    <w:rPr>
                      <w:rFonts w:hint="eastAsia"/>
                      <w:bCs/>
                      <w:color w:val="auto"/>
                      <w:kern w:val="10"/>
                      <w:sz w:val="21"/>
                      <w:szCs w:val="21"/>
                    </w:rPr>
                    <w:t>1330</w:t>
                  </w:r>
                </w:p>
              </w:tc>
            </w:tr>
          </w:tbl>
          <w:p>
            <w:pPr>
              <w:adjustRightInd w:val="0"/>
              <w:snapToGrid w:val="0"/>
              <w:rPr>
                <w:rFonts w:ascii="宋体" w:hAnsi="宋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dxa"/>
            <w:tcMar>
              <w:left w:w="28" w:type="dxa"/>
              <w:right w:w="28" w:type="dxa"/>
            </w:tcMar>
            <w:vAlign w:val="center"/>
          </w:tcPr>
          <w:p>
            <w:pPr>
              <w:adjustRightInd w:val="0"/>
              <w:snapToGrid w:val="0"/>
              <w:jc w:val="center"/>
              <w:rPr>
                <w:rFonts w:ascii="宋体" w:hAnsi="宋体" w:cs="宋体"/>
                <w:color w:val="auto"/>
                <w:kern w:val="0"/>
                <w:sz w:val="24"/>
              </w:rPr>
            </w:pPr>
            <w:r>
              <w:rPr>
                <w:rFonts w:hint="eastAsia" w:ascii="宋体" w:hAnsi="宋体" w:cs="宋体"/>
                <w:color w:val="auto"/>
                <w:kern w:val="0"/>
                <w:sz w:val="24"/>
              </w:rPr>
              <w:t>污染</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物排</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放控</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制标</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准</w:t>
            </w:r>
          </w:p>
        </w:tc>
        <w:tc>
          <w:tcPr>
            <w:tcW w:w="8478" w:type="dxa"/>
          </w:tcPr>
          <w:p>
            <w:pPr>
              <w:spacing w:line="360" w:lineRule="auto"/>
              <w:rPr>
                <w:b/>
                <w:color w:val="auto"/>
                <w:sz w:val="24"/>
              </w:rPr>
            </w:pPr>
            <w:r>
              <w:rPr>
                <w:rFonts w:hint="eastAsia"/>
                <w:b/>
                <w:color w:val="auto"/>
                <w:sz w:val="24"/>
              </w:rPr>
              <w:t>3.7污染物排放标准</w:t>
            </w:r>
          </w:p>
          <w:p>
            <w:pPr>
              <w:spacing w:line="360" w:lineRule="auto"/>
              <w:rPr>
                <w:b/>
                <w:color w:val="auto"/>
                <w:sz w:val="24"/>
              </w:rPr>
            </w:pPr>
            <w:r>
              <w:rPr>
                <w:rFonts w:hint="eastAsia"/>
                <w:b/>
                <w:color w:val="auto"/>
                <w:sz w:val="24"/>
              </w:rPr>
              <w:t>3.7.1废气</w:t>
            </w:r>
          </w:p>
          <w:p>
            <w:pPr>
              <w:pStyle w:val="47"/>
              <w:adjustRightInd w:val="0"/>
              <w:snapToGrid w:val="0"/>
              <w:ind w:firstLine="480" w:firstLineChars="200"/>
              <w:outlineLvl w:val="2"/>
              <w:rPr>
                <w:color w:val="auto"/>
                <w:szCs w:val="21"/>
              </w:rPr>
            </w:pPr>
            <w:r>
              <w:rPr>
                <w:color w:val="auto"/>
                <w:szCs w:val="21"/>
              </w:rPr>
              <w:t>（1）施工期</w:t>
            </w:r>
          </w:p>
          <w:p>
            <w:pPr>
              <w:pStyle w:val="48"/>
              <w:rPr>
                <w:color w:val="auto"/>
              </w:rPr>
            </w:pPr>
            <w:r>
              <w:rPr>
                <w:color w:val="auto"/>
              </w:rPr>
              <w:t>扬尘执行《大气污染物综合排放标准》（GB16297-1996）表2中的无组织排放监控浓度限值。污染物排放标准见表</w:t>
            </w:r>
            <w:r>
              <w:rPr>
                <w:rFonts w:hint="eastAsia"/>
                <w:color w:val="auto"/>
              </w:rPr>
              <w:t>3-4</w:t>
            </w:r>
            <w:r>
              <w:rPr>
                <w:color w:val="auto"/>
              </w:rPr>
              <w:t>。</w:t>
            </w:r>
          </w:p>
          <w:p>
            <w:pPr>
              <w:adjustRightInd w:val="0"/>
              <w:snapToGrid w:val="0"/>
              <w:jc w:val="center"/>
              <w:rPr>
                <w:b/>
                <w:bCs/>
                <w:color w:val="auto"/>
              </w:rPr>
            </w:pPr>
            <w:r>
              <w:rPr>
                <w:b/>
                <w:bCs/>
                <w:color w:val="auto"/>
              </w:rPr>
              <w:t>表</w:t>
            </w:r>
            <w:r>
              <w:rPr>
                <w:rFonts w:hint="eastAsia"/>
                <w:b/>
                <w:bCs/>
                <w:color w:val="auto"/>
              </w:rPr>
              <w:t>3-4</w:t>
            </w:r>
            <w:r>
              <w:rPr>
                <w:b/>
                <w:bCs/>
                <w:color w:val="auto"/>
              </w:rPr>
              <w:t xml:space="preserve">  大气污染物排放浓度限值</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6"/>
              <w:gridCol w:w="2726"/>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52" w:type="pct"/>
                  <w:vMerge w:val="restart"/>
                  <w:vAlign w:val="center"/>
                </w:tcPr>
                <w:p>
                  <w:pPr>
                    <w:adjustRightInd w:val="0"/>
                    <w:snapToGrid w:val="0"/>
                    <w:jc w:val="center"/>
                    <w:rPr>
                      <w:bCs/>
                      <w:color w:val="auto"/>
                      <w:szCs w:val="21"/>
                    </w:rPr>
                  </w:pPr>
                  <w:r>
                    <w:rPr>
                      <w:bCs/>
                      <w:color w:val="auto"/>
                      <w:szCs w:val="21"/>
                    </w:rPr>
                    <w:t>污染物</w:t>
                  </w:r>
                </w:p>
              </w:tc>
              <w:tc>
                <w:tcPr>
                  <w:tcW w:w="3348" w:type="pct"/>
                  <w:gridSpan w:val="2"/>
                  <w:vAlign w:val="center"/>
                </w:tcPr>
                <w:p>
                  <w:pPr>
                    <w:adjustRightInd w:val="0"/>
                    <w:snapToGrid w:val="0"/>
                    <w:jc w:val="center"/>
                    <w:rPr>
                      <w:bCs/>
                      <w:color w:val="auto"/>
                      <w:szCs w:val="21"/>
                    </w:rPr>
                  </w:pPr>
                  <w:r>
                    <w:rPr>
                      <w:bCs/>
                      <w:color w:val="auto"/>
                      <w:szCs w:val="21"/>
                    </w:rPr>
                    <w:t>无组织排放浓度监控限值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52" w:type="pct"/>
                  <w:vMerge w:val="continue"/>
                  <w:vAlign w:val="center"/>
                </w:tcPr>
                <w:p>
                  <w:pPr>
                    <w:adjustRightInd w:val="0"/>
                    <w:snapToGrid w:val="0"/>
                    <w:jc w:val="center"/>
                    <w:rPr>
                      <w:bCs/>
                      <w:color w:val="auto"/>
                      <w:szCs w:val="21"/>
                    </w:rPr>
                  </w:pPr>
                </w:p>
              </w:tc>
              <w:tc>
                <w:tcPr>
                  <w:tcW w:w="1652" w:type="pct"/>
                  <w:vAlign w:val="center"/>
                </w:tcPr>
                <w:p>
                  <w:pPr>
                    <w:adjustRightInd w:val="0"/>
                    <w:snapToGrid w:val="0"/>
                    <w:jc w:val="center"/>
                    <w:rPr>
                      <w:bCs/>
                      <w:color w:val="auto"/>
                      <w:szCs w:val="21"/>
                    </w:rPr>
                  </w:pPr>
                  <w:r>
                    <w:rPr>
                      <w:bCs/>
                      <w:color w:val="auto"/>
                      <w:szCs w:val="21"/>
                    </w:rPr>
                    <w:t>监控点</w:t>
                  </w:r>
                </w:p>
              </w:tc>
              <w:tc>
                <w:tcPr>
                  <w:tcW w:w="1696" w:type="pct"/>
                  <w:vAlign w:val="center"/>
                </w:tcPr>
                <w:p>
                  <w:pPr>
                    <w:adjustRightInd w:val="0"/>
                    <w:snapToGrid w:val="0"/>
                    <w:jc w:val="center"/>
                    <w:rPr>
                      <w:bCs/>
                      <w:color w:val="auto"/>
                      <w:szCs w:val="21"/>
                    </w:rPr>
                  </w:pPr>
                  <w:r>
                    <w:rPr>
                      <w:bCs/>
                      <w:color w:val="auto"/>
                      <w:szCs w:val="21"/>
                    </w:rPr>
                    <w:t>浓度限值（mg/m</w:t>
                  </w:r>
                  <w:r>
                    <w:rPr>
                      <w:bCs/>
                      <w:color w:val="auto"/>
                      <w:szCs w:val="21"/>
                      <w:vertAlign w:val="superscript"/>
                    </w:rPr>
                    <w:t>3</w:t>
                  </w:r>
                  <w:r>
                    <w:rPr>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52" w:type="pct"/>
                  <w:vAlign w:val="center"/>
                </w:tcPr>
                <w:p>
                  <w:pPr>
                    <w:adjustRightInd w:val="0"/>
                    <w:snapToGrid w:val="0"/>
                    <w:jc w:val="center"/>
                    <w:rPr>
                      <w:color w:val="auto"/>
                      <w:szCs w:val="21"/>
                    </w:rPr>
                  </w:pPr>
                  <w:r>
                    <w:rPr>
                      <w:color w:val="auto"/>
                      <w:szCs w:val="21"/>
                    </w:rPr>
                    <w:t>颗粒物</w:t>
                  </w:r>
                </w:p>
              </w:tc>
              <w:tc>
                <w:tcPr>
                  <w:tcW w:w="1652" w:type="pct"/>
                  <w:vAlign w:val="center"/>
                </w:tcPr>
                <w:p>
                  <w:pPr>
                    <w:adjustRightInd w:val="0"/>
                    <w:snapToGrid w:val="0"/>
                    <w:jc w:val="center"/>
                    <w:rPr>
                      <w:color w:val="auto"/>
                      <w:szCs w:val="21"/>
                    </w:rPr>
                  </w:pPr>
                  <w:r>
                    <w:rPr>
                      <w:color w:val="auto"/>
                      <w:szCs w:val="21"/>
                    </w:rPr>
                    <w:t>周</w:t>
                  </w:r>
                  <w:r>
                    <w:rPr>
                      <w:color w:val="auto"/>
                      <w:szCs w:val="21"/>
                    </w:rPr>
                    <w:cr/>
                  </w:r>
                  <w:r>
                    <w:rPr>
                      <w:color w:val="auto"/>
                      <w:szCs w:val="21"/>
                    </w:rPr>
                    <w:t>外浓度最高点</w:t>
                  </w:r>
                </w:p>
              </w:tc>
              <w:tc>
                <w:tcPr>
                  <w:tcW w:w="1696" w:type="pct"/>
                  <w:vAlign w:val="center"/>
                </w:tcPr>
                <w:p>
                  <w:pPr>
                    <w:adjustRightInd w:val="0"/>
                    <w:snapToGrid w:val="0"/>
                    <w:jc w:val="center"/>
                    <w:rPr>
                      <w:color w:val="auto"/>
                      <w:szCs w:val="21"/>
                    </w:rPr>
                  </w:pPr>
                  <w:r>
                    <w:rPr>
                      <w:color w:val="auto"/>
                      <w:szCs w:val="21"/>
                    </w:rPr>
                    <w:t>1</w:t>
                  </w:r>
                  <w:r>
                    <w:rPr>
                      <w:rFonts w:hint="eastAsia"/>
                      <w:color w:val="auto"/>
                      <w:szCs w:val="21"/>
                    </w:rPr>
                    <w:t>.</w:t>
                  </w:r>
                  <w:r>
                    <w:rPr>
                      <w:color w:val="auto"/>
                      <w:szCs w:val="21"/>
                    </w:rPr>
                    <w:cr/>
                  </w:r>
                  <w:r>
                    <w:rPr>
                      <w:color w:val="auto"/>
                      <w:szCs w:val="21"/>
                    </w:rPr>
                    <w:t>0</w:t>
                  </w:r>
                </w:p>
              </w:tc>
            </w:tr>
          </w:tbl>
          <w:p>
            <w:pPr>
              <w:pStyle w:val="47"/>
              <w:adjustRightInd w:val="0"/>
              <w:snapToGrid w:val="0"/>
              <w:spacing w:line="240" w:lineRule="auto"/>
              <w:ind w:firstLine="420" w:firstLineChars="200"/>
              <w:outlineLvl w:val="2"/>
              <w:rPr>
                <w:color w:val="auto"/>
                <w:sz w:val="21"/>
                <w:szCs w:val="21"/>
              </w:rPr>
            </w:pPr>
          </w:p>
          <w:p>
            <w:pPr>
              <w:pStyle w:val="47"/>
              <w:adjustRightInd w:val="0"/>
              <w:snapToGrid w:val="0"/>
              <w:ind w:firstLine="480" w:firstLineChars="200"/>
              <w:outlineLvl w:val="2"/>
              <w:rPr>
                <w:color w:val="auto"/>
                <w:szCs w:val="21"/>
              </w:rPr>
            </w:pPr>
            <w:r>
              <w:rPr>
                <w:color w:val="auto"/>
                <w:szCs w:val="21"/>
              </w:rPr>
              <w:t>（2）运营期</w:t>
            </w:r>
          </w:p>
          <w:p>
            <w:pPr>
              <w:pStyle w:val="48"/>
              <w:rPr>
                <w:color w:val="auto"/>
              </w:rPr>
            </w:pPr>
            <w:r>
              <w:rPr>
                <w:rFonts w:hint="eastAsia"/>
                <w:color w:val="auto"/>
              </w:rPr>
              <w:t>①有组织废气</w:t>
            </w:r>
          </w:p>
          <w:p>
            <w:pPr>
              <w:pStyle w:val="48"/>
              <w:rPr>
                <w:color w:val="auto"/>
              </w:rPr>
            </w:pPr>
            <w:r>
              <w:rPr>
                <w:rFonts w:hint="eastAsia"/>
                <w:color w:val="auto"/>
              </w:rPr>
              <w:t>运营期焙烧车间的颗粒物和</w:t>
            </w:r>
            <w:r>
              <w:rPr>
                <w:rFonts w:hint="eastAsia"/>
                <w:color w:val="auto"/>
                <w:lang w:eastAsia="zh-CN"/>
              </w:rPr>
              <w:t>氟及其化合物（以F计）</w:t>
            </w:r>
            <w:r>
              <w:rPr>
                <w:rFonts w:hint="eastAsia"/>
                <w:color w:val="auto"/>
              </w:rPr>
              <w:t>分别执行《工业炉窑大气污染物排放标准》（GB9078-1996）表2和表4二级标准，二氧化硫和氮氧化物执行</w:t>
            </w:r>
            <w:r>
              <w:rPr>
                <w:color w:val="auto"/>
              </w:rPr>
              <w:t>《大气污染物综合排放标准》（GB16297-1996）表2</w:t>
            </w:r>
            <w:r>
              <w:rPr>
                <w:rFonts w:hint="eastAsia"/>
                <w:color w:val="auto"/>
              </w:rPr>
              <w:t>二级标准。破碎车间产生的颗粒物执行</w:t>
            </w:r>
            <w:r>
              <w:rPr>
                <w:color w:val="auto"/>
              </w:rPr>
              <w:t>《大气污染物综合排放标准》（GB16297-1996）表2</w:t>
            </w:r>
            <w:r>
              <w:rPr>
                <w:rFonts w:hint="eastAsia"/>
                <w:color w:val="auto"/>
              </w:rPr>
              <w:t>二级标准。</w:t>
            </w:r>
          </w:p>
          <w:p>
            <w:pPr>
              <w:adjustRightInd w:val="0"/>
              <w:snapToGrid w:val="0"/>
              <w:jc w:val="center"/>
              <w:rPr>
                <w:b/>
                <w:bCs/>
                <w:color w:val="auto"/>
              </w:rPr>
            </w:pPr>
            <w:r>
              <w:rPr>
                <w:rFonts w:hint="eastAsia"/>
                <w:b/>
                <w:bCs/>
                <w:color w:val="auto"/>
              </w:rPr>
              <w:t>表3-5  《工业炉窑大气污染物排放标准》（GB9078-1996）表2</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5"/>
              <w:gridCol w:w="1225"/>
              <w:gridCol w:w="2352"/>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8"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生产过程</w:t>
                  </w:r>
                </w:p>
              </w:tc>
              <w:tc>
                <w:tcPr>
                  <w:tcW w:w="742"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标准级别</w:t>
                  </w:r>
                </w:p>
              </w:tc>
              <w:tc>
                <w:tcPr>
                  <w:tcW w:w="2738" w:type="pct"/>
                  <w:gridSpan w:val="2"/>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8" w:type="pct"/>
                  <w:vMerge w:val="restart"/>
                  <w:vAlign w:val="center"/>
                </w:tcPr>
                <w:p>
                  <w:pPr>
                    <w:pStyle w:val="47"/>
                    <w:adjustRightInd w:val="0"/>
                    <w:snapToGrid w:val="0"/>
                    <w:spacing w:line="240" w:lineRule="auto"/>
                    <w:ind w:firstLine="0"/>
                    <w:jc w:val="center"/>
                    <w:outlineLvl w:val="2"/>
                    <w:rPr>
                      <w:color w:val="auto"/>
                      <w:sz w:val="21"/>
                      <w:szCs w:val="16"/>
                    </w:rPr>
                  </w:pPr>
                  <w:r>
                    <w:rPr>
                      <w:rFonts w:hint="eastAsia"/>
                      <w:color w:val="auto"/>
                      <w:sz w:val="21"/>
                      <w:szCs w:val="16"/>
                    </w:rPr>
                    <w:t>非金属焙（煅）烧炉窑</w:t>
                  </w:r>
                </w:p>
                <w:p>
                  <w:pPr>
                    <w:pStyle w:val="47"/>
                    <w:adjustRightInd w:val="0"/>
                    <w:snapToGrid w:val="0"/>
                    <w:spacing w:line="240" w:lineRule="auto"/>
                    <w:ind w:firstLine="0"/>
                    <w:jc w:val="center"/>
                    <w:outlineLvl w:val="2"/>
                    <w:rPr>
                      <w:color w:val="auto"/>
                      <w:sz w:val="21"/>
                      <w:szCs w:val="21"/>
                    </w:rPr>
                  </w:pPr>
                  <w:r>
                    <w:rPr>
                      <w:rFonts w:hint="eastAsia"/>
                      <w:color w:val="auto"/>
                      <w:sz w:val="21"/>
                      <w:szCs w:val="16"/>
                    </w:rPr>
                    <w:t>（耐火材料窑）</w:t>
                  </w:r>
                </w:p>
              </w:tc>
              <w:tc>
                <w:tcPr>
                  <w:tcW w:w="742" w:type="pct"/>
                  <w:vMerge w:val="restar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二</w:t>
                  </w:r>
                </w:p>
              </w:tc>
              <w:tc>
                <w:tcPr>
                  <w:tcW w:w="1425"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烟（粉）尘排放浓度</w:t>
                  </w:r>
                </w:p>
                <w:p>
                  <w:pPr>
                    <w:pStyle w:val="47"/>
                    <w:adjustRightInd w:val="0"/>
                    <w:snapToGrid w:val="0"/>
                    <w:spacing w:line="240" w:lineRule="auto"/>
                    <w:ind w:firstLine="0"/>
                    <w:jc w:val="center"/>
                    <w:outlineLvl w:val="2"/>
                    <w:rPr>
                      <w:color w:val="auto"/>
                      <w:sz w:val="21"/>
                      <w:szCs w:val="21"/>
                    </w:rPr>
                  </w:pPr>
                  <w:r>
                    <w:rPr>
                      <w:rFonts w:hint="eastAsia"/>
                      <w:color w:val="auto"/>
                      <w:sz w:val="21"/>
                      <w:szCs w:val="21"/>
                    </w:rPr>
                    <w:t>mg/m</w:t>
                  </w:r>
                  <w:r>
                    <w:rPr>
                      <w:rFonts w:hint="eastAsia"/>
                      <w:color w:val="auto"/>
                      <w:sz w:val="21"/>
                      <w:szCs w:val="21"/>
                      <w:vertAlign w:val="superscript"/>
                    </w:rPr>
                    <w:t>3</w:t>
                  </w:r>
                </w:p>
              </w:tc>
              <w:tc>
                <w:tcPr>
                  <w:tcW w:w="1313"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烟气黑度</w:t>
                  </w:r>
                </w:p>
                <w:p>
                  <w:pPr>
                    <w:pStyle w:val="47"/>
                    <w:adjustRightInd w:val="0"/>
                    <w:snapToGrid w:val="0"/>
                    <w:spacing w:line="240" w:lineRule="auto"/>
                    <w:ind w:firstLine="0"/>
                    <w:jc w:val="center"/>
                    <w:outlineLvl w:val="2"/>
                    <w:rPr>
                      <w:color w:val="auto"/>
                      <w:sz w:val="21"/>
                      <w:szCs w:val="21"/>
                    </w:rPr>
                  </w:pPr>
                  <w:r>
                    <w:rPr>
                      <w:rFonts w:hint="eastAsia"/>
                      <w:color w:val="auto"/>
                      <w:sz w:val="21"/>
                      <w:szCs w:val="21"/>
                    </w:rPr>
                    <w:t>（林格曼级）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8" w:type="pct"/>
                  <w:vMerge w:val="continue"/>
                  <w:vAlign w:val="center"/>
                </w:tcPr>
                <w:p>
                  <w:pPr>
                    <w:pStyle w:val="47"/>
                    <w:adjustRightInd w:val="0"/>
                    <w:snapToGrid w:val="0"/>
                    <w:spacing w:line="240" w:lineRule="auto"/>
                    <w:ind w:firstLine="0"/>
                    <w:jc w:val="center"/>
                    <w:outlineLvl w:val="2"/>
                    <w:rPr>
                      <w:color w:val="auto"/>
                    </w:rPr>
                  </w:pPr>
                </w:p>
              </w:tc>
              <w:tc>
                <w:tcPr>
                  <w:tcW w:w="742"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1425"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200</w:t>
                  </w:r>
                </w:p>
              </w:tc>
              <w:tc>
                <w:tcPr>
                  <w:tcW w:w="1313"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1</w:t>
                  </w:r>
                </w:p>
              </w:tc>
            </w:tr>
          </w:tbl>
          <w:p>
            <w:pPr>
              <w:pStyle w:val="47"/>
              <w:adjustRightInd w:val="0"/>
              <w:snapToGrid w:val="0"/>
              <w:spacing w:line="240" w:lineRule="auto"/>
              <w:ind w:firstLine="0"/>
              <w:outlineLvl w:val="2"/>
              <w:rPr>
                <w:b/>
                <w:bCs/>
                <w:color w:val="auto"/>
                <w:sz w:val="21"/>
                <w:szCs w:val="18"/>
              </w:rPr>
            </w:pPr>
          </w:p>
          <w:p>
            <w:pPr>
              <w:pStyle w:val="48"/>
              <w:spacing w:line="240" w:lineRule="auto"/>
              <w:ind w:firstLine="0" w:firstLineChars="0"/>
              <w:jc w:val="center"/>
              <w:rPr>
                <w:b/>
                <w:bCs/>
                <w:color w:val="auto"/>
                <w:sz w:val="21"/>
                <w:szCs w:val="21"/>
              </w:rPr>
            </w:pPr>
            <w:r>
              <w:rPr>
                <w:rFonts w:hint="eastAsia"/>
                <w:b/>
                <w:bCs/>
                <w:color w:val="auto"/>
                <w:sz w:val="21"/>
                <w:szCs w:val="21"/>
              </w:rPr>
              <w:t>表3-6  《工业炉窑大气污染物排放标准》（GB9078-1996）表4</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795"/>
              <w:gridCol w:w="1145"/>
              <w:gridCol w:w="4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6" w:type="pct"/>
                  <w:vMerge w:val="restar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序号</w:t>
                  </w:r>
                </w:p>
              </w:tc>
              <w:tc>
                <w:tcPr>
                  <w:tcW w:w="1088" w:type="pct"/>
                  <w:vMerge w:val="restar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有害污染物名称</w:t>
                  </w:r>
                </w:p>
              </w:tc>
              <w:tc>
                <w:tcPr>
                  <w:tcW w:w="694" w:type="pct"/>
                  <w:vMerge w:val="restar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标准级别</w:t>
                  </w:r>
                </w:p>
              </w:tc>
              <w:tc>
                <w:tcPr>
                  <w:tcW w:w="2741"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1997年1月1日起新、改、扩建的工业炉窑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6"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1088"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694"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2741"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浓度限值（mg/m</w:t>
                  </w:r>
                  <w:r>
                    <w:rPr>
                      <w:rFonts w:hint="eastAsia"/>
                      <w:color w:val="auto"/>
                      <w:sz w:val="21"/>
                      <w:szCs w:val="21"/>
                      <w:vertAlign w:val="superscript"/>
                    </w:rPr>
                    <w:t>3</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6"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1</w:t>
                  </w:r>
                </w:p>
              </w:tc>
              <w:tc>
                <w:tcPr>
                  <w:tcW w:w="1088"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氟及其化合物（以F</w:t>
                  </w:r>
                  <w:r>
                    <w:rPr>
                      <w:rFonts w:hint="eastAsia"/>
                      <w:color w:val="auto"/>
                      <w:sz w:val="21"/>
                      <w:szCs w:val="21"/>
                      <w:vertAlign w:val="superscript"/>
                    </w:rPr>
                    <w:t>-</w:t>
                  </w:r>
                  <w:r>
                    <w:rPr>
                      <w:rFonts w:hint="eastAsia"/>
                      <w:color w:val="auto"/>
                      <w:sz w:val="21"/>
                      <w:szCs w:val="21"/>
                    </w:rPr>
                    <w:t>计）</w:t>
                  </w:r>
                </w:p>
              </w:tc>
              <w:tc>
                <w:tcPr>
                  <w:tcW w:w="694"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二</w:t>
                  </w:r>
                </w:p>
              </w:tc>
              <w:tc>
                <w:tcPr>
                  <w:tcW w:w="2741"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6</w:t>
                  </w:r>
                </w:p>
              </w:tc>
            </w:tr>
          </w:tbl>
          <w:p>
            <w:pPr>
              <w:adjustRightInd w:val="0"/>
              <w:snapToGrid w:val="0"/>
              <w:jc w:val="center"/>
              <w:rPr>
                <w:b/>
                <w:bCs/>
                <w:color w:val="auto"/>
              </w:rPr>
            </w:pPr>
          </w:p>
          <w:p>
            <w:pPr>
              <w:adjustRightInd w:val="0"/>
              <w:snapToGrid w:val="0"/>
              <w:jc w:val="center"/>
              <w:rPr>
                <w:b/>
                <w:bCs/>
                <w:color w:val="auto"/>
              </w:rPr>
            </w:pPr>
            <w:r>
              <w:rPr>
                <w:rFonts w:hint="eastAsia"/>
                <w:b/>
                <w:bCs/>
                <w:color w:val="auto"/>
              </w:rPr>
              <w:t>表3-7  《大气污染物综合排放标准》（GB16297-1996）</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895"/>
              <w:gridCol w:w="2571"/>
              <w:gridCol w:w="1495"/>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38" w:type="pct"/>
                  <w:vMerge w:val="restar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序号</w:t>
                  </w:r>
                </w:p>
              </w:tc>
              <w:tc>
                <w:tcPr>
                  <w:tcW w:w="1148" w:type="pct"/>
                  <w:vMerge w:val="restar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污染物</w:t>
                  </w:r>
                </w:p>
              </w:tc>
              <w:tc>
                <w:tcPr>
                  <w:tcW w:w="1558" w:type="pct"/>
                  <w:vMerge w:val="restar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最高允许排放浓度（mg/m</w:t>
                  </w:r>
                  <w:r>
                    <w:rPr>
                      <w:color w:val="auto"/>
                      <w:sz w:val="21"/>
                      <w:szCs w:val="21"/>
                      <w:vertAlign w:val="superscript"/>
                    </w:rPr>
                    <w:t>3</w:t>
                  </w:r>
                  <w:r>
                    <w:rPr>
                      <w:color w:val="auto"/>
                      <w:sz w:val="21"/>
                      <w:szCs w:val="21"/>
                    </w:rPr>
                    <w:t>）</w:t>
                  </w:r>
                </w:p>
              </w:tc>
              <w:tc>
                <w:tcPr>
                  <w:tcW w:w="1754" w:type="pct"/>
                  <w:gridSpan w:val="2"/>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最高允许排放速率（kg/h）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38"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1148"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1558"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906" w:type="pc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排气筒高度/h</w:t>
                  </w:r>
                </w:p>
              </w:tc>
              <w:tc>
                <w:tcPr>
                  <w:tcW w:w="848" w:type="pc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38" w:type="pc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1</w:t>
                  </w:r>
                </w:p>
              </w:tc>
              <w:tc>
                <w:tcPr>
                  <w:tcW w:w="1148" w:type="pc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二氧化硫</w:t>
                  </w:r>
                </w:p>
              </w:tc>
              <w:tc>
                <w:tcPr>
                  <w:tcW w:w="1558" w:type="pc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550</w:t>
                  </w:r>
                </w:p>
              </w:tc>
              <w:tc>
                <w:tcPr>
                  <w:tcW w:w="906" w:type="pc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50</w:t>
                  </w:r>
                </w:p>
              </w:tc>
              <w:tc>
                <w:tcPr>
                  <w:tcW w:w="848" w:type="pc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38" w:type="pc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2</w:t>
                  </w:r>
                </w:p>
              </w:tc>
              <w:tc>
                <w:tcPr>
                  <w:tcW w:w="1148" w:type="pc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氮氧化物</w:t>
                  </w:r>
                </w:p>
              </w:tc>
              <w:tc>
                <w:tcPr>
                  <w:tcW w:w="1558" w:type="pc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240</w:t>
                  </w:r>
                </w:p>
              </w:tc>
              <w:tc>
                <w:tcPr>
                  <w:tcW w:w="906" w:type="pc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50</w:t>
                  </w:r>
                </w:p>
              </w:tc>
              <w:tc>
                <w:tcPr>
                  <w:tcW w:w="848" w:type="pc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38"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3</w:t>
                  </w:r>
                </w:p>
              </w:tc>
              <w:tc>
                <w:tcPr>
                  <w:tcW w:w="1148" w:type="pc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颗粒物</w:t>
                  </w:r>
                </w:p>
              </w:tc>
              <w:tc>
                <w:tcPr>
                  <w:tcW w:w="1558"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120</w:t>
                  </w:r>
                </w:p>
              </w:tc>
              <w:tc>
                <w:tcPr>
                  <w:tcW w:w="906"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15</w:t>
                  </w:r>
                </w:p>
              </w:tc>
              <w:tc>
                <w:tcPr>
                  <w:tcW w:w="848"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3.5</w:t>
                  </w:r>
                </w:p>
              </w:tc>
            </w:tr>
          </w:tbl>
          <w:p>
            <w:pPr>
              <w:pStyle w:val="48"/>
              <w:spacing w:line="240" w:lineRule="auto"/>
              <w:ind w:firstLine="420"/>
              <w:rPr>
                <w:color w:val="auto"/>
                <w:sz w:val="21"/>
                <w:szCs w:val="21"/>
              </w:rPr>
            </w:pPr>
          </w:p>
          <w:p>
            <w:pPr>
              <w:pStyle w:val="48"/>
              <w:rPr>
                <w:color w:val="auto"/>
              </w:rPr>
            </w:pPr>
            <w:r>
              <w:rPr>
                <w:rFonts w:hint="eastAsia"/>
                <w:color w:val="auto"/>
              </w:rPr>
              <w:t>②无组织废气</w:t>
            </w:r>
          </w:p>
          <w:p>
            <w:pPr>
              <w:pStyle w:val="48"/>
              <w:rPr>
                <w:color w:val="auto"/>
              </w:rPr>
            </w:pPr>
            <w:r>
              <w:rPr>
                <w:rFonts w:hint="eastAsia"/>
                <w:color w:val="auto"/>
              </w:rPr>
              <w:t>运营期无组织废气为堆场粉尘、破碎筛分车间粉尘和窑烧车间粉尘，无组织粉尘执行《</w:t>
            </w:r>
            <w:r>
              <w:rPr>
                <w:color w:val="auto"/>
              </w:rPr>
              <w:t>大气污染物综合排放标准》（GB16297-1996）表2</w:t>
            </w:r>
            <w:r>
              <w:rPr>
                <w:rFonts w:hint="eastAsia"/>
                <w:color w:val="auto"/>
              </w:rPr>
              <w:t>无组织排放监控浓度限值。</w:t>
            </w:r>
          </w:p>
          <w:p>
            <w:pPr>
              <w:adjustRightInd w:val="0"/>
              <w:snapToGrid w:val="0"/>
              <w:jc w:val="center"/>
              <w:rPr>
                <w:b/>
                <w:bCs/>
                <w:color w:val="auto"/>
              </w:rPr>
            </w:pPr>
            <w:r>
              <w:rPr>
                <w:rFonts w:hint="eastAsia"/>
                <w:b/>
                <w:bCs/>
                <w:color w:val="auto"/>
              </w:rPr>
              <w:t>表3-8  《大气污染物综合排放标准》（GB16297-1996）</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851"/>
              <w:gridCol w:w="1559"/>
              <w:gridCol w:w="1557"/>
              <w:gridCol w:w="1097"/>
              <w:gridCol w:w="1218"/>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Merge w:val="restar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序号</w:t>
                  </w:r>
                </w:p>
              </w:tc>
              <w:tc>
                <w:tcPr>
                  <w:tcW w:w="516" w:type="pct"/>
                  <w:vMerge w:val="restar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污染物</w:t>
                  </w:r>
                </w:p>
              </w:tc>
              <w:tc>
                <w:tcPr>
                  <w:tcW w:w="945" w:type="pct"/>
                  <w:vMerge w:val="restar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最高允许排放浓度（mg/m</w:t>
                  </w:r>
                  <w:r>
                    <w:rPr>
                      <w:color w:val="auto"/>
                      <w:sz w:val="21"/>
                      <w:szCs w:val="21"/>
                      <w:vertAlign w:val="superscript"/>
                    </w:rPr>
                    <w:t>3</w:t>
                  </w:r>
                  <w:r>
                    <w:rPr>
                      <w:color w:val="auto"/>
                      <w:sz w:val="21"/>
                      <w:szCs w:val="21"/>
                    </w:rPr>
                    <w:t>）</w:t>
                  </w:r>
                </w:p>
              </w:tc>
              <w:tc>
                <w:tcPr>
                  <w:tcW w:w="1609" w:type="pct"/>
                  <w:gridSpan w:val="2"/>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最高允许排放速率（kg/h）</w:t>
                  </w:r>
                </w:p>
              </w:tc>
              <w:tc>
                <w:tcPr>
                  <w:tcW w:w="1577" w:type="pct"/>
                  <w:gridSpan w:val="2"/>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516"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945"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944" w:type="pc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排气筒高度/h</w:t>
                  </w:r>
                </w:p>
              </w:tc>
              <w:tc>
                <w:tcPr>
                  <w:tcW w:w="664" w:type="pc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二级</w:t>
                  </w:r>
                </w:p>
              </w:tc>
              <w:tc>
                <w:tcPr>
                  <w:tcW w:w="738" w:type="pc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监控点</w:t>
                  </w:r>
                </w:p>
              </w:tc>
              <w:tc>
                <w:tcPr>
                  <w:tcW w:w="839" w:type="pc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浓度（mg/m</w:t>
                  </w:r>
                  <w:r>
                    <w:rPr>
                      <w:color w:val="auto"/>
                      <w:sz w:val="21"/>
                      <w:szCs w:val="21"/>
                      <w:vertAlign w:val="superscript"/>
                    </w:rPr>
                    <w:t>3</w:t>
                  </w: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 w:type="pc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1</w:t>
                  </w:r>
                </w:p>
              </w:tc>
              <w:tc>
                <w:tcPr>
                  <w:tcW w:w="516" w:type="pc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颗粒物</w:t>
                  </w:r>
                </w:p>
              </w:tc>
              <w:tc>
                <w:tcPr>
                  <w:tcW w:w="945"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w:t>
                  </w:r>
                </w:p>
              </w:tc>
              <w:tc>
                <w:tcPr>
                  <w:tcW w:w="944"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w:t>
                  </w:r>
                </w:p>
              </w:tc>
              <w:tc>
                <w:tcPr>
                  <w:tcW w:w="664"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w:t>
                  </w:r>
                </w:p>
              </w:tc>
              <w:tc>
                <w:tcPr>
                  <w:tcW w:w="738" w:type="pc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周界外浓度最高点</w:t>
                  </w:r>
                </w:p>
              </w:tc>
              <w:tc>
                <w:tcPr>
                  <w:tcW w:w="839" w:type="pct"/>
                  <w:vAlign w:val="center"/>
                </w:tcPr>
                <w:p>
                  <w:pPr>
                    <w:pStyle w:val="47"/>
                    <w:adjustRightInd w:val="0"/>
                    <w:snapToGrid w:val="0"/>
                    <w:spacing w:line="240" w:lineRule="auto"/>
                    <w:ind w:firstLine="0"/>
                    <w:jc w:val="center"/>
                    <w:outlineLvl w:val="2"/>
                    <w:rPr>
                      <w:color w:val="auto"/>
                      <w:sz w:val="21"/>
                      <w:szCs w:val="21"/>
                    </w:rPr>
                  </w:pPr>
                  <w:r>
                    <w:rPr>
                      <w:color w:val="auto"/>
                      <w:sz w:val="21"/>
                      <w:szCs w:val="21"/>
                    </w:rPr>
                    <w:t>1.0</w:t>
                  </w:r>
                </w:p>
              </w:tc>
            </w:tr>
          </w:tbl>
          <w:p>
            <w:pPr>
              <w:pStyle w:val="48"/>
              <w:spacing w:line="240" w:lineRule="auto"/>
              <w:ind w:firstLine="0" w:firstLineChars="0"/>
              <w:jc w:val="center"/>
              <w:rPr>
                <w:b/>
                <w:bCs/>
                <w:color w:val="auto"/>
                <w:sz w:val="21"/>
                <w:szCs w:val="21"/>
              </w:rPr>
            </w:pPr>
          </w:p>
          <w:p>
            <w:pPr>
              <w:pStyle w:val="47"/>
              <w:adjustRightInd w:val="0"/>
              <w:snapToGrid w:val="0"/>
              <w:ind w:firstLine="0"/>
              <w:outlineLvl w:val="2"/>
              <w:rPr>
                <w:b/>
                <w:bCs/>
                <w:color w:val="auto"/>
                <w:szCs w:val="21"/>
              </w:rPr>
            </w:pPr>
            <w:r>
              <w:rPr>
                <w:rFonts w:hint="eastAsia"/>
                <w:b/>
                <w:bCs/>
                <w:color w:val="auto"/>
                <w:szCs w:val="21"/>
              </w:rPr>
              <w:t>3.7.2</w:t>
            </w:r>
            <w:r>
              <w:rPr>
                <w:b/>
                <w:bCs/>
                <w:color w:val="auto"/>
                <w:szCs w:val="21"/>
              </w:rPr>
              <w:t>废水</w:t>
            </w:r>
          </w:p>
          <w:p>
            <w:pPr>
              <w:pStyle w:val="47"/>
              <w:adjustRightInd w:val="0"/>
              <w:snapToGrid w:val="0"/>
              <w:ind w:firstLine="480" w:firstLineChars="200"/>
              <w:outlineLvl w:val="2"/>
              <w:rPr>
                <w:color w:val="auto"/>
                <w:szCs w:val="21"/>
              </w:rPr>
            </w:pPr>
            <w:r>
              <w:rPr>
                <w:color w:val="auto"/>
                <w:szCs w:val="21"/>
              </w:rPr>
              <w:t>（1）施工期</w:t>
            </w:r>
          </w:p>
          <w:p>
            <w:pPr>
              <w:pStyle w:val="47"/>
              <w:adjustRightInd w:val="0"/>
              <w:snapToGrid w:val="0"/>
              <w:ind w:firstLine="480" w:firstLineChars="200"/>
              <w:outlineLvl w:val="2"/>
              <w:rPr>
                <w:color w:val="auto"/>
                <w:szCs w:val="21"/>
              </w:rPr>
            </w:pPr>
            <w:r>
              <w:rPr>
                <w:color w:val="auto"/>
                <w:szCs w:val="21"/>
              </w:rPr>
              <w:t>施工期废水主要为施工人员生活污水及施工废水。施工人员不在厂区内食宿，生活污水主要为洗手产生的污水，</w:t>
            </w:r>
            <w:r>
              <w:rPr>
                <w:rFonts w:hint="eastAsia"/>
                <w:color w:val="auto"/>
                <w:szCs w:val="21"/>
              </w:rPr>
              <w:t>经已建成化粪池处理后排入园区污水管网，最终进入宜良工业园区污水处理厂处理。</w:t>
            </w:r>
            <w:r>
              <w:rPr>
                <w:color w:val="auto"/>
                <w:szCs w:val="21"/>
              </w:rPr>
              <w:t>施工废水则为</w:t>
            </w:r>
            <w:r>
              <w:rPr>
                <w:rFonts w:hint="eastAsia"/>
                <w:color w:val="auto"/>
                <w:szCs w:val="21"/>
              </w:rPr>
              <w:t>设备擦洗废水</w:t>
            </w:r>
            <w:r>
              <w:rPr>
                <w:color w:val="auto"/>
                <w:kern w:val="0"/>
              </w:rPr>
              <w:t>，主要污染物均为SS</w:t>
            </w:r>
            <w:r>
              <w:rPr>
                <w:rFonts w:hint="eastAsia"/>
                <w:color w:val="auto"/>
                <w:kern w:val="0"/>
              </w:rPr>
              <w:t>，用桶收集沉淀回用于施工期场地洒水降尘</w:t>
            </w:r>
            <w:r>
              <w:rPr>
                <w:color w:val="auto"/>
                <w:kern w:val="0"/>
              </w:rPr>
              <w:t>。</w:t>
            </w:r>
          </w:p>
          <w:p>
            <w:pPr>
              <w:pStyle w:val="47"/>
              <w:adjustRightInd w:val="0"/>
              <w:snapToGrid w:val="0"/>
              <w:ind w:firstLine="480" w:firstLineChars="200"/>
              <w:outlineLvl w:val="2"/>
              <w:rPr>
                <w:color w:val="auto"/>
                <w:szCs w:val="21"/>
              </w:rPr>
            </w:pPr>
            <w:r>
              <w:rPr>
                <w:color w:val="auto"/>
                <w:szCs w:val="21"/>
              </w:rPr>
              <w:t>（2）运营期</w:t>
            </w:r>
          </w:p>
          <w:p>
            <w:pPr>
              <w:pStyle w:val="47"/>
              <w:adjustRightInd w:val="0"/>
              <w:snapToGrid w:val="0"/>
              <w:ind w:firstLine="480" w:firstLineChars="200"/>
              <w:outlineLvl w:val="2"/>
              <w:rPr>
                <w:color w:val="auto"/>
                <w:szCs w:val="21"/>
              </w:rPr>
            </w:pPr>
            <w:r>
              <w:rPr>
                <w:rFonts w:hint="eastAsia"/>
                <w:color w:val="auto"/>
                <w:szCs w:val="24"/>
              </w:rPr>
              <w:t>本次改扩建运营期不新增员工，故不新增生活污水。检测室废水为酸碱废水，经中和池中和沉淀后排入化粪池与生活污水一起处理达到</w:t>
            </w:r>
            <w:r>
              <w:rPr>
                <w:color w:val="auto"/>
                <w:szCs w:val="24"/>
              </w:rPr>
              <w:t>《污水排入城镇下水道水质标准》（GB/T31962-2015）表1</w:t>
            </w:r>
            <w:r>
              <w:rPr>
                <w:rFonts w:hint="eastAsia"/>
                <w:color w:val="auto"/>
                <w:szCs w:val="24"/>
              </w:rPr>
              <w:t>A</w:t>
            </w:r>
            <w:r>
              <w:rPr>
                <w:color w:val="auto"/>
                <w:szCs w:val="24"/>
              </w:rPr>
              <w:t>级标准后</w:t>
            </w:r>
            <w:r>
              <w:rPr>
                <w:rFonts w:hint="eastAsia"/>
                <w:color w:val="auto"/>
                <w:szCs w:val="24"/>
              </w:rPr>
              <w:t>排入园区污水管网，最终进入工业园区污水处理厂处理。项目运营期生产废水为烟气处理废水，烟气处理时产生的脱硫废水经循环再生池添加石灰发生置换反应后</w:t>
            </w:r>
            <w:r>
              <w:rPr>
                <w:rFonts w:hint="eastAsia"/>
                <w:color w:val="auto"/>
                <w:szCs w:val="24"/>
                <w:lang w:eastAsia="zh-CN"/>
              </w:rPr>
              <w:t>石灰石膏法脱硫塔</w:t>
            </w:r>
            <w:r>
              <w:rPr>
                <w:rFonts w:hint="eastAsia"/>
                <w:color w:val="auto"/>
                <w:szCs w:val="24"/>
              </w:rPr>
              <w:t>配套水池循环使用。本次改扩建无生产废水外排，不设排放标准。</w:t>
            </w:r>
          </w:p>
          <w:p>
            <w:pPr>
              <w:snapToGrid w:val="0"/>
              <w:jc w:val="center"/>
              <w:rPr>
                <w:b/>
                <w:bCs/>
                <w:color w:val="auto"/>
              </w:rPr>
            </w:pPr>
            <w:r>
              <w:rPr>
                <w:b/>
                <w:bCs/>
                <w:color w:val="auto"/>
              </w:rPr>
              <w:t>表3-</w:t>
            </w:r>
            <w:r>
              <w:rPr>
                <w:rFonts w:hint="eastAsia"/>
                <w:b/>
                <w:bCs/>
                <w:color w:val="auto"/>
                <w:lang w:val="en-US" w:eastAsia="zh-CN"/>
              </w:rPr>
              <w:t>9</w:t>
            </w:r>
            <w:r>
              <w:rPr>
                <w:b/>
                <w:bCs/>
                <w:color w:val="auto"/>
              </w:rPr>
              <w:t xml:space="preserve">  污水排入城镇下水道水质标准</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2838"/>
              <w:gridCol w:w="2002"/>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3" w:type="pct"/>
                  <w:vAlign w:val="center"/>
                </w:tcPr>
                <w:p>
                  <w:pPr>
                    <w:snapToGrid w:val="0"/>
                    <w:jc w:val="center"/>
                    <w:rPr>
                      <w:color w:val="auto"/>
                      <w:szCs w:val="21"/>
                    </w:rPr>
                  </w:pPr>
                  <w:r>
                    <w:rPr>
                      <w:color w:val="auto"/>
                      <w:szCs w:val="21"/>
                    </w:rPr>
                    <w:t>序号</w:t>
                  </w:r>
                </w:p>
              </w:tc>
              <w:tc>
                <w:tcPr>
                  <w:tcW w:w="1720" w:type="pct"/>
                  <w:vAlign w:val="center"/>
                </w:tcPr>
                <w:p>
                  <w:pPr>
                    <w:snapToGrid w:val="0"/>
                    <w:jc w:val="center"/>
                    <w:rPr>
                      <w:color w:val="auto"/>
                      <w:szCs w:val="21"/>
                    </w:rPr>
                  </w:pPr>
                  <w:r>
                    <w:rPr>
                      <w:color w:val="auto"/>
                      <w:szCs w:val="21"/>
                    </w:rPr>
                    <w:t>控制项目名称</w:t>
                  </w:r>
                </w:p>
              </w:tc>
              <w:tc>
                <w:tcPr>
                  <w:tcW w:w="1213" w:type="pct"/>
                  <w:vAlign w:val="center"/>
                </w:tcPr>
                <w:p>
                  <w:pPr>
                    <w:snapToGrid w:val="0"/>
                    <w:jc w:val="center"/>
                    <w:rPr>
                      <w:color w:val="auto"/>
                      <w:szCs w:val="21"/>
                    </w:rPr>
                  </w:pPr>
                  <w:r>
                    <w:rPr>
                      <w:color w:val="auto"/>
                      <w:szCs w:val="21"/>
                    </w:rPr>
                    <w:t>单位</w:t>
                  </w:r>
                </w:p>
              </w:tc>
              <w:tc>
                <w:tcPr>
                  <w:tcW w:w="1613" w:type="pct"/>
                  <w:vAlign w:val="center"/>
                </w:tcPr>
                <w:p>
                  <w:pPr>
                    <w:snapToGrid w:val="0"/>
                    <w:jc w:val="center"/>
                    <w:rPr>
                      <w:color w:val="auto"/>
                      <w:szCs w:val="21"/>
                    </w:rPr>
                  </w:pPr>
                  <w:r>
                    <w:rPr>
                      <w:rFonts w:hint="eastAsia"/>
                      <w:color w:val="auto"/>
                      <w:szCs w:val="21"/>
                    </w:rPr>
                    <w:t>A</w:t>
                  </w:r>
                  <w:r>
                    <w:rPr>
                      <w:color w:val="auto"/>
                      <w:szCs w:val="21"/>
                    </w:rPr>
                    <w:t>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3" w:type="pct"/>
                  <w:vAlign w:val="center"/>
                </w:tcPr>
                <w:p>
                  <w:pPr>
                    <w:snapToGrid w:val="0"/>
                    <w:jc w:val="center"/>
                    <w:rPr>
                      <w:color w:val="auto"/>
                      <w:szCs w:val="21"/>
                    </w:rPr>
                  </w:pPr>
                  <w:r>
                    <w:rPr>
                      <w:color w:val="auto"/>
                      <w:szCs w:val="21"/>
                    </w:rPr>
                    <w:t>1</w:t>
                  </w:r>
                </w:p>
              </w:tc>
              <w:tc>
                <w:tcPr>
                  <w:tcW w:w="1720" w:type="pct"/>
                  <w:vAlign w:val="center"/>
                </w:tcPr>
                <w:p>
                  <w:pPr>
                    <w:snapToGrid w:val="0"/>
                    <w:jc w:val="center"/>
                    <w:rPr>
                      <w:color w:val="auto"/>
                      <w:szCs w:val="21"/>
                    </w:rPr>
                  </w:pPr>
                  <w:r>
                    <w:rPr>
                      <w:color w:val="auto"/>
                      <w:szCs w:val="21"/>
                    </w:rPr>
                    <w:t>水温</w:t>
                  </w:r>
                </w:p>
              </w:tc>
              <w:tc>
                <w:tcPr>
                  <w:tcW w:w="1213" w:type="pct"/>
                  <w:vAlign w:val="center"/>
                </w:tcPr>
                <w:p>
                  <w:pPr>
                    <w:snapToGrid w:val="0"/>
                    <w:jc w:val="center"/>
                    <w:rPr>
                      <w:color w:val="auto"/>
                      <w:szCs w:val="21"/>
                    </w:rPr>
                  </w:pPr>
                  <w:r>
                    <w:rPr>
                      <w:color w:val="auto"/>
                      <w:szCs w:val="21"/>
                    </w:rPr>
                    <w:t>℃</w:t>
                  </w:r>
                </w:p>
              </w:tc>
              <w:tc>
                <w:tcPr>
                  <w:tcW w:w="1613" w:type="pct"/>
                  <w:vAlign w:val="center"/>
                </w:tcPr>
                <w:p>
                  <w:pPr>
                    <w:snapToGrid w:val="0"/>
                    <w:jc w:val="center"/>
                    <w:rPr>
                      <w:color w:val="auto"/>
                      <w:szCs w:val="21"/>
                    </w:rPr>
                  </w:pPr>
                  <w:r>
                    <w:rPr>
                      <w:rFonts w:hint="eastAsia"/>
                      <w:color w:val="auto"/>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3" w:type="pct"/>
                  <w:vAlign w:val="center"/>
                </w:tcPr>
                <w:p>
                  <w:pPr>
                    <w:snapToGrid w:val="0"/>
                    <w:jc w:val="center"/>
                    <w:rPr>
                      <w:color w:val="auto"/>
                      <w:szCs w:val="21"/>
                    </w:rPr>
                  </w:pPr>
                  <w:r>
                    <w:rPr>
                      <w:color w:val="auto"/>
                      <w:szCs w:val="21"/>
                    </w:rPr>
                    <w:t>2</w:t>
                  </w:r>
                </w:p>
              </w:tc>
              <w:tc>
                <w:tcPr>
                  <w:tcW w:w="1720" w:type="pct"/>
                  <w:vAlign w:val="center"/>
                </w:tcPr>
                <w:p>
                  <w:pPr>
                    <w:snapToGrid w:val="0"/>
                    <w:jc w:val="center"/>
                    <w:rPr>
                      <w:color w:val="auto"/>
                      <w:szCs w:val="21"/>
                    </w:rPr>
                  </w:pPr>
                  <w:r>
                    <w:rPr>
                      <w:color w:val="auto"/>
                      <w:szCs w:val="21"/>
                    </w:rPr>
                    <w:t>色度</w:t>
                  </w:r>
                </w:p>
              </w:tc>
              <w:tc>
                <w:tcPr>
                  <w:tcW w:w="1213" w:type="pct"/>
                  <w:vAlign w:val="center"/>
                </w:tcPr>
                <w:p>
                  <w:pPr>
                    <w:snapToGrid w:val="0"/>
                    <w:jc w:val="center"/>
                    <w:rPr>
                      <w:color w:val="auto"/>
                      <w:szCs w:val="21"/>
                    </w:rPr>
                  </w:pPr>
                  <w:r>
                    <w:rPr>
                      <w:color w:val="auto"/>
                      <w:szCs w:val="21"/>
                    </w:rPr>
                    <w:t>倍</w:t>
                  </w:r>
                </w:p>
              </w:tc>
              <w:tc>
                <w:tcPr>
                  <w:tcW w:w="1613" w:type="pct"/>
                  <w:vAlign w:val="center"/>
                </w:tcPr>
                <w:p>
                  <w:pPr>
                    <w:snapToGrid w:val="0"/>
                    <w:jc w:val="center"/>
                    <w:rPr>
                      <w:color w:val="auto"/>
                      <w:szCs w:val="21"/>
                    </w:rPr>
                  </w:pPr>
                  <w:r>
                    <w:rPr>
                      <w:rFonts w:hint="eastAsia"/>
                      <w:color w:val="auto"/>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3" w:type="pct"/>
                  <w:vAlign w:val="center"/>
                </w:tcPr>
                <w:p>
                  <w:pPr>
                    <w:snapToGrid w:val="0"/>
                    <w:jc w:val="center"/>
                    <w:rPr>
                      <w:color w:val="auto"/>
                      <w:szCs w:val="21"/>
                    </w:rPr>
                  </w:pPr>
                  <w:r>
                    <w:rPr>
                      <w:color w:val="auto"/>
                      <w:szCs w:val="21"/>
                    </w:rPr>
                    <w:t>3</w:t>
                  </w:r>
                </w:p>
              </w:tc>
              <w:tc>
                <w:tcPr>
                  <w:tcW w:w="1720" w:type="pct"/>
                  <w:vAlign w:val="center"/>
                </w:tcPr>
                <w:p>
                  <w:pPr>
                    <w:snapToGrid w:val="0"/>
                    <w:jc w:val="center"/>
                    <w:rPr>
                      <w:color w:val="auto"/>
                      <w:szCs w:val="21"/>
                    </w:rPr>
                  </w:pPr>
                  <w:r>
                    <w:rPr>
                      <w:color w:val="auto"/>
                      <w:szCs w:val="21"/>
                    </w:rPr>
                    <w:t>易沉固体</w:t>
                  </w:r>
                </w:p>
              </w:tc>
              <w:tc>
                <w:tcPr>
                  <w:tcW w:w="1213" w:type="pct"/>
                  <w:vAlign w:val="center"/>
                </w:tcPr>
                <w:p>
                  <w:pPr>
                    <w:snapToGrid w:val="0"/>
                    <w:jc w:val="center"/>
                    <w:rPr>
                      <w:color w:val="auto"/>
                      <w:szCs w:val="21"/>
                    </w:rPr>
                  </w:pPr>
                  <w:r>
                    <w:rPr>
                      <w:color w:val="auto"/>
                      <w:szCs w:val="21"/>
                    </w:rPr>
                    <w:t>mL/（L·15min）</w:t>
                  </w:r>
                </w:p>
              </w:tc>
              <w:tc>
                <w:tcPr>
                  <w:tcW w:w="1613" w:type="pct"/>
                  <w:vAlign w:val="center"/>
                </w:tcPr>
                <w:p>
                  <w:pPr>
                    <w:snapToGrid w:val="0"/>
                    <w:jc w:val="center"/>
                    <w:rPr>
                      <w:color w:val="auto"/>
                      <w:szCs w:val="21"/>
                    </w:rPr>
                  </w:pPr>
                  <w:r>
                    <w:rPr>
                      <w:rFonts w:hint="eastAsia"/>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3" w:type="pct"/>
                  <w:vAlign w:val="center"/>
                </w:tcPr>
                <w:p>
                  <w:pPr>
                    <w:snapToGrid w:val="0"/>
                    <w:jc w:val="center"/>
                    <w:rPr>
                      <w:color w:val="auto"/>
                      <w:szCs w:val="21"/>
                    </w:rPr>
                  </w:pPr>
                  <w:r>
                    <w:rPr>
                      <w:color w:val="auto"/>
                      <w:szCs w:val="21"/>
                    </w:rPr>
                    <w:t>4</w:t>
                  </w:r>
                </w:p>
              </w:tc>
              <w:tc>
                <w:tcPr>
                  <w:tcW w:w="1720" w:type="pct"/>
                  <w:vAlign w:val="center"/>
                </w:tcPr>
                <w:p>
                  <w:pPr>
                    <w:snapToGrid w:val="0"/>
                    <w:jc w:val="center"/>
                    <w:rPr>
                      <w:color w:val="auto"/>
                      <w:szCs w:val="21"/>
                    </w:rPr>
                  </w:pPr>
                  <w:r>
                    <w:rPr>
                      <w:color w:val="auto"/>
                      <w:szCs w:val="21"/>
                    </w:rPr>
                    <w:t>悬浮物</w:t>
                  </w:r>
                </w:p>
              </w:tc>
              <w:tc>
                <w:tcPr>
                  <w:tcW w:w="1213" w:type="pct"/>
                  <w:vAlign w:val="center"/>
                </w:tcPr>
                <w:p>
                  <w:pPr>
                    <w:snapToGrid w:val="0"/>
                    <w:jc w:val="center"/>
                    <w:rPr>
                      <w:color w:val="auto"/>
                      <w:szCs w:val="21"/>
                    </w:rPr>
                  </w:pPr>
                  <w:r>
                    <w:rPr>
                      <w:color w:val="auto"/>
                      <w:szCs w:val="21"/>
                    </w:rPr>
                    <w:t>mg/L</w:t>
                  </w:r>
                </w:p>
              </w:tc>
              <w:tc>
                <w:tcPr>
                  <w:tcW w:w="1613" w:type="pct"/>
                  <w:vAlign w:val="center"/>
                </w:tcPr>
                <w:p>
                  <w:pPr>
                    <w:snapToGrid w:val="0"/>
                    <w:jc w:val="center"/>
                    <w:rPr>
                      <w:color w:val="auto"/>
                      <w:szCs w:val="21"/>
                    </w:rPr>
                  </w:pPr>
                  <w:r>
                    <w:rPr>
                      <w:rFonts w:hint="eastAsia"/>
                      <w:color w:val="auto"/>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3" w:type="pct"/>
                  <w:vAlign w:val="center"/>
                </w:tcPr>
                <w:p>
                  <w:pPr>
                    <w:snapToGrid w:val="0"/>
                    <w:jc w:val="center"/>
                    <w:rPr>
                      <w:color w:val="auto"/>
                      <w:szCs w:val="21"/>
                    </w:rPr>
                  </w:pPr>
                  <w:r>
                    <w:rPr>
                      <w:color w:val="auto"/>
                      <w:szCs w:val="21"/>
                    </w:rPr>
                    <w:t>5</w:t>
                  </w:r>
                </w:p>
              </w:tc>
              <w:tc>
                <w:tcPr>
                  <w:tcW w:w="1720" w:type="pct"/>
                  <w:vAlign w:val="center"/>
                </w:tcPr>
                <w:p>
                  <w:pPr>
                    <w:snapToGrid w:val="0"/>
                    <w:jc w:val="center"/>
                    <w:rPr>
                      <w:color w:val="auto"/>
                      <w:szCs w:val="21"/>
                    </w:rPr>
                  </w:pPr>
                  <w:r>
                    <w:rPr>
                      <w:color w:val="auto"/>
                      <w:szCs w:val="21"/>
                    </w:rPr>
                    <w:t>溶解性总固体</w:t>
                  </w:r>
                </w:p>
              </w:tc>
              <w:tc>
                <w:tcPr>
                  <w:tcW w:w="1213" w:type="pct"/>
                  <w:vAlign w:val="center"/>
                </w:tcPr>
                <w:p>
                  <w:pPr>
                    <w:snapToGrid w:val="0"/>
                    <w:jc w:val="center"/>
                    <w:rPr>
                      <w:color w:val="auto"/>
                      <w:szCs w:val="21"/>
                    </w:rPr>
                  </w:pPr>
                  <w:r>
                    <w:rPr>
                      <w:color w:val="auto"/>
                      <w:szCs w:val="21"/>
                    </w:rPr>
                    <w:t>mg/L</w:t>
                  </w:r>
                </w:p>
              </w:tc>
              <w:tc>
                <w:tcPr>
                  <w:tcW w:w="1613" w:type="pct"/>
                  <w:vAlign w:val="center"/>
                </w:tcPr>
                <w:p>
                  <w:pPr>
                    <w:snapToGrid w:val="0"/>
                    <w:jc w:val="center"/>
                    <w:rPr>
                      <w:color w:val="auto"/>
                      <w:szCs w:val="21"/>
                    </w:rPr>
                  </w:pPr>
                  <w:r>
                    <w:rPr>
                      <w:rFonts w:hint="eastAsia"/>
                      <w:color w:val="auto"/>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3" w:type="pct"/>
                  <w:vAlign w:val="center"/>
                </w:tcPr>
                <w:p>
                  <w:pPr>
                    <w:snapToGrid w:val="0"/>
                    <w:jc w:val="center"/>
                    <w:rPr>
                      <w:color w:val="auto"/>
                      <w:szCs w:val="21"/>
                    </w:rPr>
                  </w:pPr>
                  <w:r>
                    <w:rPr>
                      <w:color w:val="auto"/>
                      <w:szCs w:val="21"/>
                    </w:rPr>
                    <w:t>6</w:t>
                  </w:r>
                </w:p>
              </w:tc>
              <w:tc>
                <w:tcPr>
                  <w:tcW w:w="1720" w:type="pct"/>
                  <w:vAlign w:val="center"/>
                </w:tcPr>
                <w:p>
                  <w:pPr>
                    <w:snapToGrid w:val="0"/>
                    <w:jc w:val="center"/>
                    <w:rPr>
                      <w:color w:val="auto"/>
                      <w:szCs w:val="21"/>
                    </w:rPr>
                  </w:pPr>
                  <w:r>
                    <w:rPr>
                      <w:color w:val="auto"/>
                      <w:szCs w:val="21"/>
                    </w:rPr>
                    <w:t>动植物油</w:t>
                  </w:r>
                </w:p>
              </w:tc>
              <w:tc>
                <w:tcPr>
                  <w:tcW w:w="1213" w:type="pct"/>
                  <w:vAlign w:val="center"/>
                </w:tcPr>
                <w:p>
                  <w:pPr>
                    <w:snapToGrid w:val="0"/>
                    <w:jc w:val="center"/>
                    <w:rPr>
                      <w:color w:val="auto"/>
                      <w:szCs w:val="21"/>
                    </w:rPr>
                  </w:pPr>
                  <w:r>
                    <w:rPr>
                      <w:color w:val="auto"/>
                      <w:szCs w:val="21"/>
                    </w:rPr>
                    <w:t>mg/L</w:t>
                  </w:r>
                </w:p>
              </w:tc>
              <w:tc>
                <w:tcPr>
                  <w:tcW w:w="1613" w:type="pct"/>
                  <w:vAlign w:val="center"/>
                </w:tcPr>
                <w:p>
                  <w:pPr>
                    <w:snapToGrid w:val="0"/>
                    <w:jc w:val="center"/>
                    <w:rPr>
                      <w:color w:val="auto"/>
                      <w:szCs w:val="21"/>
                    </w:rPr>
                  </w:pPr>
                  <w:r>
                    <w:rPr>
                      <w:rFonts w:hint="eastAsia"/>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3" w:type="pct"/>
                  <w:vAlign w:val="center"/>
                </w:tcPr>
                <w:p>
                  <w:pPr>
                    <w:snapToGrid w:val="0"/>
                    <w:jc w:val="center"/>
                    <w:rPr>
                      <w:color w:val="auto"/>
                      <w:szCs w:val="21"/>
                    </w:rPr>
                  </w:pPr>
                  <w:r>
                    <w:rPr>
                      <w:color w:val="auto"/>
                      <w:szCs w:val="21"/>
                    </w:rPr>
                    <w:t>7</w:t>
                  </w:r>
                </w:p>
              </w:tc>
              <w:tc>
                <w:tcPr>
                  <w:tcW w:w="1720" w:type="pct"/>
                  <w:vAlign w:val="center"/>
                </w:tcPr>
                <w:p>
                  <w:pPr>
                    <w:snapToGrid w:val="0"/>
                    <w:jc w:val="center"/>
                    <w:rPr>
                      <w:color w:val="auto"/>
                      <w:szCs w:val="21"/>
                    </w:rPr>
                  </w:pPr>
                  <w:r>
                    <w:rPr>
                      <w:color w:val="auto"/>
                      <w:szCs w:val="21"/>
                    </w:rPr>
                    <w:t>pH</w:t>
                  </w:r>
                </w:p>
              </w:tc>
              <w:tc>
                <w:tcPr>
                  <w:tcW w:w="1213" w:type="pct"/>
                  <w:vAlign w:val="center"/>
                </w:tcPr>
                <w:p>
                  <w:pPr>
                    <w:snapToGrid w:val="0"/>
                    <w:jc w:val="center"/>
                    <w:rPr>
                      <w:color w:val="auto"/>
                      <w:szCs w:val="21"/>
                    </w:rPr>
                  </w:pPr>
                  <w:r>
                    <w:rPr>
                      <w:color w:val="auto"/>
                      <w:szCs w:val="21"/>
                    </w:rPr>
                    <w:t>--</w:t>
                  </w:r>
                </w:p>
              </w:tc>
              <w:tc>
                <w:tcPr>
                  <w:tcW w:w="1613" w:type="pct"/>
                  <w:vAlign w:val="center"/>
                </w:tcPr>
                <w:p>
                  <w:pPr>
                    <w:snapToGrid w:val="0"/>
                    <w:jc w:val="center"/>
                    <w:rPr>
                      <w:color w:val="auto"/>
                      <w:szCs w:val="21"/>
                    </w:rPr>
                  </w:pPr>
                  <w:r>
                    <w:rPr>
                      <w:rFonts w:hint="eastAsia"/>
                      <w:color w:val="auto"/>
                      <w:szCs w:val="21"/>
                    </w:rPr>
                    <w:t>6.5~9.5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3" w:type="pct"/>
                  <w:vAlign w:val="center"/>
                </w:tcPr>
                <w:p>
                  <w:pPr>
                    <w:snapToGrid w:val="0"/>
                    <w:jc w:val="center"/>
                    <w:rPr>
                      <w:color w:val="auto"/>
                      <w:szCs w:val="21"/>
                    </w:rPr>
                  </w:pPr>
                  <w:r>
                    <w:rPr>
                      <w:color w:val="auto"/>
                      <w:szCs w:val="21"/>
                    </w:rPr>
                    <w:t>8</w:t>
                  </w:r>
                </w:p>
              </w:tc>
              <w:tc>
                <w:tcPr>
                  <w:tcW w:w="1720" w:type="pct"/>
                  <w:vAlign w:val="center"/>
                </w:tcPr>
                <w:p>
                  <w:pPr>
                    <w:snapToGrid w:val="0"/>
                    <w:jc w:val="center"/>
                    <w:rPr>
                      <w:color w:val="auto"/>
                      <w:szCs w:val="21"/>
                    </w:rPr>
                  </w:pPr>
                  <w:r>
                    <w:rPr>
                      <w:color w:val="auto"/>
                      <w:szCs w:val="21"/>
                    </w:rPr>
                    <w:t>五日生化需氧量（BOD</w:t>
                  </w:r>
                  <w:r>
                    <w:rPr>
                      <w:color w:val="auto"/>
                      <w:szCs w:val="21"/>
                      <w:vertAlign w:val="subscript"/>
                    </w:rPr>
                    <w:t>5</w:t>
                  </w:r>
                  <w:r>
                    <w:rPr>
                      <w:color w:val="auto"/>
                      <w:szCs w:val="21"/>
                    </w:rPr>
                    <w:t>）</w:t>
                  </w:r>
                </w:p>
              </w:tc>
              <w:tc>
                <w:tcPr>
                  <w:tcW w:w="1213" w:type="pct"/>
                  <w:vAlign w:val="center"/>
                </w:tcPr>
                <w:p>
                  <w:pPr>
                    <w:snapToGrid w:val="0"/>
                    <w:jc w:val="center"/>
                    <w:rPr>
                      <w:color w:val="auto"/>
                      <w:szCs w:val="21"/>
                    </w:rPr>
                  </w:pPr>
                  <w:r>
                    <w:rPr>
                      <w:color w:val="auto"/>
                      <w:szCs w:val="21"/>
                    </w:rPr>
                    <w:t>mg/L</w:t>
                  </w:r>
                </w:p>
              </w:tc>
              <w:tc>
                <w:tcPr>
                  <w:tcW w:w="1613" w:type="pct"/>
                  <w:vAlign w:val="center"/>
                </w:tcPr>
                <w:p>
                  <w:pPr>
                    <w:snapToGrid w:val="0"/>
                    <w:jc w:val="center"/>
                    <w:rPr>
                      <w:color w:val="auto"/>
                      <w:szCs w:val="21"/>
                    </w:rPr>
                  </w:pPr>
                  <w:r>
                    <w:rPr>
                      <w:rFonts w:hint="eastAsia"/>
                      <w:color w:val="auto"/>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3" w:type="pct"/>
                  <w:vAlign w:val="center"/>
                </w:tcPr>
                <w:p>
                  <w:pPr>
                    <w:snapToGrid w:val="0"/>
                    <w:jc w:val="center"/>
                    <w:rPr>
                      <w:color w:val="auto"/>
                      <w:szCs w:val="21"/>
                    </w:rPr>
                  </w:pPr>
                  <w:r>
                    <w:rPr>
                      <w:color w:val="auto"/>
                      <w:szCs w:val="21"/>
                    </w:rPr>
                    <w:t>9</w:t>
                  </w:r>
                </w:p>
              </w:tc>
              <w:tc>
                <w:tcPr>
                  <w:tcW w:w="1720" w:type="pct"/>
                  <w:vAlign w:val="center"/>
                </w:tcPr>
                <w:p>
                  <w:pPr>
                    <w:snapToGrid w:val="0"/>
                    <w:jc w:val="center"/>
                    <w:rPr>
                      <w:color w:val="auto"/>
                      <w:szCs w:val="21"/>
                    </w:rPr>
                  </w:pPr>
                  <w:r>
                    <w:rPr>
                      <w:color w:val="auto"/>
                      <w:szCs w:val="21"/>
                    </w:rPr>
                    <w:t>化学需氧量（COD）</w:t>
                  </w:r>
                </w:p>
              </w:tc>
              <w:tc>
                <w:tcPr>
                  <w:tcW w:w="1213" w:type="pct"/>
                  <w:vAlign w:val="center"/>
                </w:tcPr>
                <w:p>
                  <w:pPr>
                    <w:snapToGrid w:val="0"/>
                    <w:jc w:val="center"/>
                    <w:rPr>
                      <w:color w:val="auto"/>
                      <w:szCs w:val="21"/>
                    </w:rPr>
                  </w:pPr>
                  <w:r>
                    <w:rPr>
                      <w:color w:val="auto"/>
                      <w:szCs w:val="21"/>
                    </w:rPr>
                    <w:t>mg/L</w:t>
                  </w:r>
                </w:p>
              </w:tc>
              <w:tc>
                <w:tcPr>
                  <w:tcW w:w="1613" w:type="pct"/>
                  <w:vAlign w:val="center"/>
                </w:tcPr>
                <w:p>
                  <w:pPr>
                    <w:snapToGrid w:val="0"/>
                    <w:jc w:val="center"/>
                    <w:rPr>
                      <w:color w:val="auto"/>
                      <w:szCs w:val="21"/>
                    </w:rPr>
                  </w:pPr>
                  <w:r>
                    <w:rPr>
                      <w:rFonts w:hint="eastAsia"/>
                      <w:color w:val="auto"/>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3" w:type="pct"/>
                  <w:vAlign w:val="center"/>
                </w:tcPr>
                <w:p>
                  <w:pPr>
                    <w:snapToGrid w:val="0"/>
                    <w:jc w:val="center"/>
                    <w:rPr>
                      <w:color w:val="auto"/>
                      <w:szCs w:val="21"/>
                    </w:rPr>
                  </w:pPr>
                  <w:r>
                    <w:rPr>
                      <w:color w:val="auto"/>
                      <w:szCs w:val="21"/>
                    </w:rPr>
                    <w:t>10</w:t>
                  </w:r>
                </w:p>
              </w:tc>
              <w:tc>
                <w:tcPr>
                  <w:tcW w:w="1720" w:type="pct"/>
                  <w:vAlign w:val="center"/>
                </w:tcPr>
                <w:p>
                  <w:pPr>
                    <w:snapToGrid w:val="0"/>
                    <w:jc w:val="center"/>
                    <w:rPr>
                      <w:color w:val="auto"/>
                      <w:szCs w:val="21"/>
                    </w:rPr>
                  </w:pPr>
                  <w:r>
                    <w:rPr>
                      <w:color w:val="auto"/>
                      <w:szCs w:val="21"/>
                    </w:rPr>
                    <w:t>氨氮（以N计）</w:t>
                  </w:r>
                </w:p>
              </w:tc>
              <w:tc>
                <w:tcPr>
                  <w:tcW w:w="1213" w:type="pct"/>
                  <w:vAlign w:val="center"/>
                </w:tcPr>
                <w:p>
                  <w:pPr>
                    <w:snapToGrid w:val="0"/>
                    <w:jc w:val="center"/>
                    <w:rPr>
                      <w:color w:val="auto"/>
                      <w:szCs w:val="21"/>
                    </w:rPr>
                  </w:pPr>
                  <w:r>
                    <w:rPr>
                      <w:color w:val="auto"/>
                      <w:szCs w:val="21"/>
                    </w:rPr>
                    <w:t>mg/L</w:t>
                  </w:r>
                </w:p>
              </w:tc>
              <w:tc>
                <w:tcPr>
                  <w:tcW w:w="1613" w:type="pct"/>
                  <w:vAlign w:val="center"/>
                </w:tcPr>
                <w:p>
                  <w:pPr>
                    <w:snapToGrid w:val="0"/>
                    <w:jc w:val="center"/>
                    <w:rPr>
                      <w:color w:val="auto"/>
                      <w:szCs w:val="21"/>
                    </w:rPr>
                  </w:pPr>
                  <w:r>
                    <w:rPr>
                      <w:rFonts w:hint="eastAsia"/>
                      <w:color w:val="auto"/>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3" w:type="pct"/>
                  <w:vAlign w:val="center"/>
                </w:tcPr>
                <w:p>
                  <w:pPr>
                    <w:snapToGrid w:val="0"/>
                    <w:jc w:val="center"/>
                    <w:rPr>
                      <w:color w:val="auto"/>
                      <w:szCs w:val="21"/>
                    </w:rPr>
                  </w:pPr>
                  <w:r>
                    <w:rPr>
                      <w:color w:val="auto"/>
                      <w:szCs w:val="21"/>
                    </w:rPr>
                    <w:t>11</w:t>
                  </w:r>
                </w:p>
              </w:tc>
              <w:tc>
                <w:tcPr>
                  <w:tcW w:w="1720" w:type="pct"/>
                  <w:vAlign w:val="center"/>
                </w:tcPr>
                <w:p>
                  <w:pPr>
                    <w:snapToGrid w:val="0"/>
                    <w:jc w:val="center"/>
                    <w:rPr>
                      <w:color w:val="auto"/>
                      <w:szCs w:val="21"/>
                    </w:rPr>
                  </w:pPr>
                  <w:r>
                    <w:rPr>
                      <w:color w:val="auto"/>
                      <w:szCs w:val="21"/>
                    </w:rPr>
                    <w:t>总氮（以N计）</w:t>
                  </w:r>
                </w:p>
              </w:tc>
              <w:tc>
                <w:tcPr>
                  <w:tcW w:w="1213" w:type="pct"/>
                  <w:vAlign w:val="center"/>
                </w:tcPr>
                <w:p>
                  <w:pPr>
                    <w:snapToGrid w:val="0"/>
                    <w:jc w:val="center"/>
                    <w:rPr>
                      <w:color w:val="auto"/>
                      <w:szCs w:val="21"/>
                    </w:rPr>
                  </w:pPr>
                  <w:r>
                    <w:rPr>
                      <w:color w:val="auto"/>
                      <w:szCs w:val="21"/>
                    </w:rPr>
                    <w:t>mg/L</w:t>
                  </w:r>
                </w:p>
              </w:tc>
              <w:tc>
                <w:tcPr>
                  <w:tcW w:w="1613" w:type="pct"/>
                  <w:vAlign w:val="center"/>
                </w:tcPr>
                <w:p>
                  <w:pPr>
                    <w:snapToGrid w:val="0"/>
                    <w:jc w:val="center"/>
                    <w:rPr>
                      <w:color w:val="auto"/>
                      <w:szCs w:val="21"/>
                    </w:rPr>
                  </w:pPr>
                  <w:r>
                    <w:rPr>
                      <w:rFonts w:hint="eastAsia"/>
                      <w:color w:val="auto"/>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3" w:type="pct"/>
                  <w:vAlign w:val="center"/>
                </w:tcPr>
                <w:p>
                  <w:pPr>
                    <w:snapToGrid w:val="0"/>
                    <w:jc w:val="center"/>
                    <w:rPr>
                      <w:color w:val="auto"/>
                      <w:szCs w:val="21"/>
                    </w:rPr>
                  </w:pPr>
                  <w:r>
                    <w:rPr>
                      <w:color w:val="auto"/>
                      <w:szCs w:val="21"/>
                    </w:rPr>
                    <w:t>12</w:t>
                  </w:r>
                </w:p>
              </w:tc>
              <w:tc>
                <w:tcPr>
                  <w:tcW w:w="1720" w:type="pct"/>
                  <w:vAlign w:val="center"/>
                </w:tcPr>
                <w:p>
                  <w:pPr>
                    <w:snapToGrid w:val="0"/>
                    <w:jc w:val="center"/>
                    <w:rPr>
                      <w:color w:val="auto"/>
                      <w:szCs w:val="21"/>
                    </w:rPr>
                  </w:pPr>
                  <w:r>
                    <w:rPr>
                      <w:color w:val="auto"/>
                      <w:szCs w:val="21"/>
                    </w:rPr>
                    <w:t>总磷（以P计）</w:t>
                  </w:r>
                </w:p>
              </w:tc>
              <w:tc>
                <w:tcPr>
                  <w:tcW w:w="1213" w:type="pct"/>
                  <w:vAlign w:val="center"/>
                </w:tcPr>
                <w:p>
                  <w:pPr>
                    <w:snapToGrid w:val="0"/>
                    <w:jc w:val="center"/>
                    <w:rPr>
                      <w:color w:val="auto"/>
                      <w:szCs w:val="21"/>
                    </w:rPr>
                  </w:pPr>
                  <w:r>
                    <w:rPr>
                      <w:color w:val="auto"/>
                      <w:szCs w:val="21"/>
                    </w:rPr>
                    <w:t>mg/L</w:t>
                  </w:r>
                </w:p>
              </w:tc>
              <w:tc>
                <w:tcPr>
                  <w:tcW w:w="1613" w:type="pct"/>
                  <w:vAlign w:val="center"/>
                </w:tcPr>
                <w:p>
                  <w:pPr>
                    <w:snapToGrid w:val="0"/>
                    <w:jc w:val="center"/>
                    <w:rPr>
                      <w:color w:val="auto"/>
                      <w:szCs w:val="21"/>
                    </w:rPr>
                  </w:pPr>
                  <w:r>
                    <w:rPr>
                      <w:rFonts w:hint="eastAsia"/>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3" w:type="pct"/>
                  <w:vAlign w:val="center"/>
                </w:tcPr>
                <w:p>
                  <w:pPr>
                    <w:snapToGrid w:val="0"/>
                    <w:jc w:val="center"/>
                    <w:rPr>
                      <w:color w:val="auto"/>
                      <w:szCs w:val="21"/>
                    </w:rPr>
                  </w:pPr>
                  <w:r>
                    <w:rPr>
                      <w:color w:val="auto"/>
                      <w:szCs w:val="21"/>
                    </w:rPr>
                    <w:t>13</w:t>
                  </w:r>
                </w:p>
              </w:tc>
              <w:tc>
                <w:tcPr>
                  <w:tcW w:w="1720" w:type="pct"/>
                  <w:vAlign w:val="center"/>
                </w:tcPr>
                <w:p>
                  <w:pPr>
                    <w:snapToGrid w:val="0"/>
                    <w:jc w:val="center"/>
                    <w:rPr>
                      <w:color w:val="auto"/>
                      <w:szCs w:val="21"/>
                    </w:rPr>
                  </w:pPr>
                  <w:r>
                    <w:rPr>
                      <w:color w:val="auto"/>
                      <w:szCs w:val="21"/>
                    </w:rPr>
                    <w:t>阴离子表面活性剂（LAS）</w:t>
                  </w:r>
                </w:p>
              </w:tc>
              <w:tc>
                <w:tcPr>
                  <w:tcW w:w="1213" w:type="pct"/>
                  <w:vAlign w:val="center"/>
                </w:tcPr>
                <w:p>
                  <w:pPr>
                    <w:snapToGrid w:val="0"/>
                    <w:jc w:val="center"/>
                    <w:rPr>
                      <w:color w:val="auto"/>
                      <w:szCs w:val="21"/>
                    </w:rPr>
                  </w:pPr>
                  <w:r>
                    <w:rPr>
                      <w:color w:val="auto"/>
                      <w:szCs w:val="21"/>
                    </w:rPr>
                    <w:t>mg/L</w:t>
                  </w:r>
                </w:p>
              </w:tc>
              <w:tc>
                <w:tcPr>
                  <w:tcW w:w="1613" w:type="pct"/>
                  <w:vAlign w:val="center"/>
                </w:tcPr>
                <w:p>
                  <w:pPr>
                    <w:snapToGrid w:val="0"/>
                    <w:jc w:val="center"/>
                    <w:rPr>
                      <w:color w:val="auto"/>
                      <w:szCs w:val="21"/>
                    </w:rPr>
                  </w:pPr>
                  <w:r>
                    <w:rPr>
                      <w:rFonts w:hint="eastAsia"/>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3" w:type="pct"/>
                  <w:vAlign w:val="center"/>
                </w:tcPr>
                <w:p>
                  <w:pPr>
                    <w:snapToGrid w:val="0"/>
                    <w:jc w:val="center"/>
                    <w:rPr>
                      <w:color w:val="auto"/>
                      <w:szCs w:val="21"/>
                    </w:rPr>
                  </w:pPr>
                  <w:r>
                    <w:rPr>
                      <w:color w:val="auto"/>
                      <w:szCs w:val="21"/>
                    </w:rPr>
                    <w:t>14</w:t>
                  </w:r>
                </w:p>
              </w:tc>
              <w:tc>
                <w:tcPr>
                  <w:tcW w:w="1720" w:type="pct"/>
                  <w:vAlign w:val="center"/>
                </w:tcPr>
                <w:p>
                  <w:pPr>
                    <w:snapToGrid w:val="0"/>
                    <w:jc w:val="center"/>
                    <w:rPr>
                      <w:color w:val="auto"/>
                      <w:szCs w:val="21"/>
                    </w:rPr>
                  </w:pPr>
                  <w:r>
                    <w:rPr>
                      <w:color w:val="auto"/>
                      <w:szCs w:val="21"/>
                    </w:rPr>
                    <w:t>总余氯（以Cl</w:t>
                  </w:r>
                  <w:r>
                    <w:rPr>
                      <w:color w:val="auto"/>
                      <w:szCs w:val="21"/>
                      <w:vertAlign w:val="subscript"/>
                    </w:rPr>
                    <w:t>2</w:t>
                  </w:r>
                  <w:r>
                    <w:rPr>
                      <w:color w:val="auto"/>
                      <w:szCs w:val="21"/>
                    </w:rPr>
                    <w:t>计）</w:t>
                  </w:r>
                </w:p>
              </w:tc>
              <w:tc>
                <w:tcPr>
                  <w:tcW w:w="1213" w:type="pct"/>
                  <w:vAlign w:val="center"/>
                </w:tcPr>
                <w:p>
                  <w:pPr>
                    <w:snapToGrid w:val="0"/>
                    <w:jc w:val="center"/>
                    <w:rPr>
                      <w:color w:val="auto"/>
                      <w:szCs w:val="21"/>
                    </w:rPr>
                  </w:pPr>
                  <w:r>
                    <w:rPr>
                      <w:color w:val="auto"/>
                      <w:szCs w:val="21"/>
                    </w:rPr>
                    <w:t>mg/L</w:t>
                  </w:r>
                </w:p>
              </w:tc>
              <w:tc>
                <w:tcPr>
                  <w:tcW w:w="1613" w:type="pct"/>
                  <w:vAlign w:val="center"/>
                </w:tcPr>
                <w:p>
                  <w:pPr>
                    <w:snapToGrid w:val="0"/>
                    <w:jc w:val="center"/>
                    <w:rPr>
                      <w:color w:val="auto"/>
                      <w:szCs w:val="21"/>
                    </w:rPr>
                  </w:pPr>
                  <w:r>
                    <w:rPr>
                      <w:rFonts w:hint="eastAsia"/>
                      <w:color w:val="auto"/>
                      <w:szCs w:val="21"/>
                    </w:rPr>
                    <w:t>8</w:t>
                  </w:r>
                </w:p>
              </w:tc>
            </w:tr>
          </w:tbl>
          <w:p>
            <w:pPr>
              <w:pStyle w:val="47"/>
              <w:adjustRightInd w:val="0"/>
              <w:snapToGrid w:val="0"/>
              <w:spacing w:line="240" w:lineRule="auto"/>
              <w:ind w:firstLine="0"/>
              <w:outlineLvl w:val="2"/>
              <w:rPr>
                <w:b/>
                <w:color w:val="auto"/>
                <w:sz w:val="21"/>
                <w:szCs w:val="24"/>
              </w:rPr>
            </w:pPr>
          </w:p>
          <w:p>
            <w:pPr>
              <w:pStyle w:val="47"/>
              <w:adjustRightInd w:val="0"/>
              <w:snapToGrid w:val="0"/>
              <w:ind w:firstLine="0"/>
              <w:outlineLvl w:val="2"/>
              <w:rPr>
                <w:b/>
                <w:color w:val="auto"/>
                <w:szCs w:val="24"/>
              </w:rPr>
            </w:pPr>
            <w:r>
              <w:rPr>
                <w:rFonts w:hint="eastAsia"/>
                <w:b/>
                <w:color w:val="auto"/>
                <w:szCs w:val="24"/>
              </w:rPr>
              <w:t>3.8.3</w:t>
            </w:r>
            <w:r>
              <w:rPr>
                <w:b/>
                <w:color w:val="auto"/>
                <w:szCs w:val="24"/>
              </w:rPr>
              <w:t>噪声</w:t>
            </w:r>
          </w:p>
          <w:p>
            <w:pPr>
              <w:adjustRightInd w:val="0"/>
              <w:snapToGrid w:val="0"/>
              <w:spacing w:line="360" w:lineRule="auto"/>
              <w:ind w:firstLine="567"/>
              <w:rPr>
                <w:color w:val="auto"/>
                <w:spacing w:val="-4"/>
                <w:sz w:val="24"/>
              </w:rPr>
            </w:pPr>
            <w:r>
              <w:rPr>
                <w:color w:val="auto"/>
                <w:spacing w:val="-4"/>
                <w:sz w:val="24"/>
              </w:rPr>
              <w:t>（1）施工期</w:t>
            </w:r>
          </w:p>
          <w:p>
            <w:pPr>
              <w:adjustRightInd w:val="0"/>
              <w:spacing w:line="360" w:lineRule="auto"/>
              <w:ind w:firstLine="480" w:firstLineChars="200"/>
              <w:rPr>
                <w:color w:val="auto"/>
              </w:rPr>
            </w:pPr>
            <w:r>
              <w:rPr>
                <w:color w:val="auto"/>
                <w:sz w:val="24"/>
              </w:rPr>
              <w:t>执行《建筑施工场界环境噪声排放标准》（GB12523-2011）。</w:t>
            </w:r>
          </w:p>
          <w:p>
            <w:pPr>
              <w:adjustRightInd w:val="0"/>
              <w:jc w:val="center"/>
              <w:rPr>
                <w:b/>
                <w:color w:val="auto"/>
                <w:szCs w:val="21"/>
              </w:rPr>
            </w:pPr>
            <w:r>
              <w:rPr>
                <w:b/>
                <w:bCs/>
                <w:color w:val="auto"/>
                <w:kern w:val="0"/>
                <w:szCs w:val="21"/>
              </w:rPr>
              <w:t>表</w:t>
            </w:r>
            <w:r>
              <w:rPr>
                <w:rFonts w:hint="eastAsia"/>
                <w:b/>
                <w:color w:val="auto"/>
                <w:szCs w:val="21"/>
              </w:rPr>
              <w:t>3-1</w:t>
            </w:r>
            <w:r>
              <w:rPr>
                <w:rFonts w:hint="eastAsia"/>
                <w:b/>
                <w:color w:val="auto"/>
                <w:szCs w:val="21"/>
                <w:lang w:val="en-US" w:eastAsia="zh-CN"/>
              </w:rPr>
              <w:t>0</w:t>
            </w:r>
            <w:r>
              <w:rPr>
                <w:b/>
                <w:color w:val="auto"/>
                <w:szCs w:val="21"/>
              </w:rPr>
              <w:t xml:space="preserve"> </w:t>
            </w:r>
            <w:r>
              <w:rPr>
                <w:b/>
                <w:bCs/>
                <w:color w:val="auto"/>
                <w:kern w:val="0"/>
                <w:szCs w:val="21"/>
              </w:rPr>
              <w:t xml:space="preserve"> 建筑施工场界噪声限值  单位：</w:t>
            </w:r>
            <w:r>
              <w:rPr>
                <w:b/>
                <w:color w:val="auto"/>
                <w:szCs w:val="21"/>
              </w:rPr>
              <w:t>dB（A）</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0"/>
              <w:gridCol w:w="2905"/>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42" w:type="pct"/>
                  <w:vAlign w:val="center"/>
                </w:tcPr>
                <w:p>
                  <w:pPr>
                    <w:jc w:val="center"/>
                    <w:rPr>
                      <w:caps/>
                      <w:color w:val="auto"/>
                      <w:szCs w:val="21"/>
                    </w:rPr>
                  </w:pPr>
                  <w:r>
                    <w:rPr>
                      <w:caps/>
                      <w:color w:val="auto"/>
                      <w:szCs w:val="21"/>
                    </w:rPr>
                    <w:t>类别</w:t>
                  </w:r>
                </w:p>
              </w:tc>
              <w:tc>
                <w:tcPr>
                  <w:tcW w:w="1760" w:type="pct"/>
                  <w:vAlign w:val="center"/>
                </w:tcPr>
                <w:p>
                  <w:pPr>
                    <w:jc w:val="center"/>
                    <w:rPr>
                      <w:caps/>
                      <w:color w:val="auto"/>
                      <w:szCs w:val="21"/>
                    </w:rPr>
                  </w:pPr>
                  <w:r>
                    <w:rPr>
                      <w:caps/>
                      <w:color w:val="auto"/>
                      <w:szCs w:val="21"/>
                    </w:rPr>
                    <w:t>昼间</w:t>
                  </w:r>
                </w:p>
              </w:tc>
              <w:tc>
                <w:tcPr>
                  <w:tcW w:w="1798" w:type="pct"/>
                  <w:vAlign w:val="center"/>
                </w:tcPr>
                <w:p>
                  <w:pPr>
                    <w:jc w:val="center"/>
                    <w:rPr>
                      <w:caps/>
                      <w:color w:val="auto"/>
                      <w:szCs w:val="21"/>
                    </w:rPr>
                  </w:pPr>
                  <w:r>
                    <w:rPr>
                      <w:caps/>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42" w:type="pct"/>
                  <w:vAlign w:val="center"/>
                </w:tcPr>
                <w:p>
                  <w:pPr>
                    <w:jc w:val="center"/>
                    <w:rPr>
                      <w:color w:val="auto"/>
                      <w:szCs w:val="21"/>
                    </w:rPr>
                  </w:pPr>
                  <w:r>
                    <w:rPr>
                      <w:color w:val="auto"/>
                      <w:szCs w:val="21"/>
                    </w:rPr>
                    <w:t>建筑施工场界</w:t>
                  </w:r>
                </w:p>
              </w:tc>
              <w:tc>
                <w:tcPr>
                  <w:tcW w:w="1760" w:type="pct"/>
                  <w:vAlign w:val="center"/>
                </w:tcPr>
                <w:p>
                  <w:pPr>
                    <w:jc w:val="center"/>
                    <w:rPr>
                      <w:color w:val="auto"/>
                      <w:szCs w:val="21"/>
                    </w:rPr>
                  </w:pPr>
                  <w:r>
                    <w:rPr>
                      <w:color w:val="auto"/>
                      <w:szCs w:val="21"/>
                    </w:rPr>
                    <w:t>70</w:t>
                  </w:r>
                </w:p>
              </w:tc>
              <w:tc>
                <w:tcPr>
                  <w:tcW w:w="1798" w:type="pct"/>
                  <w:vAlign w:val="center"/>
                </w:tcPr>
                <w:p>
                  <w:pPr>
                    <w:jc w:val="center"/>
                    <w:rPr>
                      <w:color w:val="auto"/>
                      <w:szCs w:val="21"/>
                    </w:rPr>
                  </w:pPr>
                  <w:r>
                    <w:rPr>
                      <w:color w:val="auto"/>
                      <w:szCs w:val="21"/>
                    </w:rPr>
                    <w:t>55</w:t>
                  </w:r>
                </w:p>
              </w:tc>
            </w:tr>
          </w:tbl>
          <w:p>
            <w:pPr>
              <w:adjustRightInd w:val="0"/>
              <w:snapToGrid w:val="0"/>
              <w:ind w:firstLine="567"/>
              <w:rPr>
                <w:color w:val="auto"/>
                <w:spacing w:val="-4"/>
                <w:sz w:val="24"/>
              </w:rPr>
            </w:pPr>
          </w:p>
          <w:p>
            <w:pPr>
              <w:adjustRightInd w:val="0"/>
              <w:snapToGrid w:val="0"/>
              <w:spacing w:line="360" w:lineRule="auto"/>
              <w:ind w:firstLine="567"/>
              <w:rPr>
                <w:color w:val="auto"/>
                <w:spacing w:val="-4"/>
                <w:sz w:val="24"/>
              </w:rPr>
            </w:pPr>
            <w:r>
              <w:rPr>
                <w:color w:val="auto"/>
                <w:spacing w:val="-4"/>
                <w:sz w:val="24"/>
              </w:rPr>
              <w:t>（2）运营期</w:t>
            </w:r>
          </w:p>
          <w:p>
            <w:pPr>
              <w:adjustRightInd w:val="0"/>
              <w:snapToGrid w:val="0"/>
              <w:spacing w:line="360" w:lineRule="auto"/>
              <w:ind w:firstLine="567"/>
              <w:rPr>
                <w:color w:val="auto"/>
                <w:spacing w:val="-4"/>
                <w:sz w:val="24"/>
              </w:rPr>
            </w:pPr>
            <w:r>
              <w:rPr>
                <w:color w:val="auto"/>
                <w:spacing w:val="-4"/>
                <w:sz w:val="24"/>
              </w:rPr>
              <w:t>执行《工业企业厂界环境噪声排放标准》（GB12348-2008）中</w:t>
            </w:r>
            <w:r>
              <w:rPr>
                <w:rFonts w:hint="eastAsia"/>
                <w:color w:val="auto"/>
                <w:spacing w:val="-4"/>
                <w:sz w:val="24"/>
              </w:rPr>
              <w:t>3</w:t>
            </w:r>
            <w:r>
              <w:rPr>
                <w:color w:val="auto"/>
                <w:spacing w:val="-4"/>
                <w:sz w:val="24"/>
              </w:rPr>
              <w:t>类标准。</w:t>
            </w:r>
          </w:p>
          <w:p>
            <w:pPr>
              <w:adjustRightInd w:val="0"/>
              <w:snapToGrid w:val="0"/>
              <w:jc w:val="center"/>
              <w:rPr>
                <w:b/>
                <w:color w:val="auto"/>
                <w:szCs w:val="21"/>
              </w:rPr>
            </w:pPr>
            <w:r>
              <w:rPr>
                <w:b/>
                <w:color w:val="auto"/>
                <w:szCs w:val="21"/>
              </w:rPr>
              <w:t>表</w:t>
            </w:r>
            <w:r>
              <w:rPr>
                <w:rFonts w:hint="eastAsia"/>
                <w:b/>
                <w:color w:val="auto"/>
                <w:szCs w:val="21"/>
              </w:rPr>
              <w:t>3-1</w:t>
            </w:r>
            <w:r>
              <w:rPr>
                <w:rFonts w:hint="eastAsia"/>
                <w:b/>
                <w:color w:val="auto"/>
                <w:szCs w:val="21"/>
                <w:lang w:val="en-US" w:eastAsia="zh-CN"/>
              </w:rPr>
              <w:t>1</w:t>
            </w:r>
            <w:r>
              <w:rPr>
                <w:b/>
                <w:color w:val="auto"/>
                <w:szCs w:val="21"/>
              </w:rPr>
              <w:t xml:space="preserve">  工业企业厂界环境噪声排放标准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4"/>
              <w:gridCol w:w="2446"/>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32" w:type="pct"/>
                  <w:vMerge w:val="restart"/>
                  <w:vAlign w:val="center"/>
                </w:tcPr>
                <w:p>
                  <w:pPr>
                    <w:pStyle w:val="50"/>
                    <w:adjustRightInd w:val="0"/>
                    <w:snapToGrid w:val="0"/>
                    <w:spacing w:line="240" w:lineRule="auto"/>
                    <w:ind w:firstLine="2100" w:firstLineChars="1000"/>
                    <w:jc w:val="both"/>
                    <w:rPr>
                      <w:rFonts w:ascii="Times New Roman" w:hAnsi="Times New Roman"/>
                      <w:bCs/>
                      <w:color w:val="auto"/>
                      <w:sz w:val="21"/>
                      <w:szCs w:val="21"/>
                    </w:rPr>
                  </w:pPr>
                  <w:r>
                    <w:rPr>
                      <w:rFonts w:ascii="Times New Roman" w:hAnsi="Times New Roman"/>
                      <w:bCs/>
                      <w:color w:val="auto"/>
                      <w:sz w:val="21"/>
                      <w:szCs w:val="21"/>
                    </w:rPr>
                    <w:t>时段</w:t>
                  </w:r>
                </w:p>
                <w:p>
                  <w:pPr>
                    <w:pStyle w:val="50"/>
                    <w:adjustRightInd w:val="0"/>
                    <w:snapToGrid w:val="0"/>
                    <w:spacing w:line="240" w:lineRule="auto"/>
                    <w:jc w:val="both"/>
                    <w:rPr>
                      <w:rFonts w:ascii="Times New Roman" w:hAnsi="Times New Roman"/>
                      <w:bCs/>
                      <w:color w:val="auto"/>
                      <w:sz w:val="21"/>
                      <w:szCs w:val="21"/>
                    </w:rPr>
                  </w:pPr>
                  <w:r>
                    <w:rPr>
                      <w:rFonts w:ascii="Times New Roman" w:hAnsi="Times New Roman"/>
                      <w:bCs/>
                      <w:color w:val="auto"/>
                      <w:sz w:val="21"/>
                      <w:szCs w:val="21"/>
                    </w:rPr>
                    <w:t>功能区类别</w:t>
                  </w:r>
                </w:p>
              </w:tc>
              <w:tc>
                <w:tcPr>
                  <w:tcW w:w="2967" w:type="pct"/>
                  <w:gridSpan w:val="2"/>
                  <w:vAlign w:val="center"/>
                </w:tcPr>
                <w:p>
                  <w:pPr>
                    <w:pStyle w:val="50"/>
                    <w:adjustRightInd w:val="0"/>
                    <w:snapToGrid w:val="0"/>
                    <w:spacing w:line="240" w:lineRule="auto"/>
                    <w:rPr>
                      <w:rFonts w:ascii="Times New Roman" w:hAnsi="Times New Roman"/>
                      <w:bCs/>
                      <w:color w:val="auto"/>
                      <w:sz w:val="21"/>
                      <w:szCs w:val="21"/>
                    </w:rPr>
                  </w:pPr>
                  <w:r>
                    <w:rPr>
                      <w:rFonts w:ascii="Times New Roman" w:hAnsi="Times New Roman"/>
                      <w:bCs/>
                      <w:color w:val="auto"/>
                      <w:sz w:val="21"/>
                      <w:szCs w:val="21"/>
                    </w:rPr>
                    <w:t>等效声级[dB（A）]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32" w:type="pct"/>
                  <w:vMerge w:val="continue"/>
                  <w:vAlign w:val="center"/>
                </w:tcPr>
                <w:p>
                  <w:pPr>
                    <w:pStyle w:val="50"/>
                    <w:adjustRightInd w:val="0"/>
                    <w:snapToGrid w:val="0"/>
                    <w:spacing w:line="240" w:lineRule="auto"/>
                    <w:rPr>
                      <w:rFonts w:ascii="Times New Roman" w:hAnsi="Times New Roman"/>
                      <w:bCs/>
                      <w:color w:val="auto"/>
                      <w:sz w:val="21"/>
                      <w:szCs w:val="21"/>
                    </w:rPr>
                  </w:pPr>
                </w:p>
              </w:tc>
              <w:tc>
                <w:tcPr>
                  <w:tcW w:w="1482" w:type="pct"/>
                  <w:vAlign w:val="center"/>
                </w:tcPr>
                <w:p>
                  <w:pPr>
                    <w:pStyle w:val="50"/>
                    <w:adjustRightInd w:val="0"/>
                    <w:snapToGrid w:val="0"/>
                    <w:spacing w:line="240" w:lineRule="auto"/>
                    <w:rPr>
                      <w:rFonts w:ascii="Times New Roman" w:hAnsi="Times New Roman"/>
                      <w:bCs/>
                      <w:color w:val="auto"/>
                      <w:sz w:val="21"/>
                      <w:szCs w:val="21"/>
                    </w:rPr>
                  </w:pPr>
                  <w:r>
                    <w:rPr>
                      <w:rFonts w:ascii="Times New Roman" w:hAnsi="Times New Roman"/>
                      <w:bCs/>
                      <w:color w:val="auto"/>
                      <w:sz w:val="21"/>
                      <w:szCs w:val="21"/>
                    </w:rPr>
                    <w:t>昼间</w:t>
                  </w:r>
                </w:p>
              </w:tc>
              <w:tc>
                <w:tcPr>
                  <w:tcW w:w="1484" w:type="pct"/>
                  <w:vAlign w:val="center"/>
                </w:tcPr>
                <w:p>
                  <w:pPr>
                    <w:pStyle w:val="50"/>
                    <w:adjustRightInd w:val="0"/>
                    <w:snapToGrid w:val="0"/>
                    <w:spacing w:line="240" w:lineRule="auto"/>
                    <w:rPr>
                      <w:rFonts w:ascii="Times New Roman" w:hAnsi="Times New Roman"/>
                      <w:bCs/>
                      <w:color w:val="auto"/>
                      <w:sz w:val="21"/>
                      <w:szCs w:val="21"/>
                    </w:rPr>
                  </w:pPr>
                  <w:r>
                    <w:rPr>
                      <w:rFonts w:ascii="Times New Roman" w:hAnsi="Times New Roman"/>
                      <w:bCs/>
                      <w:color w:val="auto"/>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32" w:type="pct"/>
                  <w:vAlign w:val="center"/>
                </w:tcPr>
                <w:p>
                  <w:pPr>
                    <w:pStyle w:val="51"/>
                    <w:spacing w:line="240" w:lineRule="auto"/>
                    <w:ind w:firstLine="420"/>
                    <w:rPr>
                      <w:rFonts w:ascii="Times New Roman" w:hAnsi="Times New Roman"/>
                      <w:color w:val="auto"/>
                      <w:sz w:val="21"/>
                      <w:szCs w:val="21"/>
                    </w:rPr>
                  </w:pPr>
                  <w:r>
                    <w:rPr>
                      <w:rFonts w:hint="eastAsia" w:ascii="Times New Roman" w:hAnsi="Times New Roman"/>
                      <w:color w:val="auto"/>
                      <w:sz w:val="21"/>
                      <w:szCs w:val="21"/>
                    </w:rPr>
                    <w:t>3</w:t>
                  </w:r>
                  <w:r>
                    <w:rPr>
                      <w:rFonts w:ascii="Times New Roman" w:hAnsi="Times New Roman"/>
                      <w:color w:val="auto"/>
                      <w:sz w:val="21"/>
                      <w:szCs w:val="21"/>
                    </w:rPr>
                    <w:t>类</w:t>
                  </w:r>
                </w:p>
              </w:tc>
              <w:tc>
                <w:tcPr>
                  <w:tcW w:w="1482" w:type="pct"/>
                  <w:vAlign w:val="center"/>
                </w:tcPr>
                <w:p>
                  <w:pPr>
                    <w:pStyle w:val="51"/>
                    <w:spacing w:line="240" w:lineRule="auto"/>
                    <w:rPr>
                      <w:rFonts w:ascii="Times New Roman" w:hAnsi="Times New Roman"/>
                      <w:color w:val="auto"/>
                      <w:sz w:val="21"/>
                      <w:szCs w:val="21"/>
                    </w:rPr>
                  </w:pPr>
                  <w:r>
                    <w:rPr>
                      <w:rFonts w:ascii="Times New Roman" w:hAnsi="Times New Roman"/>
                      <w:color w:val="auto"/>
                      <w:sz w:val="21"/>
                      <w:szCs w:val="21"/>
                    </w:rPr>
                    <w:t>6</w:t>
                  </w:r>
                  <w:r>
                    <w:rPr>
                      <w:rFonts w:hint="eastAsia" w:ascii="Times New Roman" w:hAnsi="Times New Roman"/>
                      <w:color w:val="auto"/>
                      <w:sz w:val="21"/>
                      <w:szCs w:val="21"/>
                    </w:rPr>
                    <w:t>5</w:t>
                  </w:r>
                </w:p>
              </w:tc>
              <w:tc>
                <w:tcPr>
                  <w:tcW w:w="1484" w:type="pct"/>
                  <w:vAlign w:val="center"/>
                </w:tcPr>
                <w:p>
                  <w:pPr>
                    <w:pStyle w:val="51"/>
                    <w:spacing w:line="240" w:lineRule="auto"/>
                    <w:rPr>
                      <w:rFonts w:ascii="Times New Roman" w:hAnsi="Times New Roman"/>
                      <w:color w:val="auto"/>
                      <w:sz w:val="21"/>
                      <w:szCs w:val="21"/>
                    </w:rPr>
                  </w:pPr>
                  <w:r>
                    <w:rPr>
                      <w:rFonts w:ascii="Times New Roman" w:hAnsi="Times New Roman"/>
                      <w:color w:val="auto"/>
                      <w:sz w:val="21"/>
                      <w:szCs w:val="21"/>
                    </w:rPr>
                    <w:t>5</w:t>
                  </w:r>
                  <w:r>
                    <w:rPr>
                      <w:rFonts w:hint="eastAsia" w:ascii="Times New Roman" w:hAnsi="Times New Roman"/>
                      <w:color w:val="auto"/>
                      <w:sz w:val="21"/>
                      <w:szCs w:val="21"/>
                    </w:rPr>
                    <w:t>5</w:t>
                  </w:r>
                </w:p>
              </w:tc>
            </w:tr>
          </w:tbl>
          <w:p>
            <w:pPr>
              <w:pStyle w:val="47"/>
              <w:adjustRightInd w:val="0"/>
              <w:snapToGrid w:val="0"/>
              <w:spacing w:line="240" w:lineRule="auto"/>
              <w:ind w:firstLine="0"/>
              <w:rPr>
                <w:b/>
                <w:color w:val="auto"/>
                <w:szCs w:val="24"/>
              </w:rPr>
            </w:pPr>
          </w:p>
          <w:p>
            <w:pPr>
              <w:pStyle w:val="47"/>
              <w:adjustRightInd w:val="0"/>
              <w:snapToGrid w:val="0"/>
              <w:ind w:firstLine="0"/>
              <w:outlineLvl w:val="2"/>
              <w:rPr>
                <w:b/>
                <w:color w:val="auto"/>
                <w:szCs w:val="24"/>
              </w:rPr>
            </w:pPr>
            <w:r>
              <w:rPr>
                <w:rFonts w:hint="eastAsia"/>
                <w:b/>
                <w:color w:val="auto"/>
                <w:szCs w:val="24"/>
              </w:rPr>
              <w:t>3.8.4</w:t>
            </w:r>
            <w:r>
              <w:rPr>
                <w:b/>
                <w:color w:val="auto"/>
                <w:szCs w:val="24"/>
              </w:rPr>
              <w:t>固体废弃物</w:t>
            </w:r>
          </w:p>
          <w:p>
            <w:pPr>
              <w:adjustRightInd w:val="0"/>
              <w:snapToGrid w:val="0"/>
              <w:spacing w:line="360" w:lineRule="auto"/>
              <w:ind w:firstLine="567"/>
              <w:rPr>
                <w:color w:val="auto"/>
              </w:rPr>
            </w:pPr>
            <w:r>
              <w:rPr>
                <w:color w:val="auto"/>
                <w:spacing w:val="-4"/>
                <w:sz w:val="24"/>
              </w:rPr>
              <w:t>一般固体废弃物执行《</w:t>
            </w:r>
            <w:r>
              <w:rPr>
                <w:rFonts w:hint="eastAsia"/>
                <w:color w:val="auto"/>
                <w:spacing w:val="-4"/>
                <w:sz w:val="24"/>
              </w:rPr>
              <w:t>一般工业固体废物贮存和填埋污染控制标准</w:t>
            </w:r>
            <w:r>
              <w:rPr>
                <w:color w:val="auto"/>
                <w:spacing w:val="-4"/>
                <w:sz w:val="24"/>
              </w:rPr>
              <w:t>》（GB18599-20</w:t>
            </w:r>
            <w:r>
              <w:rPr>
                <w:rFonts w:hint="eastAsia"/>
                <w:color w:val="auto"/>
                <w:spacing w:val="-4"/>
                <w:sz w:val="24"/>
              </w:rPr>
              <w:t>20</w:t>
            </w:r>
            <w:r>
              <w:rPr>
                <w:color w:val="auto"/>
                <w:spacing w:val="-4"/>
                <w:sz w:val="24"/>
              </w:rPr>
              <w:t>）。危险固体废弃物执行《危险废物贮存污染控制标准》（GB18597-2001）及其修改单的有关规定。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7" w:hRule="atLeast"/>
          <w:jc w:val="center"/>
        </w:trPr>
        <w:tc>
          <w:tcPr>
            <w:tcW w:w="512" w:type="dxa"/>
            <w:vAlign w:val="center"/>
          </w:tcPr>
          <w:p>
            <w:pPr>
              <w:adjustRightInd w:val="0"/>
              <w:snapToGrid w:val="0"/>
              <w:jc w:val="center"/>
              <w:rPr>
                <w:rFonts w:ascii="宋体" w:hAnsi="宋体" w:cs="宋体"/>
                <w:color w:val="auto"/>
                <w:kern w:val="0"/>
                <w:sz w:val="24"/>
              </w:rPr>
            </w:pPr>
            <w:r>
              <w:rPr>
                <w:rFonts w:hint="eastAsia" w:ascii="宋体" w:hAnsi="宋体" w:cs="宋体"/>
                <w:color w:val="auto"/>
                <w:kern w:val="0"/>
                <w:sz w:val="24"/>
              </w:rPr>
              <w:t>总量</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控制</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指标</w:t>
            </w:r>
          </w:p>
        </w:tc>
        <w:tc>
          <w:tcPr>
            <w:tcW w:w="8478" w:type="dxa"/>
            <w:vAlign w:val="center"/>
          </w:tcPr>
          <w:p>
            <w:pPr>
              <w:pStyle w:val="47"/>
              <w:adjustRightInd w:val="0"/>
              <w:snapToGrid w:val="0"/>
              <w:ind w:firstLine="480" w:firstLineChars="200"/>
              <w:outlineLvl w:val="2"/>
              <w:rPr>
                <w:color w:val="auto"/>
              </w:rPr>
            </w:pPr>
            <w:r>
              <w:rPr>
                <w:rFonts w:hint="eastAsia"/>
                <w:color w:val="auto"/>
              </w:rPr>
              <w:t>（1）</w:t>
            </w:r>
            <w:r>
              <w:rPr>
                <w:color w:val="auto"/>
              </w:rPr>
              <w:t>废气</w:t>
            </w:r>
            <w:r>
              <w:rPr>
                <w:rFonts w:hint="eastAsia"/>
                <w:color w:val="auto"/>
              </w:rPr>
              <w:t>：经过本次重新报批核算，改扩建完成后，全厂</w:t>
            </w:r>
            <w:r>
              <w:rPr>
                <w:rFonts w:hint="eastAsia"/>
                <w:color w:val="auto"/>
                <w:lang w:val="en-US" w:eastAsia="zh-CN"/>
              </w:rPr>
              <w:t>排放</w:t>
            </w:r>
            <w:r>
              <w:rPr>
                <w:rFonts w:hint="eastAsia"/>
                <w:color w:val="auto"/>
              </w:rPr>
              <w:t>污染物</w:t>
            </w:r>
            <w:r>
              <w:rPr>
                <w:rFonts w:hint="eastAsia"/>
                <w:color w:val="auto"/>
                <w:lang w:val="en-US" w:eastAsia="zh-CN"/>
              </w:rPr>
              <w:t>中</w:t>
            </w:r>
            <w:r>
              <w:rPr>
                <w:rFonts w:hint="eastAsia"/>
                <w:color w:val="auto"/>
              </w:rPr>
              <w:t>SO</w:t>
            </w:r>
            <w:r>
              <w:rPr>
                <w:rFonts w:hint="eastAsia"/>
                <w:color w:val="auto"/>
                <w:vertAlign w:val="subscript"/>
              </w:rPr>
              <w:t>2</w:t>
            </w:r>
            <w:r>
              <w:rPr>
                <w:rFonts w:hint="eastAsia"/>
                <w:color w:val="auto"/>
              </w:rPr>
              <w:t xml:space="preserve"> </w:t>
            </w:r>
            <w:r>
              <w:rPr>
                <w:rFonts w:hint="eastAsia"/>
                <w:color w:val="auto"/>
                <w:lang w:val="en-US" w:eastAsia="zh-CN"/>
              </w:rPr>
              <w:t>25.48</w:t>
            </w:r>
            <w:r>
              <w:rPr>
                <w:rFonts w:hint="eastAsia"/>
                <w:color w:val="auto"/>
              </w:rPr>
              <w:t>t/a</w:t>
            </w:r>
            <w:r>
              <w:rPr>
                <w:rFonts w:hint="eastAsia"/>
                <w:color w:val="auto"/>
                <w:lang w:eastAsia="zh-CN"/>
              </w:rPr>
              <w:t>，</w:t>
            </w:r>
            <w:r>
              <w:rPr>
                <w:rFonts w:hint="eastAsia"/>
                <w:color w:val="auto"/>
              </w:rPr>
              <w:t>NOx</w:t>
            </w:r>
            <w:r>
              <w:rPr>
                <w:rFonts w:hint="eastAsia"/>
                <w:color w:val="auto"/>
                <w:lang w:val="en-US" w:eastAsia="zh-CN"/>
              </w:rPr>
              <w:t>13.124</w:t>
            </w:r>
            <w:r>
              <w:rPr>
                <w:rFonts w:hint="eastAsia"/>
                <w:color w:val="auto"/>
              </w:rPr>
              <w:t>t/a</w:t>
            </w:r>
            <w:r>
              <w:rPr>
                <w:rFonts w:hint="eastAsia"/>
                <w:color w:val="auto"/>
                <w:lang w:eastAsia="zh-CN"/>
              </w:rPr>
              <w:t>，氟及其化合物（以F计）</w:t>
            </w:r>
            <w:r>
              <w:rPr>
                <w:rFonts w:hint="eastAsia"/>
                <w:color w:val="auto"/>
              </w:rPr>
              <w:t>0.</w:t>
            </w:r>
            <w:r>
              <w:rPr>
                <w:rFonts w:hint="eastAsia"/>
                <w:color w:val="auto"/>
                <w:lang w:val="en-US" w:eastAsia="zh-CN"/>
              </w:rPr>
              <w:t>74</w:t>
            </w:r>
            <w:r>
              <w:rPr>
                <w:rFonts w:hint="eastAsia"/>
                <w:color w:val="auto"/>
              </w:rPr>
              <w:t>t/a</w:t>
            </w:r>
            <w:r>
              <w:rPr>
                <w:rFonts w:hint="eastAsia"/>
                <w:color w:val="auto"/>
                <w:lang w:eastAsia="zh-CN"/>
              </w:rPr>
              <w:t>，</w:t>
            </w:r>
            <w:r>
              <w:rPr>
                <w:rFonts w:hint="eastAsia"/>
                <w:color w:val="auto"/>
              </w:rPr>
              <w:t>颗粒物</w:t>
            </w:r>
            <w:r>
              <w:rPr>
                <w:rFonts w:hint="eastAsia"/>
                <w:color w:val="auto"/>
                <w:lang w:val="en-US" w:eastAsia="zh-CN"/>
              </w:rPr>
              <w:t>5.21</w:t>
            </w:r>
            <w:r>
              <w:rPr>
                <w:rFonts w:hint="eastAsia"/>
                <w:color w:val="auto"/>
              </w:rPr>
              <w:t>t/a</w:t>
            </w:r>
            <w:r>
              <w:rPr>
                <w:rFonts w:hint="eastAsia"/>
                <w:color w:val="auto"/>
                <w:lang w:eastAsia="zh-CN"/>
              </w:rPr>
              <w:t>（</w:t>
            </w:r>
            <w:r>
              <w:rPr>
                <w:rFonts w:hint="eastAsia"/>
                <w:color w:val="auto"/>
                <w:lang w:val="en-US" w:eastAsia="zh-CN"/>
              </w:rPr>
              <w:t>其中有</w:t>
            </w:r>
            <w:r>
              <w:rPr>
                <w:rFonts w:hint="eastAsia"/>
                <w:color w:val="auto"/>
              </w:rPr>
              <w:t>组织排放颗粒物</w:t>
            </w:r>
            <w:r>
              <w:rPr>
                <w:rFonts w:hint="eastAsia"/>
                <w:color w:val="auto"/>
                <w:lang w:val="en-US" w:eastAsia="zh-CN"/>
              </w:rPr>
              <w:t>2.7</w:t>
            </w:r>
            <w:r>
              <w:rPr>
                <w:rFonts w:hint="eastAsia"/>
                <w:color w:val="auto"/>
              </w:rPr>
              <w:t>t/a</w:t>
            </w:r>
            <w:r>
              <w:rPr>
                <w:rFonts w:hint="eastAsia"/>
                <w:color w:val="auto"/>
                <w:lang w:eastAsia="zh-CN"/>
              </w:rPr>
              <w:t>，</w:t>
            </w:r>
            <w:r>
              <w:rPr>
                <w:rFonts w:hint="eastAsia"/>
                <w:color w:val="auto"/>
              </w:rPr>
              <w:t>无组织颗粒物排放量为</w:t>
            </w:r>
            <w:r>
              <w:rPr>
                <w:rFonts w:hint="eastAsia"/>
                <w:color w:val="auto"/>
                <w:lang w:val="en-US" w:eastAsia="zh-CN"/>
              </w:rPr>
              <w:t>2.51</w:t>
            </w:r>
            <w:r>
              <w:rPr>
                <w:rFonts w:hint="eastAsia"/>
                <w:color w:val="auto"/>
              </w:rPr>
              <w:t>t/a</w:t>
            </w:r>
            <w:r>
              <w:rPr>
                <w:rFonts w:hint="eastAsia"/>
                <w:color w:val="auto"/>
                <w:lang w:eastAsia="zh-CN"/>
              </w:rPr>
              <w:t>）</w:t>
            </w:r>
            <w:r>
              <w:rPr>
                <w:rFonts w:hint="eastAsia"/>
                <w:color w:val="auto"/>
              </w:rPr>
              <w:t>。改扩建后二氧化硫</w:t>
            </w:r>
            <w:r>
              <w:rPr>
                <w:rFonts w:hint="eastAsia"/>
                <w:color w:val="auto"/>
                <w:lang w:val="en-US" w:eastAsia="zh-CN"/>
              </w:rPr>
              <w:t>和</w:t>
            </w:r>
            <w:r>
              <w:rPr>
                <w:rFonts w:hint="eastAsia"/>
                <w:color w:val="auto"/>
              </w:rPr>
              <w:t>氮氧化物排放量未超过现有排污许可证核定总量，不需另行申请总量控制指标。</w:t>
            </w:r>
          </w:p>
          <w:p>
            <w:pPr>
              <w:pStyle w:val="47"/>
              <w:adjustRightInd w:val="0"/>
              <w:snapToGrid w:val="0"/>
              <w:ind w:firstLine="480" w:firstLineChars="200"/>
              <w:outlineLvl w:val="2"/>
              <w:rPr>
                <w:color w:val="auto"/>
              </w:rPr>
            </w:pPr>
            <w:r>
              <w:rPr>
                <w:rFonts w:hint="eastAsia"/>
                <w:color w:val="auto"/>
              </w:rPr>
              <w:t>（2）</w:t>
            </w:r>
            <w:r>
              <w:rPr>
                <w:color w:val="auto"/>
              </w:rPr>
              <w:t>废水</w:t>
            </w:r>
            <w:r>
              <w:rPr>
                <w:rFonts w:hint="eastAsia"/>
                <w:color w:val="auto"/>
              </w:rPr>
              <w:t>：项目生产废水不外排，生活污水与实验废水经预处理后排入宜良工业园区污水处理厂处理，总量纳入宜良工业园区污水处理厂考核。</w:t>
            </w:r>
          </w:p>
          <w:p>
            <w:pPr>
              <w:pStyle w:val="47"/>
              <w:adjustRightInd w:val="0"/>
              <w:snapToGrid w:val="0"/>
              <w:ind w:firstLine="480" w:firstLineChars="200"/>
              <w:outlineLvl w:val="2"/>
              <w:rPr>
                <w:color w:val="auto"/>
              </w:rPr>
            </w:pPr>
            <w:r>
              <w:rPr>
                <w:rFonts w:hint="eastAsia"/>
                <w:color w:val="auto"/>
              </w:rPr>
              <w:t>（3）</w:t>
            </w:r>
            <w:r>
              <w:rPr>
                <w:color w:val="auto"/>
              </w:rPr>
              <w:t>固体废弃物</w:t>
            </w:r>
            <w:r>
              <w:rPr>
                <w:rFonts w:hint="eastAsia"/>
                <w:color w:val="auto"/>
              </w:rPr>
              <w:t>：</w:t>
            </w:r>
            <w:r>
              <w:rPr>
                <w:color w:val="auto"/>
              </w:rPr>
              <w:t>固废处置率为100%。</w:t>
            </w:r>
          </w:p>
          <w:p>
            <w:pPr>
              <w:pStyle w:val="47"/>
              <w:adjustRightInd w:val="0"/>
              <w:snapToGrid w:val="0"/>
              <w:ind w:firstLine="480" w:firstLineChars="200"/>
              <w:outlineLvl w:val="2"/>
              <w:rPr>
                <w:color w:val="auto"/>
              </w:rPr>
            </w:pPr>
          </w:p>
          <w:p>
            <w:pPr>
              <w:pStyle w:val="47"/>
              <w:adjustRightInd w:val="0"/>
              <w:snapToGrid w:val="0"/>
              <w:ind w:firstLine="480" w:firstLineChars="200"/>
              <w:outlineLvl w:val="2"/>
              <w:rPr>
                <w:color w:val="auto"/>
              </w:rPr>
            </w:pPr>
          </w:p>
          <w:p>
            <w:pPr>
              <w:pStyle w:val="47"/>
              <w:adjustRightInd w:val="0"/>
              <w:snapToGrid w:val="0"/>
              <w:ind w:firstLine="480" w:firstLineChars="200"/>
              <w:outlineLvl w:val="2"/>
              <w:rPr>
                <w:color w:val="auto"/>
              </w:rPr>
            </w:pPr>
          </w:p>
          <w:p>
            <w:pPr>
              <w:pStyle w:val="47"/>
              <w:adjustRightInd w:val="0"/>
              <w:snapToGrid w:val="0"/>
              <w:ind w:firstLine="480" w:firstLineChars="200"/>
              <w:outlineLvl w:val="2"/>
              <w:rPr>
                <w:color w:val="auto"/>
              </w:rPr>
            </w:pPr>
          </w:p>
          <w:p>
            <w:pPr>
              <w:pStyle w:val="47"/>
              <w:adjustRightInd w:val="0"/>
              <w:snapToGrid w:val="0"/>
              <w:ind w:firstLine="480" w:firstLineChars="200"/>
              <w:outlineLvl w:val="2"/>
              <w:rPr>
                <w:color w:val="auto"/>
              </w:rPr>
            </w:pPr>
          </w:p>
          <w:p>
            <w:pPr>
              <w:pStyle w:val="47"/>
              <w:adjustRightInd w:val="0"/>
              <w:snapToGrid w:val="0"/>
              <w:ind w:firstLine="480" w:firstLineChars="200"/>
              <w:outlineLvl w:val="2"/>
              <w:rPr>
                <w:color w:val="auto"/>
              </w:rPr>
            </w:pPr>
          </w:p>
          <w:p>
            <w:pPr>
              <w:pStyle w:val="47"/>
              <w:adjustRightInd w:val="0"/>
              <w:snapToGrid w:val="0"/>
              <w:ind w:firstLine="480" w:firstLineChars="200"/>
              <w:outlineLvl w:val="2"/>
              <w:rPr>
                <w:color w:val="auto"/>
              </w:rPr>
            </w:pPr>
          </w:p>
          <w:p>
            <w:pPr>
              <w:pStyle w:val="47"/>
              <w:adjustRightInd w:val="0"/>
              <w:snapToGrid w:val="0"/>
              <w:ind w:firstLine="480" w:firstLineChars="200"/>
              <w:outlineLvl w:val="2"/>
              <w:rPr>
                <w:color w:val="auto"/>
              </w:rPr>
            </w:pPr>
          </w:p>
          <w:p>
            <w:pPr>
              <w:pStyle w:val="47"/>
              <w:adjustRightInd w:val="0"/>
              <w:snapToGrid w:val="0"/>
              <w:ind w:firstLine="480" w:firstLineChars="200"/>
              <w:outlineLvl w:val="2"/>
              <w:rPr>
                <w:color w:val="auto"/>
              </w:rPr>
            </w:pPr>
          </w:p>
          <w:p>
            <w:pPr>
              <w:pStyle w:val="47"/>
              <w:adjustRightInd w:val="0"/>
              <w:snapToGrid w:val="0"/>
              <w:ind w:firstLine="480" w:firstLineChars="200"/>
              <w:outlineLvl w:val="2"/>
              <w:rPr>
                <w:color w:val="auto"/>
              </w:rPr>
            </w:pPr>
          </w:p>
          <w:p>
            <w:pPr>
              <w:pStyle w:val="47"/>
              <w:adjustRightInd w:val="0"/>
              <w:snapToGrid w:val="0"/>
              <w:ind w:firstLine="480" w:firstLineChars="200"/>
              <w:outlineLvl w:val="2"/>
              <w:rPr>
                <w:color w:val="auto"/>
              </w:rPr>
            </w:pPr>
          </w:p>
          <w:p>
            <w:pPr>
              <w:pStyle w:val="47"/>
              <w:adjustRightInd w:val="0"/>
              <w:snapToGrid w:val="0"/>
              <w:ind w:firstLine="480" w:firstLineChars="200"/>
              <w:outlineLvl w:val="2"/>
              <w:rPr>
                <w:color w:val="auto"/>
              </w:rPr>
            </w:pPr>
          </w:p>
          <w:p>
            <w:pPr>
              <w:pStyle w:val="47"/>
              <w:adjustRightInd w:val="0"/>
              <w:snapToGrid w:val="0"/>
              <w:ind w:firstLine="480" w:firstLineChars="200"/>
              <w:outlineLvl w:val="2"/>
              <w:rPr>
                <w:color w:val="auto"/>
              </w:rPr>
            </w:pPr>
          </w:p>
          <w:p>
            <w:pPr>
              <w:pStyle w:val="47"/>
              <w:adjustRightInd w:val="0"/>
              <w:snapToGrid w:val="0"/>
              <w:ind w:firstLine="480" w:firstLineChars="200"/>
              <w:outlineLvl w:val="2"/>
              <w:rPr>
                <w:color w:val="auto"/>
              </w:rPr>
            </w:pPr>
          </w:p>
          <w:p>
            <w:pPr>
              <w:pStyle w:val="47"/>
              <w:adjustRightInd w:val="0"/>
              <w:snapToGrid w:val="0"/>
              <w:ind w:firstLine="480" w:firstLineChars="200"/>
              <w:outlineLvl w:val="2"/>
              <w:rPr>
                <w:color w:val="auto"/>
              </w:rPr>
            </w:pPr>
          </w:p>
          <w:p>
            <w:pPr>
              <w:pStyle w:val="47"/>
              <w:adjustRightInd w:val="0"/>
              <w:snapToGrid w:val="0"/>
              <w:ind w:firstLine="480" w:firstLineChars="200"/>
              <w:outlineLvl w:val="2"/>
              <w:rPr>
                <w:color w:val="auto"/>
              </w:rPr>
            </w:pPr>
          </w:p>
          <w:p>
            <w:pPr>
              <w:pStyle w:val="47"/>
              <w:adjustRightInd w:val="0"/>
              <w:snapToGrid w:val="0"/>
              <w:ind w:firstLine="480" w:firstLineChars="200"/>
              <w:outlineLvl w:val="2"/>
              <w:rPr>
                <w:color w:val="auto"/>
              </w:rPr>
            </w:pPr>
          </w:p>
        </w:tc>
      </w:tr>
    </w:tbl>
    <w:p>
      <w:pPr>
        <w:pStyle w:val="19"/>
        <w:jc w:val="center"/>
        <w:outlineLvl w:val="0"/>
        <w:rPr>
          <w:rFonts w:ascii="黑体" w:hAnsi="黑体" w:eastAsia="黑体"/>
          <w:snapToGrid w:val="0"/>
          <w:color w:val="auto"/>
          <w:sz w:val="30"/>
          <w:szCs w:val="30"/>
        </w:rPr>
      </w:pPr>
      <w:r>
        <w:rPr>
          <w:rFonts w:ascii="黑体" w:hAnsi="黑体" w:eastAsia="黑体"/>
          <w:snapToGrid w:val="0"/>
          <w:color w:val="auto"/>
          <w:sz w:val="36"/>
          <w:szCs w:val="36"/>
        </w:rPr>
        <w:br w:type="page"/>
      </w:r>
      <w:bookmarkStart w:id="4" w:name="_Toc6461"/>
      <w:r>
        <w:rPr>
          <w:rFonts w:hint="eastAsia" w:ascii="黑体" w:hAnsi="黑体" w:eastAsia="黑体"/>
          <w:snapToGrid w:val="0"/>
          <w:color w:val="auto"/>
          <w:sz w:val="30"/>
          <w:szCs w:val="30"/>
        </w:rPr>
        <w:t>四、主要环境影响和保护措施</w:t>
      </w:r>
      <w:bookmarkEnd w:id="4"/>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76" w:hRule="atLeast"/>
          <w:jc w:val="center"/>
        </w:trPr>
        <w:tc>
          <w:tcPr>
            <w:tcW w:w="746" w:type="dxa"/>
            <w:tcMar>
              <w:left w:w="28" w:type="dxa"/>
              <w:right w:w="28" w:type="dxa"/>
            </w:tcMar>
            <w:vAlign w:val="center"/>
          </w:tcPr>
          <w:p>
            <w:pPr>
              <w:pStyle w:val="19"/>
              <w:adjustRightInd w:val="0"/>
              <w:snapToGrid w:val="0"/>
              <w:spacing w:before="0" w:beforeAutospacing="0" w:after="0" w:afterAutospacing="0"/>
              <w:jc w:val="center"/>
              <w:rPr>
                <w:rFonts w:cs="宋体"/>
                <w:color w:val="auto"/>
                <w:kern w:val="2"/>
                <w:szCs w:val="24"/>
              </w:rPr>
            </w:pPr>
            <w:r>
              <w:rPr>
                <w:rFonts w:hint="eastAsia" w:cs="宋体"/>
                <w:color w:val="auto"/>
                <w:kern w:val="2"/>
                <w:szCs w:val="24"/>
              </w:rPr>
              <w:t>施工</w:t>
            </w:r>
          </w:p>
          <w:p>
            <w:pPr>
              <w:pStyle w:val="19"/>
              <w:adjustRightInd w:val="0"/>
              <w:snapToGrid w:val="0"/>
              <w:spacing w:before="0" w:beforeAutospacing="0" w:after="0" w:afterAutospacing="0"/>
              <w:jc w:val="center"/>
              <w:rPr>
                <w:rFonts w:cs="宋体"/>
                <w:color w:val="auto"/>
                <w:kern w:val="2"/>
                <w:szCs w:val="24"/>
              </w:rPr>
            </w:pPr>
            <w:r>
              <w:rPr>
                <w:rFonts w:hint="eastAsia" w:cs="宋体"/>
                <w:color w:val="auto"/>
                <w:kern w:val="2"/>
                <w:szCs w:val="24"/>
              </w:rPr>
              <w:t>期环</w:t>
            </w:r>
          </w:p>
          <w:p>
            <w:pPr>
              <w:pStyle w:val="19"/>
              <w:adjustRightInd w:val="0"/>
              <w:snapToGrid w:val="0"/>
              <w:spacing w:before="0" w:beforeAutospacing="0" w:after="0" w:afterAutospacing="0"/>
              <w:jc w:val="center"/>
              <w:rPr>
                <w:rFonts w:cs="宋体"/>
                <w:color w:val="auto"/>
                <w:kern w:val="2"/>
                <w:szCs w:val="24"/>
              </w:rPr>
            </w:pPr>
            <w:r>
              <w:rPr>
                <w:rFonts w:hint="eastAsia" w:cs="宋体"/>
                <w:color w:val="auto"/>
                <w:kern w:val="2"/>
                <w:szCs w:val="24"/>
              </w:rPr>
              <w:t>境保</w:t>
            </w:r>
          </w:p>
          <w:p>
            <w:pPr>
              <w:pStyle w:val="19"/>
              <w:adjustRightInd w:val="0"/>
              <w:snapToGrid w:val="0"/>
              <w:spacing w:before="0" w:beforeAutospacing="0" w:after="0" w:afterAutospacing="0"/>
              <w:jc w:val="center"/>
              <w:rPr>
                <w:rFonts w:cs="宋体"/>
                <w:color w:val="auto"/>
                <w:kern w:val="2"/>
                <w:szCs w:val="24"/>
              </w:rPr>
            </w:pPr>
            <w:r>
              <w:rPr>
                <w:rFonts w:hint="eastAsia" w:cs="宋体"/>
                <w:color w:val="auto"/>
                <w:kern w:val="2"/>
                <w:szCs w:val="24"/>
              </w:rPr>
              <w:t>护措</w:t>
            </w:r>
          </w:p>
          <w:p>
            <w:pPr>
              <w:pStyle w:val="19"/>
              <w:adjustRightInd w:val="0"/>
              <w:snapToGrid w:val="0"/>
              <w:spacing w:before="0" w:beforeAutospacing="0" w:after="0" w:afterAutospacing="0"/>
              <w:jc w:val="center"/>
              <w:rPr>
                <w:rFonts w:cs="宋体"/>
                <w:bCs/>
                <w:color w:val="auto"/>
                <w:kern w:val="2"/>
                <w:szCs w:val="24"/>
              </w:rPr>
            </w:pPr>
            <w:r>
              <w:rPr>
                <w:rFonts w:hint="eastAsia" w:cs="宋体"/>
                <w:color w:val="auto"/>
                <w:kern w:val="2"/>
                <w:szCs w:val="24"/>
              </w:rPr>
              <w:t>施</w:t>
            </w:r>
          </w:p>
        </w:tc>
        <w:tc>
          <w:tcPr>
            <w:tcW w:w="8162" w:type="dxa"/>
          </w:tcPr>
          <w:p>
            <w:pPr>
              <w:adjustRightInd w:val="0"/>
              <w:snapToGrid w:val="0"/>
              <w:spacing w:line="360" w:lineRule="auto"/>
              <w:rPr>
                <w:b/>
                <w:color w:val="auto"/>
                <w:sz w:val="24"/>
              </w:rPr>
            </w:pPr>
            <w:r>
              <w:rPr>
                <w:b/>
                <w:color w:val="auto"/>
                <w:sz w:val="24"/>
              </w:rPr>
              <w:t>4.1施工期环境保护措施</w:t>
            </w:r>
          </w:p>
          <w:p>
            <w:pPr>
              <w:adjustRightInd w:val="0"/>
              <w:snapToGrid w:val="0"/>
              <w:spacing w:line="360" w:lineRule="auto"/>
              <w:ind w:firstLine="480" w:firstLineChars="200"/>
              <w:rPr>
                <w:rFonts w:hint="eastAsia" w:eastAsia="宋体"/>
                <w:bCs/>
                <w:color w:val="auto"/>
                <w:sz w:val="24"/>
                <w:lang w:eastAsia="zh-CN"/>
              </w:rPr>
            </w:pPr>
            <w:r>
              <w:rPr>
                <w:bCs/>
                <w:color w:val="auto"/>
                <w:sz w:val="24"/>
              </w:rPr>
              <w:t>本项目在</w:t>
            </w:r>
            <w:r>
              <w:rPr>
                <w:rFonts w:hint="eastAsia"/>
                <w:color w:val="auto"/>
                <w:sz w:val="24"/>
              </w:rPr>
              <w:t>昆明红枫湖耐火材料有限公司原有厂区内</w:t>
            </w:r>
            <w:r>
              <w:rPr>
                <w:rFonts w:hint="eastAsia"/>
                <w:bCs/>
                <w:color w:val="auto"/>
                <w:sz w:val="24"/>
              </w:rPr>
              <w:t>进行建设</w:t>
            </w:r>
            <w:r>
              <w:rPr>
                <w:bCs/>
                <w:color w:val="auto"/>
                <w:sz w:val="24"/>
              </w:rPr>
              <w:t>，施工期主要为</w:t>
            </w:r>
            <w:r>
              <w:rPr>
                <w:rFonts w:hint="eastAsia"/>
                <w:bCs/>
                <w:color w:val="auto"/>
                <w:sz w:val="24"/>
              </w:rPr>
              <w:t>场地清理、彩钢瓦搭建和设备安装</w:t>
            </w:r>
            <w:r>
              <w:rPr>
                <w:bCs/>
                <w:color w:val="auto"/>
                <w:sz w:val="24"/>
              </w:rPr>
              <w:t>，无土建、装修等工程，不新增占地</w:t>
            </w:r>
            <w:r>
              <w:rPr>
                <w:rFonts w:hint="eastAsia"/>
                <w:bCs/>
                <w:color w:val="auto"/>
                <w:sz w:val="24"/>
              </w:rPr>
              <w:t>，施工</w:t>
            </w:r>
            <w:r>
              <w:rPr>
                <w:bCs/>
                <w:color w:val="auto"/>
                <w:sz w:val="24"/>
              </w:rPr>
              <w:t>过程产生</w:t>
            </w:r>
            <w:r>
              <w:rPr>
                <w:rFonts w:hint="eastAsia"/>
                <w:bCs/>
                <w:color w:val="auto"/>
                <w:sz w:val="24"/>
              </w:rPr>
              <w:t>少量扬尘、</w:t>
            </w:r>
            <w:r>
              <w:rPr>
                <w:bCs/>
                <w:color w:val="auto"/>
                <w:sz w:val="24"/>
              </w:rPr>
              <w:t>噪声</w:t>
            </w:r>
            <w:r>
              <w:rPr>
                <w:rFonts w:hint="eastAsia"/>
                <w:bCs/>
                <w:color w:val="auto"/>
                <w:sz w:val="24"/>
              </w:rPr>
              <w:t>、废水、建筑废料和设备包装废料</w:t>
            </w:r>
            <w:r>
              <w:rPr>
                <w:bCs/>
                <w:color w:val="auto"/>
                <w:sz w:val="24"/>
              </w:rPr>
              <w:t>等垃圾</w:t>
            </w:r>
            <w:r>
              <w:rPr>
                <w:rFonts w:hint="eastAsia"/>
                <w:bCs/>
                <w:color w:val="auto"/>
                <w:sz w:val="24"/>
              </w:rPr>
              <w:t>，本项目施工期短，</w:t>
            </w:r>
            <w:r>
              <w:rPr>
                <w:rFonts w:hint="eastAsia"/>
                <w:bCs/>
                <w:color w:val="auto"/>
                <w:sz w:val="24"/>
                <w:lang w:val="en-US" w:eastAsia="zh-CN"/>
              </w:rPr>
              <w:t>建设单位</w:t>
            </w:r>
            <w:r>
              <w:rPr>
                <w:rFonts w:hint="eastAsia"/>
                <w:bCs/>
                <w:color w:val="auto"/>
                <w:sz w:val="24"/>
              </w:rPr>
              <w:t>在施工过程采取合理的污染防治措施，随着施工期的结束环境影响也将消除。截至本次重新报批环评介入时，项目改扩建内容只剩余1条隧道窑未建成，其余内容已投产运行</w:t>
            </w:r>
            <w:r>
              <w:rPr>
                <w:rFonts w:hint="eastAsia"/>
                <w:bCs/>
                <w:color w:val="auto"/>
                <w:sz w:val="24"/>
                <w:lang w:eastAsia="zh-CN"/>
              </w:rPr>
              <w:t>。</w:t>
            </w:r>
          </w:p>
          <w:p>
            <w:pPr>
              <w:adjustRightInd w:val="0"/>
              <w:snapToGrid w:val="0"/>
              <w:spacing w:line="360" w:lineRule="auto"/>
              <w:rPr>
                <w:color w:val="auto"/>
              </w:rPr>
            </w:pPr>
            <w:r>
              <w:rPr>
                <w:rFonts w:hint="eastAsia"/>
                <w:b/>
                <w:color w:val="auto"/>
                <w:sz w:val="24"/>
              </w:rPr>
              <w:t>4</w:t>
            </w:r>
            <w:r>
              <w:rPr>
                <w:b/>
                <w:color w:val="auto"/>
                <w:sz w:val="24"/>
              </w:rPr>
              <w:t>.1.1施工期环境空气保护措施</w:t>
            </w:r>
          </w:p>
          <w:p>
            <w:pPr>
              <w:pStyle w:val="47"/>
              <w:adjustRightInd w:val="0"/>
              <w:snapToGrid w:val="0"/>
              <w:ind w:firstLine="480" w:firstLineChars="200"/>
              <w:outlineLvl w:val="2"/>
              <w:rPr>
                <w:color w:val="auto"/>
                <w:lang w:val="zh-CN"/>
              </w:rPr>
            </w:pPr>
            <w:r>
              <w:rPr>
                <w:rFonts w:hint="eastAsia"/>
                <w:color w:val="auto"/>
                <w:lang w:val="zh-CN"/>
              </w:rPr>
              <w:t>（</w:t>
            </w:r>
            <w:r>
              <w:rPr>
                <w:rFonts w:hint="eastAsia"/>
                <w:color w:val="auto"/>
              </w:rPr>
              <w:t>1</w:t>
            </w:r>
            <w:r>
              <w:rPr>
                <w:rFonts w:hint="eastAsia"/>
                <w:color w:val="auto"/>
                <w:lang w:val="zh-CN"/>
              </w:rPr>
              <w:t>）</w:t>
            </w:r>
            <w:r>
              <w:rPr>
                <w:color w:val="auto"/>
                <w:lang w:val="zh-CN"/>
              </w:rPr>
              <w:t>施工场地要定期进行洒水降尘；</w:t>
            </w:r>
          </w:p>
          <w:p>
            <w:pPr>
              <w:pStyle w:val="47"/>
              <w:adjustRightInd w:val="0"/>
              <w:snapToGrid w:val="0"/>
              <w:ind w:firstLine="480" w:firstLineChars="200"/>
              <w:outlineLvl w:val="2"/>
              <w:rPr>
                <w:color w:val="auto"/>
                <w:lang w:val="zh-CN"/>
              </w:rPr>
            </w:pPr>
            <w:r>
              <w:rPr>
                <w:rFonts w:hint="eastAsia"/>
                <w:color w:val="auto"/>
                <w:lang w:val="zh-CN"/>
              </w:rPr>
              <w:t>（</w:t>
            </w:r>
            <w:r>
              <w:rPr>
                <w:rFonts w:hint="eastAsia"/>
                <w:color w:val="auto"/>
              </w:rPr>
              <w:t>2</w:t>
            </w:r>
            <w:r>
              <w:rPr>
                <w:rFonts w:hint="eastAsia"/>
                <w:color w:val="auto"/>
                <w:lang w:val="zh-CN"/>
              </w:rPr>
              <w:t>）</w:t>
            </w:r>
            <w:r>
              <w:rPr>
                <w:color w:val="auto"/>
                <w:lang w:val="zh-CN"/>
              </w:rPr>
              <w:t>物料堆存及运输采用封闭措施；</w:t>
            </w:r>
          </w:p>
          <w:p>
            <w:pPr>
              <w:pStyle w:val="47"/>
              <w:adjustRightInd w:val="0"/>
              <w:snapToGrid w:val="0"/>
              <w:ind w:firstLine="480" w:firstLineChars="200"/>
              <w:outlineLvl w:val="2"/>
              <w:rPr>
                <w:color w:val="auto"/>
                <w:lang w:val="zh-CN"/>
              </w:rPr>
            </w:pPr>
            <w:r>
              <w:rPr>
                <w:rFonts w:hint="eastAsia"/>
                <w:color w:val="auto"/>
                <w:lang w:val="zh-CN"/>
              </w:rPr>
              <w:t>（</w:t>
            </w:r>
            <w:r>
              <w:rPr>
                <w:rFonts w:hint="eastAsia"/>
                <w:color w:val="auto"/>
              </w:rPr>
              <w:t>3</w:t>
            </w:r>
            <w:r>
              <w:rPr>
                <w:rFonts w:hint="eastAsia"/>
                <w:color w:val="auto"/>
                <w:lang w:val="zh-CN"/>
              </w:rPr>
              <w:t>）</w:t>
            </w:r>
            <w:r>
              <w:rPr>
                <w:color w:val="auto"/>
                <w:lang w:val="zh-CN"/>
              </w:rPr>
              <w:t>散料进行围隔和覆盖，施工垃圾及时清运。</w:t>
            </w:r>
          </w:p>
          <w:p>
            <w:pPr>
              <w:spacing w:line="360" w:lineRule="auto"/>
              <w:rPr>
                <w:color w:val="auto"/>
                <w:kern w:val="0"/>
                <w:sz w:val="24"/>
              </w:rPr>
            </w:pPr>
            <w:r>
              <w:rPr>
                <w:rFonts w:hint="eastAsia"/>
                <w:b/>
                <w:color w:val="auto"/>
                <w:sz w:val="24"/>
              </w:rPr>
              <w:t>4.1.2</w:t>
            </w:r>
            <w:r>
              <w:rPr>
                <w:b/>
                <w:color w:val="auto"/>
                <w:sz w:val="24"/>
              </w:rPr>
              <w:t>施工期废水处置措施</w:t>
            </w:r>
          </w:p>
          <w:p>
            <w:pPr>
              <w:pStyle w:val="47"/>
              <w:adjustRightInd w:val="0"/>
              <w:snapToGrid w:val="0"/>
              <w:ind w:firstLine="480" w:firstLineChars="200"/>
              <w:outlineLvl w:val="2"/>
              <w:rPr>
                <w:color w:val="auto"/>
                <w:kern w:val="0"/>
              </w:rPr>
            </w:pPr>
            <w:r>
              <w:rPr>
                <w:color w:val="auto"/>
                <w:szCs w:val="21"/>
              </w:rPr>
              <w:t>施工期废水主要为施工人员生活污水及施工废水。施工人员不在厂区内食宿，生活污水主要为洗手产生的污水，</w:t>
            </w:r>
            <w:r>
              <w:rPr>
                <w:rFonts w:hint="eastAsia"/>
                <w:color w:val="auto"/>
                <w:szCs w:val="21"/>
              </w:rPr>
              <w:t>由厂区已建成化粪池处理后排入园区污水管网，最终进入宜良工业园区污水处理厂处理。</w:t>
            </w:r>
            <w:r>
              <w:rPr>
                <w:color w:val="auto"/>
                <w:szCs w:val="21"/>
              </w:rPr>
              <w:t>施工废水</w:t>
            </w:r>
            <w:r>
              <w:rPr>
                <w:color w:val="auto"/>
                <w:kern w:val="0"/>
              </w:rPr>
              <w:t>主要污染物均为SS</w:t>
            </w:r>
            <w:r>
              <w:rPr>
                <w:rFonts w:hint="eastAsia"/>
                <w:color w:val="auto"/>
                <w:kern w:val="0"/>
              </w:rPr>
              <w:t>，用桶收集沉淀回用于施工期场地洒水降尘</w:t>
            </w:r>
            <w:r>
              <w:rPr>
                <w:color w:val="auto"/>
                <w:kern w:val="0"/>
              </w:rPr>
              <w:t>。</w:t>
            </w:r>
          </w:p>
          <w:p>
            <w:pPr>
              <w:pStyle w:val="47"/>
              <w:adjustRightInd w:val="0"/>
              <w:snapToGrid w:val="0"/>
              <w:ind w:firstLine="0"/>
              <w:outlineLvl w:val="2"/>
              <w:rPr>
                <w:b/>
                <w:color w:val="auto"/>
                <w:szCs w:val="24"/>
              </w:rPr>
            </w:pPr>
            <w:r>
              <w:rPr>
                <w:rFonts w:hint="eastAsia"/>
                <w:b/>
                <w:color w:val="auto"/>
                <w:szCs w:val="24"/>
              </w:rPr>
              <w:t>4.1.3</w:t>
            </w:r>
            <w:r>
              <w:rPr>
                <w:b/>
                <w:color w:val="auto"/>
                <w:szCs w:val="24"/>
              </w:rPr>
              <w:t>噪声</w:t>
            </w:r>
            <w:r>
              <w:rPr>
                <w:rFonts w:hint="eastAsia"/>
                <w:b/>
                <w:color w:val="auto"/>
                <w:szCs w:val="24"/>
              </w:rPr>
              <w:t>防止措施</w:t>
            </w:r>
          </w:p>
          <w:p>
            <w:pPr>
              <w:pStyle w:val="47"/>
              <w:adjustRightInd w:val="0"/>
              <w:snapToGrid w:val="0"/>
              <w:ind w:firstLine="480" w:firstLineChars="200"/>
              <w:outlineLvl w:val="2"/>
              <w:rPr>
                <w:color w:val="auto"/>
                <w:szCs w:val="24"/>
              </w:rPr>
            </w:pPr>
            <w:r>
              <w:rPr>
                <w:rFonts w:hint="eastAsia"/>
                <w:color w:val="auto"/>
                <w:szCs w:val="24"/>
              </w:rPr>
              <w:t>（1）从声源上控制：使用低噪声机械设备，场地墙体隔声；</w:t>
            </w:r>
          </w:p>
          <w:p>
            <w:pPr>
              <w:pStyle w:val="47"/>
              <w:adjustRightInd w:val="0"/>
              <w:snapToGrid w:val="0"/>
              <w:ind w:firstLine="480" w:firstLineChars="200"/>
              <w:outlineLvl w:val="2"/>
              <w:rPr>
                <w:color w:val="auto"/>
                <w:szCs w:val="24"/>
              </w:rPr>
            </w:pPr>
            <w:r>
              <w:rPr>
                <w:rFonts w:hint="eastAsia"/>
                <w:color w:val="auto"/>
                <w:szCs w:val="24"/>
              </w:rPr>
              <w:t>（2）在施工机械的设备与基础或连接部位之间采用减振降噪，降低噪声；</w:t>
            </w:r>
          </w:p>
          <w:p>
            <w:pPr>
              <w:pStyle w:val="47"/>
              <w:adjustRightInd w:val="0"/>
              <w:snapToGrid w:val="0"/>
              <w:ind w:firstLine="480" w:firstLineChars="200"/>
              <w:outlineLvl w:val="2"/>
              <w:rPr>
                <w:color w:val="auto"/>
                <w:szCs w:val="24"/>
              </w:rPr>
            </w:pPr>
            <w:r>
              <w:rPr>
                <w:rFonts w:hint="eastAsia"/>
                <w:color w:val="auto"/>
                <w:szCs w:val="24"/>
              </w:rPr>
              <w:t>（3）施工材料运输车辆经过村庄时低速、禁鸣。</w:t>
            </w:r>
          </w:p>
          <w:p>
            <w:pPr>
              <w:pStyle w:val="47"/>
              <w:adjustRightInd w:val="0"/>
              <w:snapToGrid w:val="0"/>
              <w:ind w:firstLine="0"/>
              <w:outlineLvl w:val="2"/>
              <w:rPr>
                <w:b/>
                <w:color w:val="auto"/>
                <w:szCs w:val="24"/>
              </w:rPr>
            </w:pPr>
            <w:r>
              <w:rPr>
                <w:rFonts w:hint="eastAsia"/>
                <w:b/>
                <w:color w:val="auto"/>
                <w:szCs w:val="24"/>
              </w:rPr>
              <w:t>4.1.4</w:t>
            </w:r>
            <w:r>
              <w:rPr>
                <w:b/>
                <w:color w:val="auto"/>
                <w:szCs w:val="24"/>
              </w:rPr>
              <w:t>固废</w:t>
            </w:r>
            <w:r>
              <w:rPr>
                <w:rFonts w:hint="eastAsia"/>
                <w:b/>
                <w:color w:val="auto"/>
                <w:szCs w:val="24"/>
              </w:rPr>
              <w:t>处置措施</w:t>
            </w:r>
          </w:p>
          <w:p>
            <w:pPr>
              <w:adjustRightInd w:val="0"/>
              <w:snapToGrid w:val="0"/>
              <w:spacing w:line="360" w:lineRule="auto"/>
              <w:ind w:firstLine="480" w:firstLineChars="200"/>
              <w:rPr>
                <w:color w:val="auto"/>
                <w:sz w:val="24"/>
              </w:rPr>
            </w:pPr>
            <w:r>
              <w:rPr>
                <w:bCs/>
                <w:color w:val="auto"/>
                <w:sz w:val="24"/>
              </w:rPr>
              <w:t>本项目施工期产生的废弃的设备包装材料、螺丝、铁丝等</w:t>
            </w:r>
            <w:r>
              <w:rPr>
                <w:rFonts w:hint="eastAsia"/>
                <w:bCs/>
                <w:color w:val="auto"/>
                <w:sz w:val="24"/>
              </w:rPr>
              <w:t>施工垃圾</w:t>
            </w:r>
            <w:r>
              <w:rPr>
                <w:bCs/>
                <w:color w:val="auto"/>
                <w:sz w:val="24"/>
              </w:rPr>
              <w:t>分类集中堆存，能回收利用的部分，回收重复利用；不能回收利用的部分委托资质单位清运到当地城建部门指定的建筑垃圾堆放场</w:t>
            </w:r>
            <w:r>
              <w:rPr>
                <w:rFonts w:hint="eastAsia"/>
                <w:bCs/>
                <w:color w:val="auto"/>
                <w:sz w:val="24"/>
              </w:rPr>
              <w:t>；</w:t>
            </w:r>
            <w:r>
              <w:rPr>
                <w:bCs/>
                <w:color w:val="auto"/>
                <w:sz w:val="24"/>
              </w:rPr>
              <w:t>施工人员生活垃圾经公司内生活垃圾桶收集，由环卫部门定期清运处置</w:t>
            </w:r>
            <w:r>
              <w:rPr>
                <w:rFonts w:hint="eastAsia"/>
                <w:bCs/>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7" w:hRule="atLeast"/>
          <w:jc w:val="center"/>
        </w:trPr>
        <w:tc>
          <w:tcPr>
            <w:tcW w:w="746" w:type="dxa"/>
            <w:tcMar>
              <w:left w:w="28" w:type="dxa"/>
              <w:right w:w="28" w:type="dxa"/>
            </w:tcMar>
            <w:vAlign w:val="center"/>
          </w:tcPr>
          <w:p>
            <w:pPr>
              <w:adjustRightInd w:val="0"/>
              <w:snapToGrid w:val="0"/>
              <w:jc w:val="center"/>
              <w:rPr>
                <w:rFonts w:ascii="宋体" w:hAnsi="宋体" w:cs="宋体"/>
                <w:bCs/>
                <w:color w:val="auto"/>
                <w:sz w:val="24"/>
              </w:rPr>
            </w:pPr>
            <w:r>
              <w:rPr>
                <w:rFonts w:hint="eastAsia" w:ascii="宋体" w:hAnsi="宋体" w:cs="宋体"/>
                <w:bCs/>
                <w:color w:val="auto"/>
                <w:sz w:val="24"/>
              </w:rPr>
              <w:t>运营</w:t>
            </w:r>
          </w:p>
          <w:p>
            <w:pPr>
              <w:adjustRightInd w:val="0"/>
              <w:snapToGrid w:val="0"/>
              <w:jc w:val="center"/>
              <w:rPr>
                <w:rFonts w:ascii="宋体" w:hAnsi="宋体" w:cs="宋体"/>
                <w:bCs/>
                <w:color w:val="auto"/>
                <w:sz w:val="24"/>
              </w:rPr>
            </w:pPr>
            <w:r>
              <w:rPr>
                <w:rFonts w:hint="eastAsia" w:ascii="宋体" w:hAnsi="宋体" w:cs="宋体"/>
                <w:bCs/>
                <w:color w:val="auto"/>
                <w:sz w:val="24"/>
              </w:rPr>
              <w:t>期环</w:t>
            </w:r>
          </w:p>
          <w:p>
            <w:pPr>
              <w:adjustRightInd w:val="0"/>
              <w:snapToGrid w:val="0"/>
              <w:jc w:val="center"/>
              <w:rPr>
                <w:rFonts w:ascii="宋体" w:hAnsi="宋体" w:cs="宋体"/>
                <w:bCs/>
                <w:color w:val="auto"/>
                <w:sz w:val="24"/>
              </w:rPr>
            </w:pPr>
            <w:r>
              <w:rPr>
                <w:rFonts w:hint="eastAsia" w:ascii="宋体" w:hAnsi="宋体" w:cs="宋体"/>
                <w:bCs/>
                <w:color w:val="auto"/>
                <w:sz w:val="24"/>
              </w:rPr>
              <w:t>境影</w:t>
            </w:r>
          </w:p>
          <w:p>
            <w:pPr>
              <w:adjustRightInd w:val="0"/>
              <w:snapToGrid w:val="0"/>
              <w:jc w:val="center"/>
              <w:rPr>
                <w:rFonts w:ascii="宋体" w:hAnsi="宋体" w:cs="宋体"/>
                <w:bCs/>
                <w:color w:val="auto"/>
                <w:sz w:val="24"/>
              </w:rPr>
            </w:pPr>
            <w:r>
              <w:rPr>
                <w:rFonts w:hint="eastAsia" w:ascii="宋体" w:hAnsi="宋体" w:cs="宋体"/>
                <w:bCs/>
                <w:color w:val="auto"/>
                <w:sz w:val="24"/>
              </w:rPr>
              <w:t>响和</w:t>
            </w:r>
          </w:p>
          <w:p>
            <w:pPr>
              <w:adjustRightInd w:val="0"/>
              <w:snapToGrid w:val="0"/>
              <w:jc w:val="center"/>
              <w:rPr>
                <w:rFonts w:ascii="宋体" w:hAnsi="宋体" w:cs="宋体"/>
                <w:bCs/>
                <w:color w:val="auto"/>
                <w:sz w:val="24"/>
              </w:rPr>
            </w:pPr>
            <w:r>
              <w:rPr>
                <w:rFonts w:hint="eastAsia" w:ascii="宋体" w:hAnsi="宋体" w:cs="宋体"/>
                <w:bCs/>
                <w:color w:val="auto"/>
                <w:sz w:val="24"/>
              </w:rPr>
              <w:t>保护</w:t>
            </w:r>
          </w:p>
          <w:p>
            <w:pPr>
              <w:adjustRightInd w:val="0"/>
              <w:snapToGrid w:val="0"/>
              <w:jc w:val="center"/>
              <w:rPr>
                <w:rFonts w:ascii="宋体" w:hAnsi="宋体" w:cs="宋体"/>
                <w:bCs/>
                <w:color w:val="auto"/>
                <w:sz w:val="24"/>
              </w:rPr>
            </w:pPr>
            <w:r>
              <w:rPr>
                <w:rFonts w:hint="eastAsia" w:ascii="宋体" w:hAnsi="宋体" w:cs="宋体"/>
                <w:bCs/>
                <w:color w:val="auto"/>
                <w:sz w:val="24"/>
              </w:rPr>
              <w:t>措施</w:t>
            </w:r>
          </w:p>
        </w:tc>
        <w:tc>
          <w:tcPr>
            <w:tcW w:w="8162" w:type="dxa"/>
          </w:tcPr>
          <w:p>
            <w:pPr>
              <w:pStyle w:val="47"/>
              <w:adjustRightInd w:val="0"/>
              <w:snapToGrid w:val="0"/>
              <w:ind w:firstLine="0"/>
              <w:outlineLvl w:val="2"/>
              <w:rPr>
                <w:b/>
                <w:color w:val="auto"/>
                <w:szCs w:val="24"/>
              </w:rPr>
            </w:pPr>
            <w:r>
              <w:rPr>
                <w:rFonts w:hint="eastAsia"/>
                <w:b/>
                <w:color w:val="auto"/>
                <w:szCs w:val="24"/>
              </w:rPr>
              <w:t>4.2运营期环境影响和保护措施</w:t>
            </w:r>
          </w:p>
          <w:p>
            <w:pPr>
              <w:pStyle w:val="47"/>
              <w:adjustRightInd w:val="0"/>
              <w:snapToGrid w:val="0"/>
              <w:ind w:firstLine="0"/>
              <w:outlineLvl w:val="2"/>
              <w:rPr>
                <w:b/>
                <w:color w:val="auto"/>
                <w:szCs w:val="24"/>
              </w:rPr>
            </w:pPr>
            <w:r>
              <w:rPr>
                <w:rFonts w:hint="eastAsia"/>
                <w:b/>
                <w:color w:val="auto"/>
                <w:szCs w:val="24"/>
              </w:rPr>
              <w:t>4.2.1环境空气影响分析</w:t>
            </w:r>
          </w:p>
          <w:p>
            <w:pPr>
              <w:pStyle w:val="47"/>
              <w:adjustRightInd w:val="0"/>
              <w:snapToGrid w:val="0"/>
              <w:ind w:firstLine="480" w:firstLineChars="200"/>
              <w:outlineLvl w:val="2"/>
              <w:rPr>
                <w:color w:val="auto"/>
                <w:szCs w:val="24"/>
              </w:rPr>
            </w:pPr>
            <w:r>
              <w:rPr>
                <w:rFonts w:hint="eastAsia"/>
                <w:color w:val="auto"/>
                <w:szCs w:val="24"/>
              </w:rPr>
              <w:t>改扩建完成后废气主要有原料堆棚粉尘、破碎粉磨粉尘、烘干煅烧废气。</w:t>
            </w:r>
          </w:p>
          <w:p>
            <w:pPr>
              <w:pStyle w:val="47"/>
              <w:adjustRightInd w:val="0"/>
              <w:snapToGrid w:val="0"/>
              <w:ind w:firstLine="481" w:firstLineChars="200"/>
              <w:outlineLvl w:val="2"/>
              <w:rPr>
                <w:b/>
                <w:bCs/>
                <w:color w:val="auto"/>
                <w:szCs w:val="24"/>
              </w:rPr>
            </w:pPr>
            <w:r>
              <w:rPr>
                <w:rFonts w:hint="eastAsia"/>
                <w:b/>
                <w:bCs/>
                <w:color w:val="auto"/>
                <w:szCs w:val="24"/>
              </w:rPr>
              <w:t>（1）有组织排放污染物</w:t>
            </w:r>
          </w:p>
          <w:p>
            <w:pPr>
              <w:pStyle w:val="47"/>
              <w:adjustRightInd w:val="0"/>
              <w:snapToGrid w:val="0"/>
              <w:ind w:firstLine="480" w:firstLineChars="200"/>
              <w:outlineLvl w:val="2"/>
              <w:rPr>
                <w:color w:val="auto"/>
                <w:szCs w:val="24"/>
              </w:rPr>
            </w:pPr>
            <w:r>
              <w:rPr>
                <w:rFonts w:hint="eastAsia"/>
                <w:color w:val="auto"/>
                <w:szCs w:val="24"/>
              </w:rPr>
              <w:t>项目改扩建完成后全厂共设置2个有组织排放口，分别为煅烧烘干废气排放口（DA001）、破碎</w:t>
            </w:r>
            <w:r>
              <w:rPr>
                <w:rFonts w:hint="eastAsia"/>
                <w:color w:val="auto"/>
                <w:szCs w:val="24"/>
                <w:lang w:val="en-US" w:eastAsia="zh-CN"/>
              </w:rPr>
              <w:t>粉尘</w:t>
            </w:r>
            <w:r>
              <w:rPr>
                <w:rFonts w:hint="eastAsia"/>
                <w:color w:val="auto"/>
                <w:szCs w:val="24"/>
              </w:rPr>
              <w:t>排放口（DA002），均为一般排放口。</w:t>
            </w:r>
          </w:p>
          <w:p>
            <w:pPr>
              <w:pStyle w:val="47"/>
              <w:adjustRightInd w:val="0"/>
              <w:snapToGrid w:val="0"/>
              <w:ind w:firstLine="481" w:firstLineChars="200"/>
              <w:outlineLvl w:val="2"/>
              <w:rPr>
                <w:b/>
                <w:bCs/>
                <w:color w:val="auto"/>
                <w:szCs w:val="24"/>
              </w:rPr>
            </w:pPr>
            <w:r>
              <w:rPr>
                <w:rFonts w:hint="eastAsia"/>
                <w:b/>
                <w:bCs/>
                <w:color w:val="auto"/>
                <w:szCs w:val="24"/>
              </w:rPr>
              <w:t>1）煅烧烘干废气</w:t>
            </w:r>
          </w:p>
          <w:p>
            <w:pPr>
              <w:pStyle w:val="47"/>
              <w:adjustRightInd w:val="0"/>
              <w:snapToGrid w:val="0"/>
              <w:ind w:firstLine="481" w:firstLineChars="200"/>
              <w:outlineLvl w:val="2"/>
              <w:rPr>
                <w:b/>
                <w:bCs/>
                <w:color w:val="auto"/>
                <w:szCs w:val="24"/>
              </w:rPr>
            </w:pPr>
            <w:r>
              <w:rPr>
                <w:rFonts w:hint="eastAsia"/>
                <w:b/>
                <w:bCs/>
                <w:color w:val="auto"/>
                <w:szCs w:val="24"/>
              </w:rPr>
              <w:t>①污染源强核算</w:t>
            </w:r>
          </w:p>
          <w:p>
            <w:pPr>
              <w:pStyle w:val="47"/>
              <w:adjustRightInd w:val="0"/>
              <w:snapToGrid w:val="0"/>
              <w:ind w:firstLine="480" w:firstLineChars="200"/>
              <w:outlineLvl w:val="2"/>
              <w:rPr>
                <w:color w:val="auto"/>
                <w:szCs w:val="24"/>
              </w:rPr>
            </w:pPr>
            <w:r>
              <w:rPr>
                <w:rFonts w:hint="eastAsia"/>
                <w:color w:val="auto"/>
                <w:szCs w:val="24"/>
              </w:rPr>
              <w:t>●</w:t>
            </w:r>
            <w:r>
              <w:rPr>
                <w:rFonts w:hint="eastAsia"/>
                <w:b/>
                <w:color w:val="auto"/>
                <w:szCs w:val="24"/>
              </w:rPr>
              <w:t>工业废气量、颗粒物、氮氧化物：</w:t>
            </w:r>
            <w:r>
              <w:rPr>
                <w:rFonts w:hint="eastAsia"/>
                <w:color w:val="auto"/>
                <w:szCs w:val="24"/>
              </w:rPr>
              <w:t>根据</w:t>
            </w:r>
            <w:r>
              <w:rPr>
                <w:rFonts w:hint="eastAsia"/>
                <w:bCs/>
                <w:color w:val="auto"/>
              </w:rPr>
              <w:t>《排放源统计调查产排污核算方法和系数手册》3089耐火陶瓷制品及其他耐火材料制造行业系数表：定型高铝耐火砖（气体燃料）</w:t>
            </w:r>
            <w:r>
              <w:rPr>
                <w:rFonts w:hint="eastAsia"/>
                <w:bCs/>
                <w:color w:val="auto"/>
                <w:lang w:val="en-US" w:eastAsia="zh-CN"/>
              </w:rPr>
              <w:t>废气量</w:t>
            </w:r>
            <w:r>
              <w:rPr>
                <w:rFonts w:hint="eastAsia"/>
                <w:bCs/>
                <w:color w:val="auto"/>
              </w:rPr>
              <w:t>产污系数为</w:t>
            </w:r>
            <w:r>
              <w:rPr>
                <w:rFonts w:hint="eastAsia"/>
                <w:bCs/>
                <w:color w:val="auto"/>
                <w:lang w:val="en-US" w:eastAsia="zh-CN"/>
              </w:rPr>
              <w:t>3805m</w:t>
            </w:r>
            <w:r>
              <w:rPr>
                <w:rFonts w:hint="eastAsia"/>
                <w:bCs/>
                <w:color w:val="auto"/>
                <w:vertAlign w:val="superscript"/>
                <w:lang w:val="en-US" w:eastAsia="zh-CN"/>
              </w:rPr>
              <w:t>3</w:t>
            </w:r>
            <w:r>
              <w:rPr>
                <w:rFonts w:hint="eastAsia"/>
                <w:bCs/>
                <w:color w:val="auto"/>
                <w:lang w:val="en-US" w:eastAsia="zh-CN"/>
              </w:rPr>
              <w:t>/吨产品、颗粒物</w:t>
            </w:r>
            <w:r>
              <w:rPr>
                <w:rFonts w:hint="eastAsia"/>
                <w:bCs/>
                <w:color w:val="auto"/>
              </w:rPr>
              <w:t>产污系数为3.3*10</w:t>
            </w:r>
            <w:r>
              <w:rPr>
                <w:rFonts w:hint="eastAsia"/>
                <w:bCs/>
                <w:color w:val="auto"/>
                <w:vertAlign w:val="superscript"/>
              </w:rPr>
              <w:t xml:space="preserve">-2 </w:t>
            </w:r>
            <w:r>
              <w:rPr>
                <w:rFonts w:hint="eastAsia"/>
                <w:bCs/>
                <w:color w:val="auto"/>
              </w:rPr>
              <w:t>kg/t-产品、氮氧化物产污系数为1.93*10</w:t>
            </w:r>
            <w:r>
              <w:rPr>
                <w:rFonts w:hint="eastAsia"/>
                <w:bCs/>
                <w:color w:val="auto"/>
                <w:vertAlign w:val="superscript"/>
              </w:rPr>
              <w:t>-1</w:t>
            </w:r>
            <w:r>
              <w:rPr>
                <w:rFonts w:hint="eastAsia"/>
                <w:bCs/>
                <w:color w:val="auto"/>
              </w:rPr>
              <w:t>kg/t-产品。</w:t>
            </w:r>
          </w:p>
          <w:p>
            <w:pPr>
              <w:pStyle w:val="47"/>
              <w:adjustRightInd w:val="0"/>
              <w:snapToGrid w:val="0"/>
              <w:spacing w:line="240" w:lineRule="auto"/>
              <w:ind w:firstLine="0"/>
              <w:jc w:val="center"/>
              <w:outlineLvl w:val="2"/>
              <w:rPr>
                <w:b/>
                <w:color w:val="auto"/>
                <w:sz w:val="21"/>
                <w:szCs w:val="16"/>
              </w:rPr>
            </w:pPr>
            <w:r>
              <w:rPr>
                <w:rFonts w:hint="eastAsia"/>
                <w:b/>
                <w:color w:val="auto"/>
                <w:sz w:val="21"/>
                <w:szCs w:val="16"/>
              </w:rPr>
              <w:t>表4-1  改扩建完成后项目工业废气量、颗粒物和氮氧化物产生情况一览表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25"/>
              <w:gridCol w:w="1410"/>
              <w:gridCol w:w="1859"/>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22" w:type="pct"/>
                  <w:vAlign w:val="center"/>
                </w:tcPr>
                <w:p>
                  <w:pPr>
                    <w:pStyle w:val="47"/>
                    <w:adjustRightInd w:val="0"/>
                    <w:snapToGrid w:val="0"/>
                    <w:spacing w:line="240" w:lineRule="auto"/>
                    <w:ind w:firstLine="0"/>
                    <w:jc w:val="center"/>
                    <w:outlineLvl w:val="2"/>
                    <w:rPr>
                      <w:bCs/>
                      <w:color w:val="auto"/>
                      <w:sz w:val="21"/>
                      <w:szCs w:val="16"/>
                    </w:rPr>
                  </w:pPr>
                  <w:r>
                    <w:rPr>
                      <w:rFonts w:hint="eastAsia"/>
                      <w:bCs/>
                      <w:color w:val="auto"/>
                      <w:sz w:val="21"/>
                      <w:szCs w:val="16"/>
                    </w:rPr>
                    <w:t>耐火砖产能</w:t>
                  </w:r>
                </w:p>
              </w:tc>
              <w:tc>
                <w:tcPr>
                  <w:tcW w:w="1087" w:type="pct"/>
                  <w:vAlign w:val="center"/>
                </w:tcPr>
                <w:p>
                  <w:pPr>
                    <w:pStyle w:val="47"/>
                    <w:adjustRightInd w:val="0"/>
                    <w:snapToGrid w:val="0"/>
                    <w:spacing w:line="240" w:lineRule="auto"/>
                    <w:ind w:firstLine="0" w:firstLineChars="0"/>
                    <w:jc w:val="center"/>
                    <w:outlineLvl w:val="2"/>
                    <w:rPr>
                      <w:rFonts w:hint="default" w:ascii="Times New Roman" w:hAnsi="Times New Roman" w:eastAsia="宋体" w:cs="Times New Roman"/>
                      <w:bCs/>
                      <w:color w:val="auto"/>
                      <w:kern w:val="2"/>
                      <w:sz w:val="21"/>
                      <w:szCs w:val="16"/>
                      <w:lang w:val="en-US" w:eastAsia="zh-CN" w:bidi="ar-SA"/>
                    </w:rPr>
                  </w:pPr>
                  <w:r>
                    <w:rPr>
                      <w:rFonts w:hint="eastAsia" w:cs="Times New Roman"/>
                      <w:bCs/>
                      <w:color w:val="auto"/>
                      <w:kern w:val="2"/>
                      <w:sz w:val="21"/>
                      <w:szCs w:val="16"/>
                      <w:lang w:val="en-US" w:eastAsia="zh-CN" w:bidi="ar-SA"/>
                    </w:rPr>
                    <w:t>污染物</w:t>
                  </w:r>
                </w:p>
              </w:tc>
              <w:tc>
                <w:tcPr>
                  <w:tcW w:w="888" w:type="pct"/>
                  <w:vAlign w:val="center"/>
                </w:tcPr>
                <w:p>
                  <w:pPr>
                    <w:widowControl/>
                    <w:jc w:val="center"/>
                    <w:rPr>
                      <w:rFonts w:hint="eastAsia" w:ascii="Times New Roman" w:hAnsi="Times New Roman" w:eastAsia="宋体" w:cs="Times New Roman"/>
                      <w:color w:val="auto"/>
                      <w:kern w:val="0"/>
                      <w:sz w:val="21"/>
                      <w:szCs w:val="21"/>
                      <w:lang w:val="en-US" w:eastAsia="zh-CN" w:bidi="ar"/>
                    </w:rPr>
                  </w:pPr>
                  <w:r>
                    <w:rPr>
                      <w:rFonts w:hint="eastAsia"/>
                      <w:bCs/>
                      <w:color w:val="auto"/>
                      <w:sz w:val="21"/>
                      <w:szCs w:val="16"/>
                    </w:rPr>
                    <w:t>产生量（t/a）</w:t>
                  </w:r>
                </w:p>
              </w:tc>
              <w:tc>
                <w:tcPr>
                  <w:tcW w:w="1171" w:type="pct"/>
                  <w:vAlign w:val="center"/>
                </w:tcPr>
                <w:p>
                  <w:pPr>
                    <w:widowControl/>
                    <w:jc w:val="center"/>
                    <w:rPr>
                      <w:rFonts w:hint="eastAsia" w:ascii="Times New Roman" w:hAnsi="Times New Roman" w:eastAsia="宋体" w:cs="Times New Roman"/>
                      <w:color w:val="auto"/>
                      <w:kern w:val="0"/>
                      <w:sz w:val="21"/>
                      <w:szCs w:val="21"/>
                      <w:lang w:val="en-US" w:eastAsia="zh-CN" w:bidi="ar"/>
                    </w:rPr>
                  </w:pPr>
                  <w:r>
                    <w:rPr>
                      <w:color w:val="auto"/>
                      <w:kern w:val="0"/>
                      <w:szCs w:val="21"/>
                      <w:lang w:bidi="ar"/>
                    </w:rPr>
                    <w:t>产生</w:t>
                  </w:r>
                  <w:r>
                    <w:rPr>
                      <w:rFonts w:hint="eastAsia"/>
                      <w:color w:val="auto"/>
                      <w:kern w:val="0"/>
                      <w:szCs w:val="21"/>
                      <w:lang w:val="en-US" w:eastAsia="zh-CN" w:bidi="ar"/>
                    </w:rPr>
                    <w:t>速率（kg/h）</w:t>
                  </w:r>
                </w:p>
              </w:tc>
              <w:tc>
                <w:tcPr>
                  <w:tcW w:w="1229" w:type="pct"/>
                  <w:vAlign w:val="center"/>
                </w:tcPr>
                <w:p>
                  <w:pPr>
                    <w:widowControl/>
                    <w:jc w:val="center"/>
                    <w:rPr>
                      <w:rFonts w:hint="eastAsia"/>
                      <w:bCs/>
                      <w:color w:val="auto"/>
                      <w:sz w:val="21"/>
                      <w:szCs w:val="16"/>
                    </w:rPr>
                  </w:pPr>
                  <w:r>
                    <w:rPr>
                      <w:color w:val="auto"/>
                      <w:kern w:val="0"/>
                      <w:szCs w:val="21"/>
                      <w:lang w:bidi="ar"/>
                    </w:rPr>
                    <w:t>产生</w:t>
                  </w:r>
                  <w:r>
                    <w:rPr>
                      <w:rFonts w:hint="eastAsia"/>
                      <w:color w:val="auto"/>
                      <w:kern w:val="0"/>
                      <w:szCs w:val="21"/>
                      <w:lang w:val="en-US" w:eastAsia="zh-CN" w:bidi="ar"/>
                    </w:rPr>
                    <w:t>浓度（mg/m</w:t>
                  </w:r>
                  <w:r>
                    <w:rPr>
                      <w:rFonts w:hint="eastAsia"/>
                      <w:color w:val="auto"/>
                      <w:kern w:val="0"/>
                      <w:szCs w:val="21"/>
                      <w:vertAlign w:val="superscript"/>
                      <w:lang w:val="en-US" w:eastAsia="zh-CN" w:bidi="ar"/>
                    </w:rPr>
                    <w:t>3</w:t>
                  </w:r>
                  <w:r>
                    <w:rPr>
                      <w:rFonts w:hint="eastAsia"/>
                      <w:color w:val="auto"/>
                      <w:kern w:val="0"/>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22" w:type="pct"/>
                  <w:vMerge w:val="restart"/>
                  <w:vAlign w:val="center"/>
                </w:tcPr>
                <w:p>
                  <w:pPr>
                    <w:pStyle w:val="47"/>
                    <w:adjustRightInd w:val="0"/>
                    <w:snapToGrid w:val="0"/>
                    <w:spacing w:line="240" w:lineRule="auto"/>
                    <w:ind w:firstLine="0"/>
                    <w:jc w:val="center"/>
                    <w:outlineLvl w:val="2"/>
                    <w:rPr>
                      <w:bCs/>
                      <w:color w:val="auto"/>
                      <w:sz w:val="21"/>
                      <w:szCs w:val="16"/>
                    </w:rPr>
                  </w:pPr>
                  <w:r>
                    <w:rPr>
                      <w:rFonts w:hint="eastAsia"/>
                      <w:bCs/>
                      <w:color w:val="auto"/>
                      <w:sz w:val="21"/>
                      <w:szCs w:val="16"/>
                    </w:rPr>
                    <w:t>680</w:t>
                  </w:r>
                  <w:r>
                    <w:rPr>
                      <w:rFonts w:hint="eastAsia"/>
                      <w:bCs/>
                      <w:color w:val="auto"/>
                      <w:sz w:val="21"/>
                      <w:szCs w:val="16"/>
                      <w:lang w:val="en-US" w:eastAsia="zh-CN"/>
                    </w:rPr>
                    <w:t>0</w:t>
                  </w:r>
                  <w:r>
                    <w:rPr>
                      <w:rFonts w:hint="eastAsia"/>
                      <w:bCs/>
                      <w:color w:val="auto"/>
                      <w:sz w:val="21"/>
                      <w:szCs w:val="16"/>
                    </w:rPr>
                    <w:t>0t/a</w:t>
                  </w:r>
                </w:p>
              </w:tc>
              <w:tc>
                <w:tcPr>
                  <w:tcW w:w="1087" w:type="pct"/>
                  <w:vAlign w:val="center"/>
                </w:tcPr>
                <w:p>
                  <w:pPr>
                    <w:pStyle w:val="47"/>
                    <w:adjustRightInd w:val="0"/>
                    <w:snapToGrid w:val="0"/>
                    <w:spacing w:line="240" w:lineRule="auto"/>
                    <w:ind w:firstLine="0" w:firstLineChars="0"/>
                    <w:jc w:val="center"/>
                    <w:outlineLvl w:val="2"/>
                    <w:rPr>
                      <w:rFonts w:hint="default" w:ascii="Times New Roman" w:hAnsi="Times New Roman" w:eastAsia="宋体" w:cs="Times New Roman"/>
                      <w:bCs/>
                      <w:color w:val="auto"/>
                      <w:kern w:val="2"/>
                      <w:sz w:val="21"/>
                      <w:szCs w:val="16"/>
                      <w:lang w:val="en-US" w:eastAsia="zh-CN" w:bidi="ar-SA"/>
                    </w:rPr>
                  </w:pPr>
                  <w:r>
                    <w:rPr>
                      <w:rFonts w:hint="eastAsia"/>
                      <w:bCs/>
                      <w:color w:val="auto"/>
                      <w:sz w:val="21"/>
                      <w:szCs w:val="16"/>
                      <w:lang w:val="en-US" w:eastAsia="zh-CN"/>
                    </w:rPr>
                    <w:t>废气量（万m</w:t>
                  </w:r>
                  <w:r>
                    <w:rPr>
                      <w:rFonts w:hint="eastAsia"/>
                      <w:bCs/>
                      <w:color w:val="auto"/>
                      <w:sz w:val="21"/>
                      <w:szCs w:val="16"/>
                      <w:vertAlign w:val="superscript"/>
                      <w:lang w:val="en-US" w:eastAsia="zh-CN"/>
                    </w:rPr>
                    <w:t>3</w:t>
                  </w:r>
                  <w:r>
                    <w:rPr>
                      <w:rFonts w:hint="eastAsia"/>
                      <w:bCs/>
                      <w:color w:val="auto"/>
                      <w:sz w:val="21"/>
                      <w:szCs w:val="16"/>
                    </w:rPr>
                    <w:t>/a</w:t>
                  </w:r>
                  <w:r>
                    <w:rPr>
                      <w:rFonts w:hint="eastAsia"/>
                      <w:bCs/>
                      <w:color w:val="auto"/>
                      <w:sz w:val="21"/>
                      <w:szCs w:val="16"/>
                      <w:lang w:val="en-US" w:eastAsia="zh-CN"/>
                    </w:rPr>
                    <w:t>）</w:t>
                  </w:r>
                </w:p>
              </w:tc>
              <w:tc>
                <w:tcPr>
                  <w:tcW w:w="3290" w:type="pct"/>
                  <w:gridSpan w:val="3"/>
                  <w:vAlign w:val="center"/>
                </w:tcPr>
                <w:p>
                  <w:pPr>
                    <w:pStyle w:val="47"/>
                    <w:adjustRightInd w:val="0"/>
                    <w:snapToGrid w:val="0"/>
                    <w:spacing w:line="240" w:lineRule="auto"/>
                    <w:ind w:firstLine="0"/>
                    <w:jc w:val="center"/>
                    <w:outlineLvl w:val="2"/>
                    <w:rPr>
                      <w:rFonts w:hint="default" w:eastAsia="宋体"/>
                      <w:bCs/>
                      <w:color w:val="auto"/>
                      <w:sz w:val="21"/>
                      <w:szCs w:val="16"/>
                      <w:lang w:val="en-US" w:eastAsia="zh-CN"/>
                    </w:rPr>
                  </w:pPr>
                  <w:r>
                    <w:rPr>
                      <w:rFonts w:hint="eastAsia"/>
                      <w:bCs/>
                      <w:color w:val="auto"/>
                      <w:sz w:val="21"/>
                      <w:szCs w:val="16"/>
                      <w:lang w:val="en-US" w:eastAsia="zh-CN"/>
                    </w:rPr>
                    <w:t>25874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22" w:type="pct"/>
                  <w:vMerge w:val="continue"/>
                  <w:vAlign w:val="center"/>
                </w:tcPr>
                <w:p>
                  <w:pPr>
                    <w:pStyle w:val="47"/>
                    <w:adjustRightInd w:val="0"/>
                    <w:snapToGrid w:val="0"/>
                    <w:spacing w:line="240" w:lineRule="auto"/>
                    <w:ind w:firstLine="0"/>
                    <w:jc w:val="center"/>
                    <w:outlineLvl w:val="2"/>
                    <w:rPr>
                      <w:rFonts w:hint="eastAsia"/>
                      <w:bCs/>
                      <w:color w:val="auto"/>
                      <w:sz w:val="21"/>
                      <w:szCs w:val="16"/>
                    </w:rPr>
                  </w:pPr>
                </w:p>
              </w:tc>
              <w:tc>
                <w:tcPr>
                  <w:tcW w:w="1087" w:type="pct"/>
                  <w:vAlign w:val="center"/>
                </w:tcPr>
                <w:p>
                  <w:pPr>
                    <w:pStyle w:val="47"/>
                    <w:adjustRightInd w:val="0"/>
                    <w:snapToGrid w:val="0"/>
                    <w:spacing w:line="240" w:lineRule="auto"/>
                    <w:ind w:firstLine="0" w:firstLineChars="0"/>
                    <w:jc w:val="center"/>
                    <w:outlineLvl w:val="2"/>
                    <w:rPr>
                      <w:rFonts w:hint="eastAsia" w:ascii="Times New Roman" w:hAnsi="Times New Roman" w:eastAsia="宋体" w:cs="Times New Roman"/>
                      <w:bCs/>
                      <w:color w:val="auto"/>
                      <w:kern w:val="2"/>
                      <w:sz w:val="21"/>
                      <w:szCs w:val="16"/>
                      <w:lang w:val="en-US" w:eastAsia="zh-CN" w:bidi="ar-SA"/>
                    </w:rPr>
                  </w:pPr>
                  <w:r>
                    <w:rPr>
                      <w:rFonts w:hint="eastAsia"/>
                      <w:bCs/>
                      <w:color w:val="auto"/>
                      <w:sz w:val="21"/>
                      <w:szCs w:val="16"/>
                    </w:rPr>
                    <w:t>颗粒物（t/a）</w:t>
                  </w:r>
                </w:p>
              </w:tc>
              <w:tc>
                <w:tcPr>
                  <w:tcW w:w="888" w:type="pct"/>
                  <w:vAlign w:val="center"/>
                </w:tcPr>
                <w:p>
                  <w:pPr>
                    <w:pStyle w:val="47"/>
                    <w:adjustRightInd w:val="0"/>
                    <w:snapToGrid w:val="0"/>
                    <w:spacing w:line="240" w:lineRule="auto"/>
                    <w:ind w:firstLine="0" w:firstLineChars="0"/>
                    <w:jc w:val="center"/>
                    <w:outlineLvl w:val="2"/>
                    <w:rPr>
                      <w:rFonts w:hint="eastAsia" w:ascii="Times New Roman" w:hAnsi="Times New Roman" w:eastAsia="宋体" w:cs="Times New Roman"/>
                      <w:bCs/>
                      <w:color w:val="auto"/>
                      <w:kern w:val="2"/>
                      <w:sz w:val="21"/>
                      <w:szCs w:val="16"/>
                      <w:lang w:val="en-US" w:eastAsia="zh-CN" w:bidi="ar-SA"/>
                    </w:rPr>
                  </w:pPr>
                  <w:r>
                    <w:rPr>
                      <w:rFonts w:hint="eastAsia"/>
                      <w:bCs/>
                      <w:color w:val="auto"/>
                      <w:sz w:val="21"/>
                      <w:szCs w:val="16"/>
                    </w:rPr>
                    <w:t>2.24</w:t>
                  </w:r>
                  <w:r>
                    <w:rPr>
                      <w:rFonts w:hint="eastAsia"/>
                      <w:bCs/>
                      <w:color w:val="auto"/>
                      <w:sz w:val="21"/>
                      <w:szCs w:val="16"/>
                      <w:lang w:val="en-US" w:eastAsia="zh-CN"/>
                    </w:rPr>
                    <w:t>4</w:t>
                  </w:r>
                </w:p>
              </w:tc>
              <w:tc>
                <w:tcPr>
                  <w:tcW w:w="1171" w:type="pct"/>
                  <w:vAlign w:val="center"/>
                </w:tcPr>
                <w:p>
                  <w:pPr>
                    <w:pStyle w:val="47"/>
                    <w:adjustRightInd w:val="0"/>
                    <w:snapToGrid w:val="0"/>
                    <w:spacing w:line="240" w:lineRule="auto"/>
                    <w:ind w:firstLine="0"/>
                    <w:jc w:val="center"/>
                    <w:outlineLvl w:val="2"/>
                    <w:rPr>
                      <w:rFonts w:hint="default" w:eastAsia="宋体"/>
                      <w:bCs/>
                      <w:color w:val="auto"/>
                      <w:sz w:val="21"/>
                      <w:szCs w:val="16"/>
                      <w:lang w:val="en-US" w:eastAsia="zh-CN"/>
                    </w:rPr>
                  </w:pPr>
                  <w:r>
                    <w:rPr>
                      <w:rFonts w:hint="eastAsia"/>
                      <w:bCs/>
                      <w:color w:val="auto"/>
                      <w:sz w:val="21"/>
                      <w:szCs w:val="16"/>
                      <w:lang w:val="en-US" w:eastAsia="zh-CN"/>
                    </w:rPr>
                    <w:t>0.31</w:t>
                  </w:r>
                </w:p>
              </w:tc>
              <w:tc>
                <w:tcPr>
                  <w:tcW w:w="1229" w:type="pct"/>
                  <w:vAlign w:val="center"/>
                </w:tcPr>
                <w:p>
                  <w:pPr>
                    <w:pStyle w:val="47"/>
                    <w:adjustRightInd w:val="0"/>
                    <w:snapToGrid w:val="0"/>
                    <w:spacing w:line="240" w:lineRule="auto"/>
                    <w:ind w:firstLine="0"/>
                    <w:jc w:val="center"/>
                    <w:outlineLvl w:val="2"/>
                    <w:rPr>
                      <w:rFonts w:hint="default" w:eastAsia="宋体"/>
                      <w:bCs/>
                      <w:color w:val="auto"/>
                      <w:sz w:val="21"/>
                      <w:szCs w:val="16"/>
                      <w:lang w:val="en-US" w:eastAsia="zh-CN"/>
                    </w:rPr>
                  </w:pPr>
                  <w:r>
                    <w:rPr>
                      <w:rFonts w:hint="eastAsia"/>
                      <w:bCs/>
                      <w:color w:val="auto"/>
                      <w:sz w:val="21"/>
                      <w:szCs w:val="16"/>
                      <w:lang w:val="en-US" w:eastAsia="zh-CN"/>
                    </w:rPr>
                    <w:t>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22" w:type="pct"/>
                  <w:vMerge w:val="continue"/>
                  <w:vAlign w:val="center"/>
                </w:tcPr>
                <w:p>
                  <w:pPr>
                    <w:pStyle w:val="47"/>
                    <w:adjustRightInd w:val="0"/>
                    <w:snapToGrid w:val="0"/>
                    <w:spacing w:line="240" w:lineRule="auto"/>
                    <w:ind w:firstLine="0"/>
                    <w:jc w:val="center"/>
                    <w:outlineLvl w:val="2"/>
                    <w:rPr>
                      <w:rFonts w:hint="eastAsia"/>
                      <w:bCs/>
                      <w:color w:val="auto"/>
                      <w:sz w:val="21"/>
                      <w:szCs w:val="16"/>
                    </w:rPr>
                  </w:pPr>
                </w:p>
              </w:tc>
              <w:tc>
                <w:tcPr>
                  <w:tcW w:w="1087" w:type="pct"/>
                  <w:vAlign w:val="center"/>
                </w:tcPr>
                <w:p>
                  <w:pPr>
                    <w:pStyle w:val="47"/>
                    <w:adjustRightInd w:val="0"/>
                    <w:snapToGrid w:val="0"/>
                    <w:spacing w:line="240" w:lineRule="auto"/>
                    <w:ind w:firstLine="0" w:firstLineChars="0"/>
                    <w:jc w:val="center"/>
                    <w:outlineLvl w:val="2"/>
                    <w:rPr>
                      <w:rFonts w:hint="eastAsia" w:ascii="Times New Roman" w:hAnsi="Times New Roman" w:eastAsia="宋体" w:cs="Times New Roman"/>
                      <w:bCs/>
                      <w:color w:val="auto"/>
                      <w:kern w:val="2"/>
                      <w:sz w:val="21"/>
                      <w:szCs w:val="16"/>
                      <w:lang w:val="en-US" w:eastAsia="zh-CN" w:bidi="ar-SA"/>
                    </w:rPr>
                  </w:pPr>
                  <w:r>
                    <w:rPr>
                      <w:rFonts w:hint="eastAsia"/>
                      <w:bCs/>
                      <w:color w:val="auto"/>
                      <w:sz w:val="21"/>
                      <w:szCs w:val="16"/>
                    </w:rPr>
                    <w:t>氮氧化物（t/a）</w:t>
                  </w:r>
                </w:p>
              </w:tc>
              <w:tc>
                <w:tcPr>
                  <w:tcW w:w="888" w:type="pct"/>
                  <w:vAlign w:val="center"/>
                </w:tcPr>
                <w:p>
                  <w:pPr>
                    <w:pStyle w:val="47"/>
                    <w:adjustRightInd w:val="0"/>
                    <w:snapToGrid w:val="0"/>
                    <w:spacing w:line="240" w:lineRule="auto"/>
                    <w:ind w:firstLine="0" w:firstLineChars="0"/>
                    <w:jc w:val="center"/>
                    <w:outlineLvl w:val="2"/>
                    <w:rPr>
                      <w:rFonts w:hint="eastAsia" w:ascii="Times New Roman" w:hAnsi="Times New Roman" w:eastAsia="宋体" w:cs="Times New Roman"/>
                      <w:bCs/>
                      <w:color w:val="auto"/>
                      <w:kern w:val="2"/>
                      <w:sz w:val="21"/>
                      <w:szCs w:val="16"/>
                      <w:lang w:val="en-US" w:eastAsia="zh-CN" w:bidi="ar-SA"/>
                    </w:rPr>
                  </w:pPr>
                  <w:r>
                    <w:rPr>
                      <w:rFonts w:hint="eastAsia"/>
                      <w:bCs/>
                      <w:color w:val="auto"/>
                      <w:sz w:val="21"/>
                      <w:szCs w:val="16"/>
                    </w:rPr>
                    <w:t>13.1</w:t>
                  </w:r>
                  <w:r>
                    <w:rPr>
                      <w:rFonts w:hint="eastAsia"/>
                      <w:bCs/>
                      <w:color w:val="auto"/>
                      <w:sz w:val="21"/>
                      <w:szCs w:val="16"/>
                      <w:lang w:val="en-US" w:eastAsia="zh-CN"/>
                    </w:rPr>
                    <w:t>24</w:t>
                  </w:r>
                </w:p>
              </w:tc>
              <w:tc>
                <w:tcPr>
                  <w:tcW w:w="1171" w:type="pct"/>
                  <w:vAlign w:val="center"/>
                </w:tcPr>
                <w:p>
                  <w:pPr>
                    <w:pStyle w:val="47"/>
                    <w:adjustRightInd w:val="0"/>
                    <w:snapToGrid w:val="0"/>
                    <w:spacing w:line="240" w:lineRule="auto"/>
                    <w:ind w:firstLine="0"/>
                    <w:jc w:val="center"/>
                    <w:outlineLvl w:val="2"/>
                    <w:rPr>
                      <w:rFonts w:hint="default" w:eastAsia="宋体"/>
                      <w:bCs/>
                      <w:color w:val="auto"/>
                      <w:sz w:val="21"/>
                      <w:szCs w:val="16"/>
                      <w:lang w:val="en-US" w:eastAsia="zh-CN"/>
                    </w:rPr>
                  </w:pPr>
                  <w:r>
                    <w:rPr>
                      <w:rFonts w:hint="eastAsia"/>
                      <w:bCs/>
                      <w:color w:val="auto"/>
                      <w:sz w:val="21"/>
                      <w:szCs w:val="16"/>
                      <w:lang w:val="en-US" w:eastAsia="zh-CN"/>
                    </w:rPr>
                    <w:t>1.82</w:t>
                  </w:r>
                </w:p>
              </w:tc>
              <w:tc>
                <w:tcPr>
                  <w:tcW w:w="1229" w:type="pct"/>
                  <w:vAlign w:val="center"/>
                </w:tcPr>
                <w:p>
                  <w:pPr>
                    <w:pStyle w:val="47"/>
                    <w:adjustRightInd w:val="0"/>
                    <w:snapToGrid w:val="0"/>
                    <w:spacing w:line="240" w:lineRule="auto"/>
                    <w:ind w:firstLine="0"/>
                    <w:jc w:val="center"/>
                    <w:outlineLvl w:val="2"/>
                    <w:rPr>
                      <w:rFonts w:hint="default" w:eastAsia="宋体"/>
                      <w:bCs/>
                      <w:color w:val="auto"/>
                      <w:sz w:val="21"/>
                      <w:szCs w:val="16"/>
                      <w:lang w:val="en-US" w:eastAsia="zh-CN"/>
                    </w:rPr>
                  </w:pPr>
                  <w:r>
                    <w:rPr>
                      <w:rFonts w:hint="eastAsia"/>
                      <w:bCs/>
                      <w:color w:val="auto"/>
                      <w:sz w:val="21"/>
                      <w:szCs w:val="16"/>
                      <w:lang w:val="en-US" w:eastAsia="zh-CN"/>
                    </w:rPr>
                    <w:t>50.72</w:t>
                  </w:r>
                </w:p>
              </w:tc>
            </w:tr>
          </w:tbl>
          <w:p>
            <w:pPr>
              <w:widowControl/>
              <w:ind w:firstLine="420" w:firstLineChars="200"/>
              <w:jc w:val="left"/>
              <w:rPr>
                <w:color w:val="auto"/>
                <w:kern w:val="0"/>
                <w:szCs w:val="21"/>
                <w:lang w:bidi="ar"/>
              </w:rPr>
            </w:pPr>
          </w:p>
          <w:p>
            <w:pPr>
              <w:widowControl/>
              <w:spacing w:line="360" w:lineRule="auto"/>
              <w:ind w:firstLine="420" w:firstLineChars="200"/>
              <w:jc w:val="left"/>
              <w:rPr>
                <w:color w:val="auto"/>
                <w:kern w:val="0"/>
                <w:sz w:val="24"/>
                <w:lang w:bidi="ar"/>
              </w:rPr>
            </w:pPr>
            <w:r>
              <w:rPr>
                <w:rFonts w:hint="eastAsia"/>
                <w:color w:val="auto"/>
              </w:rPr>
              <w:t>●</w:t>
            </w:r>
            <w:r>
              <w:rPr>
                <w:b/>
                <w:color w:val="auto"/>
                <w:kern w:val="0"/>
                <w:sz w:val="24"/>
                <w:lang w:bidi="ar"/>
              </w:rPr>
              <w:t>二氧化硫</w:t>
            </w:r>
            <w:r>
              <w:rPr>
                <w:rFonts w:hint="eastAsia"/>
                <w:b/>
                <w:color w:val="auto"/>
                <w:kern w:val="0"/>
                <w:sz w:val="24"/>
                <w:lang w:bidi="ar"/>
              </w:rPr>
              <w:t>：</w:t>
            </w:r>
            <w:r>
              <w:rPr>
                <w:color w:val="auto"/>
                <w:kern w:val="0"/>
                <w:sz w:val="24"/>
                <w:lang w:bidi="ar"/>
              </w:rPr>
              <w:t>采用物料衡算法计算二氧化硫产生量，计算公式如下：</w:t>
            </w:r>
          </w:p>
          <w:p>
            <w:pPr>
              <w:widowControl/>
              <w:spacing w:line="360" w:lineRule="auto"/>
              <w:jc w:val="center"/>
              <w:rPr>
                <w:color w:val="auto"/>
                <w:kern w:val="0"/>
                <w:sz w:val="24"/>
                <w:lang w:bidi="ar"/>
              </w:rPr>
            </w:pPr>
            <w:r>
              <w:rPr>
                <w:color w:val="auto"/>
              </w:rPr>
              <w:drawing>
                <wp:inline distT="0" distB="0" distL="114300" distR="114300">
                  <wp:extent cx="3371850" cy="577850"/>
                  <wp:effectExtent l="0" t="0" r="0" b="12700"/>
                  <wp:docPr id="39"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9" name="图片 2"/>
                          <pic:cNvPicPr>
                            <a:picLocks noChangeAspect="true"/>
                          </pic:cNvPicPr>
                        </pic:nvPicPr>
                        <pic:blipFill>
                          <a:blip r:embed="rId7"/>
                          <a:srcRect t="3913" b="16957"/>
                          <a:stretch>
                            <a:fillRect/>
                          </a:stretch>
                        </pic:blipFill>
                        <pic:spPr>
                          <a:xfrm>
                            <a:off x="0" y="0"/>
                            <a:ext cx="3371850" cy="577850"/>
                          </a:xfrm>
                          <a:prstGeom prst="rect">
                            <a:avLst/>
                          </a:prstGeom>
                          <a:noFill/>
                          <a:ln>
                            <a:noFill/>
                          </a:ln>
                        </pic:spPr>
                      </pic:pic>
                    </a:graphicData>
                  </a:graphic>
                </wp:inline>
              </w:drawing>
            </w:r>
          </w:p>
          <w:p>
            <w:pPr>
              <w:widowControl/>
              <w:spacing w:line="360" w:lineRule="auto"/>
              <w:ind w:firstLine="480" w:firstLineChars="200"/>
              <w:jc w:val="left"/>
              <w:rPr>
                <w:rFonts w:hint="eastAsia"/>
                <w:color w:val="auto"/>
                <w:kern w:val="0"/>
                <w:sz w:val="24"/>
                <w:lang w:bidi="ar"/>
              </w:rPr>
            </w:pPr>
            <w:r>
              <w:rPr>
                <w:color w:val="auto"/>
                <w:kern w:val="0"/>
                <w:sz w:val="24"/>
                <w:lang w:bidi="ar"/>
              </w:rPr>
              <w:t>式中：</w:t>
            </w:r>
            <w:r>
              <w:rPr>
                <w:rFonts w:hint="eastAsia"/>
                <w:color w:val="auto"/>
                <w:kern w:val="0"/>
                <w:sz w:val="24"/>
                <w:lang w:bidi="ar"/>
              </w:rPr>
              <w:t>E—核算时段内二氧化硫排放量，t；</w:t>
            </w:r>
          </w:p>
          <w:p>
            <w:pPr>
              <w:widowControl/>
              <w:spacing w:line="360" w:lineRule="auto"/>
              <w:ind w:firstLine="1200" w:firstLineChars="500"/>
              <w:jc w:val="left"/>
              <w:rPr>
                <w:rFonts w:hint="eastAsia"/>
                <w:color w:val="auto"/>
                <w:kern w:val="0"/>
                <w:sz w:val="24"/>
                <w:lang w:bidi="ar"/>
              </w:rPr>
            </w:pPr>
            <w:r>
              <w:rPr>
                <w:rFonts w:hint="eastAsia"/>
                <w:color w:val="auto"/>
                <w:kern w:val="0"/>
                <w:sz w:val="24"/>
                <w:lang w:bidi="ar"/>
              </w:rPr>
              <w:t>m</w:t>
            </w:r>
            <w:r>
              <w:rPr>
                <w:rFonts w:hint="eastAsia"/>
                <w:color w:val="auto"/>
                <w:kern w:val="0"/>
                <w:sz w:val="24"/>
                <w:vertAlign w:val="subscript"/>
                <w:lang w:bidi="ar"/>
              </w:rPr>
              <w:t>i</w:t>
            </w:r>
            <w:r>
              <w:rPr>
                <w:rFonts w:hint="eastAsia"/>
                <w:color w:val="auto"/>
                <w:kern w:val="0"/>
                <w:sz w:val="24"/>
                <w:lang w:bidi="ar"/>
              </w:rPr>
              <w:t>—核算时段内第i种原辅料及燃料使用量，</w:t>
            </w:r>
            <w:r>
              <w:rPr>
                <w:rFonts w:hint="eastAsia"/>
                <w:color w:val="auto"/>
                <w:kern w:val="0"/>
                <w:sz w:val="24"/>
                <w:lang w:val="en-US" w:eastAsia="zh-CN" w:bidi="ar"/>
              </w:rPr>
              <w:t>原料68000</w:t>
            </w:r>
            <w:r>
              <w:rPr>
                <w:rFonts w:hint="eastAsia"/>
                <w:color w:val="auto"/>
                <w:kern w:val="0"/>
                <w:sz w:val="24"/>
                <w:lang w:bidi="ar"/>
              </w:rPr>
              <w:t>t</w:t>
            </w:r>
            <w:r>
              <w:rPr>
                <w:rFonts w:hint="eastAsia"/>
                <w:color w:val="auto"/>
                <w:kern w:val="0"/>
                <w:sz w:val="24"/>
                <w:lang w:val="en-US" w:eastAsia="zh-CN" w:bidi="ar"/>
              </w:rPr>
              <w:t>，天然气450万m</w:t>
            </w:r>
            <w:r>
              <w:rPr>
                <w:rFonts w:hint="eastAsia"/>
                <w:color w:val="auto"/>
                <w:kern w:val="0"/>
                <w:sz w:val="24"/>
                <w:vertAlign w:val="superscript"/>
                <w:lang w:val="en-US" w:eastAsia="zh-CN" w:bidi="ar"/>
              </w:rPr>
              <w:t>3</w:t>
            </w:r>
            <w:r>
              <w:rPr>
                <w:rFonts w:hint="eastAsia"/>
                <w:color w:val="auto"/>
                <w:kern w:val="0"/>
                <w:sz w:val="24"/>
                <w:lang w:bidi="ar"/>
              </w:rPr>
              <w:t>；</w:t>
            </w:r>
          </w:p>
          <w:p>
            <w:pPr>
              <w:widowControl/>
              <w:spacing w:line="360" w:lineRule="auto"/>
              <w:ind w:left="0" w:leftChars="0" w:firstLine="1056" w:firstLineChars="440"/>
              <w:jc w:val="left"/>
              <w:rPr>
                <w:rFonts w:hint="eastAsia"/>
                <w:color w:val="auto"/>
                <w:kern w:val="0"/>
                <w:sz w:val="24"/>
                <w:lang w:bidi="ar"/>
              </w:rPr>
            </w:pPr>
            <w:r>
              <w:rPr>
                <w:rFonts w:hint="eastAsia"/>
                <w:color w:val="auto"/>
                <w:kern w:val="0"/>
                <w:sz w:val="24"/>
                <w:lang w:val="en-US" w:eastAsia="zh-CN" w:bidi="ar"/>
              </w:rPr>
              <w:t>S</w:t>
            </w:r>
            <w:r>
              <w:rPr>
                <w:rFonts w:hint="eastAsia"/>
                <w:color w:val="auto"/>
                <w:kern w:val="0"/>
                <w:sz w:val="24"/>
                <w:lang w:bidi="ar"/>
              </w:rPr>
              <w:t>m</w:t>
            </w:r>
            <w:r>
              <w:rPr>
                <w:rFonts w:hint="eastAsia"/>
                <w:color w:val="auto"/>
                <w:kern w:val="0"/>
                <w:sz w:val="24"/>
                <w:vertAlign w:val="subscript"/>
                <w:lang w:bidi="ar"/>
              </w:rPr>
              <w:t>i</w:t>
            </w:r>
            <w:r>
              <w:rPr>
                <w:rFonts w:hint="eastAsia"/>
                <w:color w:val="auto"/>
                <w:kern w:val="0"/>
                <w:sz w:val="24"/>
                <w:lang w:bidi="ar"/>
              </w:rPr>
              <w:t>—核算时段内第i种原辅料及燃料含硫率，</w:t>
            </w:r>
            <w:r>
              <w:rPr>
                <w:rFonts w:hint="eastAsia"/>
                <w:color w:val="auto"/>
                <w:kern w:val="0"/>
                <w:sz w:val="24"/>
                <w:lang w:val="en-US" w:eastAsia="zh-CN" w:bidi="ar"/>
              </w:rPr>
              <w:t>原料</w:t>
            </w:r>
            <w:r>
              <w:rPr>
                <w:rFonts w:hint="eastAsia"/>
                <w:color w:val="auto"/>
                <w:kern w:val="0"/>
                <w:sz w:val="24"/>
                <w:lang w:bidi="ar"/>
              </w:rPr>
              <w:t>含硫率</w:t>
            </w:r>
            <w:r>
              <w:rPr>
                <w:rFonts w:hint="eastAsia"/>
                <w:color w:val="auto"/>
                <w:kern w:val="0"/>
                <w:sz w:val="24"/>
                <w:lang w:val="en-US" w:eastAsia="zh-CN" w:bidi="ar"/>
              </w:rPr>
              <w:t>0.12</w:t>
            </w:r>
            <w:r>
              <w:rPr>
                <w:rFonts w:hint="eastAsia"/>
                <w:color w:val="auto"/>
                <w:kern w:val="0"/>
                <w:sz w:val="24"/>
                <w:lang w:bidi="ar"/>
              </w:rPr>
              <w:t>%</w:t>
            </w:r>
            <w:r>
              <w:rPr>
                <w:rFonts w:hint="eastAsia"/>
                <w:color w:val="auto"/>
                <w:kern w:val="0"/>
                <w:sz w:val="24"/>
                <w:lang w:eastAsia="zh-CN" w:bidi="ar"/>
              </w:rPr>
              <w:t>（</w:t>
            </w:r>
            <w:r>
              <w:rPr>
                <w:rFonts w:hint="eastAsia"/>
                <w:color w:val="auto"/>
                <w:kern w:val="0"/>
                <w:sz w:val="24"/>
                <w:lang w:val="en-US" w:eastAsia="zh-CN" w:bidi="ar"/>
              </w:rPr>
              <w:t>该成分含量为不含水分原料的含硫量</w:t>
            </w:r>
            <w:r>
              <w:rPr>
                <w:rFonts w:hint="eastAsia"/>
                <w:color w:val="auto"/>
                <w:kern w:val="0"/>
                <w:sz w:val="24"/>
                <w:lang w:eastAsia="zh-CN" w:bidi="ar"/>
              </w:rPr>
              <w:t>），</w:t>
            </w:r>
            <w:r>
              <w:rPr>
                <w:rFonts w:hint="eastAsia"/>
                <w:color w:val="auto"/>
                <w:kern w:val="0"/>
                <w:sz w:val="24"/>
                <w:lang w:val="en-US" w:eastAsia="zh-CN" w:bidi="ar"/>
              </w:rPr>
              <w:t>天然气</w:t>
            </w:r>
            <w:r>
              <w:rPr>
                <w:rFonts w:hint="eastAsia"/>
                <w:color w:val="auto"/>
                <w:kern w:val="0"/>
                <w:sz w:val="24"/>
                <w:lang w:bidi="ar"/>
              </w:rPr>
              <w:t>含硫100mg/m</w:t>
            </w:r>
            <w:r>
              <w:rPr>
                <w:rFonts w:hint="eastAsia"/>
                <w:color w:val="auto"/>
                <w:kern w:val="0"/>
                <w:sz w:val="24"/>
                <w:vertAlign w:val="superscript"/>
                <w:lang w:bidi="ar"/>
              </w:rPr>
              <w:t>3</w:t>
            </w:r>
            <w:r>
              <w:rPr>
                <w:rFonts w:hint="eastAsia"/>
                <w:color w:val="auto"/>
                <w:kern w:val="0"/>
                <w:sz w:val="24"/>
                <w:lang w:bidi="ar"/>
              </w:rPr>
              <w:t>；</w:t>
            </w:r>
          </w:p>
          <w:p>
            <w:pPr>
              <w:widowControl/>
              <w:spacing w:line="360" w:lineRule="auto"/>
              <w:ind w:left="420" w:leftChars="200" w:firstLine="638" w:firstLineChars="266"/>
              <w:jc w:val="left"/>
              <w:rPr>
                <w:rFonts w:hint="eastAsia"/>
                <w:color w:val="auto"/>
                <w:kern w:val="0"/>
                <w:sz w:val="24"/>
                <w:lang w:bidi="ar"/>
              </w:rPr>
            </w:pPr>
            <w:r>
              <w:rPr>
                <w:rFonts w:hint="eastAsia"/>
                <w:color w:val="auto"/>
                <w:kern w:val="0"/>
                <w:sz w:val="24"/>
                <w:lang w:bidi="ar"/>
              </w:rPr>
              <w:t>p</w:t>
            </w:r>
            <w:r>
              <w:rPr>
                <w:rFonts w:hint="eastAsia"/>
                <w:color w:val="auto"/>
                <w:kern w:val="0"/>
                <w:sz w:val="24"/>
                <w:vertAlign w:val="subscript"/>
                <w:lang w:val="en-US" w:eastAsia="zh-CN" w:bidi="ar"/>
              </w:rPr>
              <w:t>i</w:t>
            </w:r>
            <w:r>
              <w:rPr>
                <w:rFonts w:hint="eastAsia"/>
                <w:color w:val="auto"/>
                <w:kern w:val="0"/>
                <w:sz w:val="24"/>
                <w:lang w:bidi="ar"/>
              </w:rPr>
              <w:t>—核算时段内第i种产品产量，</w:t>
            </w:r>
            <w:r>
              <w:rPr>
                <w:rFonts w:hint="eastAsia"/>
                <w:color w:val="auto"/>
                <w:kern w:val="0"/>
                <w:sz w:val="24"/>
                <w:lang w:val="en-US" w:eastAsia="zh-CN" w:bidi="ar"/>
              </w:rPr>
              <w:t>68000</w:t>
            </w:r>
            <w:r>
              <w:rPr>
                <w:rFonts w:hint="eastAsia"/>
                <w:color w:val="auto"/>
                <w:kern w:val="0"/>
                <w:sz w:val="24"/>
                <w:lang w:bidi="ar"/>
              </w:rPr>
              <w:t>t；</w:t>
            </w:r>
          </w:p>
          <w:p>
            <w:pPr>
              <w:widowControl/>
              <w:spacing w:line="360" w:lineRule="auto"/>
              <w:ind w:left="420" w:leftChars="200" w:firstLine="638" w:firstLineChars="266"/>
              <w:jc w:val="left"/>
              <w:rPr>
                <w:rFonts w:hint="eastAsia"/>
                <w:color w:val="auto"/>
                <w:kern w:val="0"/>
                <w:sz w:val="24"/>
                <w:lang w:bidi="ar"/>
              </w:rPr>
            </w:pPr>
            <w:r>
              <w:rPr>
                <w:rFonts w:hint="eastAsia"/>
                <w:color w:val="auto"/>
                <w:kern w:val="0"/>
                <w:sz w:val="24"/>
                <w:lang w:val="en-US" w:eastAsia="zh-CN" w:bidi="ar"/>
              </w:rPr>
              <w:t>S</w:t>
            </w:r>
            <w:r>
              <w:rPr>
                <w:rFonts w:hint="eastAsia"/>
                <w:color w:val="auto"/>
                <w:kern w:val="0"/>
                <w:sz w:val="24"/>
                <w:lang w:bidi="ar"/>
              </w:rPr>
              <w:t>p</w:t>
            </w:r>
            <w:r>
              <w:rPr>
                <w:rFonts w:hint="eastAsia"/>
                <w:color w:val="auto"/>
                <w:kern w:val="0"/>
                <w:sz w:val="24"/>
                <w:vertAlign w:val="subscript"/>
                <w:lang w:val="en-US" w:eastAsia="zh-CN" w:bidi="ar"/>
              </w:rPr>
              <w:t>i</w:t>
            </w:r>
            <w:r>
              <w:rPr>
                <w:rFonts w:hint="eastAsia"/>
                <w:color w:val="auto"/>
                <w:kern w:val="0"/>
                <w:sz w:val="24"/>
                <w:lang w:bidi="ar"/>
              </w:rPr>
              <w:t>—核算时段内第i种产品含硫率，</w:t>
            </w:r>
            <w:r>
              <w:rPr>
                <w:rFonts w:hint="eastAsia"/>
                <w:color w:val="auto"/>
                <w:kern w:val="0"/>
                <w:sz w:val="24"/>
                <w:lang w:val="en-US" w:eastAsia="zh-CN" w:bidi="ar"/>
              </w:rPr>
              <w:t>0.027%</w:t>
            </w:r>
            <w:r>
              <w:rPr>
                <w:rFonts w:hint="eastAsia"/>
                <w:color w:val="auto"/>
                <w:kern w:val="0"/>
                <w:sz w:val="24"/>
                <w:lang w:bidi="ar"/>
              </w:rPr>
              <w:t>；</w:t>
            </w:r>
          </w:p>
          <w:p>
            <w:pPr>
              <w:widowControl/>
              <w:spacing w:line="360" w:lineRule="auto"/>
              <w:ind w:left="420" w:leftChars="200" w:firstLine="638" w:firstLineChars="266"/>
              <w:jc w:val="left"/>
              <w:rPr>
                <w:rFonts w:hint="eastAsia"/>
                <w:color w:val="auto"/>
                <w:kern w:val="0"/>
                <w:sz w:val="24"/>
                <w:lang w:bidi="ar"/>
              </w:rPr>
            </w:pPr>
            <w:r>
              <w:rPr>
                <w:rFonts w:hint="eastAsia"/>
                <w:color w:val="auto"/>
                <w:kern w:val="0"/>
                <w:sz w:val="24"/>
                <w:lang w:bidi="ar"/>
              </w:rPr>
              <w:t>d</w:t>
            </w:r>
            <w:r>
              <w:rPr>
                <w:rFonts w:hint="eastAsia"/>
                <w:color w:val="auto"/>
                <w:kern w:val="0"/>
                <w:sz w:val="24"/>
                <w:vertAlign w:val="subscript"/>
                <w:lang w:bidi="ar"/>
              </w:rPr>
              <w:t>i</w:t>
            </w:r>
            <w:r>
              <w:rPr>
                <w:rFonts w:hint="eastAsia"/>
                <w:color w:val="auto"/>
                <w:kern w:val="0"/>
                <w:sz w:val="24"/>
                <w:lang w:bidi="ar"/>
              </w:rPr>
              <w:t>—核算时段内第种i废物收集量，t</w:t>
            </w:r>
            <w:r>
              <w:rPr>
                <w:rFonts w:hint="eastAsia"/>
                <w:color w:val="auto"/>
                <w:kern w:val="0"/>
                <w:sz w:val="24"/>
                <w:lang w:eastAsia="zh-CN" w:bidi="ar"/>
              </w:rPr>
              <w:t>，</w:t>
            </w:r>
            <w:r>
              <w:rPr>
                <w:rFonts w:hint="eastAsia"/>
                <w:color w:val="auto"/>
                <w:kern w:val="0"/>
                <w:sz w:val="24"/>
                <w:lang w:val="en-US" w:eastAsia="zh-CN" w:bidi="ar"/>
              </w:rPr>
              <w:t>本项目产生的废砖全部返回原料生产线，始终循环使用，因此本次核算不计废砖量</w:t>
            </w:r>
            <w:r>
              <w:rPr>
                <w:rFonts w:hint="eastAsia"/>
                <w:color w:val="auto"/>
                <w:kern w:val="0"/>
                <w:sz w:val="24"/>
                <w:lang w:bidi="ar"/>
              </w:rPr>
              <w:t>；</w:t>
            </w:r>
          </w:p>
          <w:p>
            <w:pPr>
              <w:widowControl/>
              <w:spacing w:line="360" w:lineRule="auto"/>
              <w:ind w:left="420" w:leftChars="200" w:firstLine="638" w:firstLineChars="266"/>
              <w:jc w:val="left"/>
              <w:rPr>
                <w:rFonts w:hint="eastAsia"/>
                <w:color w:val="auto"/>
                <w:kern w:val="0"/>
                <w:sz w:val="24"/>
                <w:lang w:bidi="ar"/>
              </w:rPr>
            </w:pPr>
            <w:r>
              <w:rPr>
                <w:rFonts w:hint="eastAsia"/>
                <w:color w:val="auto"/>
                <w:kern w:val="0"/>
                <w:sz w:val="24"/>
                <w:lang w:val="en-US" w:eastAsia="zh-CN" w:bidi="ar"/>
              </w:rPr>
              <w:t>S</w:t>
            </w:r>
            <w:r>
              <w:rPr>
                <w:rFonts w:hint="eastAsia"/>
                <w:color w:val="auto"/>
                <w:kern w:val="0"/>
                <w:sz w:val="24"/>
                <w:lang w:bidi="ar"/>
              </w:rPr>
              <w:t>d</w:t>
            </w:r>
            <w:r>
              <w:rPr>
                <w:rFonts w:hint="eastAsia"/>
                <w:color w:val="auto"/>
                <w:kern w:val="0"/>
                <w:sz w:val="24"/>
                <w:vertAlign w:val="subscript"/>
                <w:lang w:bidi="ar"/>
              </w:rPr>
              <w:t>i</w:t>
            </w:r>
            <w:r>
              <w:rPr>
                <w:rFonts w:hint="eastAsia"/>
                <w:color w:val="auto"/>
                <w:kern w:val="0"/>
                <w:sz w:val="24"/>
                <w:lang w:bidi="ar"/>
              </w:rPr>
              <w:t>—核算时段内第i种废物含硫率。</w:t>
            </w:r>
          </w:p>
          <w:p>
            <w:pPr>
              <w:widowControl/>
              <w:jc w:val="center"/>
              <w:rPr>
                <w:b/>
                <w:bCs/>
                <w:color w:val="auto"/>
                <w:kern w:val="0"/>
                <w:szCs w:val="21"/>
                <w:lang w:bidi="ar"/>
              </w:rPr>
            </w:pPr>
            <w:r>
              <w:rPr>
                <w:b/>
                <w:bCs/>
                <w:color w:val="auto"/>
                <w:kern w:val="0"/>
                <w:szCs w:val="21"/>
                <w:lang w:bidi="ar"/>
              </w:rPr>
              <w:t xml:space="preserve">表4-2  </w:t>
            </w:r>
            <w:r>
              <w:rPr>
                <w:rFonts w:hint="eastAsia"/>
                <w:b/>
                <w:color w:val="auto"/>
                <w:szCs w:val="16"/>
              </w:rPr>
              <w:t>改扩建完成后</w:t>
            </w:r>
            <w:r>
              <w:rPr>
                <w:rFonts w:hint="eastAsia"/>
                <w:b/>
                <w:bCs/>
                <w:color w:val="auto"/>
                <w:kern w:val="0"/>
                <w:szCs w:val="21"/>
                <w:lang w:bidi="ar"/>
              </w:rPr>
              <w:t>项目</w:t>
            </w:r>
            <w:r>
              <w:rPr>
                <w:b/>
                <w:bCs/>
                <w:color w:val="auto"/>
                <w:kern w:val="0"/>
                <w:szCs w:val="21"/>
                <w:lang w:bidi="ar"/>
              </w:rPr>
              <w:t>二氧化硫产量计算结果一览表</w:t>
            </w:r>
          </w:p>
          <w:tbl>
            <w:tblPr>
              <w:tblStyle w:val="22"/>
              <w:tblW w:w="49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3"/>
              <w:gridCol w:w="2625"/>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665" w:type="pct"/>
                  <w:vAlign w:val="center"/>
                </w:tcPr>
                <w:p>
                  <w:pPr>
                    <w:widowControl/>
                    <w:jc w:val="center"/>
                    <w:rPr>
                      <w:color w:val="auto"/>
                      <w:kern w:val="0"/>
                      <w:szCs w:val="21"/>
                      <w:lang w:bidi="ar"/>
                    </w:rPr>
                  </w:pPr>
                  <w:r>
                    <w:rPr>
                      <w:color w:val="auto"/>
                      <w:kern w:val="0"/>
                      <w:szCs w:val="21"/>
                      <w:lang w:bidi="ar"/>
                    </w:rPr>
                    <w:t>二氧化硫产生量</w:t>
                  </w:r>
                  <w:r>
                    <w:rPr>
                      <w:rFonts w:hint="eastAsia"/>
                      <w:color w:val="auto"/>
                      <w:kern w:val="0"/>
                      <w:szCs w:val="21"/>
                      <w:lang w:eastAsia="zh-CN" w:bidi="ar"/>
                    </w:rPr>
                    <w:t>（</w:t>
                  </w:r>
                  <w:r>
                    <w:rPr>
                      <w:color w:val="auto"/>
                      <w:kern w:val="0"/>
                      <w:szCs w:val="21"/>
                      <w:lang w:bidi="ar"/>
                    </w:rPr>
                    <w:t>t/a</w:t>
                  </w:r>
                  <w:r>
                    <w:rPr>
                      <w:rFonts w:hint="eastAsia"/>
                      <w:color w:val="auto"/>
                      <w:kern w:val="0"/>
                      <w:szCs w:val="21"/>
                      <w:lang w:eastAsia="zh-CN" w:bidi="ar"/>
                    </w:rPr>
                    <w:t>）</w:t>
                  </w:r>
                </w:p>
              </w:tc>
              <w:tc>
                <w:tcPr>
                  <w:tcW w:w="1666" w:type="pct"/>
                  <w:vAlign w:val="center"/>
                </w:tcPr>
                <w:p>
                  <w:pPr>
                    <w:widowControl/>
                    <w:jc w:val="center"/>
                    <w:rPr>
                      <w:rFonts w:hint="eastAsia" w:eastAsia="宋体"/>
                      <w:color w:val="auto"/>
                      <w:kern w:val="0"/>
                      <w:szCs w:val="21"/>
                      <w:lang w:eastAsia="zh-CN" w:bidi="ar"/>
                    </w:rPr>
                  </w:pPr>
                  <w:r>
                    <w:rPr>
                      <w:color w:val="auto"/>
                      <w:kern w:val="0"/>
                      <w:szCs w:val="21"/>
                      <w:lang w:bidi="ar"/>
                    </w:rPr>
                    <w:t>二氧化硫产生</w:t>
                  </w:r>
                  <w:r>
                    <w:rPr>
                      <w:rFonts w:hint="eastAsia"/>
                      <w:color w:val="auto"/>
                      <w:kern w:val="0"/>
                      <w:szCs w:val="21"/>
                      <w:lang w:val="en-US" w:eastAsia="zh-CN" w:bidi="ar"/>
                    </w:rPr>
                    <w:t>速率（kg/h）</w:t>
                  </w:r>
                </w:p>
              </w:tc>
              <w:tc>
                <w:tcPr>
                  <w:tcW w:w="1667" w:type="pct"/>
                  <w:vAlign w:val="center"/>
                </w:tcPr>
                <w:p>
                  <w:pPr>
                    <w:widowControl/>
                    <w:jc w:val="center"/>
                    <w:rPr>
                      <w:rFonts w:hint="eastAsia" w:eastAsia="宋体"/>
                      <w:color w:val="auto"/>
                      <w:kern w:val="0"/>
                      <w:szCs w:val="21"/>
                      <w:lang w:val="en-US" w:eastAsia="zh-CN" w:bidi="ar"/>
                    </w:rPr>
                  </w:pPr>
                  <w:r>
                    <w:rPr>
                      <w:color w:val="auto"/>
                      <w:kern w:val="0"/>
                      <w:szCs w:val="21"/>
                      <w:lang w:bidi="ar"/>
                    </w:rPr>
                    <w:t>二氧化硫产生</w:t>
                  </w:r>
                  <w:r>
                    <w:rPr>
                      <w:rFonts w:hint="eastAsia"/>
                      <w:color w:val="auto"/>
                      <w:kern w:val="0"/>
                      <w:szCs w:val="21"/>
                      <w:lang w:val="en-US" w:eastAsia="zh-CN" w:bidi="ar"/>
                    </w:rPr>
                    <w:t>浓度（mg/m</w:t>
                  </w:r>
                  <w:r>
                    <w:rPr>
                      <w:rFonts w:hint="eastAsia"/>
                      <w:color w:val="auto"/>
                      <w:kern w:val="0"/>
                      <w:szCs w:val="21"/>
                      <w:vertAlign w:val="superscript"/>
                      <w:lang w:val="en-US" w:eastAsia="zh-CN" w:bidi="ar"/>
                    </w:rPr>
                    <w:t>3</w:t>
                  </w:r>
                  <w:r>
                    <w:rPr>
                      <w:rFonts w:hint="eastAsia"/>
                      <w:color w:val="auto"/>
                      <w:kern w:val="0"/>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65" w:type="pct"/>
                  <w:vAlign w:val="center"/>
                </w:tcPr>
                <w:p>
                  <w:pPr>
                    <w:widowControl/>
                    <w:jc w:val="center"/>
                    <w:rPr>
                      <w:rFonts w:hint="default"/>
                      <w:color w:val="auto"/>
                      <w:kern w:val="0"/>
                      <w:szCs w:val="21"/>
                      <w:lang w:val="en-US" w:bidi="ar"/>
                    </w:rPr>
                  </w:pPr>
                  <w:r>
                    <w:rPr>
                      <w:rFonts w:hint="eastAsia"/>
                      <w:color w:val="auto"/>
                      <w:kern w:val="0"/>
                      <w:szCs w:val="21"/>
                      <w:lang w:val="en-US" w:eastAsia="zh-CN" w:bidi="ar"/>
                    </w:rPr>
                    <w:t>127.38</w:t>
                  </w:r>
                </w:p>
              </w:tc>
              <w:tc>
                <w:tcPr>
                  <w:tcW w:w="1666" w:type="pct"/>
                  <w:vAlign w:val="center"/>
                </w:tcPr>
                <w:p>
                  <w:pPr>
                    <w:widowControl/>
                    <w:jc w:val="center"/>
                    <w:rPr>
                      <w:rFonts w:hint="default" w:eastAsia="宋体"/>
                      <w:color w:val="auto"/>
                      <w:kern w:val="0"/>
                      <w:szCs w:val="21"/>
                      <w:lang w:val="en-US" w:eastAsia="zh-CN" w:bidi="ar"/>
                    </w:rPr>
                  </w:pPr>
                  <w:r>
                    <w:rPr>
                      <w:rFonts w:hint="eastAsia"/>
                      <w:color w:val="auto"/>
                      <w:kern w:val="0"/>
                      <w:szCs w:val="21"/>
                      <w:lang w:val="en-US" w:eastAsia="zh-CN" w:bidi="ar"/>
                    </w:rPr>
                    <w:t>17.69</w:t>
                  </w:r>
                </w:p>
              </w:tc>
              <w:tc>
                <w:tcPr>
                  <w:tcW w:w="1667" w:type="pct"/>
                  <w:vAlign w:val="center"/>
                </w:tcPr>
                <w:p>
                  <w:pPr>
                    <w:widowControl/>
                    <w:jc w:val="center"/>
                    <w:rPr>
                      <w:rFonts w:hint="default" w:eastAsia="宋体"/>
                      <w:color w:val="auto"/>
                      <w:kern w:val="0"/>
                      <w:szCs w:val="21"/>
                      <w:lang w:val="en-US" w:eastAsia="zh-CN" w:bidi="ar"/>
                    </w:rPr>
                  </w:pPr>
                  <w:r>
                    <w:rPr>
                      <w:rFonts w:hint="eastAsia"/>
                      <w:color w:val="auto"/>
                      <w:kern w:val="0"/>
                      <w:szCs w:val="21"/>
                      <w:lang w:val="en-US" w:eastAsia="zh-CN" w:bidi="ar"/>
                    </w:rPr>
                    <w:t>492.31</w:t>
                  </w:r>
                </w:p>
              </w:tc>
            </w:tr>
          </w:tbl>
          <w:p>
            <w:pPr>
              <w:widowControl/>
              <w:spacing w:line="360" w:lineRule="auto"/>
              <w:ind w:firstLine="480" w:firstLineChars="200"/>
              <w:jc w:val="left"/>
              <w:rPr>
                <w:color w:val="auto"/>
                <w:kern w:val="0"/>
                <w:sz w:val="24"/>
                <w:lang w:bidi="ar"/>
              </w:rPr>
            </w:pPr>
          </w:p>
          <w:p>
            <w:pPr>
              <w:widowControl/>
              <w:spacing w:line="360" w:lineRule="auto"/>
              <w:ind w:firstLine="420" w:firstLineChars="200"/>
              <w:jc w:val="left"/>
              <w:rPr>
                <w:color w:val="auto"/>
                <w:kern w:val="0"/>
                <w:sz w:val="24"/>
                <w:lang w:bidi="ar"/>
              </w:rPr>
            </w:pPr>
            <w:r>
              <w:rPr>
                <w:rFonts w:hint="eastAsia"/>
                <w:color w:val="auto"/>
              </w:rPr>
              <w:t>●</w:t>
            </w:r>
            <w:r>
              <w:rPr>
                <w:b/>
                <w:color w:val="auto"/>
                <w:kern w:val="0"/>
                <w:sz w:val="24"/>
                <w:lang w:bidi="ar"/>
              </w:rPr>
              <w:t>氟</w:t>
            </w:r>
            <w:r>
              <w:rPr>
                <w:rFonts w:hint="eastAsia"/>
                <w:b/>
                <w:color w:val="auto"/>
                <w:kern w:val="0"/>
                <w:sz w:val="24"/>
                <w:lang w:bidi="ar"/>
              </w:rPr>
              <w:t>：</w:t>
            </w:r>
            <w:r>
              <w:rPr>
                <w:color w:val="auto"/>
                <w:kern w:val="0"/>
                <w:sz w:val="24"/>
                <w:lang w:bidi="ar"/>
              </w:rPr>
              <w:t>原料中氟主要以F¯形式通过置换OH¯而存在于矿物的晶格结构中。当矿物加热至 500～600℃，发生脱羟基作用，释出结构水，相应地，存在于矿物晶格中的F-也随之发生类似释出结构水的反应，生成HF（以氟计）。随着烧制温度的提高，脱羟基作用增强，氟逸出量也随之增加。</w:t>
            </w:r>
            <w:r>
              <w:rPr>
                <w:rFonts w:hint="eastAsia"/>
                <w:color w:val="auto"/>
                <w:kern w:val="0"/>
                <w:sz w:val="24"/>
                <w:lang w:bidi="ar"/>
              </w:rPr>
              <w:t>项目原料</w:t>
            </w:r>
            <w:r>
              <w:rPr>
                <w:color w:val="auto"/>
                <w:kern w:val="0"/>
                <w:sz w:val="24"/>
                <w:lang w:bidi="ar"/>
              </w:rPr>
              <w:t>中含氟</w:t>
            </w:r>
            <w:r>
              <w:rPr>
                <w:rFonts w:hint="eastAsia"/>
                <w:color w:val="auto"/>
                <w:kern w:val="0"/>
                <w:sz w:val="24"/>
                <w:lang w:val="en-US" w:eastAsia="zh-CN" w:bidi="ar"/>
              </w:rPr>
              <w:t>0.002%，</w:t>
            </w:r>
            <w:r>
              <w:rPr>
                <w:color w:val="auto"/>
                <w:kern w:val="0"/>
                <w:sz w:val="24"/>
                <w:lang w:bidi="ar"/>
              </w:rPr>
              <w:t>根据《四川环境》（2003年第22卷第5期）中刘咏《我国砖瓦厂氟化物的排放及其污染治理研究进展》，砖瓦烧制过程中</w:t>
            </w:r>
            <w:r>
              <w:rPr>
                <w:rFonts w:hint="eastAsia"/>
                <w:color w:val="auto"/>
                <w:kern w:val="0"/>
                <w:sz w:val="24"/>
                <w:lang w:bidi="ar"/>
              </w:rPr>
              <w:t>氟</w:t>
            </w:r>
            <w:r>
              <w:rPr>
                <w:color w:val="auto"/>
                <w:kern w:val="0"/>
                <w:sz w:val="24"/>
                <w:lang w:bidi="ar"/>
              </w:rPr>
              <w:t>的平均释放率为54.3%</w:t>
            </w:r>
            <w:r>
              <w:rPr>
                <w:rFonts w:hint="eastAsia"/>
                <w:color w:val="auto"/>
                <w:kern w:val="0"/>
                <w:sz w:val="24"/>
                <w:lang w:bidi="ar"/>
              </w:rPr>
              <w:t>。</w:t>
            </w:r>
          </w:p>
          <w:p>
            <w:pPr>
              <w:pStyle w:val="47"/>
              <w:adjustRightInd w:val="0"/>
              <w:snapToGrid w:val="0"/>
              <w:spacing w:line="240" w:lineRule="auto"/>
              <w:ind w:firstLine="0"/>
              <w:jc w:val="center"/>
              <w:outlineLvl w:val="2"/>
              <w:rPr>
                <w:b/>
                <w:color w:val="auto"/>
                <w:sz w:val="21"/>
                <w:szCs w:val="16"/>
              </w:rPr>
            </w:pPr>
            <w:r>
              <w:rPr>
                <w:rFonts w:hint="eastAsia"/>
                <w:b/>
                <w:color w:val="auto"/>
                <w:sz w:val="21"/>
                <w:szCs w:val="16"/>
              </w:rPr>
              <w:t>表4-3  改扩建项目</w:t>
            </w:r>
            <w:r>
              <w:rPr>
                <w:rFonts w:hint="eastAsia"/>
                <w:b/>
                <w:color w:val="auto"/>
                <w:sz w:val="21"/>
                <w:szCs w:val="16"/>
                <w:lang w:eastAsia="zh-CN"/>
              </w:rPr>
              <w:t>氟及其化合物（以F计）</w:t>
            </w:r>
            <w:r>
              <w:rPr>
                <w:rFonts w:hint="eastAsia"/>
                <w:b/>
                <w:color w:val="auto"/>
                <w:sz w:val="21"/>
                <w:szCs w:val="16"/>
              </w:rPr>
              <w:t>产生情况一览表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2045"/>
              <w:gridCol w:w="2045"/>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pct"/>
                  <w:vAlign w:val="center"/>
                </w:tcPr>
                <w:p>
                  <w:pPr>
                    <w:pStyle w:val="47"/>
                    <w:adjustRightInd w:val="0"/>
                    <w:snapToGrid w:val="0"/>
                    <w:spacing w:line="240" w:lineRule="auto"/>
                    <w:ind w:firstLine="0"/>
                    <w:jc w:val="center"/>
                    <w:outlineLvl w:val="2"/>
                    <w:rPr>
                      <w:bCs/>
                      <w:color w:val="auto"/>
                      <w:sz w:val="21"/>
                      <w:szCs w:val="16"/>
                    </w:rPr>
                  </w:pPr>
                  <w:r>
                    <w:rPr>
                      <w:rFonts w:hint="eastAsia"/>
                      <w:bCs/>
                      <w:color w:val="auto"/>
                      <w:sz w:val="21"/>
                      <w:szCs w:val="16"/>
                    </w:rPr>
                    <w:t>耐火砖原料用量</w:t>
                  </w:r>
                </w:p>
              </w:tc>
              <w:tc>
                <w:tcPr>
                  <w:tcW w:w="1288" w:type="pct"/>
                  <w:vAlign w:val="center"/>
                </w:tcPr>
                <w:p>
                  <w:pPr>
                    <w:pStyle w:val="47"/>
                    <w:adjustRightInd w:val="0"/>
                    <w:snapToGrid w:val="0"/>
                    <w:spacing w:line="240" w:lineRule="auto"/>
                    <w:ind w:firstLine="0"/>
                    <w:jc w:val="center"/>
                    <w:outlineLvl w:val="2"/>
                    <w:rPr>
                      <w:bCs/>
                      <w:color w:val="auto"/>
                      <w:sz w:val="21"/>
                      <w:szCs w:val="16"/>
                    </w:rPr>
                  </w:pPr>
                  <w:r>
                    <w:rPr>
                      <w:rFonts w:hint="eastAsia"/>
                      <w:bCs/>
                      <w:color w:val="auto"/>
                      <w:sz w:val="21"/>
                      <w:szCs w:val="16"/>
                    </w:rPr>
                    <w:t>氟产生量（t/a）</w:t>
                  </w:r>
                </w:p>
              </w:tc>
              <w:tc>
                <w:tcPr>
                  <w:tcW w:w="1288" w:type="pct"/>
                  <w:vAlign w:val="center"/>
                </w:tcPr>
                <w:p>
                  <w:pPr>
                    <w:widowControl/>
                    <w:jc w:val="center"/>
                    <w:rPr>
                      <w:rFonts w:hint="eastAsia" w:ascii="Times New Roman" w:hAnsi="Times New Roman" w:eastAsia="宋体" w:cs="Times New Roman"/>
                      <w:color w:val="auto"/>
                      <w:kern w:val="0"/>
                      <w:sz w:val="21"/>
                      <w:szCs w:val="21"/>
                      <w:lang w:val="en-US" w:eastAsia="zh-CN" w:bidi="ar"/>
                    </w:rPr>
                  </w:pPr>
                  <w:r>
                    <w:rPr>
                      <w:rFonts w:hint="eastAsia"/>
                      <w:bCs/>
                      <w:color w:val="auto"/>
                      <w:sz w:val="21"/>
                      <w:szCs w:val="16"/>
                    </w:rPr>
                    <w:t>氟</w:t>
                  </w:r>
                  <w:r>
                    <w:rPr>
                      <w:color w:val="auto"/>
                      <w:kern w:val="0"/>
                      <w:szCs w:val="21"/>
                      <w:lang w:bidi="ar"/>
                    </w:rPr>
                    <w:t>产生</w:t>
                  </w:r>
                  <w:r>
                    <w:rPr>
                      <w:rFonts w:hint="eastAsia"/>
                      <w:color w:val="auto"/>
                      <w:kern w:val="0"/>
                      <w:szCs w:val="21"/>
                      <w:lang w:val="en-US" w:eastAsia="zh-CN" w:bidi="ar"/>
                    </w:rPr>
                    <w:t>速率（kg/h）</w:t>
                  </w:r>
                </w:p>
              </w:tc>
              <w:tc>
                <w:tcPr>
                  <w:tcW w:w="1288" w:type="pct"/>
                  <w:vAlign w:val="center"/>
                </w:tcPr>
                <w:p>
                  <w:pPr>
                    <w:widowControl/>
                    <w:jc w:val="center"/>
                    <w:rPr>
                      <w:rFonts w:hint="eastAsia" w:ascii="Times New Roman" w:hAnsi="Times New Roman" w:eastAsia="宋体" w:cs="Times New Roman"/>
                      <w:color w:val="auto"/>
                      <w:kern w:val="0"/>
                      <w:sz w:val="21"/>
                      <w:szCs w:val="21"/>
                      <w:lang w:val="en-US" w:eastAsia="zh-CN" w:bidi="ar"/>
                    </w:rPr>
                  </w:pPr>
                  <w:r>
                    <w:rPr>
                      <w:rFonts w:hint="eastAsia"/>
                      <w:bCs/>
                      <w:color w:val="auto"/>
                      <w:sz w:val="21"/>
                      <w:szCs w:val="16"/>
                    </w:rPr>
                    <w:t>氟</w:t>
                  </w:r>
                  <w:r>
                    <w:rPr>
                      <w:color w:val="auto"/>
                      <w:kern w:val="0"/>
                      <w:szCs w:val="21"/>
                      <w:lang w:bidi="ar"/>
                    </w:rPr>
                    <w:t>产生</w:t>
                  </w:r>
                  <w:r>
                    <w:rPr>
                      <w:rFonts w:hint="eastAsia"/>
                      <w:color w:val="auto"/>
                      <w:kern w:val="0"/>
                      <w:szCs w:val="21"/>
                      <w:lang w:val="en-US" w:eastAsia="zh-CN" w:bidi="ar"/>
                    </w:rPr>
                    <w:t>浓度（mg/m</w:t>
                  </w:r>
                  <w:r>
                    <w:rPr>
                      <w:rFonts w:hint="eastAsia"/>
                      <w:color w:val="auto"/>
                      <w:kern w:val="0"/>
                      <w:szCs w:val="21"/>
                      <w:vertAlign w:val="superscript"/>
                      <w:lang w:val="en-US" w:eastAsia="zh-CN" w:bidi="ar"/>
                    </w:rPr>
                    <w:t>3</w:t>
                  </w:r>
                  <w:r>
                    <w:rPr>
                      <w:rFonts w:hint="eastAsia"/>
                      <w:color w:val="auto"/>
                      <w:kern w:val="0"/>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3" w:type="pct"/>
                  <w:vAlign w:val="center"/>
                </w:tcPr>
                <w:p>
                  <w:pPr>
                    <w:pStyle w:val="47"/>
                    <w:adjustRightInd w:val="0"/>
                    <w:snapToGrid w:val="0"/>
                    <w:spacing w:line="240" w:lineRule="auto"/>
                    <w:ind w:firstLine="0"/>
                    <w:jc w:val="center"/>
                    <w:outlineLvl w:val="2"/>
                    <w:rPr>
                      <w:bCs/>
                      <w:color w:val="auto"/>
                      <w:sz w:val="21"/>
                      <w:szCs w:val="16"/>
                    </w:rPr>
                  </w:pPr>
                  <w:r>
                    <w:rPr>
                      <w:rFonts w:hint="eastAsia"/>
                      <w:bCs/>
                      <w:color w:val="auto"/>
                      <w:sz w:val="21"/>
                      <w:szCs w:val="16"/>
                    </w:rPr>
                    <w:t>680</w:t>
                  </w:r>
                  <w:r>
                    <w:rPr>
                      <w:rFonts w:hint="eastAsia"/>
                      <w:bCs/>
                      <w:color w:val="auto"/>
                      <w:sz w:val="21"/>
                      <w:szCs w:val="16"/>
                      <w:lang w:val="en-US" w:eastAsia="zh-CN"/>
                    </w:rPr>
                    <w:t>0</w:t>
                  </w:r>
                  <w:r>
                    <w:rPr>
                      <w:rFonts w:hint="eastAsia"/>
                      <w:bCs/>
                      <w:color w:val="auto"/>
                      <w:sz w:val="21"/>
                      <w:szCs w:val="16"/>
                    </w:rPr>
                    <w:t>0t/a</w:t>
                  </w:r>
                </w:p>
              </w:tc>
              <w:tc>
                <w:tcPr>
                  <w:tcW w:w="1288" w:type="pct"/>
                  <w:vAlign w:val="center"/>
                </w:tcPr>
                <w:p>
                  <w:pPr>
                    <w:pStyle w:val="47"/>
                    <w:adjustRightInd w:val="0"/>
                    <w:snapToGrid w:val="0"/>
                    <w:spacing w:line="240" w:lineRule="auto"/>
                    <w:ind w:firstLine="0"/>
                    <w:jc w:val="center"/>
                    <w:outlineLvl w:val="2"/>
                    <w:rPr>
                      <w:rFonts w:hint="default" w:eastAsia="宋体"/>
                      <w:bCs/>
                      <w:color w:val="auto"/>
                      <w:sz w:val="21"/>
                      <w:szCs w:val="16"/>
                      <w:lang w:val="en-US" w:eastAsia="zh-CN"/>
                    </w:rPr>
                  </w:pPr>
                  <w:r>
                    <w:rPr>
                      <w:rFonts w:hint="eastAsia"/>
                      <w:bCs/>
                      <w:color w:val="auto"/>
                      <w:sz w:val="21"/>
                      <w:szCs w:val="16"/>
                      <w:lang w:val="en-US" w:eastAsia="zh-CN"/>
                    </w:rPr>
                    <w:t>0.74</w:t>
                  </w:r>
                </w:p>
              </w:tc>
              <w:tc>
                <w:tcPr>
                  <w:tcW w:w="1288" w:type="pct"/>
                  <w:vAlign w:val="center"/>
                </w:tcPr>
                <w:p>
                  <w:pPr>
                    <w:pStyle w:val="47"/>
                    <w:adjustRightInd w:val="0"/>
                    <w:snapToGrid w:val="0"/>
                    <w:spacing w:line="240" w:lineRule="auto"/>
                    <w:ind w:firstLine="0"/>
                    <w:jc w:val="center"/>
                    <w:outlineLvl w:val="2"/>
                    <w:rPr>
                      <w:rFonts w:hint="default"/>
                      <w:bCs/>
                      <w:color w:val="auto"/>
                      <w:sz w:val="21"/>
                      <w:szCs w:val="16"/>
                      <w:lang w:val="en-US" w:eastAsia="zh-CN"/>
                    </w:rPr>
                  </w:pPr>
                  <w:r>
                    <w:rPr>
                      <w:rFonts w:hint="eastAsia"/>
                      <w:bCs/>
                      <w:color w:val="auto"/>
                      <w:sz w:val="21"/>
                      <w:szCs w:val="16"/>
                      <w:lang w:val="en-US" w:eastAsia="zh-CN"/>
                    </w:rPr>
                    <w:t>0.10</w:t>
                  </w:r>
                </w:p>
              </w:tc>
              <w:tc>
                <w:tcPr>
                  <w:tcW w:w="1288" w:type="pct"/>
                  <w:vAlign w:val="center"/>
                </w:tcPr>
                <w:p>
                  <w:pPr>
                    <w:pStyle w:val="47"/>
                    <w:adjustRightInd w:val="0"/>
                    <w:snapToGrid w:val="0"/>
                    <w:spacing w:line="240" w:lineRule="auto"/>
                    <w:ind w:firstLine="0"/>
                    <w:jc w:val="center"/>
                    <w:outlineLvl w:val="2"/>
                    <w:rPr>
                      <w:rFonts w:hint="default"/>
                      <w:bCs/>
                      <w:color w:val="auto"/>
                      <w:sz w:val="21"/>
                      <w:szCs w:val="16"/>
                      <w:lang w:val="en-US" w:eastAsia="zh-CN"/>
                    </w:rPr>
                  </w:pPr>
                  <w:r>
                    <w:rPr>
                      <w:rFonts w:hint="eastAsia"/>
                      <w:bCs/>
                      <w:color w:val="auto"/>
                      <w:sz w:val="21"/>
                      <w:szCs w:val="16"/>
                      <w:lang w:val="en-US" w:eastAsia="zh-CN"/>
                    </w:rPr>
                    <w:t>2.86</w:t>
                  </w:r>
                </w:p>
              </w:tc>
            </w:tr>
          </w:tbl>
          <w:p>
            <w:pPr>
              <w:pStyle w:val="47"/>
              <w:adjustRightInd w:val="0"/>
              <w:snapToGrid w:val="0"/>
              <w:spacing w:line="240" w:lineRule="auto"/>
              <w:ind w:firstLine="420" w:firstLineChars="200"/>
              <w:outlineLvl w:val="2"/>
              <w:rPr>
                <w:color w:val="auto"/>
                <w:sz w:val="21"/>
                <w:szCs w:val="21"/>
              </w:rPr>
            </w:pPr>
          </w:p>
          <w:p>
            <w:pPr>
              <w:pStyle w:val="47"/>
              <w:adjustRightInd w:val="0"/>
              <w:snapToGrid w:val="0"/>
              <w:ind w:firstLine="481" w:firstLineChars="200"/>
              <w:outlineLvl w:val="2"/>
              <w:rPr>
                <w:b/>
                <w:bCs/>
                <w:color w:val="auto"/>
                <w:szCs w:val="24"/>
              </w:rPr>
            </w:pPr>
            <w:r>
              <w:rPr>
                <w:rFonts w:hint="eastAsia"/>
                <w:b/>
                <w:bCs/>
                <w:color w:val="auto"/>
                <w:szCs w:val="24"/>
              </w:rPr>
              <w:fldChar w:fldCharType="begin"/>
            </w:r>
            <w:r>
              <w:rPr>
                <w:rFonts w:hint="eastAsia"/>
                <w:b/>
                <w:bCs/>
                <w:color w:val="auto"/>
                <w:szCs w:val="24"/>
              </w:rPr>
              <w:instrText xml:space="preserve"> = 2 \* GB3 \* MERGEFORMAT </w:instrText>
            </w:r>
            <w:r>
              <w:rPr>
                <w:rFonts w:hint="eastAsia"/>
                <w:b/>
                <w:bCs/>
                <w:color w:val="auto"/>
                <w:szCs w:val="24"/>
              </w:rPr>
              <w:fldChar w:fldCharType="separate"/>
            </w:r>
            <w:r>
              <w:rPr>
                <w:b/>
                <w:bCs/>
                <w:color w:val="auto"/>
              </w:rPr>
              <w:t>②</w:t>
            </w:r>
            <w:r>
              <w:rPr>
                <w:rFonts w:hint="eastAsia"/>
                <w:b/>
                <w:bCs/>
                <w:color w:val="auto"/>
                <w:szCs w:val="24"/>
              </w:rPr>
              <w:fldChar w:fldCharType="end"/>
            </w:r>
            <w:r>
              <w:rPr>
                <w:rFonts w:hint="eastAsia"/>
                <w:b/>
                <w:bCs/>
                <w:color w:val="auto"/>
                <w:szCs w:val="24"/>
              </w:rPr>
              <w:t>煅烧烘干废气处置方式</w:t>
            </w:r>
          </w:p>
          <w:p>
            <w:pPr>
              <w:pStyle w:val="47"/>
              <w:adjustRightInd w:val="0"/>
              <w:snapToGrid w:val="0"/>
              <w:ind w:firstLine="480" w:firstLineChars="200"/>
              <w:outlineLvl w:val="2"/>
              <w:rPr>
                <w:color w:val="auto"/>
                <w:szCs w:val="24"/>
              </w:rPr>
            </w:pPr>
            <w:r>
              <w:rPr>
                <w:rFonts w:hint="eastAsia"/>
                <w:color w:val="auto"/>
                <w:szCs w:val="24"/>
              </w:rPr>
              <w:t>煅烧产生的高温烟气通过管道抽至烘干窑最为热源对成型的砖胚进行烘干后引至已安装的</w:t>
            </w:r>
            <w:r>
              <w:rPr>
                <w:rFonts w:hint="eastAsia"/>
                <w:color w:val="auto"/>
                <w:szCs w:val="24"/>
                <w:lang w:val="en-US" w:eastAsia="zh-CN"/>
              </w:rPr>
              <w:t>石灰石膏法</w:t>
            </w:r>
            <w:r>
              <w:rPr>
                <w:rFonts w:hint="eastAsia"/>
                <w:color w:val="auto"/>
                <w:szCs w:val="24"/>
              </w:rPr>
              <w:t>脱硫塔中处理后通过现有高50m的排气筒（DA001）排放。</w:t>
            </w:r>
          </w:p>
          <w:p>
            <w:pPr>
              <w:pStyle w:val="47"/>
              <w:adjustRightInd w:val="0"/>
              <w:snapToGrid w:val="0"/>
              <w:ind w:firstLine="481" w:firstLineChars="200"/>
              <w:outlineLvl w:val="2"/>
              <w:rPr>
                <w:b/>
                <w:bCs/>
                <w:color w:val="auto"/>
                <w:szCs w:val="24"/>
              </w:rPr>
            </w:pPr>
            <w:r>
              <w:rPr>
                <w:rFonts w:hint="eastAsia"/>
                <w:b/>
                <w:bCs/>
                <w:color w:val="auto"/>
                <w:szCs w:val="24"/>
              </w:rPr>
              <w:fldChar w:fldCharType="begin"/>
            </w:r>
            <w:r>
              <w:rPr>
                <w:rFonts w:hint="eastAsia"/>
                <w:b/>
                <w:bCs/>
                <w:color w:val="auto"/>
                <w:szCs w:val="24"/>
              </w:rPr>
              <w:instrText xml:space="preserve"> = 3 \* GB3 \* MERGEFORMAT </w:instrText>
            </w:r>
            <w:r>
              <w:rPr>
                <w:rFonts w:hint="eastAsia"/>
                <w:b/>
                <w:bCs/>
                <w:color w:val="auto"/>
                <w:szCs w:val="24"/>
              </w:rPr>
              <w:fldChar w:fldCharType="separate"/>
            </w:r>
            <w:r>
              <w:rPr>
                <w:b/>
                <w:bCs/>
                <w:color w:val="auto"/>
              </w:rPr>
              <w:t>③</w:t>
            </w:r>
            <w:r>
              <w:rPr>
                <w:rFonts w:hint="eastAsia"/>
                <w:b/>
                <w:bCs/>
                <w:color w:val="auto"/>
                <w:szCs w:val="24"/>
              </w:rPr>
              <w:fldChar w:fldCharType="end"/>
            </w:r>
            <w:r>
              <w:rPr>
                <w:rFonts w:hint="eastAsia"/>
                <w:b/>
                <w:bCs/>
                <w:color w:val="auto"/>
                <w:szCs w:val="24"/>
              </w:rPr>
              <w:t>防治措施可行性分析</w:t>
            </w:r>
          </w:p>
          <w:p>
            <w:pPr>
              <w:widowControl/>
              <w:spacing w:line="360" w:lineRule="auto"/>
              <w:ind w:firstLine="480" w:firstLineChars="200"/>
              <w:jc w:val="left"/>
              <w:rPr>
                <w:rFonts w:hint="default" w:eastAsia="宋体"/>
                <w:color w:val="auto"/>
                <w:kern w:val="0"/>
                <w:sz w:val="24"/>
                <w:lang w:val="en-US" w:eastAsia="zh-CN" w:bidi="ar"/>
              </w:rPr>
            </w:pPr>
            <w:r>
              <w:rPr>
                <w:rFonts w:hint="eastAsia" w:ascii="宋体" w:hAnsi="宋体" w:cs="宋体"/>
                <w:color w:val="auto"/>
                <w:sz w:val="24"/>
              </w:rPr>
              <w:t>根据</w:t>
            </w:r>
            <w:r>
              <w:rPr>
                <w:rFonts w:hint="eastAsia"/>
                <w:bCs/>
                <w:color w:val="auto"/>
                <w:sz w:val="24"/>
              </w:rPr>
              <w:t>《排污许可证申请与核发技术规范  工业炉窑》（HJ1121-2020）</w:t>
            </w:r>
            <w:r>
              <w:rPr>
                <w:rFonts w:hint="eastAsia"/>
                <w:bCs/>
                <w:color w:val="auto"/>
                <w:sz w:val="24"/>
                <w:lang w:eastAsia="zh-CN"/>
              </w:rPr>
              <w:t>，</w:t>
            </w:r>
            <w:r>
              <w:rPr>
                <w:rFonts w:hint="eastAsia"/>
                <w:bCs/>
                <w:color w:val="auto"/>
                <w:sz w:val="24"/>
                <w:lang w:val="en-US" w:eastAsia="zh-CN"/>
              </w:rPr>
              <w:t>焙</w:t>
            </w:r>
            <w:r>
              <w:rPr>
                <w:rFonts w:hint="eastAsia"/>
                <w:bCs/>
                <w:color w:val="auto"/>
                <w:sz w:val="24"/>
                <w:lang w:eastAsia="zh-CN"/>
              </w:rPr>
              <w:t>（</w:t>
            </w:r>
            <w:r>
              <w:rPr>
                <w:rFonts w:hint="eastAsia"/>
                <w:bCs/>
                <w:color w:val="auto"/>
                <w:sz w:val="24"/>
                <w:lang w:val="en-US" w:eastAsia="zh-CN"/>
              </w:rPr>
              <w:t>煅）烧产生的二氧化硫治理的可行技术包括“</w:t>
            </w:r>
            <w:r>
              <w:rPr>
                <w:rFonts w:hint="eastAsia"/>
                <w:bCs/>
                <w:color w:val="auto"/>
                <w:sz w:val="24"/>
                <w:lang w:eastAsia="zh-CN"/>
              </w:rPr>
              <w:t>采用低硫燃料；干法、半干法脱硫；湿法脱硫”</w:t>
            </w:r>
            <w:r>
              <w:rPr>
                <w:rFonts w:hint="eastAsia"/>
                <w:bCs/>
                <w:color w:val="auto"/>
                <w:sz w:val="24"/>
                <w:lang w:val="en-US" w:eastAsia="zh-CN"/>
              </w:rPr>
              <w:t>。本项目改扩建后燃料为天然气，尾气治理措施为湿法脱硫（石灰石膏法），属于</w:t>
            </w:r>
            <w:r>
              <w:rPr>
                <w:rFonts w:hint="eastAsia"/>
                <w:bCs/>
                <w:color w:val="auto"/>
                <w:sz w:val="24"/>
              </w:rPr>
              <w:t>《排污许可证申请与核发技术规范  工业炉窑》（HJ1121-2020）</w:t>
            </w:r>
            <w:r>
              <w:rPr>
                <w:rFonts w:hint="eastAsia"/>
                <w:bCs/>
                <w:color w:val="auto"/>
                <w:sz w:val="24"/>
                <w:lang w:val="en-US" w:eastAsia="zh-CN"/>
              </w:rPr>
              <w:t>中规定的可行技术。</w:t>
            </w:r>
          </w:p>
          <w:p>
            <w:pPr>
              <w:widowControl/>
              <w:spacing w:line="360" w:lineRule="auto"/>
              <w:ind w:firstLine="481" w:firstLineChars="200"/>
              <w:jc w:val="left"/>
              <w:rPr>
                <w:b/>
                <w:bCs/>
                <w:color w:val="auto"/>
                <w:kern w:val="0"/>
                <w:sz w:val="24"/>
                <w:lang w:bidi="ar"/>
              </w:rPr>
            </w:pPr>
            <w:r>
              <w:rPr>
                <w:rFonts w:hint="eastAsia"/>
                <w:b/>
                <w:bCs/>
                <w:color w:val="auto"/>
                <w:kern w:val="0"/>
                <w:sz w:val="24"/>
                <w:lang w:val="en-US" w:eastAsia="zh-CN" w:bidi="ar"/>
              </w:rPr>
              <w:fldChar w:fldCharType="begin"/>
            </w:r>
            <w:r>
              <w:rPr>
                <w:rFonts w:hint="eastAsia"/>
                <w:b/>
                <w:bCs/>
                <w:color w:val="auto"/>
                <w:kern w:val="0"/>
                <w:sz w:val="24"/>
                <w:lang w:val="en-US" w:eastAsia="zh-CN" w:bidi="ar"/>
              </w:rPr>
              <w:instrText xml:space="preserve"> = 4 \* GB3 \* MERGEFORMAT </w:instrText>
            </w:r>
            <w:r>
              <w:rPr>
                <w:rFonts w:hint="eastAsia"/>
                <w:b/>
                <w:bCs/>
                <w:color w:val="auto"/>
                <w:kern w:val="0"/>
                <w:sz w:val="24"/>
                <w:lang w:val="en-US" w:eastAsia="zh-CN" w:bidi="ar"/>
              </w:rPr>
              <w:fldChar w:fldCharType="separate"/>
            </w:r>
            <w:r>
              <w:rPr>
                <w:b/>
                <w:bCs/>
                <w:color w:val="auto"/>
              </w:rPr>
              <w:t>④</w:t>
            </w:r>
            <w:r>
              <w:rPr>
                <w:rFonts w:hint="eastAsia"/>
                <w:b/>
                <w:bCs/>
                <w:color w:val="auto"/>
                <w:kern w:val="0"/>
                <w:sz w:val="24"/>
                <w:lang w:val="en-US" w:eastAsia="zh-CN" w:bidi="ar"/>
              </w:rPr>
              <w:fldChar w:fldCharType="end"/>
            </w:r>
            <w:r>
              <w:rPr>
                <w:rFonts w:hint="eastAsia"/>
                <w:b/>
                <w:bCs/>
                <w:color w:val="auto"/>
                <w:kern w:val="0"/>
                <w:sz w:val="24"/>
                <w:lang w:bidi="ar"/>
              </w:rPr>
              <w:t>煅烧烘干废气排放情况</w:t>
            </w:r>
          </w:p>
          <w:p>
            <w:pPr>
              <w:pStyle w:val="47"/>
              <w:adjustRightInd w:val="0"/>
              <w:snapToGrid w:val="0"/>
              <w:ind w:firstLine="480" w:firstLineChars="200"/>
              <w:outlineLvl w:val="2"/>
              <w:rPr>
                <w:color w:val="auto"/>
                <w:szCs w:val="24"/>
              </w:rPr>
            </w:pPr>
            <w:r>
              <w:rPr>
                <w:rFonts w:hint="eastAsia"/>
                <w:color w:val="auto"/>
                <w:szCs w:val="24"/>
              </w:rPr>
              <w:t>新增隧道窑和推板窑烟气全部用管道汇总到</w:t>
            </w:r>
            <w:r>
              <w:rPr>
                <w:rFonts w:hint="eastAsia"/>
                <w:color w:val="auto"/>
                <w:szCs w:val="24"/>
                <w:lang w:eastAsia="zh-CN"/>
              </w:rPr>
              <w:t>石灰石膏法脱硫塔</w:t>
            </w:r>
            <w:r>
              <w:rPr>
                <w:rFonts w:hint="eastAsia"/>
                <w:color w:val="auto"/>
                <w:szCs w:val="24"/>
              </w:rPr>
              <w:t>进气管道中，与原有隧道窑烟气一并由</w:t>
            </w:r>
            <w:r>
              <w:rPr>
                <w:rFonts w:hint="eastAsia"/>
                <w:color w:val="auto"/>
                <w:szCs w:val="24"/>
                <w:lang w:eastAsia="zh-CN"/>
              </w:rPr>
              <w:t>石灰石膏法脱硫塔</w:t>
            </w:r>
            <w:r>
              <w:rPr>
                <w:rFonts w:hint="eastAsia"/>
                <w:bCs/>
                <w:color w:val="auto"/>
              </w:rPr>
              <w:t>处理后由一台风机（风量为30000m</w:t>
            </w:r>
            <w:r>
              <w:rPr>
                <w:rFonts w:hint="eastAsia"/>
                <w:bCs/>
                <w:color w:val="auto"/>
                <w:vertAlign w:val="superscript"/>
              </w:rPr>
              <w:t>3</w:t>
            </w:r>
            <w:r>
              <w:rPr>
                <w:rFonts w:hint="eastAsia"/>
                <w:bCs/>
                <w:color w:val="auto"/>
              </w:rPr>
              <w:t>/h）通过已建50m高排气筒中抽排。</w:t>
            </w:r>
          </w:p>
          <w:p>
            <w:pPr>
              <w:pStyle w:val="47"/>
              <w:adjustRightInd w:val="0"/>
              <w:snapToGrid w:val="0"/>
              <w:spacing w:line="240" w:lineRule="auto"/>
              <w:ind w:firstLine="0"/>
              <w:jc w:val="center"/>
              <w:outlineLvl w:val="2"/>
              <w:rPr>
                <w:b/>
                <w:bCs/>
                <w:color w:val="auto"/>
                <w:sz w:val="21"/>
                <w:szCs w:val="21"/>
              </w:rPr>
            </w:pPr>
            <w:r>
              <w:rPr>
                <w:rFonts w:hint="eastAsia"/>
                <w:b/>
                <w:bCs/>
                <w:color w:val="auto"/>
                <w:sz w:val="21"/>
                <w:szCs w:val="21"/>
              </w:rPr>
              <w:t>表4-4  改扩建完成后</w:t>
            </w:r>
            <w:r>
              <w:rPr>
                <w:rFonts w:hint="eastAsia"/>
                <w:b/>
                <w:bCs/>
                <w:color w:val="auto"/>
                <w:sz w:val="21"/>
                <w:szCs w:val="21"/>
                <w:lang w:val="en-US" w:eastAsia="zh-CN"/>
              </w:rPr>
              <w:t>隧道窑</w:t>
            </w:r>
            <w:r>
              <w:rPr>
                <w:rFonts w:hint="eastAsia"/>
                <w:b/>
                <w:bCs/>
                <w:color w:val="auto"/>
                <w:sz w:val="21"/>
                <w:szCs w:val="21"/>
              </w:rPr>
              <w:t>有组织污染物处理情况</w:t>
            </w:r>
          </w:p>
          <w:tbl>
            <w:tblPr>
              <w:tblStyle w:val="22"/>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065"/>
              <w:gridCol w:w="1035"/>
              <w:gridCol w:w="975"/>
              <w:gridCol w:w="870"/>
              <w:gridCol w:w="825"/>
              <w:gridCol w:w="96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54" w:type="pct"/>
                  <w:vMerge w:val="restar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废气</w:t>
                  </w:r>
                </w:p>
                <w:p>
                  <w:pPr>
                    <w:pStyle w:val="47"/>
                    <w:adjustRightInd w:val="0"/>
                    <w:snapToGrid w:val="0"/>
                    <w:spacing w:line="240" w:lineRule="auto"/>
                    <w:ind w:firstLine="0"/>
                    <w:jc w:val="center"/>
                    <w:outlineLvl w:val="2"/>
                    <w:rPr>
                      <w:color w:val="auto"/>
                      <w:sz w:val="21"/>
                      <w:szCs w:val="21"/>
                    </w:rPr>
                  </w:pPr>
                  <w:r>
                    <w:rPr>
                      <w:rFonts w:hint="eastAsia"/>
                      <w:color w:val="auto"/>
                      <w:sz w:val="21"/>
                      <w:szCs w:val="21"/>
                    </w:rPr>
                    <w:t>排放量</w:t>
                  </w:r>
                </w:p>
              </w:tc>
              <w:tc>
                <w:tcPr>
                  <w:tcW w:w="664" w:type="pct"/>
                  <w:vMerge w:val="restar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污染</w:t>
                  </w:r>
                </w:p>
                <w:p>
                  <w:pPr>
                    <w:pStyle w:val="47"/>
                    <w:adjustRightInd w:val="0"/>
                    <w:snapToGrid w:val="0"/>
                    <w:spacing w:line="240" w:lineRule="auto"/>
                    <w:ind w:firstLine="0"/>
                    <w:jc w:val="center"/>
                    <w:outlineLvl w:val="2"/>
                    <w:rPr>
                      <w:color w:val="auto"/>
                      <w:sz w:val="21"/>
                      <w:szCs w:val="21"/>
                    </w:rPr>
                  </w:pPr>
                  <w:r>
                    <w:rPr>
                      <w:rFonts w:hint="eastAsia"/>
                      <w:color w:val="auto"/>
                      <w:sz w:val="21"/>
                      <w:szCs w:val="21"/>
                    </w:rPr>
                    <w:t>因子</w:t>
                  </w:r>
                </w:p>
              </w:tc>
              <w:tc>
                <w:tcPr>
                  <w:tcW w:w="646" w:type="pct"/>
                  <w:vMerge w:val="restar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产生量</w:t>
                  </w:r>
                </w:p>
                <w:p>
                  <w:pPr>
                    <w:pStyle w:val="47"/>
                    <w:adjustRightInd w:val="0"/>
                    <w:snapToGrid w:val="0"/>
                    <w:spacing w:line="240" w:lineRule="auto"/>
                    <w:ind w:firstLine="0"/>
                    <w:jc w:val="center"/>
                    <w:outlineLvl w:val="2"/>
                    <w:rPr>
                      <w:color w:val="auto"/>
                      <w:sz w:val="21"/>
                      <w:szCs w:val="21"/>
                    </w:rPr>
                  </w:pPr>
                  <w:r>
                    <w:rPr>
                      <w:rFonts w:hint="eastAsia"/>
                      <w:color w:val="auto"/>
                      <w:sz w:val="21"/>
                      <w:szCs w:val="21"/>
                    </w:rPr>
                    <w:t>（t/a）</w:t>
                  </w:r>
                </w:p>
              </w:tc>
              <w:tc>
                <w:tcPr>
                  <w:tcW w:w="608" w:type="pct"/>
                  <w:vMerge w:val="restar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处理</w:t>
                  </w:r>
                </w:p>
                <w:p>
                  <w:pPr>
                    <w:pStyle w:val="47"/>
                    <w:adjustRightInd w:val="0"/>
                    <w:snapToGrid w:val="0"/>
                    <w:spacing w:line="240" w:lineRule="auto"/>
                    <w:ind w:firstLine="0"/>
                    <w:jc w:val="center"/>
                    <w:outlineLvl w:val="2"/>
                    <w:rPr>
                      <w:color w:val="auto"/>
                      <w:sz w:val="21"/>
                      <w:szCs w:val="21"/>
                    </w:rPr>
                  </w:pPr>
                  <w:r>
                    <w:rPr>
                      <w:rFonts w:hint="eastAsia"/>
                      <w:color w:val="auto"/>
                      <w:sz w:val="21"/>
                      <w:szCs w:val="21"/>
                    </w:rPr>
                    <w:t>方式</w:t>
                  </w:r>
                </w:p>
              </w:tc>
              <w:tc>
                <w:tcPr>
                  <w:tcW w:w="543" w:type="pct"/>
                  <w:vMerge w:val="restar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处理</w:t>
                  </w:r>
                </w:p>
                <w:p>
                  <w:pPr>
                    <w:pStyle w:val="47"/>
                    <w:adjustRightInd w:val="0"/>
                    <w:snapToGrid w:val="0"/>
                    <w:spacing w:line="240" w:lineRule="auto"/>
                    <w:ind w:firstLine="0"/>
                    <w:jc w:val="center"/>
                    <w:outlineLvl w:val="2"/>
                    <w:rPr>
                      <w:color w:val="auto"/>
                      <w:sz w:val="21"/>
                      <w:szCs w:val="21"/>
                    </w:rPr>
                  </w:pPr>
                  <w:r>
                    <w:rPr>
                      <w:rFonts w:hint="eastAsia"/>
                      <w:color w:val="auto"/>
                      <w:sz w:val="21"/>
                      <w:szCs w:val="21"/>
                    </w:rPr>
                    <w:t>效率</w:t>
                  </w:r>
                </w:p>
                <w:p>
                  <w:pPr>
                    <w:pStyle w:val="47"/>
                    <w:adjustRightInd w:val="0"/>
                    <w:snapToGrid w:val="0"/>
                    <w:spacing w:line="240" w:lineRule="auto"/>
                    <w:ind w:firstLine="0"/>
                    <w:jc w:val="center"/>
                    <w:outlineLvl w:val="2"/>
                    <w:rPr>
                      <w:color w:val="auto"/>
                      <w:sz w:val="21"/>
                      <w:szCs w:val="21"/>
                    </w:rPr>
                  </w:pPr>
                  <w:r>
                    <w:rPr>
                      <w:rFonts w:hint="eastAsia"/>
                      <w:color w:val="auto"/>
                      <w:sz w:val="21"/>
                      <w:szCs w:val="21"/>
                    </w:rPr>
                    <w:t>（%）</w:t>
                  </w:r>
                </w:p>
              </w:tc>
              <w:tc>
                <w:tcPr>
                  <w:tcW w:w="1882" w:type="pct"/>
                  <w:gridSpan w:val="3"/>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54"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664"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646"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608"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543"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515"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量</w:t>
                  </w:r>
                </w:p>
                <w:p>
                  <w:pPr>
                    <w:pStyle w:val="47"/>
                    <w:adjustRightInd w:val="0"/>
                    <w:snapToGrid w:val="0"/>
                    <w:spacing w:line="240" w:lineRule="auto"/>
                    <w:ind w:firstLine="0"/>
                    <w:jc w:val="center"/>
                    <w:outlineLvl w:val="2"/>
                    <w:rPr>
                      <w:color w:val="auto"/>
                      <w:sz w:val="21"/>
                      <w:szCs w:val="21"/>
                    </w:rPr>
                  </w:pPr>
                  <w:r>
                    <w:rPr>
                      <w:rFonts w:hint="eastAsia"/>
                      <w:color w:val="auto"/>
                      <w:sz w:val="21"/>
                      <w:szCs w:val="21"/>
                    </w:rPr>
                    <w:t>（t/a）</w:t>
                  </w:r>
                </w:p>
              </w:tc>
              <w:tc>
                <w:tcPr>
                  <w:tcW w:w="599" w:type="pct"/>
                  <w:vAlign w:val="center"/>
                </w:tcPr>
                <w:p>
                  <w:pPr>
                    <w:pStyle w:val="47"/>
                    <w:adjustRightInd w:val="0"/>
                    <w:snapToGrid w:val="0"/>
                    <w:spacing w:line="240" w:lineRule="auto"/>
                    <w:ind w:firstLine="0" w:firstLineChars="0"/>
                    <w:jc w:val="center"/>
                    <w:outlineLvl w:val="2"/>
                    <w:rPr>
                      <w:rFonts w:ascii="Times New Roman" w:hAnsi="Times New Roman" w:eastAsia="宋体" w:cs="Times New Roman"/>
                      <w:color w:val="auto"/>
                      <w:kern w:val="2"/>
                      <w:sz w:val="21"/>
                      <w:szCs w:val="21"/>
                      <w:lang w:val="en-US" w:eastAsia="zh-CN" w:bidi="ar-SA"/>
                    </w:rPr>
                  </w:pPr>
                  <w:r>
                    <w:rPr>
                      <w:rFonts w:hint="eastAsia"/>
                      <w:color w:val="auto"/>
                      <w:sz w:val="21"/>
                      <w:szCs w:val="21"/>
                    </w:rPr>
                    <w:t>速率（kg/h）</w:t>
                  </w:r>
                </w:p>
              </w:tc>
              <w:tc>
                <w:tcPr>
                  <w:tcW w:w="767" w:type="pct"/>
                  <w:vAlign w:val="center"/>
                </w:tcPr>
                <w:p>
                  <w:pPr>
                    <w:pStyle w:val="47"/>
                    <w:adjustRightInd w:val="0"/>
                    <w:snapToGrid w:val="0"/>
                    <w:spacing w:line="240" w:lineRule="auto"/>
                    <w:ind w:firstLine="0" w:firstLineChars="0"/>
                    <w:jc w:val="center"/>
                    <w:outlineLvl w:val="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浓度（mg/m</w:t>
                  </w:r>
                  <w:r>
                    <w:rPr>
                      <w:rFonts w:hint="eastAsia"/>
                      <w:color w:val="auto"/>
                      <w:sz w:val="21"/>
                      <w:szCs w:val="21"/>
                      <w:vertAlign w:val="superscript"/>
                    </w:rPr>
                    <w:t>3</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54" w:type="pct"/>
                  <w:vMerge w:val="restar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lang w:val="en-US" w:eastAsia="zh-CN"/>
                    </w:rPr>
                    <w:t>25874</w:t>
                  </w:r>
                  <w:r>
                    <w:rPr>
                      <w:rFonts w:hint="eastAsia"/>
                      <w:color w:val="auto"/>
                      <w:sz w:val="21"/>
                      <w:szCs w:val="21"/>
                    </w:rPr>
                    <w:t>万Nm</w:t>
                  </w:r>
                  <w:r>
                    <w:rPr>
                      <w:rFonts w:hint="eastAsia"/>
                      <w:color w:val="auto"/>
                      <w:sz w:val="21"/>
                      <w:szCs w:val="21"/>
                      <w:vertAlign w:val="superscript"/>
                    </w:rPr>
                    <w:t>3</w:t>
                  </w:r>
                  <w:r>
                    <w:rPr>
                      <w:rFonts w:hint="eastAsia"/>
                      <w:color w:val="auto"/>
                      <w:sz w:val="21"/>
                      <w:szCs w:val="21"/>
                    </w:rPr>
                    <w:t>/a</w:t>
                  </w:r>
                </w:p>
              </w:tc>
              <w:tc>
                <w:tcPr>
                  <w:tcW w:w="664"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颗粒物</w:t>
                  </w:r>
                </w:p>
              </w:tc>
              <w:tc>
                <w:tcPr>
                  <w:tcW w:w="646" w:type="pct"/>
                  <w:vAlign w:val="center"/>
                </w:tcPr>
                <w:p>
                  <w:pPr>
                    <w:pStyle w:val="47"/>
                    <w:adjustRightInd w:val="0"/>
                    <w:snapToGrid w:val="0"/>
                    <w:spacing w:line="240" w:lineRule="auto"/>
                    <w:ind w:firstLine="0"/>
                    <w:jc w:val="center"/>
                    <w:outlineLvl w:val="2"/>
                    <w:rPr>
                      <w:rFonts w:hint="eastAsia" w:eastAsia="宋体"/>
                      <w:color w:val="auto"/>
                      <w:sz w:val="21"/>
                      <w:szCs w:val="21"/>
                      <w:lang w:eastAsia="zh-CN"/>
                    </w:rPr>
                  </w:pPr>
                  <w:r>
                    <w:rPr>
                      <w:rFonts w:hint="eastAsia"/>
                      <w:color w:val="auto"/>
                      <w:sz w:val="21"/>
                      <w:szCs w:val="21"/>
                    </w:rPr>
                    <w:t>2.24</w:t>
                  </w:r>
                  <w:r>
                    <w:rPr>
                      <w:rFonts w:hint="eastAsia"/>
                      <w:color w:val="auto"/>
                      <w:sz w:val="21"/>
                      <w:szCs w:val="21"/>
                      <w:lang w:val="en-US" w:eastAsia="zh-CN"/>
                    </w:rPr>
                    <w:t>4</w:t>
                  </w:r>
                </w:p>
              </w:tc>
              <w:tc>
                <w:tcPr>
                  <w:tcW w:w="608" w:type="pct"/>
                  <w:vMerge w:val="restar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lang w:eastAsia="zh-CN"/>
                    </w:rPr>
                    <w:t>石灰石膏法脱硫塔</w:t>
                  </w:r>
                  <w:r>
                    <w:rPr>
                      <w:rFonts w:hint="eastAsia"/>
                      <w:color w:val="auto"/>
                      <w:sz w:val="21"/>
                      <w:szCs w:val="21"/>
                    </w:rPr>
                    <w:t>+50m排气筒DA001</w:t>
                  </w:r>
                </w:p>
              </w:tc>
              <w:tc>
                <w:tcPr>
                  <w:tcW w:w="543"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40</w:t>
                  </w:r>
                </w:p>
              </w:tc>
              <w:tc>
                <w:tcPr>
                  <w:tcW w:w="515"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1.35</w:t>
                  </w:r>
                </w:p>
              </w:tc>
              <w:tc>
                <w:tcPr>
                  <w:tcW w:w="599" w:type="pct"/>
                  <w:vAlign w:val="center"/>
                </w:tcPr>
                <w:p>
                  <w:pPr>
                    <w:pStyle w:val="47"/>
                    <w:adjustRightInd w:val="0"/>
                    <w:snapToGrid w:val="0"/>
                    <w:spacing w:line="240" w:lineRule="auto"/>
                    <w:ind w:firstLine="0" w:firstLineChars="0"/>
                    <w:jc w:val="center"/>
                    <w:outlineLvl w:val="2"/>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0.19</w:t>
                  </w:r>
                </w:p>
              </w:tc>
              <w:tc>
                <w:tcPr>
                  <w:tcW w:w="767" w:type="pct"/>
                  <w:vAlign w:val="center"/>
                </w:tcPr>
                <w:p>
                  <w:pPr>
                    <w:pStyle w:val="47"/>
                    <w:adjustRightInd w:val="0"/>
                    <w:snapToGrid w:val="0"/>
                    <w:spacing w:line="240" w:lineRule="auto"/>
                    <w:ind w:firstLine="0" w:firstLineChars="0"/>
                    <w:jc w:val="center"/>
                    <w:outlineLvl w:val="2"/>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54" w:type="pct"/>
                  <w:vMerge w:val="continue"/>
                  <w:vAlign w:val="center"/>
                </w:tcPr>
                <w:p>
                  <w:pPr>
                    <w:pStyle w:val="47"/>
                    <w:adjustRightInd w:val="0"/>
                    <w:snapToGrid w:val="0"/>
                    <w:spacing w:line="240" w:lineRule="auto"/>
                    <w:ind w:firstLine="0"/>
                    <w:jc w:val="center"/>
                    <w:outlineLvl w:val="2"/>
                    <w:rPr>
                      <w:rFonts w:hint="eastAsia"/>
                      <w:color w:val="auto"/>
                      <w:sz w:val="21"/>
                      <w:szCs w:val="21"/>
                      <w:lang w:val="en-US" w:eastAsia="zh-CN"/>
                    </w:rPr>
                  </w:pPr>
                </w:p>
              </w:tc>
              <w:tc>
                <w:tcPr>
                  <w:tcW w:w="664" w:type="pct"/>
                  <w:vAlign w:val="center"/>
                </w:tcPr>
                <w:p>
                  <w:pPr>
                    <w:pStyle w:val="47"/>
                    <w:adjustRightInd w:val="0"/>
                    <w:snapToGrid w:val="0"/>
                    <w:spacing w:line="240" w:lineRule="auto"/>
                    <w:ind w:firstLine="0" w:firstLineChars="0"/>
                    <w:jc w:val="center"/>
                    <w:outlineLvl w:val="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NO</w:t>
                  </w:r>
                  <w:r>
                    <w:rPr>
                      <w:rFonts w:hint="eastAsia"/>
                      <w:color w:val="auto"/>
                      <w:sz w:val="21"/>
                      <w:szCs w:val="21"/>
                      <w:vertAlign w:val="subscript"/>
                    </w:rPr>
                    <w:t>x</w:t>
                  </w:r>
                </w:p>
              </w:tc>
              <w:tc>
                <w:tcPr>
                  <w:tcW w:w="646" w:type="pct"/>
                  <w:vAlign w:val="center"/>
                </w:tcPr>
                <w:p>
                  <w:pPr>
                    <w:pStyle w:val="47"/>
                    <w:adjustRightInd w:val="0"/>
                    <w:snapToGrid w:val="0"/>
                    <w:spacing w:line="240" w:lineRule="auto"/>
                    <w:ind w:firstLine="0" w:firstLineChars="0"/>
                    <w:jc w:val="center"/>
                    <w:outlineLvl w:val="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13.</w:t>
                  </w:r>
                  <w:r>
                    <w:rPr>
                      <w:rFonts w:hint="eastAsia"/>
                      <w:color w:val="auto"/>
                      <w:sz w:val="21"/>
                      <w:szCs w:val="21"/>
                      <w:lang w:val="en-US" w:eastAsia="zh-CN"/>
                    </w:rPr>
                    <w:t>124</w:t>
                  </w:r>
                </w:p>
              </w:tc>
              <w:tc>
                <w:tcPr>
                  <w:tcW w:w="608" w:type="pct"/>
                  <w:vMerge w:val="continue"/>
                  <w:vAlign w:val="center"/>
                </w:tcPr>
                <w:p>
                  <w:pPr>
                    <w:pStyle w:val="47"/>
                    <w:adjustRightInd w:val="0"/>
                    <w:snapToGrid w:val="0"/>
                    <w:spacing w:line="240" w:lineRule="auto"/>
                    <w:ind w:firstLine="0" w:firstLineChars="0"/>
                    <w:jc w:val="center"/>
                    <w:outlineLvl w:val="2"/>
                    <w:rPr>
                      <w:rFonts w:hint="eastAsia" w:ascii="Times New Roman" w:hAnsi="Times New Roman" w:eastAsia="宋体" w:cs="Times New Roman"/>
                      <w:color w:val="auto"/>
                      <w:kern w:val="2"/>
                      <w:sz w:val="21"/>
                      <w:szCs w:val="21"/>
                      <w:lang w:val="en-US" w:eastAsia="zh-CN" w:bidi="ar-SA"/>
                    </w:rPr>
                  </w:pPr>
                </w:p>
              </w:tc>
              <w:tc>
                <w:tcPr>
                  <w:tcW w:w="543" w:type="pct"/>
                  <w:vAlign w:val="center"/>
                </w:tcPr>
                <w:p>
                  <w:pPr>
                    <w:pStyle w:val="47"/>
                    <w:adjustRightInd w:val="0"/>
                    <w:snapToGrid w:val="0"/>
                    <w:spacing w:line="240" w:lineRule="auto"/>
                    <w:ind w:firstLine="0" w:firstLineChars="0"/>
                    <w:jc w:val="center"/>
                    <w:outlineLvl w:val="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c>
                <w:tcPr>
                  <w:tcW w:w="515" w:type="pct"/>
                  <w:vAlign w:val="center"/>
                </w:tcPr>
                <w:p>
                  <w:pPr>
                    <w:pStyle w:val="47"/>
                    <w:adjustRightInd w:val="0"/>
                    <w:snapToGrid w:val="0"/>
                    <w:spacing w:line="240" w:lineRule="auto"/>
                    <w:ind w:firstLine="0" w:firstLineChars="0"/>
                    <w:jc w:val="center"/>
                    <w:outlineLvl w:val="2"/>
                    <w:rPr>
                      <w:rFonts w:hint="eastAsia" w:ascii="Times New Roman" w:hAnsi="Times New Roman" w:eastAsia="宋体" w:cs="Times New Roman"/>
                      <w:bCs/>
                      <w:color w:val="auto"/>
                      <w:kern w:val="2"/>
                      <w:sz w:val="21"/>
                      <w:szCs w:val="16"/>
                      <w:lang w:val="en-US" w:eastAsia="zh-CN" w:bidi="ar-SA"/>
                    </w:rPr>
                  </w:pPr>
                  <w:r>
                    <w:rPr>
                      <w:rFonts w:hint="eastAsia"/>
                      <w:bCs/>
                      <w:color w:val="auto"/>
                      <w:sz w:val="21"/>
                      <w:szCs w:val="16"/>
                    </w:rPr>
                    <w:t>13.1</w:t>
                  </w:r>
                  <w:r>
                    <w:rPr>
                      <w:rFonts w:hint="eastAsia"/>
                      <w:bCs/>
                      <w:color w:val="auto"/>
                      <w:sz w:val="21"/>
                      <w:szCs w:val="16"/>
                      <w:lang w:val="en-US" w:eastAsia="zh-CN"/>
                    </w:rPr>
                    <w:t>24</w:t>
                  </w:r>
                </w:p>
              </w:tc>
              <w:tc>
                <w:tcPr>
                  <w:tcW w:w="599" w:type="pct"/>
                  <w:vAlign w:val="center"/>
                </w:tcPr>
                <w:p>
                  <w:pPr>
                    <w:pStyle w:val="47"/>
                    <w:adjustRightInd w:val="0"/>
                    <w:snapToGrid w:val="0"/>
                    <w:spacing w:line="240" w:lineRule="auto"/>
                    <w:ind w:firstLine="0" w:firstLineChars="0"/>
                    <w:jc w:val="center"/>
                    <w:outlineLvl w:val="2"/>
                    <w:rPr>
                      <w:rFonts w:hint="eastAsia" w:ascii="Times New Roman" w:hAnsi="Times New Roman" w:eastAsia="宋体" w:cs="Times New Roman"/>
                      <w:bCs/>
                      <w:color w:val="auto"/>
                      <w:kern w:val="2"/>
                      <w:sz w:val="21"/>
                      <w:szCs w:val="16"/>
                      <w:lang w:val="en-US" w:eastAsia="zh-CN" w:bidi="ar-SA"/>
                    </w:rPr>
                  </w:pPr>
                  <w:r>
                    <w:rPr>
                      <w:rFonts w:hint="eastAsia"/>
                      <w:bCs/>
                      <w:color w:val="auto"/>
                      <w:sz w:val="21"/>
                      <w:szCs w:val="16"/>
                      <w:lang w:val="en-US" w:eastAsia="zh-CN"/>
                    </w:rPr>
                    <w:t>1.82</w:t>
                  </w:r>
                </w:p>
              </w:tc>
              <w:tc>
                <w:tcPr>
                  <w:tcW w:w="767" w:type="pct"/>
                  <w:vAlign w:val="center"/>
                </w:tcPr>
                <w:p>
                  <w:pPr>
                    <w:pStyle w:val="47"/>
                    <w:adjustRightInd w:val="0"/>
                    <w:snapToGrid w:val="0"/>
                    <w:spacing w:line="240" w:lineRule="auto"/>
                    <w:ind w:firstLine="0" w:firstLineChars="0"/>
                    <w:jc w:val="center"/>
                    <w:outlineLvl w:val="2"/>
                    <w:rPr>
                      <w:rFonts w:hint="eastAsia" w:ascii="Times New Roman" w:hAnsi="Times New Roman" w:eastAsia="宋体" w:cs="Times New Roman"/>
                      <w:bCs/>
                      <w:color w:val="auto"/>
                      <w:kern w:val="2"/>
                      <w:sz w:val="21"/>
                      <w:szCs w:val="16"/>
                      <w:lang w:val="en-US" w:eastAsia="zh-CN" w:bidi="ar-SA"/>
                    </w:rPr>
                  </w:pPr>
                  <w:r>
                    <w:rPr>
                      <w:rFonts w:hint="eastAsia"/>
                      <w:bCs/>
                      <w:color w:val="auto"/>
                      <w:sz w:val="21"/>
                      <w:szCs w:val="16"/>
                      <w:lang w:val="en-US" w:eastAsia="zh-CN"/>
                    </w:rPr>
                    <w:t>50.72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54"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664"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SO</w:t>
                  </w:r>
                  <w:r>
                    <w:rPr>
                      <w:rFonts w:hint="eastAsia"/>
                      <w:color w:val="auto"/>
                      <w:sz w:val="21"/>
                      <w:szCs w:val="21"/>
                      <w:vertAlign w:val="subscript"/>
                    </w:rPr>
                    <w:t>2</w:t>
                  </w:r>
                </w:p>
              </w:tc>
              <w:tc>
                <w:tcPr>
                  <w:tcW w:w="646"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127.38</w:t>
                  </w:r>
                </w:p>
              </w:tc>
              <w:tc>
                <w:tcPr>
                  <w:tcW w:w="608"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543"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80</w:t>
                  </w:r>
                </w:p>
              </w:tc>
              <w:tc>
                <w:tcPr>
                  <w:tcW w:w="515"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25.48</w:t>
                  </w:r>
                </w:p>
              </w:tc>
              <w:tc>
                <w:tcPr>
                  <w:tcW w:w="599" w:type="pct"/>
                  <w:vAlign w:val="center"/>
                </w:tcPr>
                <w:p>
                  <w:pPr>
                    <w:pStyle w:val="47"/>
                    <w:adjustRightInd w:val="0"/>
                    <w:snapToGrid w:val="0"/>
                    <w:spacing w:line="240" w:lineRule="auto"/>
                    <w:ind w:firstLine="0" w:firstLineChars="0"/>
                    <w:jc w:val="center"/>
                    <w:outlineLvl w:val="2"/>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3.54</w:t>
                  </w:r>
                </w:p>
              </w:tc>
              <w:tc>
                <w:tcPr>
                  <w:tcW w:w="767" w:type="pct"/>
                  <w:vAlign w:val="center"/>
                </w:tcPr>
                <w:p>
                  <w:pPr>
                    <w:pStyle w:val="47"/>
                    <w:adjustRightInd w:val="0"/>
                    <w:snapToGrid w:val="0"/>
                    <w:spacing w:line="240" w:lineRule="auto"/>
                    <w:ind w:firstLine="0" w:firstLineChars="0"/>
                    <w:jc w:val="center"/>
                    <w:outlineLvl w:val="2"/>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54"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664" w:type="pct"/>
                  <w:vAlign w:val="center"/>
                </w:tcPr>
                <w:p>
                  <w:pPr>
                    <w:pStyle w:val="47"/>
                    <w:adjustRightInd w:val="0"/>
                    <w:snapToGrid w:val="0"/>
                    <w:spacing w:line="240" w:lineRule="auto"/>
                    <w:ind w:firstLine="0"/>
                    <w:jc w:val="center"/>
                    <w:outlineLvl w:val="2"/>
                    <w:rPr>
                      <w:rFonts w:hint="eastAsia" w:eastAsia="宋体"/>
                      <w:color w:val="auto"/>
                      <w:sz w:val="21"/>
                      <w:szCs w:val="21"/>
                      <w:lang w:eastAsia="zh-CN"/>
                    </w:rPr>
                  </w:pPr>
                  <w:r>
                    <w:rPr>
                      <w:rFonts w:hint="eastAsia"/>
                      <w:color w:val="auto"/>
                      <w:sz w:val="21"/>
                      <w:szCs w:val="21"/>
                      <w:lang w:eastAsia="zh-CN"/>
                    </w:rPr>
                    <w:t>氟及其化合物（以F计）</w:t>
                  </w:r>
                </w:p>
              </w:tc>
              <w:tc>
                <w:tcPr>
                  <w:tcW w:w="646"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0.74</w:t>
                  </w:r>
                </w:p>
              </w:tc>
              <w:tc>
                <w:tcPr>
                  <w:tcW w:w="608"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543"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lang w:val="en-US" w:eastAsia="zh-CN"/>
                    </w:rPr>
                    <w:t>/</w:t>
                  </w:r>
                </w:p>
              </w:tc>
              <w:tc>
                <w:tcPr>
                  <w:tcW w:w="515"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0.74</w:t>
                  </w:r>
                </w:p>
              </w:tc>
              <w:tc>
                <w:tcPr>
                  <w:tcW w:w="599" w:type="pct"/>
                  <w:vAlign w:val="center"/>
                </w:tcPr>
                <w:p>
                  <w:pPr>
                    <w:pStyle w:val="47"/>
                    <w:adjustRightInd w:val="0"/>
                    <w:snapToGrid w:val="0"/>
                    <w:spacing w:line="240" w:lineRule="auto"/>
                    <w:ind w:firstLine="0" w:firstLineChars="0"/>
                    <w:jc w:val="center"/>
                    <w:outlineLvl w:val="2"/>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0.10</w:t>
                  </w:r>
                </w:p>
              </w:tc>
              <w:tc>
                <w:tcPr>
                  <w:tcW w:w="767" w:type="pct"/>
                  <w:vAlign w:val="center"/>
                </w:tcPr>
                <w:p>
                  <w:pPr>
                    <w:pStyle w:val="47"/>
                    <w:adjustRightInd w:val="0"/>
                    <w:snapToGrid w:val="0"/>
                    <w:spacing w:line="240" w:lineRule="auto"/>
                    <w:ind w:firstLine="0" w:firstLineChars="0"/>
                    <w:jc w:val="center"/>
                    <w:outlineLvl w:val="2"/>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2.86</w:t>
                  </w:r>
                </w:p>
              </w:tc>
            </w:tr>
          </w:tbl>
          <w:p>
            <w:pPr>
              <w:pStyle w:val="47"/>
              <w:adjustRightInd w:val="0"/>
              <w:snapToGrid w:val="0"/>
              <w:spacing w:line="240" w:lineRule="auto"/>
              <w:ind w:firstLine="420" w:firstLineChars="200"/>
              <w:outlineLvl w:val="2"/>
              <w:rPr>
                <w:color w:val="auto"/>
                <w:sz w:val="21"/>
                <w:szCs w:val="24"/>
              </w:rPr>
            </w:pPr>
          </w:p>
          <w:p>
            <w:pPr>
              <w:pStyle w:val="47"/>
              <w:adjustRightInd w:val="0"/>
              <w:snapToGrid w:val="0"/>
              <w:ind w:firstLine="480" w:firstLineChars="200"/>
              <w:outlineLvl w:val="2"/>
              <w:rPr>
                <w:color w:val="auto"/>
                <w:szCs w:val="24"/>
              </w:rPr>
            </w:pPr>
            <w:r>
              <w:rPr>
                <w:rFonts w:hint="eastAsia"/>
                <w:color w:val="auto"/>
                <w:szCs w:val="24"/>
              </w:rPr>
              <w:t>由表可知，焙烧车间颗粒物排放浓度满足</w:t>
            </w:r>
            <w:r>
              <w:rPr>
                <w:rFonts w:hint="eastAsia"/>
                <w:color w:val="auto"/>
              </w:rPr>
              <w:t>《工业炉窑大气污染物排放标准》（GB9078-1996）表2二级标准</w:t>
            </w:r>
            <w:r>
              <w:rPr>
                <w:rFonts w:hint="eastAsia"/>
                <w:color w:val="auto"/>
                <w:lang w:eastAsia="zh-CN"/>
              </w:rPr>
              <w:t>（</w:t>
            </w:r>
            <w:r>
              <w:rPr>
                <w:rFonts w:hint="eastAsia"/>
                <w:color w:val="auto"/>
                <w:lang w:val="en-US" w:eastAsia="zh-CN"/>
              </w:rPr>
              <w:t>颗粒物≤200mg/m</w:t>
            </w:r>
            <w:r>
              <w:rPr>
                <w:rFonts w:hint="eastAsia"/>
                <w:color w:val="auto"/>
                <w:vertAlign w:val="superscript"/>
                <w:lang w:val="en-US" w:eastAsia="zh-CN"/>
              </w:rPr>
              <w:t>3</w:t>
            </w:r>
            <w:r>
              <w:rPr>
                <w:rFonts w:hint="eastAsia"/>
                <w:color w:val="auto"/>
                <w:lang w:eastAsia="zh-CN"/>
              </w:rPr>
              <w:t>）</w:t>
            </w:r>
            <w:r>
              <w:rPr>
                <w:rFonts w:hint="eastAsia"/>
                <w:color w:val="auto"/>
              </w:rPr>
              <w:t>，二氧化硫、氮氧化物</w:t>
            </w:r>
            <w:r>
              <w:rPr>
                <w:rFonts w:hint="eastAsia"/>
                <w:color w:val="auto"/>
                <w:szCs w:val="24"/>
              </w:rPr>
              <w:t>排放浓度和排放速率满足</w:t>
            </w:r>
            <w:r>
              <w:rPr>
                <w:color w:val="auto"/>
              </w:rPr>
              <w:t>《大气污染物综合排放标准》（GB16297-1996）表2</w:t>
            </w:r>
            <w:r>
              <w:rPr>
                <w:rFonts w:hint="eastAsia"/>
                <w:color w:val="auto"/>
              </w:rPr>
              <w:t>二级标准</w:t>
            </w:r>
            <w:r>
              <w:rPr>
                <w:rFonts w:hint="eastAsia"/>
                <w:color w:val="auto"/>
                <w:lang w:eastAsia="zh-CN"/>
              </w:rPr>
              <w:t>（</w:t>
            </w:r>
            <w:r>
              <w:rPr>
                <w:rFonts w:hint="eastAsia"/>
                <w:color w:val="auto"/>
              </w:rPr>
              <w:t>二氧化硫</w:t>
            </w:r>
            <w:r>
              <w:rPr>
                <w:rFonts w:hint="eastAsia"/>
                <w:color w:val="auto"/>
                <w:lang w:val="en-US" w:eastAsia="zh-CN"/>
              </w:rPr>
              <w:t>≤550mg/m</w:t>
            </w:r>
            <w:r>
              <w:rPr>
                <w:rFonts w:hint="eastAsia"/>
                <w:color w:val="auto"/>
                <w:vertAlign w:val="superscript"/>
                <w:lang w:val="en-US" w:eastAsia="zh-CN"/>
              </w:rPr>
              <w:t>3</w:t>
            </w:r>
            <w:r>
              <w:rPr>
                <w:rFonts w:hint="eastAsia"/>
                <w:color w:val="auto"/>
              </w:rPr>
              <w:t>，氮氧化物</w:t>
            </w:r>
            <w:r>
              <w:rPr>
                <w:rFonts w:hint="eastAsia"/>
                <w:color w:val="auto"/>
                <w:lang w:val="en-US" w:eastAsia="zh-CN"/>
              </w:rPr>
              <w:t>≤240mg/m</w:t>
            </w:r>
            <w:r>
              <w:rPr>
                <w:rFonts w:hint="eastAsia"/>
                <w:color w:val="auto"/>
                <w:vertAlign w:val="superscript"/>
                <w:lang w:val="en-US" w:eastAsia="zh-CN"/>
              </w:rPr>
              <w:t>3</w:t>
            </w:r>
            <w:r>
              <w:rPr>
                <w:rFonts w:hint="eastAsia"/>
                <w:color w:val="auto"/>
                <w:vertAlign w:val="baseline"/>
                <w:lang w:val="en-US" w:eastAsia="zh-CN"/>
              </w:rPr>
              <w:t>；</w:t>
            </w:r>
            <w:r>
              <w:rPr>
                <w:rFonts w:hint="eastAsia"/>
                <w:color w:val="auto"/>
              </w:rPr>
              <w:t>二氧化硫</w:t>
            </w:r>
            <w:r>
              <w:rPr>
                <w:rFonts w:hint="eastAsia"/>
                <w:color w:val="auto"/>
                <w:lang w:val="en-US" w:eastAsia="zh-CN"/>
              </w:rPr>
              <w:t>≤39kg/h</w:t>
            </w:r>
            <w:r>
              <w:rPr>
                <w:rFonts w:hint="eastAsia"/>
                <w:color w:val="auto"/>
              </w:rPr>
              <w:t>，氮氧化物</w:t>
            </w:r>
            <w:r>
              <w:rPr>
                <w:rFonts w:hint="eastAsia"/>
                <w:color w:val="auto"/>
                <w:lang w:val="en-US" w:eastAsia="zh-CN"/>
              </w:rPr>
              <w:t>≤12kg/h</w:t>
            </w:r>
            <w:r>
              <w:rPr>
                <w:rFonts w:hint="eastAsia"/>
                <w:color w:val="auto"/>
                <w:lang w:eastAsia="zh-CN"/>
              </w:rPr>
              <w:t>）</w:t>
            </w:r>
            <w:r>
              <w:rPr>
                <w:rFonts w:hint="eastAsia"/>
                <w:color w:val="auto"/>
              </w:rPr>
              <w:t>，</w:t>
            </w:r>
            <w:r>
              <w:rPr>
                <w:rFonts w:hint="eastAsia"/>
                <w:color w:val="auto"/>
                <w:lang w:eastAsia="zh-CN"/>
              </w:rPr>
              <w:t>氟及其化合物（以F计）</w:t>
            </w:r>
            <w:r>
              <w:rPr>
                <w:rFonts w:hint="eastAsia"/>
                <w:color w:val="auto"/>
              </w:rPr>
              <w:t>排放浓度</w:t>
            </w:r>
            <w:r>
              <w:rPr>
                <w:rFonts w:hint="eastAsia"/>
                <w:color w:val="auto"/>
                <w:szCs w:val="24"/>
              </w:rPr>
              <w:t>满足</w:t>
            </w:r>
            <w:r>
              <w:rPr>
                <w:rFonts w:hint="eastAsia"/>
                <w:color w:val="auto"/>
              </w:rPr>
              <w:t>《工业炉窑大气污染物排放标准》（GB9078-1996）表4二级标准</w:t>
            </w:r>
            <w:r>
              <w:rPr>
                <w:rFonts w:hint="eastAsia"/>
                <w:color w:val="auto"/>
                <w:lang w:eastAsia="zh-CN"/>
              </w:rPr>
              <w:t>（氟及其化合物（以F计）</w:t>
            </w:r>
            <w:r>
              <w:rPr>
                <w:rFonts w:hint="eastAsia"/>
                <w:color w:val="auto"/>
                <w:lang w:val="en-US" w:eastAsia="zh-CN"/>
              </w:rPr>
              <w:t>≤6mg/m</w:t>
            </w:r>
            <w:r>
              <w:rPr>
                <w:rFonts w:hint="eastAsia"/>
                <w:color w:val="auto"/>
                <w:vertAlign w:val="superscript"/>
                <w:lang w:val="en-US" w:eastAsia="zh-CN"/>
              </w:rPr>
              <w:t>3</w:t>
            </w:r>
            <w:r>
              <w:rPr>
                <w:rFonts w:hint="eastAsia"/>
                <w:color w:val="auto"/>
                <w:lang w:eastAsia="zh-CN"/>
              </w:rPr>
              <w:t>）</w:t>
            </w:r>
            <w:r>
              <w:rPr>
                <w:rFonts w:hint="eastAsia"/>
                <w:color w:val="auto"/>
              </w:rPr>
              <w:t>。</w:t>
            </w:r>
          </w:p>
          <w:p>
            <w:pPr>
              <w:pStyle w:val="47"/>
              <w:adjustRightInd w:val="0"/>
              <w:snapToGrid w:val="0"/>
              <w:ind w:firstLine="481" w:firstLineChars="200"/>
              <w:outlineLvl w:val="2"/>
              <w:rPr>
                <w:b/>
                <w:bCs/>
                <w:color w:val="auto"/>
                <w:szCs w:val="24"/>
              </w:rPr>
            </w:pPr>
            <w:r>
              <w:rPr>
                <w:rFonts w:hint="eastAsia"/>
                <w:b/>
                <w:bCs/>
                <w:color w:val="auto"/>
                <w:szCs w:val="24"/>
                <w:lang w:val="en-US" w:eastAsia="zh-CN"/>
              </w:rPr>
              <w:t>2）</w:t>
            </w:r>
            <w:r>
              <w:rPr>
                <w:rFonts w:hint="eastAsia"/>
                <w:b/>
                <w:bCs/>
                <w:color w:val="auto"/>
                <w:szCs w:val="24"/>
              </w:rPr>
              <w:t>破碎研磨粉尘</w:t>
            </w:r>
          </w:p>
          <w:p>
            <w:pPr>
              <w:pStyle w:val="47"/>
              <w:adjustRightInd w:val="0"/>
              <w:snapToGrid w:val="0"/>
              <w:ind w:firstLine="481" w:firstLineChars="200"/>
              <w:outlineLvl w:val="2"/>
              <w:rPr>
                <w:b/>
                <w:bCs/>
                <w:color w:val="auto"/>
                <w:szCs w:val="24"/>
              </w:rPr>
            </w:pPr>
            <w:r>
              <w:rPr>
                <w:rFonts w:hint="eastAsia"/>
                <w:b/>
                <w:bCs/>
                <w:color w:val="auto"/>
                <w:szCs w:val="24"/>
              </w:rPr>
              <w:t>①污染源强核算</w:t>
            </w:r>
          </w:p>
          <w:p>
            <w:pPr>
              <w:adjustRightInd w:val="0"/>
              <w:snapToGrid w:val="0"/>
              <w:spacing w:line="360" w:lineRule="auto"/>
              <w:ind w:firstLine="480" w:firstLineChars="200"/>
              <w:rPr>
                <w:bCs/>
                <w:color w:val="auto"/>
                <w:sz w:val="24"/>
              </w:rPr>
            </w:pPr>
            <w:r>
              <w:rPr>
                <w:rFonts w:hint="eastAsia"/>
                <w:bCs/>
                <w:color w:val="auto"/>
                <w:sz w:val="24"/>
              </w:rPr>
              <w:t>原料进行破碎、研磨和筛分的过程中会产生粉尘，</w:t>
            </w:r>
            <w:r>
              <w:rPr>
                <w:bCs/>
                <w:color w:val="auto"/>
                <w:sz w:val="24"/>
              </w:rPr>
              <w:t>本次核算参照《逸散性工业粉尘控制技术》（中国环境科学出版社）中表18-1中给出的粒料加工逸尘排放因子</w:t>
            </w:r>
            <w:r>
              <w:rPr>
                <w:rFonts w:hint="eastAsia"/>
                <w:bCs/>
                <w:color w:val="auto"/>
                <w:sz w:val="24"/>
              </w:rPr>
              <w:t>，</w:t>
            </w:r>
            <w:r>
              <w:rPr>
                <w:rFonts w:hint="eastAsia"/>
                <w:bCs/>
                <w:color w:val="auto"/>
                <w:sz w:val="24"/>
                <w:lang w:val="en-US" w:eastAsia="zh-CN"/>
              </w:rPr>
              <w:t>二</w:t>
            </w:r>
            <w:r>
              <w:rPr>
                <w:rFonts w:hint="eastAsia"/>
                <w:bCs/>
                <w:color w:val="auto"/>
                <w:sz w:val="24"/>
              </w:rPr>
              <w:t>级破碎粉尘的产生量按照0.</w:t>
            </w:r>
            <w:r>
              <w:rPr>
                <w:rFonts w:hint="eastAsia"/>
                <w:bCs/>
                <w:color w:val="auto"/>
                <w:sz w:val="24"/>
                <w:lang w:val="en-US" w:eastAsia="zh-CN"/>
              </w:rPr>
              <w:t>7</w:t>
            </w:r>
            <w:r>
              <w:rPr>
                <w:rFonts w:hint="eastAsia"/>
                <w:bCs/>
                <w:color w:val="auto"/>
                <w:sz w:val="24"/>
              </w:rPr>
              <w:t>5kg/t计，改扩建完成后全厂破碎研磨加工量为</w:t>
            </w:r>
            <w:r>
              <w:rPr>
                <w:rFonts w:hint="eastAsia"/>
                <w:bCs/>
                <w:color w:val="auto"/>
                <w:sz w:val="24"/>
                <w:lang w:val="en-US" w:eastAsia="zh-CN"/>
              </w:rPr>
              <w:t>10</w:t>
            </w:r>
            <w:r>
              <w:rPr>
                <w:rFonts w:hint="eastAsia"/>
                <w:bCs/>
                <w:color w:val="auto"/>
                <w:sz w:val="24"/>
              </w:rPr>
              <w:t>万t/a，则破碎研磨粉尘产生量为</w:t>
            </w:r>
            <w:r>
              <w:rPr>
                <w:rFonts w:hint="eastAsia"/>
                <w:bCs/>
                <w:color w:val="auto"/>
                <w:sz w:val="24"/>
                <w:lang w:val="en-US" w:eastAsia="zh-CN"/>
              </w:rPr>
              <w:t>75</w:t>
            </w:r>
            <w:r>
              <w:rPr>
                <w:rFonts w:hint="eastAsia"/>
                <w:bCs/>
                <w:color w:val="auto"/>
                <w:sz w:val="24"/>
              </w:rPr>
              <w:t>t/a。</w:t>
            </w:r>
          </w:p>
          <w:p>
            <w:pPr>
              <w:adjustRightInd w:val="0"/>
              <w:snapToGrid w:val="0"/>
              <w:spacing w:line="360" w:lineRule="auto"/>
              <w:ind w:firstLine="421" w:firstLineChars="200"/>
              <w:rPr>
                <w:b/>
                <w:bCs/>
                <w:color w:val="auto"/>
                <w:sz w:val="24"/>
              </w:rPr>
            </w:pPr>
            <w:r>
              <w:rPr>
                <w:rFonts w:hint="eastAsia"/>
                <w:b/>
                <w:bCs/>
                <w:color w:val="auto"/>
                <w:szCs w:val="24"/>
              </w:rPr>
              <w:fldChar w:fldCharType="begin"/>
            </w:r>
            <w:r>
              <w:rPr>
                <w:rFonts w:hint="eastAsia"/>
                <w:b/>
                <w:bCs/>
                <w:color w:val="auto"/>
                <w:szCs w:val="24"/>
              </w:rPr>
              <w:instrText xml:space="preserve"> = 2 \* GB3 \* MERGEFORMAT </w:instrText>
            </w:r>
            <w:r>
              <w:rPr>
                <w:rFonts w:hint="eastAsia"/>
                <w:b/>
                <w:bCs/>
                <w:color w:val="auto"/>
                <w:szCs w:val="24"/>
              </w:rPr>
              <w:fldChar w:fldCharType="separate"/>
            </w:r>
            <w:r>
              <w:rPr>
                <w:b/>
                <w:bCs/>
                <w:color w:val="auto"/>
              </w:rPr>
              <w:t>②</w:t>
            </w:r>
            <w:r>
              <w:rPr>
                <w:rFonts w:hint="eastAsia"/>
                <w:b/>
                <w:bCs/>
                <w:color w:val="auto"/>
                <w:szCs w:val="24"/>
              </w:rPr>
              <w:fldChar w:fldCharType="end"/>
            </w:r>
            <w:r>
              <w:rPr>
                <w:rFonts w:hint="eastAsia"/>
                <w:b/>
                <w:bCs/>
                <w:color w:val="auto"/>
                <w:sz w:val="24"/>
              </w:rPr>
              <w:t>破碎研磨粉尘处置方式</w:t>
            </w:r>
          </w:p>
          <w:p>
            <w:pPr>
              <w:adjustRightInd w:val="0"/>
              <w:snapToGrid w:val="0"/>
              <w:spacing w:line="360" w:lineRule="auto"/>
              <w:ind w:firstLine="480" w:firstLineChars="200"/>
              <w:rPr>
                <w:bCs/>
                <w:color w:val="auto"/>
                <w:sz w:val="24"/>
              </w:rPr>
            </w:pPr>
            <w:r>
              <w:rPr>
                <w:rFonts w:hint="eastAsia"/>
                <w:bCs/>
                <w:color w:val="auto"/>
                <w:sz w:val="24"/>
              </w:rPr>
              <w:t>破碎研磨粉尘经集气罩收集（收集效率90%）进入脉冲袋式除尘器（处理效率9</w:t>
            </w:r>
            <w:r>
              <w:rPr>
                <w:rFonts w:hint="eastAsia"/>
                <w:bCs/>
                <w:color w:val="auto"/>
                <w:sz w:val="24"/>
                <w:lang w:val="en-US" w:eastAsia="zh-CN"/>
              </w:rPr>
              <w:t>8</w:t>
            </w:r>
            <w:r>
              <w:rPr>
                <w:rFonts w:hint="eastAsia"/>
                <w:bCs/>
                <w:color w:val="auto"/>
                <w:sz w:val="24"/>
              </w:rPr>
              <w:t>%）处理后由一台风量为5000m</w:t>
            </w:r>
            <w:r>
              <w:rPr>
                <w:rFonts w:hint="eastAsia"/>
                <w:bCs/>
                <w:color w:val="auto"/>
                <w:sz w:val="24"/>
                <w:vertAlign w:val="superscript"/>
              </w:rPr>
              <w:t>3</w:t>
            </w:r>
            <w:r>
              <w:rPr>
                <w:rFonts w:hint="eastAsia"/>
                <w:bCs/>
                <w:color w:val="auto"/>
                <w:sz w:val="24"/>
              </w:rPr>
              <w:t>/h的风机通过一根高15m排气筒（DA002）抽排。</w:t>
            </w:r>
          </w:p>
          <w:p>
            <w:pPr>
              <w:pStyle w:val="47"/>
              <w:adjustRightInd w:val="0"/>
              <w:snapToGrid w:val="0"/>
              <w:ind w:firstLine="481" w:firstLineChars="200"/>
              <w:outlineLvl w:val="2"/>
              <w:rPr>
                <w:b/>
                <w:bCs/>
                <w:color w:val="auto"/>
                <w:szCs w:val="24"/>
              </w:rPr>
            </w:pPr>
            <w:r>
              <w:rPr>
                <w:rFonts w:hint="eastAsia"/>
                <w:b/>
                <w:bCs/>
                <w:color w:val="auto"/>
                <w:szCs w:val="24"/>
              </w:rPr>
              <w:fldChar w:fldCharType="begin"/>
            </w:r>
            <w:r>
              <w:rPr>
                <w:rFonts w:hint="eastAsia"/>
                <w:b/>
                <w:bCs/>
                <w:color w:val="auto"/>
                <w:szCs w:val="24"/>
              </w:rPr>
              <w:instrText xml:space="preserve"> = 3 \* GB3 \* MERGEFORMAT </w:instrText>
            </w:r>
            <w:r>
              <w:rPr>
                <w:rFonts w:hint="eastAsia"/>
                <w:b/>
                <w:bCs/>
                <w:color w:val="auto"/>
                <w:szCs w:val="24"/>
              </w:rPr>
              <w:fldChar w:fldCharType="separate"/>
            </w:r>
            <w:r>
              <w:rPr>
                <w:b/>
                <w:bCs/>
                <w:color w:val="auto"/>
              </w:rPr>
              <w:t>③</w:t>
            </w:r>
            <w:r>
              <w:rPr>
                <w:rFonts w:hint="eastAsia"/>
                <w:b/>
                <w:bCs/>
                <w:color w:val="auto"/>
                <w:szCs w:val="24"/>
              </w:rPr>
              <w:fldChar w:fldCharType="end"/>
            </w:r>
            <w:r>
              <w:rPr>
                <w:rFonts w:hint="eastAsia"/>
                <w:b/>
                <w:bCs/>
                <w:color w:val="auto"/>
                <w:szCs w:val="24"/>
              </w:rPr>
              <w:t>防治措施可行性分析</w:t>
            </w:r>
          </w:p>
          <w:p>
            <w:pPr>
              <w:pStyle w:val="47"/>
              <w:adjustRightInd w:val="0"/>
              <w:snapToGrid w:val="0"/>
              <w:ind w:firstLine="480" w:firstLineChars="200"/>
              <w:outlineLvl w:val="2"/>
              <w:rPr>
                <w:color w:val="auto"/>
                <w:szCs w:val="24"/>
              </w:rPr>
            </w:pPr>
            <w:r>
              <w:rPr>
                <w:rFonts w:hint="eastAsia"/>
                <w:color w:val="auto"/>
                <w:szCs w:val="24"/>
              </w:rPr>
              <w:t>类比《排污许可证申请与核发技术规范 陶瓷砖瓦工业》（HJ954-2018），项目破碎粉尘处置措施可行性分析见表4-5。</w:t>
            </w:r>
          </w:p>
          <w:p>
            <w:pPr>
              <w:pStyle w:val="47"/>
              <w:adjustRightInd w:val="0"/>
              <w:snapToGrid w:val="0"/>
              <w:spacing w:line="240" w:lineRule="auto"/>
              <w:ind w:firstLine="0"/>
              <w:jc w:val="center"/>
              <w:outlineLvl w:val="2"/>
              <w:rPr>
                <w:b/>
                <w:bCs/>
                <w:color w:val="auto"/>
                <w:sz w:val="21"/>
                <w:szCs w:val="21"/>
              </w:rPr>
            </w:pPr>
            <w:r>
              <w:rPr>
                <w:rFonts w:hint="eastAsia"/>
                <w:b/>
                <w:bCs/>
                <w:color w:val="auto"/>
                <w:sz w:val="21"/>
                <w:szCs w:val="21"/>
              </w:rPr>
              <w:t>表4-5  破碎粉尘处置措施可行性分析表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4"/>
              <w:gridCol w:w="852"/>
              <w:gridCol w:w="1701"/>
              <w:gridCol w:w="113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排放口</w:t>
                  </w:r>
                </w:p>
              </w:tc>
              <w:tc>
                <w:tcPr>
                  <w:tcW w:w="537"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主要污染物</w:t>
                  </w:r>
                </w:p>
              </w:tc>
              <w:tc>
                <w:tcPr>
                  <w:tcW w:w="1072"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可行技术</w:t>
                  </w:r>
                </w:p>
              </w:tc>
              <w:tc>
                <w:tcPr>
                  <w:tcW w:w="715"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本项目防治措施</w:t>
                  </w:r>
                </w:p>
              </w:tc>
              <w:tc>
                <w:tcPr>
                  <w:tcW w:w="695"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是否为可行技术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pct"/>
                  <w:vAlign w:val="center"/>
                </w:tcPr>
                <w:p>
                  <w:pPr>
                    <w:pStyle w:val="47"/>
                    <w:adjustRightInd w:val="0"/>
                    <w:snapToGrid w:val="0"/>
                    <w:spacing w:line="240" w:lineRule="auto"/>
                    <w:ind w:firstLine="0"/>
                    <w:outlineLvl w:val="2"/>
                    <w:rPr>
                      <w:color w:val="auto"/>
                      <w:sz w:val="21"/>
                      <w:szCs w:val="24"/>
                    </w:rPr>
                  </w:pPr>
                  <w:r>
                    <w:rPr>
                      <w:rFonts w:hint="eastAsia"/>
                      <w:color w:val="auto"/>
                      <w:sz w:val="21"/>
                      <w:szCs w:val="24"/>
                    </w:rPr>
                    <w:t>生活过程中破碎机、搅拌机、成型机、其他废气收集装置等对应</w:t>
                  </w:r>
                </w:p>
              </w:tc>
              <w:tc>
                <w:tcPr>
                  <w:tcW w:w="537"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颗粒物</w:t>
                  </w:r>
                </w:p>
              </w:tc>
              <w:tc>
                <w:tcPr>
                  <w:tcW w:w="1072"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湿法作业或采用袋式除尘等技术</w:t>
                  </w:r>
                </w:p>
              </w:tc>
              <w:tc>
                <w:tcPr>
                  <w:tcW w:w="715"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脉冲袋式除尘器</w:t>
                  </w:r>
                </w:p>
              </w:tc>
              <w:tc>
                <w:tcPr>
                  <w:tcW w:w="695"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是</w:t>
                  </w:r>
                </w:p>
              </w:tc>
            </w:tr>
          </w:tbl>
          <w:p>
            <w:pPr>
              <w:pStyle w:val="47"/>
              <w:adjustRightInd w:val="0"/>
              <w:snapToGrid w:val="0"/>
              <w:spacing w:line="240" w:lineRule="auto"/>
              <w:ind w:firstLine="0"/>
              <w:outlineLvl w:val="2"/>
              <w:rPr>
                <w:color w:val="auto"/>
                <w:sz w:val="21"/>
                <w:szCs w:val="24"/>
              </w:rPr>
            </w:pPr>
          </w:p>
          <w:p>
            <w:pPr>
              <w:pStyle w:val="47"/>
              <w:adjustRightInd w:val="0"/>
              <w:snapToGrid w:val="0"/>
              <w:ind w:firstLine="481" w:firstLineChars="200"/>
              <w:outlineLvl w:val="2"/>
              <w:rPr>
                <w:b/>
                <w:bCs/>
                <w:color w:val="auto"/>
                <w:szCs w:val="24"/>
              </w:rPr>
            </w:pPr>
            <w:r>
              <w:rPr>
                <w:rFonts w:hint="eastAsia"/>
                <w:b/>
                <w:bCs/>
                <w:color w:val="auto"/>
                <w:kern w:val="0"/>
                <w:sz w:val="24"/>
                <w:lang w:val="en-US" w:eastAsia="zh-CN" w:bidi="ar"/>
              </w:rPr>
              <w:fldChar w:fldCharType="begin"/>
            </w:r>
            <w:r>
              <w:rPr>
                <w:rFonts w:hint="eastAsia"/>
                <w:b/>
                <w:bCs/>
                <w:color w:val="auto"/>
                <w:kern w:val="0"/>
                <w:sz w:val="24"/>
                <w:lang w:val="en-US" w:eastAsia="zh-CN" w:bidi="ar"/>
              </w:rPr>
              <w:instrText xml:space="preserve"> = 4 \* GB3 \* MERGEFORMAT </w:instrText>
            </w:r>
            <w:r>
              <w:rPr>
                <w:rFonts w:hint="eastAsia"/>
                <w:b/>
                <w:bCs/>
                <w:color w:val="auto"/>
                <w:kern w:val="0"/>
                <w:sz w:val="24"/>
                <w:lang w:val="en-US" w:eastAsia="zh-CN" w:bidi="ar"/>
              </w:rPr>
              <w:fldChar w:fldCharType="separate"/>
            </w:r>
            <w:r>
              <w:rPr>
                <w:b/>
                <w:bCs/>
                <w:color w:val="auto"/>
              </w:rPr>
              <w:t>④</w:t>
            </w:r>
            <w:r>
              <w:rPr>
                <w:rFonts w:hint="eastAsia"/>
                <w:b/>
                <w:bCs/>
                <w:color w:val="auto"/>
                <w:kern w:val="0"/>
                <w:sz w:val="24"/>
                <w:lang w:val="en-US" w:eastAsia="zh-CN" w:bidi="ar"/>
              </w:rPr>
              <w:fldChar w:fldCharType="end"/>
            </w:r>
            <w:r>
              <w:rPr>
                <w:rFonts w:hint="eastAsia"/>
                <w:b/>
                <w:bCs/>
                <w:color w:val="auto"/>
                <w:szCs w:val="24"/>
              </w:rPr>
              <w:t>破碎粉尘排放情况</w:t>
            </w:r>
          </w:p>
          <w:p>
            <w:pPr>
              <w:pStyle w:val="47"/>
              <w:adjustRightInd w:val="0"/>
              <w:snapToGrid w:val="0"/>
              <w:ind w:firstLine="480" w:firstLineChars="200"/>
              <w:outlineLvl w:val="2"/>
              <w:rPr>
                <w:color w:val="auto"/>
                <w:szCs w:val="24"/>
              </w:rPr>
            </w:pPr>
            <w:r>
              <w:rPr>
                <w:rFonts w:hint="eastAsia"/>
                <w:color w:val="auto"/>
                <w:szCs w:val="24"/>
              </w:rPr>
              <w:t>破碎粉尘排放情况如下表所示：</w:t>
            </w:r>
          </w:p>
          <w:p>
            <w:pPr>
              <w:pStyle w:val="47"/>
              <w:adjustRightInd w:val="0"/>
              <w:snapToGrid w:val="0"/>
              <w:spacing w:line="240" w:lineRule="auto"/>
              <w:ind w:firstLine="0"/>
              <w:jc w:val="center"/>
              <w:outlineLvl w:val="2"/>
              <w:rPr>
                <w:b/>
                <w:bCs/>
                <w:color w:val="auto"/>
                <w:sz w:val="21"/>
                <w:szCs w:val="21"/>
              </w:rPr>
            </w:pPr>
            <w:r>
              <w:rPr>
                <w:rFonts w:hint="eastAsia"/>
                <w:b/>
                <w:bCs/>
                <w:color w:val="auto"/>
                <w:sz w:val="21"/>
                <w:szCs w:val="21"/>
              </w:rPr>
              <w:t>表4-6  破碎研磨粉尘排放</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709"/>
              <w:gridCol w:w="851"/>
              <w:gridCol w:w="1425"/>
              <w:gridCol w:w="909"/>
              <w:gridCol w:w="925"/>
              <w:gridCol w:w="1100"/>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1" w:type="pct"/>
                  <w:vMerge w:val="restar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废气</w:t>
                  </w:r>
                </w:p>
                <w:p>
                  <w:pPr>
                    <w:pStyle w:val="47"/>
                    <w:adjustRightInd w:val="0"/>
                    <w:snapToGrid w:val="0"/>
                    <w:spacing w:line="240" w:lineRule="auto"/>
                    <w:ind w:firstLine="0"/>
                    <w:jc w:val="center"/>
                    <w:outlineLvl w:val="2"/>
                    <w:rPr>
                      <w:color w:val="auto"/>
                      <w:sz w:val="21"/>
                      <w:szCs w:val="21"/>
                    </w:rPr>
                  </w:pPr>
                  <w:r>
                    <w:rPr>
                      <w:rFonts w:hint="eastAsia"/>
                      <w:color w:val="auto"/>
                      <w:sz w:val="21"/>
                      <w:szCs w:val="21"/>
                    </w:rPr>
                    <w:t>排放量</w:t>
                  </w:r>
                </w:p>
              </w:tc>
              <w:tc>
                <w:tcPr>
                  <w:tcW w:w="446" w:type="pct"/>
                  <w:vMerge w:val="restar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污染</w:t>
                  </w:r>
                </w:p>
                <w:p>
                  <w:pPr>
                    <w:pStyle w:val="47"/>
                    <w:adjustRightInd w:val="0"/>
                    <w:snapToGrid w:val="0"/>
                    <w:spacing w:line="240" w:lineRule="auto"/>
                    <w:ind w:firstLine="0"/>
                    <w:jc w:val="center"/>
                    <w:outlineLvl w:val="2"/>
                    <w:rPr>
                      <w:color w:val="auto"/>
                      <w:sz w:val="21"/>
                      <w:szCs w:val="21"/>
                    </w:rPr>
                  </w:pPr>
                  <w:r>
                    <w:rPr>
                      <w:rFonts w:hint="eastAsia"/>
                      <w:color w:val="auto"/>
                      <w:sz w:val="21"/>
                      <w:szCs w:val="21"/>
                    </w:rPr>
                    <w:t>因子</w:t>
                  </w:r>
                </w:p>
              </w:tc>
              <w:tc>
                <w:tcPr>
                  <w:tcW w:w="536" w:type="pct"/>
                  <w:vMerge w:val="restar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产生量</w:t>
                  </w:r>
                </w:p>
                <w:p>
                  <w:pPr>
                    <w:pStyle w:val="47"/>
                    <w:adjustRightInd w:val="0"/>
                    <w:snapToGrid w:val="0"/>
                    <w:spacing w:line="240" w:lineRule="auto"/>
                    <w:ind w:firstLine="0"/>
                    <w:jc w:val="center"/>
                    <w:outlineLvl w:val="2"/>
                    <w:rPr>
                      <w:color w:val="auto"/>
                      <w:sz w:val="21"/>
                      <w:szCs w:val="21"/>
                    </w:rPr>
                  </w:pPr>
                  <w:r>
                    <w:rPr>
                      <w:rFonts w:hint="eastAsia"/>
                      <w:color w:val="auto"/>
                      <w:sz w:val="21"/>
                      <w:szCs w:val="21"/>
                    </w:rPr>
                    <w:t>（t/a）</w:t>
                  </w:r>
                </w:p>
              </w:tc>
              <w:tc>
                <w:tcPr>
                  <w:tcW w:w="897" w:type="pct"/>
                  <w:vMerge w:val="restar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处理</w:t>
                  </w:r>
                </w:p>
                <w:p>
                  <w:pPr>
                    <w:pStyle w:val="47"/>
                    <w:adjustRightInd w:val="0"/>
                    <w:snapToGrid w:val="0"/>
                    <w:spacing w:line="240" w:lineRule="auto"/>
                    <w:ind w:firstLine="0"/>
                    <w:jc w:val="center"/>
                    <w:outlineLvl w:val="2"/>
                    <w:rPr>
                      <w:color w:val="auto"/>
                      <w:sz w:val="21"/>
                      <w:szCs w:val="21"/>
                    </w:rPr>
                  </w:pPr>
                  <w:r>
                    <w:rPr>
                      <w:rFonts w:hint="eastAsia"/>
                      <w:color w:val="auto"/>
                      <w:sz w:val="21"/>
                      <w:szCs w:val="21"/>
                    </w:rPr>
                    <w:t>方式</w:t>
                  </w:r>
                </w:p>
              </w:tc>
              <w:tc>
                <w:tcPr>
                  <w:tcW w:w="572" w:type="pct"/>
                  <w:vMerge w:val="restar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处理</w:t>
                  </w:r>
                </w:p>
                <w:p>
                  <w:pPr>
                    <w:pStyle w:val="47"/>
                    <w:adjustRightInd w:val="0"/>
                    <w:snapToGrid w:val="0"/>
                    <w:spacing w:line="240" w:lineRule="auto"/>
                    <w:ind w:firstLine="0"/>
                    <w:jc w:val="center"/>
                    <w:outlineLvl w:val="2"/>
                    <w:rPr>
                      <w:color w:val="auto"/>
                      <w:sz w:val="21"/>
                      <w:szCs w:val="21"/>
                    </w:rPr>
                  </w:pPr>
                  <w:r>
                    <w:rPr>
                      <w:rFonts w:hint="eastAsia"/>
                      <w:color w:val="auto"/>
                      <w:sz w:val="21"/>
                      <w:szCs w:val="21"/>
                    </w:rPr>
                    <w:t>效率</w:t>
                  </w:r>
                </w:p>
                <w:p>
                  <w:pPr>
                    <w:pStyle w:val="47"/>
                    <w:adjustRightInd w:val="0"/>
                    <w:snapToGrid w:val="0"/>
                    <w:spacing w:line="240" w:lineRule="auto"/>
                    <w:ind w:firstLine="0"/>
                    <w:jc w:val="center"/>
                    <w:outlineLvl w:val="2"/>
                    <w:rPr>
                      <w:color w:val="auto"/>
                      <w:sz w:val="21"/>
                      <w:szCs w:val="21"/>
                    </w:rPr>
                  </w:pPr>
                  <w:r>
                    <w:rPr>
                      <w:rFonts w:hint="eastAsia"/>
                      <w:color w:val="auto"/>
                      <w:sz w:val="21"/>
                      <w:szCs w:val="21"/>
                    </w:rPr>
                    <w:t>（%）</w:t>
                  </w:r>
                </w:p>
              </w:tc>
              <w:tc>
                <w:tcPr>
                  <w:tcW w:w="1995" w:type="pct"/>
                  <w:gridSpan w:val="3"/>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1"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446"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536"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897"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572"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582"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量</w:t>
                  </w:r>
                </w:p>
                <w:p>
                  <w:pPr>
                    <w:pStyle w:val="47"/>
                    <w:adjustRightInd w:val="0"/>
                    <w:snapToGrid w:val="0"/>
                    <w:spacing w:line="240" w:lineRule="auto"/>
                    <w:ind w:firstLine="0"/>
                    <w:jc w:val="center"/>
                    <w:outlineLvl w:val="2"/>
                    <w:rPr>
                      <w:color w:val="auto"/>
                      <w:sz w:val="21"/>
                      <w:szCs w:val="21"/>
                    </w:rPr>
                  </w:pPr>
                  <w:r>
                    <w:rPr>
                      <w:rFonts w:hint="eastAsia"/>
                      <w:color w:val="auto"/>
                      <w:sz w:val="21"/>
                      <w:szCs w:val="21"/>
                    </w:rPr>
                    <w:t>（t/a）</w:t>
                  </w:r>
                </w:p>
              </w:tc>
              <w:tc>
                <w:tcPr>
                  <w:tcW w:w="693"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速率（kg/h）</w:t>
                  </w:r>
                </w:p>
              </w:tc>
              <w:tc>
                <w:tcPr>
                  <w:tcW w:w="719"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浓度（mg/m</w:t>
                  </w:r>
                  <w:r>
                    <w:rPr>
                      <w:rFonts w:hint="eastAsia"/>
                      <w:color w:val="auto"/>
                      <w:sz w:val="21"/>
                      <w:szCs w:val="21"/>
                      <w:vertAlign w:val="superscript"/>
                    </w:rPr>
                    <w:t>3</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1"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1200万m</w:t>
                  </w:r>
                  <w:r>
                    <w:rPr>
                      <w:rFonts w:hint="eastAsia"/>
                      <w:color w:val="auto"/>
                      <w:sz w:val="21"/>
                      <w:szCs w:val="21"/>
                      <w:vertAlign w:val="superscript"/>
                    </w:rPr>
                    <w:t>3</w:t>
                  </w:r>
                  <w:r>
                    <w:rPr>
                      <w:rFonts w:hint="eastAsia"/>
                      <w:color w:val="auto"/>
                      <w:sz w:val="21"/>
                      <w:szCs w:val="21"/>
                    </w:rPr>
                    <w:t>/a</w:t>
                  </w:r>
                </w:p>
              </w:tc>
              <w:tc>
                <w:tcPr>
                  <w:tcW w:w="446"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颗粒物</w:t>
                  </w:r>
                </w:p>
              </w:tc>
              <w:tc>
                <w:tcPr>
                  <w:tcW w:w="536"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75</w:t>
                  </w:r>
                </w:p>
              </w:tc>
              <w:tc>
                <w:tcPr>
                  <w:tcW w:w="897" w:type="pct"/>
                  <w:vAlign w:val="center"/>
                </w:tcPr>
                <w:p>
                  <w:pPr>
                    <w:pStyle w:val="47"/>
                    <w:adjustRightInd w:val="0"/>
                    <w:snapToGrid w:val="0"/>
                    <w:spacing w:line="240" w:lineRule="auto"/>
                    <w:ind w:firstLine="0"/>
                    <w:outlineLvl w:val="2"/>
                    <w:rPr>
                      <w:color w:val="auto"/>
                      <w:sz w:val="21"/>
                      <w:szCs w:val="21"/>
                    </w:rPr>
                  </w:pPr>
                  <w:r>
                    <w:rPr>
                      <w:rFonts w:hint="eastAsia"/>
                      <w:color w:val="auto"/>
                      <w:sz w:val="21"/>
                      <w:szCs w:val="21"/>
                    </w:rPr>
                    <w:t>集气罩+脉冲袋式除尘器</w:t>
                  </w:r>
                </w:p>
              </w:tc>
              <w:tc>
                <w:tcPr>
                  <w:tcW w:w="572" w:type="pct"/>
                  <w:vAlign w:val="center"/>
                </w:tcPr>
                <w:p>
                  <w:pPr>
                    <w:pStyle w:val="47"/>
                    <w:adjustRightInd w:val="0"/>
                    <w:snapToGrid w:val="0"/>
                    <w:spacing w:line="240" w:lineRule="auto"/>
                    <w:ind w:firstLine="0"/>
                    <w:jc w:val="center"/>
                    <w:outlineLvl w:val="2"/>
                    <w:rPr>
                      <w:rFonts w:hint="eastAsia" w:eastAsia="宋体"/>
                      <w:color w:val="auto"/>
                      <w:sz w:val="21"/>
                      <w:szCs w:val="21"/>
                      <w:lang w:eastAsia="zh-CN"/>
                    </w:rPr>
                  </w:pPr>
                  <w:r>
                    <w:rPr>
                      <w:rFonts w:hint="eastAsia"/>
                      <w:color w:val="auto"/>
                      <w:sz w:val="21"/>
                      <w:szCs w:val="21"/>
                    </w:rPr>
                    <w:t>9</w:t>
                  </w:r>
                  <w:r>
                    <w:rPr>
                      <w:rFonts w:hint="eastAsia"/>
                      <w:color w:val="auto"/>
                      <w:sz w:val="21"/>
                      <w:szCs w:val="21"/>
                      <w:lang w:val="en-US" w:eastAsia="zh-CN"/>
                    </w:rPr>
                    <w:t>8</w:t>
                  </w:r>
                </w:p>
              </w:tc>
              <w:tc>
                <w:tcPr>
                  <w:tcW w:w="582"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1.35</w:t>
                  </w:r>
                </w:p>
              </w:tc>
              <w:tc>
                <w:tcPr>
                  <w:tcW w:w="693"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0.19</w:t>
                  </w:r>
                </w:p>
              </w:tc>
              <w:tc>
                <w:tcPr>
                  <w:tcW w:w="719"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112.5</w:t>
                  </w:r>
                </w:p>
              </w:tc>
            </w:tr>
          </w:tbl>
          <w:p>
            <w:pPr>
              <w:pStyle w:val="47"/>
              <w:adjustRightInd w:val="0"/>
              <w:snapToGrid w:val="0"/>
              <w:spacing w:line="240" w:lineRule="auto"/>
              <w:ind w:firstLine="0"/>
              <w:outlineLvl w:val="2"/>
              <w:rPr>
                <w:color w:val="auto"/>
                <w:sz w:val="21"/>
                <w:szCs w:val="24"/>
              </w:rPr>
            </w:pPr>
          </w:p>
          <w:p>
            <w:pPr>
              <w:pStyle w:val="47"/>
              <w:adjustRightInd w:val="0"/>
              <w:snapToGrid w:val="0"/>
              <w:ind w:firstLine="480" w:firstLineChars="200"/>
              <w:outlineLvl w:val="2"/>
              <w:rPr>
                <w:color w:val="auto"/>
                <w:szCs w:val="24"/>
              </w:rPr>
            </w:pPr>
            <w:r>
              <w:rPr>
                <w:rFonts w:hint="eastAsia"/>
                <w:color w:val="auto"/>
                <w:szCs w:val="24"/>
              </w:rPr>
              <w:t>综上所述，项目破碎研磨粉尘排放浓度和排放速率满足《大气污染物综合排放标准》表2二级标准要求。</w:t>
            </w:r>
          </w:p>
          <w:p>
            <w:pPr>
              <w:pStyle w:val="47"/>
              <w:adjustRightInd w:val="0"/>
              <w:snapToGrid w:val="0"/>
              <w:spacing w:line="240" w:lineRule="auto"/>
              <w:ind w:firstLine="0"/>
              <w:jc w:val="center"/>
              <w:outlineLvl w:val="2"/>
              <w:rPr>
                <w:b/>
                <w:bCs/>
                <w:color w:val="auto"/>
                <w:sz w:val="21"/>
                <w:szCs w:val="21"/>
              </w:rPr>
            </w:pPr>
            <w:r>
              <w:rPr>
                <w:rFonts w:hint="eastAsia"/>
                <w:b/>
                <w:bCs/>
                <w:color w:val="auto"/>
                <w:sz w:val="21"/>
                <w:szCs w:val="21"/>
              </w:rPr>
              <w:t>表4-7  全厂有组织废气产排情况统计表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425"/>
              <w:gridCol w:w="1110"/>
              <w:gridCol w:w="1326"/>
              <w:gridCol w:w="1103"/>
              <w:gridCol w:w="1156"/>
              <w:gridCol w:w="1199"/>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4" w:type="pct"/>
                  <w:gridSpan w:val="3"/>
                  <w:vAlign w:val="center"/>
                </w:tcPr>
                <w:p>
                  <w:pPr>
                    <w:pStyle w:val="16"/>
                    <w:adjustRightInd w:val="0"/>
                    <w:jc w:val="center"/>
                    <w:rPr>
                      <w:bCs/>
                      <w:color w:val="auto"/>
                      <w:sz w:val="21"/>
                      <w:szCs w:val="21"/>
                    </w:rPr>
                  </w:pPr>
                  <w:r>
                    <w:rPr>
                      <w:bCs/>
                      <w:color w:val="auto"/>
                      <w:sz w:val="21"/>
                      <w:szCs w:val="21"/>
                    </w:rPr>
                    <w:t>产排污节点</w:t>
                  </w:r>
                </w:p>
              </w:tc>
              <w:tc>
                <w:tcPr>
                  <w:tcW w:w="3013" w:type="pct"/>
                  <w:gridSpan w:val="4"/>
                  <w:vAlign w:val="center"/>
                </w:tcPr>
                <w:p>
                  <w:pPr>
                    <w:pStyle w:val="16"/>
                    <w:adjustRightInd w:val="0"/>
                    <w:jc w:val="center"/>
                    <w:rPr>
                      <w:bCs/>
                      <w:color w:val="auto"/>
                      <w:sz w:val="21"/>
                      <w:szCs w:val="21"/>
                    </w:rPr>
                  </w:pPr>
                  <w:r>
                    <w:rPr>
                      <w:bCs/>
                      <w:color w:val="auto"/>
                      <w:sz w:val="21"/>
                      <w:szCs w:val="21"/>
                    </w:rPr>
                    <w:t>焙烧、烘干</w:t>
                  </w:r>
                </w:p>
              </w:tc>
              <w:tc>
                <w:tcPr>
                  <w:tcW w:w="752" w:type="pct"/>
                  <w:vAlign w:val="center"/>
                </w:tcPr>
                <w:p>
                  <w:pPr>
                    <w:pStyle w:val="16"/>
                    <w:adjustRightInd w:val="0"/>
                    <w:jc w:val="center"/>
                    <w:rPr>
                      <w:bCs/>
                      <w:color w:val="auto"/>
                      <w:sz w:val="21"/>
                      <w:szCs w:val="21"/>
                    </w:rPr>
                  </w:pPr>
                  <w:r>
                    <w:rPr>
                      <w:bCs/>
                      <w:color w:val="auto"/>
                      <w:sz w:val="21"/>
                      <w:szCs w:val="21"/>
                    </w:rPr>
                    <w:t>破碎</w:t>
                  </w:r>
                  <w:r>
                    <w:rPr>
                      <w:rFonts w:hint="eastAsia"/>
                      <w:bCs/>
                      <w:color w:val="auto"/>
                      <w:sz w:val="21"/>
                      <w:szCs w:val="21"/>
                    </w:rPr>
                    <w:t>、</w:t>
                  </w:r>
                  <w:r>
                    <w:rPr>
                      <w:bCs/>
                      <w:color w:val="auto"/>
                      <w:sz w:val="21"/>
                      <w:szCs w:val="21"/>
                    </w:rPr>
                    <w:t>研磨</w:t>
                  </w:r>
                  <w:r>
                    <w:rPr>
                      <w:rFonts w:hint="eastAsia"/>
                      <w:bCs/>
                      <w:color w:val="auto"/>
                      <w:sz w:val="21"/>
                      <w:szCs w:val="21"/>
                    </w:rPr>
                    <w:t>、</w:t>
                  </w:r>
                  <w:r>
                    <w:rPr>
                      <w:bCs/>
                      <w:color w:val="auto"/>
                      <w:sz w:val="21"/>
                      <w:szCs w:val="21"/>
                    </w:rPr>
                    <w:t>筛分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4" w:type="pct"/>
                  <w:gridSpan w:val="3"/>
                  <w:vAlign w:val="center"/>
                </w:tcPr>
                <w:p>
                  <w:pPr>
                    <w:pStyle w:val="16"/>
                    <w:adjustRightInd w:val="0"/>
                    <w:jc w:val="center"/>
                    <w:rPr>
                      <w:bCs/>
                      <w:color w:val="auto"/>
                      <w:sz w:val="21"/>
                      <w:szCs w:val="21"/>
                    </w:rPr>
                  </w:pPr>
                  <w:r>
                    <w:rPr>
                      <w:bCs/>
                      <w:color w:val="auto"/>
                      <w:sz w:val="21"/>
                      <w:szCs w:val="21"/>
                    </w:rPr>
                    <w:t>污染物种类</w:t>
                  </w:r>
                </w:p>
              </w:tc>
              <w:tc>
                <w:tcPr>
                  <w:tcW w:w="835" w:type="pct"/>
                  <w:vAlign w:val="center"/>
                </w:tcPr>
                <w:p>
                  <w:pPr>
                    <w:pStyle w:val="16"/>
                    <w:adjustRightInd w:val="0"/>
                    <w:jc w:val="center"/>
                    <w:rPr>
                      <w:bCs/>
                      <w:color w:val="auto"/>
                      <w:sz w:val="21"/>
                      <w:szCs w:val="21"/>
                    </w:rPr>
                  </w:pPr>
                  <w:r>
                    <w:rPr>
                      <w:bCs/>
                      <w:color w:val="auto"/>
                      <w:sz w:val="21"/>
                      <w:szCs w:val="21"/>
                    </w:rPr>
                    <w:t>颗粒物</w:t>
                  </w:r>
                </w:p>
              </w:tc>
              <w:tc>
                <w:tcPr>
                  <w:tcW w:w="695" w:type="pct"/>
                  <w:vAlign w:val="center"/>
                </w:tcPr>
                <w:p>
                  <w:pPr>
                    <w:pStyle w:val="16"/>
                    <w:adjustRightInd w:val="0"/>
                    <w:jc w:val="center"/>
                    <w:rPr>
                      <w:bCs/>
                      <w:color w:val="auto"/>
                      <w:sz w:val="21"/>
                      <w:szCs w:val="21"/>
                    </w:rPr>
                  </w:pPr>
                  <w:r>
                    <w:rPr>
                      <w:bCs/>
                      <w:color w:val="auto"/>
                      <w:sz w:val="21"/>
                      <w:szCs w:val="21"/>
                    </w:rPr>
                    <w:t>SO</w:t>
                  </w:r>
                  <w:r>
                    <w:rPr>
                      <w:bCs/>
                      <w:color w:val="auto"/>
                      <w:sz w:val="21"/>
                      <w:szCs w:val="21"/>
                      <w:vertAlign w:val="subscript"/>
                    </w:rPr>
                    <w:t>2</w:t>
                  </w:r>
                </w:p>
              </w:tc>
              <w:tc>
                <w:tcPr>
                  <w:tcW w:w="728" w:type="pct"/>
                  <w:vAlign w:val="center"/>
                </w:tcPr>
                <w:p>
                  <w:pPr>
                    <w:pStyle w:val="16"/>
                    <w:adjustRightInd w:val="0"/>
                    <w:jc w:val="center"/>
                    <w:rPr>
                      <w:bCs/>
                      <w:color w:val="auto"/>
                      <w:sz w:val="21"/>
                      <w:szCs w:val="21"/>
                    </w:rPr>
                  </w:pPr>
                  <w:r>
                    <w:rPr>
                      <w:bCs/>
                      <w:color w:val="auto"/>
                      <w:sz w:val="21"/>
                      <w:szCs w:val="21"/>
                    </w:rPr>
                    <w:t>NO</w:t>
                  </w:r>
                  <w:r>
                    <w:rPr>
                      <w:bCs/>
                      <w:color w:val="auto"/>
                      <w:sz w:val="21"/>
                      <w:szCs w:val="21"/>
                      <w:vertAlign w:val="subscript"/>
                    </w:rPr>
                    <w:t>x</w:t>
                  </w:r>
                </w:p>
              </w:tc>
              <w:tc>
                <w:tcPr>
                  <w:tcW w:w="753" w:type="pct"/>
                  <w:vAlign w:val="center"/>
                </w:tcPr>
                <w:p>
                  <w:pPr>
                    <w:pStyle w:val="16"/>
                    <w:adjustRightInd w:val="0"/>
                    <w:jc w:val="center"/>
                    <w:rPr>
                      <w:rFonts w:hint="eastAsia" w:eastAsia="宋体"/>
                      <w:bCs/>
                      <w:color w:val="auto"/>
                      <w:sz w:val="21"/>
                      <w:szCs w:val="21"/>
                      <w:lang w:eastAsia="zh-CN"/>
                    </w:rPr>
                  </w:pPr>
                  <w:r>
                    <w:rPr>
                      <w:rFonts w:hint="eastAsia"/>
                      <w:bCs/>
                      <w:color w:val="auto"/>
                      <w:sz w:val="21"/>
                      <w:szCs w:val="21"/>
                      <w:lang w:eastAsia="zh-CN"/>
                    </w:rPr>
                    <w:t>氟及其化合物（以F计）</w:t>
                  </w:r>
                </w:p>
              </w:tc>
              <w:tc>
                <w:tcPr>
                  <w:tcW w:w="752" w:type="pct"/>
                  <w:vAlign w:val="center"/>
                </w:tcPr>
                <w:p>
                  <w:pPr>
                    <w:pStyle w:val="16"/>
                    <w:adjustRightInd w:val="0"/>
                    <w:jc w:val="center"/>
                    <w:rPr>
                      <w:bCs/>
                      <w:color w:val="auto"/>
                      <w:sz w:val="21"/>
                      <w:szCs w:val="21"/>
                    </w:rPr>
                  </w:pPr>
                  <w:r>
                    <w:rPr>
                      <w:bCs/>
                      <w:color w:val="auto"/>
                      <w:sz w:val="21"/>
                      <w:szCs w:val="21"/>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4" w:type="pct"/>
                  <w:gridSpan w:val="3"/>
                  <w:vAlign w:val="center"/>
                </w:tcPr>
                <w:p>
                  <w:pPr>
                    <w:pStyle w:val="16"/>
                    <w:adjustRightInd w:val="0"/>
                    <w:jc w:val="center"/>
                    <w:rPr>
                      <w:bCs/>
                      <w:color w:val="auto"/>
                      <w:sz w:val="21"/>
                      <w:szCs w:val="21"/>
                    </w:rPr>
                  </w:pPr>
                  <w:r>
                    <w:rPr>
                      <w:bCs/>
                      <w:color w:val="auto"/>
                      <w:sz w:val="21"/>
                      <w:szCs w:val="21"/>
                    </w:rPr>
                    <w:t>产生量（t/a）</w:t>
                  </w:r>
                </w:p>
              </w:tc>
              <w:tc>
                <w:tcPr>
                  <w:tcW w:w="835"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2.244</w:t>
                  </w:r>
                </w:p>
              </w:tc>
              <w:tc>
                <w:tcPr>
                  <w:tcW w:w="695" w:type="pct"/>
                  <w:vAlign w:val="center"/>
                </w:tcPr>
                <w:p>
                  <w:pPr>
                    <w:pStyle w:val="16"/>
                    <w:adjustRightInd w:val="0"/>
                    <w:jc w:val="center"/>
                    <w:rPr>
                      <w:rFonts w:hint="default" w:eastAsia="宋体"/>
                      <w:bCs/>
                      <w:color w:val="auto"/>
                      <w:sz w:val="21"/>
                      <w:szCs w:val="21"/>
                      <w:lang w:val="en-US" w:eastAsia="zh-CN"/>
                    </w:rPr>
                  </w:pPr>
                  <w:r>
                    <w:rPr>
                      <w:rFonts w:hint="eastAsia"/>
                      <w:bCs/>
                      <w:color w:val="auto"/>
                      <w:sz w:val="21"/>
                      <w:szCs w:val="21"/>
                      <w:lang w:val="en-US" w:eastAsia="zh-CN"/>
                    </w:rPr>
                    <w:t>127.38</w:t>
                  </w:r>
                </w:p>
              </w:tc>
              <w:tc>
                <w:tcPr>
                  <w:tcW w:w="728" w:type="pct"/>
                  <w:vAlign w:val="center"/>
                </w:tcPr>
                <w:p>
                  <w:pPr>
                    <w:pStyle w:val="16"/>
                    <w:adjustRightInd w:val="0"/>
                    <w:jc w:val="center"/>
                    <w:rPr>
                      <w:bCs/>
                      <w:color w:val="auto"/>
                      <w:sz w:val="21"/>
                      <w:szCs w:val="21"/>
                    </w:rPr>
                  </w:pPr>
                  <w:r>
                    <w:rPr>
                      <w:rFonts w:hint="eastAsia"/>
                      <w:bCs/>
                      <w:color w:val="auto"/>
                      <w:sz w:val="21"/>
                      <w:szCs w:val="21"/>
                    </w:rPr>
                    <w:t>13.124</w:t>
                  </w:r>
                </w:p>
              </w:tc>
              <w:tc>
                <w:tcPr>
                  <w:tcW w:w="753" w:type="pct"/>
                  <w:vAlign w:val="center"/>
                </w:tcPr>
                <w:p>
                  <w:pPr>
                    <w:pStyle w:val="16"/>
                    <w:adjustRightInd w:val="0"/>
                    <w:jc w:val="center"/>
                    <w:rPr>
                      <w:rFonts w:hint="default" w:eastAsia="宋体"/>
                      <w:bCs/>
                      <w:color w:val="auto"/>
                      <w:sz w:val="21"/>
                      <w:szCs w:val="21"/>
                      <w:lang w:val="en-US" w:eastAsia="zh-CN"/>
                    </w:rPr>
                  </w:pPr>
                  <w:r>
                    <w:rPr>
                      <w:rFonts w:hint="eastAsia"/>
                      <w:bCs/>
                      <w:color w:val="auto"/>
                      <w:sz w:val="21"/>
                      <w:szCs w:val="21"/>
                      <w:lang w:val="en-US" w:eastAsia="zh-CN"/>
                    </w:rPr>
                    <w:t>0.74</w:t>
                  </w:r>
                </w:p>
              </w:tc>
              <w:tc>
                <w:tcPr>
                  <w:tcW w:w="752" w:type="pct"/>
                  <w:vAlign w:val="center"/>
                </w:tcPr>
                <w:p>
                  <w:pPr>
                    <w:pStyle w:val="16"/>
                    <w:adjustRightInd w:val="0"/>
                    <w:jc w:val="center"/>
                    <w:rPr>
                      <w:rFonts w:hint="default" w:eastAsia="宋体"/>
                      <w:bCs/>
                      <w:color w:val="auto"/>
                      <w:sz w:val="21"/>
                      <w:szCs w:val="21"/>
                      <w:lang w:val="en-US" w:eastAsia="zh-CN"/>
                    </w:rPr>
                  </w:pPr>
                  <w:r>
                    <w:rPr>
                      <w:rFonts w:hint="eastAsia"/>
                      <w:bCs/>
                      <w:color w:val="auto"/>
                      <w:sz w:val="21"/>
                      <w:szCs w:val="21"/>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4" w:type="pct"/>
                  <w:gridSpan w:val="3"/>
                  <w:vAlign w:val="center"/>
                </w:tcPr>
                <w:p>
                  <w:pPr>
                    <w:pStyle w:val="16"/>
                    <w:adjustRightInd w:val="0"/>
                    <w:jc w:val="center"/>
                    <w:rPr>
                      <w:bCs/>
                      <w:color w:val="auto"/>
                      <w:sz w:val="21"/>
                      <w:szCs w:val="21"/>
                    </w:rPr>
                  </w:pPr>
                  <w:r>
                    <w:rPr>
                      <w:bCs/>
                      <w:color w:val="auto"/>
                      <w:sz w:val="21"/>
                      <w:szCs w:val="21"/>
                    </w:rPr>
                    <w:t>产生速率（kg/h）</w:t>
                  </w:r>
                </w:p>
              </w:tc>
              <w:tc>
                <w:tcPr>
                  <w:tcW w:w="835"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0.31</w:t>
                  </w:r>
                </w:p>
              </w:tc>
              <w:tc>
                <w:tcPr>
                  <w:tcW w:w="695" w:type="pct"/>
                  <w:vAlign w:val="center"/>
                </w:tcPr>
                <w:p>
                  <w:pPr>
                    <w:pStyle w:val="16"/>
                    <w:adjustRightInd w:val="0"/>
                    <w:jc w:val="center"/>
                    <w:rPr>
                      <w:rFonts w:hint="default" w:eastAsia="宋体"/>
                      <w:bCs/>
                      <w:color w:val="auto"/>
                      <w:sz w:val="21"/>
                      <w:szCs w:val="21"/>
                      <w:lang w:val="en-US" w:eastAsia="zh-CN"/>
                    </w:rPr>
                  </w:pPr>
                  <w:r>
                    <w:rPr>
                      <w:rFonts w:hint="eastAsia"/>
                      <w:bCs/>
                      <w:color w:val="auto"/>
                      <w:sz w:val="21"/>
                      <w:szCs w:val="21"/>
                      <w:lang w:val="en-US" w:eastAsia="zh-CN"/>
                    </w:rPr>
                    <w:t>17.69</w:t>
                  </w:r>
                </w:p>
              </w:tc>
              <w:tc>
                <w:tcPr>
                  <w:tcW w:w="728" w:type="pct"/>
                  <w:vAlign w:val="center"/>
                </w:tcPr>
                <w:p>
                  <w:pPr>
                    <w:pStyle w:val="16"/>
                    <w:adjustRightInd w:val="0"/>
                    <w:jc w:val="center"/>
                    <w:rPr>
                      <w:bCs/>
                      <w:color w:val="auto"/>
                      <w:sz w:val="21"/>
                      <w:szCs w:val="21"/>
                    </w:rPr>
                  </w:pPr>
                  <w:r>
                    <w:rPr>
                      <w:rFonts w:hint="eastAsia"/>
                      <w:bCs/>
                      <w:color w:val="auto"/>
                      <w:sz w:val="21"/>
                      <w:szCs w:val="21"/>
                    </w:rPr>
                    <w:t>1.82</w:t>
                  </w:r>
                </w:p>
              </w:tc>
              <w:tc>
                <w:tcPr>
                  <w:tcW w:w="753" w:type="pct"/>
                  <w:vAlign w:val="center"/>
                </w:tcPr>
                <w:p>
                  <w:pPr>
                    <w:pStyle w:val="16"/>
                    <w:adjustRightInd w:val="0"/>
                    <w:jc w:val="center"/>
                    <w:rPr>
                      <w:rFonts w:hint="default" w:eastAsia="宋体"/>
                      <w:bCs/>
                      <w:color w:val="auto"/>
                      <w:sz w:val="21"/>
                      <w:szCs w:val="21"/>
                      <w:lang w:val="en-US" w:eastAsia="zh-CN"/>
                    </w:rPr>
                  </w:pPr>
                  <w:r>
                    <w:rPr>
                      <w:rFonts w:hint="eastAsia"/>
                      <w:bCs/>
                      <w:color w:val="auto"/>
                      <w:sz w:val="21"/>
                      <w:szCs w:val="21"/>
                      <w:lang w:val="en-US" w:eastAsia="zh-CN"/>
                    </w:rPr>
                    <w:t>0.10</w:t>
                  </w:r>
                </w:p>
              </w:tc>
              <w:tc>
                <w:tcPr>
                  <w:tcW w:w="752" w:type="pct"/>
                  <w:vAlign w:val="center"/>
                </w:tcPr>
                <w:p>
                  <w:pPr>
                    <w:pStyle w:val="16"/>
                    <w:adjustRightInd w:val="0"/>
                    <w:jc w:val="center"/>
                    <w:rPr>
                      <w:rFonts w:hint="default" w:eastAsia="宋体"/>
                      <w:bCs/>
                      <w:color w:val="auto"/>
                      <w:sz w:val="21"/>
                      <w:szCs w:val="21"/>
                      <w:lang w:val="en-US" w:eastAsia="zh-CN"/>
                    </w:rPr>
                  </w:pPr>
                  <w:r>
                    <w:rPr>
                      <w:rFonts w:hint="eastAsia"/>
                      <w:bCs/>
                      <w:color w:val="auto"/>
                      <w:sz w:val="21"/>
                      <w:szCs w:val="21"/>
                      <w:lang w:val="en-US" w:eastAsia="zh-CN"/>
                    </w:rPr>
                    <w:t>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4" w:type="pct"/>
                  <w:gridSpan w:val="3"/>
                  <w:vAlign w:val="center"/>
                </w:tcPr>
                <w:p>
                  <w:pPr>
                    <w:pStyle w:val="16"/>
                    <w:adjustRightInd w:val="0"/>
                    <w:jc w:val="center"/>
                    <w:rPr>
                      <w:bCs/>
                      <w:color w:val="auto"/>
                      <w:sz w:val="21"/>
                      <w:szCs w:val="21"/>
                    </w:rPr>
                  </w:pPr>
                  <w:r>
                    <w:rPr>
                      <w:bCs/>
                      <w:color w:val="auto"/>
                      <w:sz w:val="21"/>
                      <w:szCs w:val="21"/>
                    </w:rPr>
                    <w:t>废气量（万Nm</w:t>
                  </w:r>
                  <w:r>
                    <w:rPr>
                      <w:bCs/>
                      <w:color w:val="auto"/>
                      <w:sz w:val="21"/>
                      <w:szCs w:val="21"/>
                      <w:vertAlign w:val="superscript"/>
                    </w:rPr>
                    <w:t>3</w:t>
                  </w:r>
                  <w:r>
                    <w:rPr>
                      <w:bCs/>
                      <w:color w:val="auto"/>
                      <w:sz w:val="21"/>
                      <w:szCs w:val="21"/>
                    </w:rPr>
                    <w:t>/a）</w:t>
                  </w:r>
                </w:p>
              </w:tc>
              <w:tc>
                <w:tcPr>
                  <w:tcW w:w="3013" w:type="pct"/>
                  <w:gridSpan w:val="4"/>
                  <w:vAlign w:val="center"/>
                </w:tcPr>
                <w:p>
                  <w:pPr>
                    <w:pStyle w:val="16"/>
                    <w:adjustRightInd w:val="0"/>
                    <w:jc w:val="center"/>
                    <w:rPr>
                      <w:rFonts w:hint="default" w:eastAsia="宋体"/>
                      <w:bCs/>
                      <w:color w:val="auto"/>
                      <w:sz w:val="21"/>
                      <w:szCs w:val="21"/>
                      <w:lang w:val="en-US" w:eastAsia="zh-CN"/>
                    </w:rPr>
                  </w:pPr>
                  <w:r>
                    <w:rPr>
                      <w:rFonts w:hint="eastAsia"/>
                      <w:bCs/>
                      <w:color w:val="auto"/>
                      <w:sz w:val="21"/>
                      <w:szCs w:val="21"/>
                      <w:lang w:val="en-US" w:eastAsia="zh-CN"/>
                    </w:rPr>
                    <w:t>25874</w:t>
                  </w:r>
                </w:p>
              </w:tc>
              <w:tc>
                <w:tcPr>
                  <w:tcW w:w="752" w:type="pct"/>
                  <w:vAlign w:val="center"/>
                </w:tcPr>
                <w:p>
                  <w:pPr>
                    <w:pStyle w:val="16"/>
                    <w:adjustRightInd w:val="0"/>
                    <w:jc w:val="center"/>
                    <w:rPr>
                      <w:bCs/>
                      <w:color w:val="auto"/>
                      <w:sz w:val="21"/>
                      <w:szCs w:val="21"/>
                    </w:rPr>
                  </w:pPr>
                  <w:r>
                    <w:rPr>
                      <w:rFonts w:hint="eastAsia"/>
                      <w:bCs/>
                      <w:color w:val="auto"/>
                      <w:sz w:val="21"/>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4" w:type="pct"/>
                  <w:gridSpan w:val="3"/>
                  <w:vAlign w:val="center"/>
                </w:tcPr>
                <w:p>
                  <w:pPr>
                    <w:pStyle w:val="16"/>
                    <w:adjustRightInd w:val="0"/>
                    <w:jc w:val="center"/>
                    <w:rPr>
                      <w:bCs/>
                      <w:color w:val="auto"/>
                      <w:sz w:val="21"/>
                      <w:szCs w:val="21"/>
                    </w:rPr>
                  </w:pPr>
                  <w:r>
                    <w:rPr>
                      <w:bCs/>
                      <w:color w:val="auto"/>
                      <w:sz w:val="21"/>
                      <w:szCs w:val="21"/>
                    </w:rPr>
                    <w:t>产生浓度（mg/m</w:t>
                  </w:r>
                  <w:r>
                    <w:rPr>
                      <w:bCs/>
                      <w:color w:val="auto"/>
                      <w:sz w:val="21"/>
                      <w:szCs w:val="21"/>
                      <w:vertAlign w:val="superscript"/>
                    </w:rPr>
                    <w:t>3</w:t>
                  </w:r>
                  <w:r>
                    <w:rPr>
                      <w:bCs/>
                      <w:color w:val="auto"/>
                      <w:sz w:val="21"/>
                      <w:szCs w:val="21"/>
                    </w:rPr>
                    <w:t>）</w:t>
                  </w:r>
                </w:p>
              </w:tc>
              <w:tc>
                <w:tcPr>
                  <w:tcW w:w="835"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8.67</w:t>
                  </w:r>
                </w:p>
              </w:tc>
              <w:tc>
                <w:tcPr>
                  <w:tcW w:w="695" w:type="pct"/>
                  <w:vAlign w:val="center"/>
                </w:tcPr>
                <w:p>
                  <w:pPr>
                    <w:pStyle w:val="16"/>
                    <w:adjustRightInd w:val="0"/>
                    <w:jc w:val="center"/>
                    <w:rPr>
                      <w:rFonts w:hint="default" w:eastAsia="宋体"/>
                      <w:bCs/>
                      <w:color w:val="auto"/>
                      <w:sz w:val="21"/>
                      <w:szCs w:val="21"/>
                      <w:lang w:val="en-US" w:eastAsia="zh-CN"/>
                    </w:rPr>
                  </w:pPr>
                  <w:r>
                    <w:rPr>
                      <w:rFonts w:hint="eastAsia"/>
                      <w:bCs/>
                      <w:color w:val="auto"/>
                      <w:sz w:val="21"/>
                      <w:szCs w:val="21"/>
                      <w:lang w:val="en-US" w:eastAsia="zh-CN"/>
                    </w:rPr>
                    <w:t>492.31</w:t>
                  </w:r>
                </w:p>
              </w:tc>
              <w:tc>
                <w:tcPr>
                  <w:tcW w:w="728" w:type="pct"/>
                  <w:vAlign w:val="center"/>
                </w:tcPr>
                <w:p>
                  <w:pPr>
                    <w:pStyle w:val="16"/>
                    <w:adjustRightInd w:val="0"/>
                    <w:jc w:val="center"/>
                    <w:rPr>
                      <w:rFonts w:hint="default" w:eastAsia="宋体"/>
                      <w:bCs/>
                      <w:color w:val="auto"/>
                      <w:sz w:val="21"/>
                      <w:szCs w:val="21"/>
                      <w:lang w:val="en-US" w:eastAsia="zh-CN"/>
                    </w:rPr>
                  </w:pPr>
                  <w:r>
                    <w:rPr>
                      <w:rFonts w:hint="eastAsia"/>
                      <w:bCs/>
                      <w:color w:val="auto"/>
                      <w:sz w:val="21"/>
                      <w:szCs w:val="21"/>
                      <w:lang w:val="en-US" w:eastAsia="zh-CN"/>
                    </w:rPr>
                    <w:t>50.72</w:t>
                  </w:r>
                </w:p>
              </w:tc>
              <w:tc>
                <w:tcPr>
                  <w:tcW w:w="753" w:type="pct"/>
                  <w:vAlign w:val="center"/>
                </w:tcPr>
                <w:p>
                  <w:pPr>
                    <w:pStyle w:val="16"/>
                    <w:adjustRightInd w:val="0"/>
                    <w:jc w:val="center"/>
                    <w:rPr>
                      <w:rFonts w:hint="default" w:eastAsia="宋体"/>
                      <w:bCs/>
                      <w:color w:val="auto"/>
                      <w:sz w:val="21"/>
                      <w:szCs w:val="21"/>
                      <w:lang w:val="en-US" w:eastAsia="zh-CN"/>
                    </w:rPr>
                  </w:pPr>
                  <w:r>
                    <w:rPr>
                      <w:rFonts w:hint="eastAsia"/>
                      <w:bCs/>
                      <w:color w:val="auto"/>
                      <w:sz w:val="21"/>
                      <w:szCs w:val="21"/>
                      <w:lang w:val="en-US" w:eastAsia="zh-CN"/>
                    </w:rPr>
                    <w:t>2.86</w:t>
                  </w:r>
                </w:p>
              </w:tc>
              <w:tc>
                <w:tcPr>
                  <w:tcW w:w="752" w:type="pct"/>
                  <w:vAlign w:val="center"/>
                </w:tcPr>
                <w:p>
                  <w:pPr>
                    <w:pStyle w:val="16"/>
                    <w:adjustRightInd w:val="0"/>
                    <w:jc w:val="center"/>
                    <w:rPr>
                      <w:rFonts w:hint="default" w:eastAsia="宋体"/>
                      <w:bCs/>
                      <w:color w:val="auto"/>
                      <w:sz w:val="21"/>
                      <w:szCs w:val="21"/>
                      <w:lang w:val="en-US" w:eastAsia="zh-CN"/>
                    </w:rPr>
                  </w:pPr>
                  <w:r>
                    <w:rPr>
                      <w:rFonts w:hint="eastAsia"/>
                      <w:bCs/>
                      <w:color w:val="auto"/>
                      <w:sz w:val="21"/>
                      <w:szCs w:val="21"/>
                      <w:lang w:val="en-US" w:eastAsia="zh-CN"/>
                    </w:rPr>
                    <w:t>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4" w:type="pct"/>
                  <w:gridSpan w:val="3"/>
                  <w:vAlign w:val="center"/>
                </w:tcPr>
                <w:p>
                  <w:pPr>
                    <w:pStyle w:val="16"/>
                    <w:adjustRightInd w:val="0"/>
                    <w:jc w:val="center"/>
                    <w:rPr>
                      <w:bCs/>
                      <w:color w:val="auto"/>
                      <w:sz w:val="21"/>
                      <w:szCs w:val="21"/>
                    </w:rPr>
                  </w:pPr>
                  <w:r>
                    <w:rPr>
                      <w:bCs/>
                      <w:color w:val="auto"/>
                      <w:sz w:val="21"/>
                      <w:szCs w:val="21"/>
                    </w:rPr>
                    <w:t>排放形式</w:t>
                  </w:r>
                </w:p>
              </w:tc>
              <w:tc>
                <w:tcPr>
                  <w:tcW w:w="3013" w:type="pct"/>
                  <w:gridSpan w:val="4"/>
                  <w:vAlign w:val="center"/>
                </w:tcPr>
                <w:p>
                  <w:pPr>
                    <w:pStyle w:val="16"/>
                    <w:adjustRightInd w:val="0"/>
                    <w:jc w:val="center"/>
                    <w:rPr>
                      <w:bCs/>
                      <w:color w:val="auto"/>
                      <w:sz w:val="21"/>
                      <w:szCs w:val="21"/>
                    </w:rPr>
                  </w:pPr>
                  <w:r>
                    <w:rPr>
                      <w:bCs/>
                      <w:color w:val="auto"/>
                      <w:sz w:val="21"/>
                      <w:szCs w:val="21"/>
                    </w:rPr>
                    <w:t>有组织</w:t>
                  </w:r>
                </w:p>
              </w:tc>
              <w:tc>
                <w:tcPr>
                  <w:tcW w:w="752" w:type="pct"/>
                  <w:vAlign w:val="center"/>
                </w:tcPr>
                <w:p>
                  <w:pPr>
                    <w:pStyle w:val="16"/>
                    <w:adjustRightInd w:val="0"/>
                    <w:jc w:val="center"/>
                    <w:rPr>
                      <w:bCs/>
                      <w:color w:val="auto"/>
                      <w:sz w:val="21"/>
                      <w:szCs w:val="21"/>
                    </w:rPr>
                  </w:pPr>
                  <w:r>
                    <w:rPr>
                      <w:bCs/>
                      <w:color w:val="auto"/>
                      <w:sz w:val="21"/>
                      <w:szCs w:val="21"/>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7" w:type="pct"/>
                  <w:vMerge w:val="restart"/>
                  <w:vAlign w:val="center"/>
                </w:tcPr>
                <w:p>
                  <w:pPr>
                    <w:pStyle w:val="16"/>
                    <w:adjustRightInd w:val="0"/>
                    <w:jc w:val="center"/>
                    <w:rPr>
                      <w:bCs/>
                      <w:color w:val="auto"/>
                      <w:sz w:val="21"/>
                      <w:szCs w:val="21"/>
                    </w:rPr>
                  </w:pPr>
                  <w:r>
                    <w:rPr>
                      <w:bCs/>
                      <w:color w:val="auto"/>
                      <w:sz w:val="21"/>
                      <w:szCs w:val="21"/>
                    </w:rPr>
                    <w:t>治理设施</w:t>
                  </w:r>
                </w:p>
              </w:tc>
              <w:tc>
                <w:tcPr>
                  <w:tcW w:w="966" w:type="pct"/>
                  <w:gridSpan w:val="2"/>
                  <w:vAlign w:val="center"/>
                </w:tcPr>
                <w:p>
                  <w:pPr>
                    <w:pStyle w:val="16"/>
                    <w:adjustRightInd w:val="0"/>
                    <w:jc w:val="center"/>
                    <w:rPr>
                      <w:bCs/>
                      <w:color w:val="auto"/>
                      <w:sz w:val="21"/>
                      <w:szCs w:val="21"/>
                    </w:rPr>
                  </w:pPr>
                  <w:r>
                    <w:rPr>
                      <w:bCs/>
                      <w:color w:val="auto"/>
                      <w:sz w:val="21"/>
                      <w:szCs w:val="21"/>
                    </w:rPr>
                    <w:t>名称</w:t>
                  </w:r>
                </w:p>
              </w:tc>
              <w:tc>
                <w:tcPr>
                  <w:tcW w:w="3013" w:type="pct"/>
                  <w:gridSpan w:val="4"/>
                  <w:vAlign w:val="center"/>
                </w:tcPr>
                <w:p>
                  <w:pPr>
                    <w:pStyle w:val="16"/>
                    <w:adjustRightInd w:val="0"/>
                    <w:jc w:val="center"/>
                    <w:rPr>
                      <w:rFonts w:hint="eastAsia" w:eastAsia="宋体"/>
                      <w:bCs/>
                      <w:color w:val="auto"/>
                      <w:sz w:val="21"/>
                      <w:szCs w:val="21"/>
                      <w:lang w:eastAsia="zh-CN"/>
                    </w:rPr>
                  </w:pPr>
                  <w:r>
                    <w:rPr>
                      <w:rFonts w:hint="eastAsia"/>
                      <w:bCs/>
                      <w:color w:val="auto"/>
                      <w:sz w:val="21"/>
                      <w:szCs w:val="21"/>
                      <w:lang w:eastAsia="zh-CN"/>
                    </w:rPr>
                    <w:t>石灰石膏法脱硫塔</w:t>
                  </w:r>
                </w:p>
              </w:tc>
              <w:tc>
                <w:tcPr>
                  <w:tcW w:w="752" w:type="pct"/>
                  <w:vAlign w:val="center"/>
                </w:tcPr>
                <w:p>
                  <w:pPr>
                    <w:pStyle w:val="16"/>
                    <w:adjustRightInd w:val="0"/>
                    <w:jc w:val="center"/>
                    <w:rPr>
                      <w:bCs/>
                      <w:color w:val="auto"/>
                      <w:sz w:val="21"/>
                      <w:szCs w:val="21"/>
                    </w:rPr>
                  </w:pPr>
                  <w:r>
                    <w:rPr>
                      <w:bCs/>
                      <w:color w:val="auto"/>
                      <w:sz w:val="21"/>
                      <w:szCs w:val="21"/>
                    </w:rPr>
                    <w:t>袋式除尘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7" w:type="pct"/>
                  <w:vMerge w:val="continue"/>
                  <w:vAlign w:val="center"/>
                </w:tcPr>
                <w:p>
                  <w:pPr>
                    <w:pStyle w:val="16"/>
                    <w:adjustRightInd w:val="0"/>
                    <w:jc w:val="center"/>
                    <w:rPr>
                      <w:bCs/>
                      <w:color w:val="auto"/>
                      <w:sz w:val="21"/>
                      <w:szCs w:val="21"/>
                    </w:rPr>
                  </w:pPr>
                </w:p>
              </w:tc>
              <w:tc>
                <w:tcPr>
                  <w:tcW w:w="966" w:type="pct"/>
                  <w:gridSpan w:val="2"/>
                  <w:vAlign w:val="center"/>
                </w:tcPr>
                <w:p>
                  <w:pPr>
                    <w:pStyle w:val="16"/>
                    <w:adjustRightInd w:val="0"/>
                    <w:jc w:val="center"/>
                    <w:rPr>
                      <w:bCs/>
                      <w:color w:val="auto"/>
                      <w:sz w:val="21"/>
                      <w:szCs w:val="21"/>
                    </w:rPr>
                  </w:pPr>
                  <w:r>
                    <w:rPr>
                      <w:bCs/>
                      <w:color w:val="auto"/>
                      <w:sz w:val="21"/>
                      <w:szCs w:val="21"/>
                    </w:rPr>
                    <w:t>收集效率</w:t>
                  </w:r>
                </w:p>
              </w:tc>
              <w:tc>
                <w:tcPr>
                  <w:tcW w:w="3013" w:type="pct"/>
                  <w:gridSpan w:val="4"/>
                  <w:vAlign w:val="center"/>
                </w:tcPr>
                <w:p>
                  <w:pPr>
                    <w:pStyle w:val="16"/>
                    <w:adjustRightInd w:val="0"/>
                    <w:jc w:val="center"/>
                    <w:rPr>
                      <w:bCs/>
                      <w:color w:val="auto"/>
                      <w:sz w:val="21"/>
                      <w:szCs w:val="21"/>
                    </w:rPr>
                  </w:pPr>
                  <w:r>
                    <w:rPr>
                      <w:bCs/>
                      <w:color w:val="auto"/>
                      <w:sz w:val="21"/>
                      <w:szCs w:val="21"/>
                    </w:rPr>
                    <w:t>100%</w:t>
                  </w:r>
                </w:p>
              </w:tc>
              <w:tc>
                <w:tcPr>
                  <w:tcW w:w="752" w:type="pct"/>
                  <w:vAlign w:val="center"/>
                </w:tcPr>
                <w:p>
                  <w:pPr>
                    <w:pStyle w:val="16"/>
                    <w:adjustRightInd w:val="0"/>
                    <w:jc w:val="center"/>
                    <w:rPr>
                      <w:bCs/>
                      <w:color w:val="auto"/>
                      <w:sz w:val="21"/>
                      <w:szCs w:val="21"/>
                    </w:rPr>
                  </w:pPr>
                  <w:r>
                    <w:rPr>
                      <w:rFonts w:hint="eastAsia"/>
                      <w:bCs/>
                      <w:color w:val="auto"/>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7" w:type="pct"/>
                  <w:vMerge w:val="continue"/>
                  <w:vAlign w:val="center"/>
                </w:tcPr>
                <w:p>
                  <w:pPr>
                    <w:pStyle w:val="16"/>
                    <w:adjustRightInd w:val="0"/>
                    <w:jc w:val="center"/>
                    <w:rPr>
                      <w:bCs/>
                      <w:color w:val="auto"/>
                      <w:sz w:val="21"/>
                      <w:szCs w:val="21"/>
                    </w:rPr>
                  </w:pPr>
                </w:p>
              </w:tc>
              <w:tc>
                <w:tcPr>
                  <w:tcW w:w="966" w:type="pct"/>
                  <w:gridSpan w:val="2"/>
                  <w:vAlign w:val="center"/>
                </w:tcPr>
                <w:p>
                  <w:pPr>
                    <w:pStyle w:val="16"/>
                    <w:adjustRightInd w:val="0"/>
                    <w:jc w:val="center"/>
                    <w:rPr>
                      <w:bCs/>
                      <w:color w:val="auto"/>
                      <w:sz w:val="21"/>
                      <w:szCs w:val="21"/>
                    </w:rPr>
                  </w:pPr>
                  <w:r>
                    <w:rPr>
                      <w:bCs/>
                      <w:color w:val="auto"/>
                      <w:sz w:val="21"/>
                      <w:szCs w:val="21"/>
                    </w:rPr>
                    <w:t>去除效率</w:t>
                  </w:r>
                </w:p>
              </w:tc>
              <w:tc>
                <w:tcPr>
                  <w:tcW w:w="835" w:type="pct"/>
                  <w:vAlign w:val="center"/>
                </w:tcPr>
                <w:p>
                  <w:pPr>
                    <w:pStyle w:val="16"/>
                    <w:adjustRightInd w:val="0"/>
                    <w:jc w:val="center"/>
                    <w:rPr>
                      <w:bCs/>
                      <w:color w:val="auto"/>
                      <w:sz w:val="21"/>
                      <w:szCs w:val="21"/>
                    </w:rPr>
                  </w:pPr>
                  <w:r>
                    <w:rPr>
                      <w:rFonts w:hint="eastAsia"/>
                      <w:bCs/>
                      <w:color w:val="auto"/>
                      <w:sz w:val="21"/>
                      <w:szCs w:val="21"/>
                      <w:lang w:val="en-US" w:eastAsia="zh-CN"/>
                    </w:rPr>
                    <w:t>40</w:t>
                  </w:r>
                  <w:r>
                    <w:rPr>
                      <w:bCs/>
                      <w:color w:val="auto"/>
                      <w:sz w:val="21"/>
                      <w:szCs w:val="21"/>
                    </w:rPr>
                    <w:t>%</w:t>
                  </w:r>
                </w:p>
              </w:tc>
              <w:tc>
                <w:tcPr>
                  <w:tcW w:w="695" w:type="pct"/>
                  <w:vAlign w:val="center"/>
                </w:tcPr>
                <w:p>
                  <w:pPr>
                    <w:pStyle w:val="16"/>
                    <w:adjustRightInd w:val="0"/>
                    <w:jc w:val="center"/>
                    <w:rPr>
                      <w:bCs/>
                      <w:color w:val="auto"/>
                      <w:sz w:val="21"/>
                      <w:szCs w:val="21"/>
                    </w:rPr>
                  </w:pPr>
                  <w:r>
                    <w:rPr>
                      <w:rFonts w:hint="eastAsia"/>
                      <w:bCs/>
                      <w:color w:val="auto"/>
                      <w:sz w:val="21"/>
                      <w:szCs w:val="21"/>
                      <w:lang w:val="en-US" w:eastAsia="zh-CN"/>
                    </w:rPr>
                    <w:t>8</w:t>
                  </w:r>
                  <w:r>
                    <w:rPr>
                      <w:bCs/>
                      <w:color w:val="auto"/>
                      <w:sz w:val="21"/>
                      <w:szCs w:val="21"/>
                    </w:rPr>
                    <w:t>0%</w:t>
                  </w:r>
                </w:p>
              </w:tc>
              <w:tc>
                <w:tcPr>
                  <w:tcW w:w="728" w:type="pct"/>
                  <w:vAlign w:val="center"/>
                </w:tcPr>
                <w:p>
                  <w:pPr>
                    <w:pStyle w:val="16"/>
                    <w:adjustRightInd w:val="0"/>
                    <w:jc w:val="center"/>
                    <w:rPr>
                      <w:bCs/>
                      <w:color w:val="auto"/>
                      <w:sz w:val="21"/>
                      <w:szCs w:val="21"/>
                    </w:rPr>
                  </w:pPr>
                  <w:r>
                    <w:rPr>
                      <w:bCs/>
                      <w:color w:val="auto"/>
                      <w:sz w:val="21"/>
                      <w:szCs w:val="21"/>
                    </w:rPr>
                    <w:t>/</w:t>
                  </w:r>
                </w:p>
              </w:tc>
              <w:tc>
                <w:tcPr>
                  <w:tcW w:w="753" w:type="pct"/>
                  <w:vAlign w:val="center"/>
                </w:tcPr>
                <w:p>
                  <w:pPr>
                    <w:pStyle w:val="16"/>
                    <w:adjustRightInd w:val="0"/>
                    <w:jc w:val="center"/>
                    <w:rPr>
                      <w:bCs/>
                      <w:color w:val="auto"/>
                      <w:sz w:val="21"/>
                      <w:szCs w:val="21"/>
                    </w:rPr>
                  </w:pPr>
                  <w:r>
                    <w:rPr>
                      <w:rFonts w:hint="eastAsia"/>
                      <w:color w:val="auto"/>
                      <w:sz w:val="21"/>
                      <w:szCs w:val="21"/>
                      <w:lang w:val="en-US" w:eastAsia="zh-CN"/>
                    </w:rPr>
                    <w:t>/</w:t>
                  </w:r>
                </w:p>
              </w:tc>
              <w:tc>
                <w:tcPr>
                  <w:tcW w:w="752" w:type="pct"/>
                  <w:vAlign w:val="center"/>
                </w:tcPr>
                <w:p>
                  <w:pPr>
                    <w:pStyle w:val="16"/>
                    <w:adjustRightInd w:val="0"/>
                    <w:jc w:val="center"/>
                    <w:rPr>
                      <w:rFonts w:hint="default" w:eastAsia="宋体"/>
                      <w:bCs/>
                      <w:color w:val="auto"/>
                      <w:sz w:val="21"/>
                      <w:szCs w:val="21"/>
                      <w:lang w:val="en-US" w:eastAsia="zh-CN"/>
                    </w:rPr>
                  </w:pPr>
                  <w:r>
                    <w:rPr>
                      <w:rFonts w:hint="eastAsia"/>
                      <w:bCs/>
                      <w:color w:val="auto"/>
                      <w:sz w:val="21"/>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7" w:type="pct"/>
                  <w:vMerge w:val="continue"/>
                  <w:vAlign w:val="center"/>
                </w:tcPr>
                <w:p>
                  <w:pPr>
                    <w:pStyle w:val="16"/>
                    <w:adjustRightInd w:val="0"/>
                    <w:jc w:val="center"/>
                    <w:rPr>
                      <w:bCs/>
                      <w:color w:val="auto"/>
                      <w:sz w:val="21"/>
                      <w:szCs w:val="21"/>
                    </w:rPr>
                  </w:pPr>
                </w:p>
              </w:tc>
              <w:tc>
                <w:tcPr>
                  <w:tcW w:w="966" w:type="pct"/>
                  <w:gridSpan w:val="2"/>
                  <w:vAlign w:val="center"/>
                </w:tcPr>
                <w:p>
                  <w:pPr>
                    <w:pStyle w:val="16"/>
                    <w:adjustRightInd w:val="0"/>
                    <w:jc w:val="center"/>
                    <w:rPr>
                      <w:bCs/>
                      <w:color w:val="auto"/>
                      <w:sz w:val="21"/>
                      <w:szCs w:val="21"/>
                    </w:rPr>
                  </w:pPr>
                  <w:r>
                    <w:rPr>
                      <w:bCs/>
                      <w:color w:val="auto"/>
                      <w:sz w:val="21"/>
                      <w:szCs w:val="21"/>
                    </w:rPr>
                    <w:t>是否为可行技术</w:t>
                  </w:r>
                </w:p>
              </w:tc>
              <w:tc>
                <w:tcPr>
                  <w:tcW w:w="835" w:type="pct"/>
                  <w:vAlign w:val="center"/>
                </w:tcPr>
                <w:p>
                  <w:pPr>
                    <w:pStyle w:val="16"/>
                    <w:adjustRightInd w:val="0"/>
                    <w:jc w:val="center"/>
                    <w:rPr>
                      <w:bCs/>
                      <w:color w:val="auto"/>
                      <w:sz w:val="21"/>
                      <w:szCs w:val="21"/>
                    </w:rPr>
                  </w:pPr>
                  <w:r>
                    <w:rPr>
                      <w:bCs/>
                      <w:color w:val="auto"/>
                      <w:sz w:val="21"/>
                      <w:szCs w:val="21"/>
                    </w:rPr>
                    <w:t>/</w:t>
                  </w:r>
                </w:p>
              </w:tc>
              <w:tc>
                <w:tcPr>
                  <w:tcW w:w="695" w:type="pct"/>
                  <w:vAlign w:val="center"/>
                </w:tcPr>
                <w:p>
                  <w:pPr>
                    <w:pStyle w:val="16"/>
                    <w:adjustRightInd w:val="0"/>
                    <w:jc w:val="center"/>
                    <w:rPr>
                      <w:bCs/>
                      <w:color w:val="auto"/>
                      <w:sz w:val="21"/>
                      <w:szCs w:val="21"/>
                    </w:rPr>
                  </w:pPr>
                  <w:r>
                    <w:rPr>
                      <w:bCs/>
                      <w:color w:val="auto"/>
                      <w:sz w:val="21"/>
                      <w:szCs w:val="21"/>
                    </w:rPr>
                    <w:t>是</w:t>
                  </w:r>
                </w:p>
              </w:tc>
              <w:tc>
                <w:tcPr>
                  <w:tcW w:w="728" w:type="pct"/>
                  <w:vAlign w:val="center"/>
                </w:tcPr>
                <w:p>
                  <w:pPr>
                    <w:pStyle w:val="16"/>
                    <w:adjustRightInd w:val="0"/>
                    <w:jc w:val="center"/>
                    <w:rPr>
                      <w:bCs/>
                      <w:color w:val="auto"/>
                      <w:sz w:val="21"/>
                      <w:szCs w:val="21"/>
                    </w:rPr>
                  </w:pPr>
                  <w:r>
                    <w:rPr>
                      <w:bCs/>
                      <w:color w:val="auto"/>
                      <w:sz w:val="21"/>
                      <w:szCs w:val="21"/>
                    </w:rPr>
                    <w:t>/</w:t>
                  </w:r>
                </w:p>
              </w:tc>
              <w:tc>
                <w:tcPr>
                  <w:tcW w:w="753" w:type="pct"/>
                  <w:vAlign w:val="center"/>
                </w:tcPr>
                <w:p>
                  <w:pPr>
                    <w:pStyle w:val="16"/>
                    <w:adjustRightInd w:val="0"/>
                    <w:jc w:val="center"/>
                    <w:rPr>
                      <w:bCs/>
                      <w:color w:val="auto"/>
                      <w:sz w:val="21"/>
                      <w:szCs w:val="21"/>
                    </w:rPr>
                  </w:pPr>
                  <w:r>
                    <w:rPr>
                      <w:bCs/>
                      <w:color w:val="auto"/>
                      <w:sz w:val="21"/>
                      <w:szCs w:val="21"/>
                    </w:rPr>
                    <w:t>/</w:t>
                  </w:r>
                </w:p>
              </w:tc>
              <w:tc>
                <w:tcPr>
                  <w:tcW w:w="752" w:type="pct"/>
                  <w:vAlign w:val="center"/>
                </w:tcPr>
                <w:p>
                  <w:pPr>
                    <w:pStyle w:val="16"/>
                    <w:adjustRightInd w:val="0"/>
                    <w:jc w:val="center"/>
                    <w:rPr>
                      <w:bCs/>
                      <w:color w:val="auto"/>
                      <w:sz w:val="21"/>
                      <w:szCs w:val="21"/>
                    </w:rPr>
                  </w:pPr>
                  <w:r>
                    <w:rPr>
                      <w:bCs/>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4" w:type="pct"/>
                  <w:gridSpan w:val="3"/>
                  <w:vAlign w:val="center"/>
                </w:tcPr>
                <w:p>
                  <w:pPr>
                    <w:pStyle w:val="16"/>
                    <w:adjustRightInd w:val="0"/>
                    <w:jc w:val="center"/>
                    <w:rPr>
                      <w:bCs/>
                      <w:color w:val="auto"/>
                      <w:sz w:val="21"/>
                      <w:szCs w:val="21"/>
                    </w:rPr>
                  </w:pPr>
                  <w:r>
                    <w:rPr>
                      <w:bCs/>
                      <w:color w:val="auto"/>
                      <w:sz w:val="21"/>
                      <w:szCs w:val="21"/>
                    </w:rPr>
                    <w:t>污染物排放量（t/a）</w:t>
                  </w:r>
                </w:p>
              </w:tc>
              <w:tc>
                <w:tcPr>
                  <w:tcW w:w="835"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1.35</w:t>
                  </w:r>
                </w:p>
              </w:tc>
              <w:tc>
                <w:tcPr>
                  <w:tcW w:w="695" w:type="pct"/>
                  <w:vAlign w:val="center"/>
                </w:tcPr>
                <w:p>
                  <w:pPr>
                    <w:pStyle w:val="47"/>
                    <w:adjustRightInd w:val="0"/>
                    <w:snapToGrid w:val="0"/>
                    <w:spacing w:line="240" w:lineRule="auto"/>
                    <w:ind w:firstLine="0" w:firstLineChars="0"/>
                    <w:jc w:val="center"/>
                    <w:outlineLvl w:val="2"/>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25.48</w:t>
                  </w:r>
                </w:p>
              </w:tc>
              <w:tc>
                <w:tcPr>
                  <w:tcW w:w="728" w:type="pct"/>
                  <w:vAlign w:val="center"/>
                </w:tcPr>
                <w:p>
                  <w:pPr>
                    <w:pStyle w:val="16"/>
                    <w:adjustRightInd w:val="0"/>
                    <w:jc w:val="center"/>
                    <w:rPr>
                      <w:rFonts w:hint="default" w:eastAsia="宋体"/>
                      <w:bCs/>
                      <w:color w:val="auto"/>
                      <w:sz w:val="21"/>
                      <w:szCs w:val="21"/>
                      <w:lang w:val="en-US" w:eastAsia="zh-CN"/>
                    </w:rPr>
                  </w:pPr>
                  <w:r>
                    <w:rPr>
                      <w:rFonts w:hint="eastAsia"/>
                      <w:bCs/>
                      <w:color w:val="auto"/>
                      <w:sz w:val="21"/>
                      <w:szCs w:val="21"/>
                      <w:lang w:val="en-US" w:eastAsia="zh-CN"/>
                    </w:rPr>
                    <w:t>13.124</w:t>
                  </w:r>
                </w:p>
              </w:tc>
              <w:tc>
                <w:tcPr>
                  <w:tcW w:w="753"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0.74</w:t>
                  </w:r>
                </w:p>
              </w:tc>
              <w:tc>
                <w:tcPr>
                  <w:tcW w:w="752"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4" w:type="pct"/>
                  <w:gridSpan w:val="3"/>
                  <w:vAlign w:val="center"/>
                </w:tcPr>
                <w:p>
                  <w:pPr>
                    <w:pStyle w:val="16"/>
                    <w:adjustRightInd w:val="0"/>
                    <w:jc w:val="center"/>
                    <w:rPr>
                      <w:bCs/>
                      <w:color w:val="auto"/>
                      <w:sz w:val="21"/>
                      <w:szCs w:val="21"/>
                    </w:rPr>
                  </w:pPr>
                  <w:r>
                    <w:rPr>
                      <w:bCs/>
                      <w:color w:val="auto"/>
                      <w:sz w:val="21"/>
                      <w:szCs w:val="21"/>
                    </w:rPr>
                    <w:t>污染物排放速率（kg/h）</w:t>
                  </w:r>
                </w:p>
              </w:tc>
              <w:tc>
                <w:tcPr>
                  <w:tcW w:w="835"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0.19</w:t>
                  </w:r>
                </w:p>
              </w:tc>
              <w:tc>
                <w:tcPr>
                  <w:tcW w:w="695" w:type="pct"/>
                  <w:vAlign w:val="center"/>
                </w:tcPr>
                <w:p>
                  <w:pPr>
                    <w:pStyle w:val="47"/>
                    <w:adjustRightInd w:val="0"/>
                    <w:snapToGrid w:val="0"/>
                    <w:spacing w:line="240" w:lineRule="auto"/>
                    <w:ind w:firstLine="0" w:firstLineChars="0"/>
                    <w:jc w:val="center"/>
                    <w:outlineLvl w:val="2"/>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3.54</w:t>
                  </w:r>
                </w:p>
              </w:tc>
              <w:tc>
                <w:tcPr>
                  <w:tcW w:w="728" w:type="pct"/>
                  <w:vAlign w:val="center"/>
                </w:tcPr>
                <w:p>
                  <w:pPr>
                    <w:pStyle w:val="16"/>
                    <w:adjustRightInd w:val="0"/>
                    <w:jc w:val="center"/>
                    <w:rPr>
                      <w:rFonts w:hint="default" w:eastAsia="宋体"/>
                      <w:bCs/>
                      <w:color w:val="auto"/>
                      <w:sz w:val="21"/>
                      <w:szCs w:val="21"/>
                      <w:lang w:val="en-US" w:eastAsia="zh-CN"/>
                    </w:rPr>
                  </w:pPr>
                  <w:r>
                    <w:rPr>
                      <w:rFonts w:hint="eastAsia"/>
                      <w:bCs/>
                      <w:color w:val="auto"/>
                      <w:sz w:val="21"/>
                      <w:szCs w:val="21"/>
                      <w:lang w:val="en-US" w:eastAsia="zh-CN"/>
                    </w:rPr>
                    <w:t>1.82</w:t>
                  </w:r>
                </w:p>
              </w:tc>
              <w:tc>
                <w:tcPr>
                  <w:tcW w:w="753"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rPr>
                    <w:t>0.</w:t>
                  </w:r>
                  <w:r>
                    <w:rPr>
                      <w:rFonts w:hint="eastAsia"/>
                      <w:color w:val="auto"/>
                      <w:sz w:val="21"/>
                      <w:szCs w:val="21"/>
                      <w:lang w:val="en-US" w:eastAsia="zh-CN"/>
                    </w:rPr>
                    <w:t>10</w:t>
                  </w:r>
                </w:p>
              </w:tc>
              <w:tc>
                <w:tcPr>
                  <w:tcW w:w="752"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4" w:type="pct"/>
                  <w:gridSpan w:val="3"/>
                  <w:vAlign w:val="center"/>
                </w:tcPr>
                <w:p>
                  <w:pPr>
                    <w:pStyle w:val="16"/>
                    <w:adjustRightInd w:val="0"/>
                    <w:jc w:val="center"/>
                    <w:rPr>
                      <w:bCs/>
                      <w:color w:val="auto"/>
                      <w:sz w:val="21"/>
                      <w:szCs w:val="21"/>
                    </w:rPr>
                  </w:pPr>
                  <w:r>
                    <w:rPr>
                      <w:bCs/>
                      <w:color w:val="auto"/>
                      <w:sz w:val="21"/>
                      <w:szCs w:val="21"/>
                    </w:rPr>
                    <w:t>污染物排放浓度（mg/m</w:t>
                  </w:r>
                  <w:r>
                    <w:rPr>
                      <w:bCs/>
                      <w:color w:val="auto"/>
                      <w:sz w:val="21"/>
                      <w:szCs w:val="21"/>
                      <w:vertAlign w:val="superscript"/>
                    </w:rPr>
                    <w:t>3</w:t>
                  </w:r>
                  <w:r>
                    <w:rPr>
                      <w:bCs/>
                      <w:color w:val="auto"/>
                      <w:sz w:val="21"/>
                      <w:szCs w:val="21"/>
                    </w:rPr>
                    <w:t>）</w:t>
                  </w:r>
                </w:p>
              </w:tc>
              <w:tc>
                <w:tcPr>
                  <w:tcW w:w="835"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5.22</w:t>
                  </w:r>
                </w:p>
              </w:tc>
              <w:tc>
                <w:tcPr>
                  <w:tcW w:w="695" w:type="pct"/>
                  <w:vAlign w:val="center"/>
                </w:tcPr>
                <w:p>
                  <w:pPr>
                    <w:pStyle w:val="47"/>
                    <w:adjustRightInd w:val="0"/>
                    <w:snapToGrid w:val="0"/>
                    <w:spacing w:line="240" w:lineRule="auto"/>
                    <w:ind w:firstLine="0" w:firstLineChars="0"/>
                    <w:jc w:val="center"/>
                    <w:outlineLvl w:val="2"/>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98.48</w:t>
                  </w:r>
                </w:p>
              </w:tc>
              <w:tc>
                <w:tcPr>
                  <w:tcW w:w="728" w:type="pct"/>
                  <w:vAlign w:val="center"/>
                </w:tcPr>
                <w:p>
                  <w:pPr>
                    <w:pStyle w:val="16"/>
                    <w:adjustRightInd w:val="0"/>
                    <w:jc w:val="center"/>
                    <w:rPr>
                      <w:rFonts w:hint="default" w:eastAsia="宋体"/>
                      <w:bCs/>
                      <w:color w:val="auto"/>
                      <w:sz w:val="21"/>
                      <w:szCs w:val="21"/>
                      <w:lang w:val="en-US" w:eastAsia="zh-CN"/>
                    </w:rPr>
                  </w:pPr>
                  <w:r>
                    <w:rPr>
                      <w:rFonts w:hint="eastAsia"/>
                      <w:bCs/>
                      <w:color w:val="auto"/>
                      <w:sz w:val="21"/>
                      <w:szCs w:val="21"/>
                      <w:lang w:val="en-US" w:eastAsia="zh-CN"/>
                    </w:rPr>
                    <w:t>50.72</w:t>
                  </w:r>
                </w:p>
              </w:tc>
              <w:tc>
                <w:tcPr>
                  <w:tcW w:w="753"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2.86</w:t>
                  </w:r>
                </w:p>
              </w:tc>
              <w:tc>
                <w:tcPr>
                  <w:tcW w:w="752"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7" w:type="pct"/>
                  <w:vMerge w:val="restart"/>
                  <w:vAlign w:val="center"/>
                </w:tcPr>
                <w:p>
                  <w:pPr>
                    <w:pStyle w:val="16"/>
                    <w:adjustRightInd w:val="0"/>
                    <w:jc w:val="center"/>
                    <w:rPr>
                      <w:bCs/>
                      <w:color w:val="auto"/>
                      <w:sz w:val="21"/>
                      <w:szCs w:val="21"/>
                    </w:rPr>
                  </w:pPr>
                  <w:r>
                    <w:rPr>
                      <w:bCs/>
                      <w:color w:val="auto"/>
                      <w:sz w:val="21"/>
                      <w:szCs w:val="21"/>
                    </w:rPr>
                    <w:t>排放口基本情况</w:t>
                  </w:r>
                </w:p>
              </w:tc>
              <w:tc>
                <w:tcPr>
                  <w:tcW w:w="966" w:type="pct"/>
                  <w:gridSpan w:val="2"/>
                  <w:vAlign w:val="center"/>
                </w:tcPr>
                <w:p>
                  <w:pPr>
                    <w:pStyle w:val="16"/>
                    <w:adjustRightInd w:val="0"/>
                    <w:jc w:val="center"/>
                    <w:rPr>
                      <w:bCs/>
                      <w:color w:val="auto"/>
                      <w:sz w:val="21"/>
                      <w:szCs w:val="21"/>
                    </w:rPr>
                  </w:pPr>
                  <w:r>
                    <w:rPr>
                      <w:bCs/>
                      <w:color w:val="auto"/>
                      <w:sz w:val="21"/>
                      <w:szCs w:val="21"/>
                    </w:rPr>
                    <w:t>高度（m）</w:t>
                  </w:r>
                </w:p>
              </w:tc>
              <w:tc>
                <w:tcPr>
                  <w:tcW w:w="3013" w:type="pct"/>
                  <w:gridSpan w:val="4"/>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50</w:t>
                  </w:r>
                </w:p>
              </w:tc>
              <w:tc>
                <w:tcPr>
                  <w:tcW w:w="752"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7" w:type="pct"/>
                  <w:vMerge w:val="continue"/>
                  <w:vAlign w:val="center"/>
                </w:tcPr>
                <w:p>
                  <w:pPr>
                    <w:pStyle w:val="16"/>
                    <w:adjustRightInd w:val="0"/>
                    <w:jc w:val="center"/>
                    <w:rPr>
                      <w:bCs/>
                      <w:color w:val="auto"/>
                      <w:sz w:val="21"/>
                      <w:szCs w:val="21"/>
                    </w:rPr>
                  </w:pPr>
                </w:p>
              </w:tc>
              <w:tc>
                <w:tcPr>
                  <w:tcW w:w="966" w:type="pct"/>
                  <w:gridSpan w:val="2"/>
                  <w:vAlign w:val="center"/>
                </w:tcPr>
                <w:p>
                  <w:pPr>
                    <w:pStyle w:val="16"/>
                    <w:adjustRightInd w:val="0"/>
                    <w:jc w:val="center"/>
                    <w:rPr>
                      <w:bCs/>
                      <w:color w:val="auto"/>
                      <w:sz w:val="21"/>
                      <w:szCs w:val="21"/>
                    </w:rPr>
                  </w:pPr>
                  <w:r>
                    <w:rPr>
                      <w:bCs/>
                      <w:color w:val="auto"/>
                      <w:sz w:val="21"/>
                      <w:szCs w:val="21"/>
                    </w:rPr>
                    <w:t>内径（m）</w:t>
                  </w:r>
                </w:p>
              </w:tc>
              <w:tc>
                <w:tcPr>
                  <w:tcW w:w="3013" w:type="pct"/>
                  <w:gridSpan w:val="4"/>
                  <w:vAlign w:val="center"/>
                </w:tcPr>
                <w:p>
                  <w:pPr>
                    <w:pStyle w:val="16"/>
                    <w:adjustRightInd w:val="0"/>
                    <w:jc w:val="center"/>
                    <w:rPr>
                      <w:bCs/>
                      <w:color w:val="auto"/>
                      <w:sz w:val="21"/>
                      <w:szCs w:val="21"/>
                    </w:rPr>
                  </w:pPr>
                  <w:r>
                    <w:rPr>
                      <w:bCs/>
                      <w:color w:val="auto"/>
                      <w:sz w:val="21"/>
                      <w:szCs w:val="21"/>
                    </w:rPr>
                    <w:t>1</w:t>
                  </w:r>
                  <w:r>
                    <w:rPr>
                      <w:rFonts w:hint="eastAsia"/>
                      <w:bCs/>
                      <w:color w:val="auto"/>
                      <w:sz w:val="21"/>
                      <w:szCs w:val="21"/>
                    </w:rPr>
                    <w:t>.5</w:t>
                  </w:r>
                </w:p>
              </w:tc>
              <w:tc>
                <w:tcPr>
                  <w:tcW w:w="752" w:type="pct"/>
                  <w:vAlign w:val="center"/>
                </w:tcPr>
                <w:p>
                  <w:pPr>
                    <w:pStyle w:val="16"/>
                    <w:adjustRightInd w:val="0"/>
                    <w:jc w:val="center"/>
                    <w:rPr>
                      <w:bCs/>
                      <w:color w:val="auto"/>
                      <w:sz w:val="21"/>
                      <w:szCs w:val="21"/>
                    </w:rPr>
                  </w:pPr>
                  <w:r>
                    <w:rPr>
                      <w:rFonts w:hint="eastAsia"/>
                      <w:bCs/>
                      <w:color w:val="auto"/>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7" w:type="pct"/>
                  <w:vMerge w:val="continue"/>
                  <w:vAlign w:val="center"/>
                </w:tcPr>
                <w:p>
                  <w:pPr>
                    <w:pStyle w:val="16"/>
                    <w:adjustRightInd w:val="0"/>
                    <w:jc w:val="center"/>
                    <w:rPr>
                      <w:bCs/>
                      <w:color w:val="auto"/>
                      <w:sz w:val="21"/>
                      <w:szCs w:val="21"/>
                    </w:rPr>
                  </w:pPr>
                </w:p>
              </w:tc>
              <w:tc>
                <w:tcPr>
                  <w:tcW w:w="966" w:type="pct"/>
                  <w:gridSpan w:val="2"/>
                  <w:vAlign w:val="center"/>
                </w:tcPr>
                <w:p>
                  <w:pPr>
                    <w:pStyle w:val="16"/>
                    <w:adjustRightInd w:val="0"/>
                    <w:jc w:val="center"/>
                    <w:rPr>
                      <w:bCs/>
                      <w:color w:val="auto"/>
                      <w:sz w:val="21"/>
                      <w:szCs w:val="21"/>
                    </w:rPr>
                  </w:pPr>
                  <w:r>
                    <w:rPr>
                      <w:bCs/>
                      <w:color w:val="auto"/>
                      <w:sz w:val="21"/>
                      <w:szCs w:val="21"/>
                    </w:rPr>
                    <w:t>温度（℃）</w:t>
                  </w:r>
                </w:p>
              </w:tc>
              <w:tc>
                <w:tcPr>
                  <w:tcW w:w="3013" w:type="pct"/>
                  <w:gridSpan w:val="4"/>
                  <w:vAlign w:val="center"/>
                </w:tcPr>
                <w:p>
                  <w:pPr>
                    <w:pStyle w:val="16"/>
                    <w:adjustRightInd w:val="0"/>
                    <w:jc w:val="center"/>
                    <w:rPr>
                      <w:bCs/>
                      <w:color w:val="auto"/>
                      <w:sz w:val="21"/>
                      <w:szCs w:val="21"/>
                    </w:rPr>
                  </w:pPr>
                  <w:r>
                    <w:rPr>
                      <w:bCs/>
                      <w:color w:val="auto"/>
                      <w:sz w:val="21"/>
                      <w:szCs w:val="21"/>
                    </w:rPr>
                    <w:t>50</w:t>
                  </w:r>
                </w:p>
              </w:tc>
              <w:tc>
                <w:tcPr>
                  <w:tcW w:w="752" w:type="pct"/>
                  <w:vAlign w:val="center"/>
                </w:tcPr>
                <w:p>
                  <w:pPr>
                    <w:pStyle w:val="16"/>
                    <w:adjustRightInd w:val="0"/>
                    <w:jc w:val="center"/>
                    <w:rPr>
                      <w:bCs/>
                      <w:color w:val="auto"/>
                      <w:sz w:val="21"/>
                      <w:szCs w:val="21"/>
                    </w:rPr>
                  </w:pPr>
                  <w:r>
                    <w:rPr>
                      <w:rFonts w:hint="eastAsia"/>
                      <w:bCs/>
                      <w:color w:val="auto"/>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7" w:type="pct"/>
                  <w:vMerge w:val="continue"/>
                  <w:vAlign w:val="center"/>
                </w:tcPr>
                <w:p>
                  <w:pPr>
                    <w:pStyle w:val="16"/>
                    <w:adjustRightInd w:val="0"/>
                    <w:jc w:val="center"/>
                    <w:rPr>
                      <w:bCs/>
                      <w:color w:val="auto"/>
                      <w:sz w:val="21"/>
                      <w:szCs w:val="21"/>
                    </w:rPr>
                  </w:pPr>
                </w:p>
              </w:tc>
              <w:tc>
                <w:tcPr>
                  <w:tcW w:w="966" w:type="pct"/>
                  <w:gridSpan w:val="2"/>
                  <w:vAlign w:val="center"/>
                </w:tcPr>
                <w:p>
                  <w:pPr>
                    <w:pStyle w:val="16"/>
                    <w:adjustRightInd w:val="0"/>
                    <w:jc w:val="center"/>
                    <w:rPr>
                      <w:bCs/>
                      <w:color w:val="auto"/>
                      <w:sz w:val="21"/>
                      <w:szCs w:val="21"/>
                    </w:rPr>
                  </w:pPr>
                  <w:r>
                    <w:rPr>
                      <w:bCs/>
                      <w:color w:val="auto"/>
                      <w:sz w:val="21"/>
                      <w:szCs w:val="21"/>
                    </w:rPr>
                    <w:t>编号</w:t>
                  </w:r>
                </w:p>
              </w:tc>
              <w:tc>
                <w:tcPr>
                  <w:tcW w:w="3013" w:type="pct"/>
                  <w:gridSpan w:val="4"/>
                  <w:vAlign w:val="center"/>
                </w:tcPr>
                <w:p>
                  <w:pPr>
                    <w:pStyle w:val="16"/>
                    <w:adjustRightInd w:val="0"/>
                    <w:jc w:val="center"/>
                    <w:rPr>
                      <w:bCs/>
                      <w:color w:val="auto"/>
                      <w:sz w:val="21"/>
                      <w:szCs w:val="21"/>
                    </w:rPr>
                  </w:pPr>
                  <w:r>
                    <w:rPr>
                      <w:bCs/>
                      <w:color w:val="auto"/>
                      <w:sz w:val="21"/>
                      <w:szCs w:val="21"/>
                    </w:rPr>
                    <w:t>DA001</w:t>
                  </w:r>
                </w:p>
              </w:tc>
              <w:tc>
                <w:tcPr>
                  <w:tcW w:w="752" w:type="pct"/>
                  <w:vAlign w:val="center"/>
                </w:tcPr>
                <w:p>
                  <w:pPr>
                    <w:pStyle w:val="16"/>
                    <w:adjustRightInd w:val="0"/>
                    <w:jc w:val="center"/>
                    <w:rPr>
                      <w:bCs/>
                      <w:color w:val="auto"/>
                      <w:sz w:val="21"/>
                      <w:szCs w:val="21"/>
                    </w:rPr>
                  </w:pPr>
                  <w:r>
                    <w:rPr>
                      <w:rFonts w:hint="eastAsia"/>
                      <w:bCs/>
                      <w:color w:val="auto"/>
                      <w:sz w:val="21"/>
                      <w:szCs w:val="21"/>
                    </w:rPr>
                    <w:t>DA002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7" w:type="pct"/>
                  <w:vMerge w:val="continue"/>
                  <w:vAlign w:val="center"/>
                </w:tcPr>
                <w:p>
                  <w:pPr>
                    <w:pStyle w:val="16"/>
                    <w:adjustRightInd w:val="0"/>
                    <w:jc w:val="center"/>
                    <w:rPr>
                      <w:bCs/>
                      <w:color w:val="auto"/>
                      <w:sz w:val="21"/>
                      <w:szCs w:val="21"/>
                    </w:rPr>
                  </w:pPr>
                </w:p>
              </w:tc>
              <w:tc>
                <w:tcPr>
                  <w:tcW w:w="966" w:type="pct"/>
                  <w:gridSpan w:val="2"/>
                  <w:vAlign w:val="center"/>
                </w:tcPr>
                <w:p>
                  <w:pPr>
                    <w:pStyle w:val="16"/>
                    <w:adjustRightInd w:val="0"/>
                    <w:jc w:val="center"/>
                    <w:rPr>
                      <w:bCs/>
                      <w:color w:val="auto"/>
                      <w:sz w:val="21"/>
                      <w:szCs w:val="21"/>
                    </w:rPr>
                  </w:pPr>
                  <w:r>
                    <w:rPr>
                      <w:bCs/>
                      <w:color w:val="auto"/>
                      <w:sz w:val="21"/>
                      <w:szCs w:val="21"/>
                    </w:rPr>
                    <w:t>类型</w:t>
                  </w:r>
                </w:p>
              </w:tc>
              <w:tc>
                <w:tcPr>
                  <w:tcW w:w="3013" w:type="pct"/>
                  <w:gridSpan w:val="4"/>
                  <w:vAlign w:val="center"/>
                </w:tcPr>
                <w:p>
                  <w:pPr>
                    <w:pStyle w:val="16"/>
                    <w:adjustRightInd w:val="0"/>
                    <w:jc w:val="center"/>
                    <w:rPr>
                      <w:bCs/>
                      <w:color w:val="auto"/>
                      <w:sz w:val="21"/>
                      <w:szCs w:val="21"/>
                    </w:rPr>
                  </w:pPr>
                  <w:r>
                    <w:rPr>
                      <w:rFonts w:hint="eastAsia"/>
                      <w:bCs/>
                      <w:color w:val="auto"/>
                      <w:sz w:val="21"/>
                      <w:szCs w:val="21"/>
                    </w:rPr>
                    <w:t>一般</w:t>
                  </w:r>
                  <w:r>
                    <w:rPr>
                      <w:bCs/>
                      <w:color w:val="auto"/>
                      <w:sz w:val="21"/>
                      <w:szCs w:val="21"/>
                    </w:rPr>
                    <w:t>排口</w:t>
                  </w:r>
                </w:p>
              </w:tc>
              <w:tc>
                <w:tcPr>
                  <w:tcW w:w="752" w:type="pct"/>
                  <w:vAlign w:val="center"/>
                </w:tcPr>
                <w:p>
                  <w:pPr>
                    <w:pStyle w:val="16"/>
                    <w:adjustRightInd w:val="0"/>
                    <w:jc w:val="center"/>
                    <w:rPr>
                      <w:bCs/>
                      <w:color w:val="auto"/>
                      <w:sz w:val="21"/>
                      <w:szCs w:val="21"/>
                    </w:rPr>
                  </w:pPr>
                  <w:r>
                    <w:rPr>
                      <w:rFonts w:hint="eastAsia"/>
                      <w:bCs/>
                      <w:color w:val="auto"/>
                      <w:sz w:val="21"/>
                      <w:szCs w:val="21"/>
                    </w:rPr>
                    <w:t>一般</w:t>
                  </w:r>
                  <w:r>
                    <w:rPr>
                      <w:bCs/>
                      <w:color w:val="auto"/>
                      <w:sz w:val="21"/>
                      <w:szCs w:val="21"/>
                    </w:rPr>
                    <w:t>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7" w:type="pct"/>
                  <w:vMerge w:val="continue"/>
                  <w:vAlign w:val="center"/>
                </w:tcPr>
                <w:p>
                  <w:pPr>
                    <w:pStyle w:val="16"/>
                    <w:adjustRightInd w:val="0"/>
                    <w:jc w:val="center"/>
                    <w:rPr>
                      <w:bCs/>
                      <w:color w:val="auto"/>
                      <w:sz w:val="21"/>
                      <w:szCs w:val="21"/>
                    </w:rPr>
                  </w:pPr>
                </w:p>
              </w:tc>
              <w:tc>
                <w:tcPr>
                  <w:tcW w:w="268" w:type="pct"/>
                  <w:vMerge w:val="restart"/>
                  <w:vAlign w:val="center"/>
                </w:tcPr>
                <w:p>
                  <w:pPr>
                    <w:pStyle w:val="16"/>
                    <w:adjustRightInd w:val="0"/>
                    <w:jc w:val="center"/>
                    <w:rPr>
                      <w:bCs/>
                      <w:color w:val="auto"/>
                      <w:sz w:val="21"/>
                      <w:szCs w:val="21"/>
                    </w:rPr>
                  </w:pPr>
                  <w:r>
                    <w:rPr>
                      <w:bCs/>
                      <w:color w:val="auto"/>
                      <w:sz w:val="21"/>
                      <w:szCs w:val="21"/>
                    </w:rPr>
                    <w:t>坐标</w:t>
                  </w:r>
                </w:p>
              </w:tc>
              <w:tc>
                <w:tcPr>
                  <w:tcW w:w="698" w:type="pct"/>
                  <w:vAlign w:val="center"/>
                </w:tcPr>
                <w:p>
                  <w:pPr>
                    <w:pStyle w:val="16"/>
                    <w:adjustRightInd w:val="0"/>
                    <w:jc w:val="center"/>
                    <w:rPr>
                      <w:bCs/>
                      <w:color w:val="auto"/>
                      <w:sz w:val="21"/>
                      <w:szCs w:val="21"/>
                    </w:rPr>
                  </w:pPr>
                  <w:r>
                    <w:rPr>
                      <w:bCs/>
                      <w:color w:val="auto"/>
                      <w:sz w:val="21"/>
                      <w:szCs w:val="21"/>
                    </w:rPr>
                    <w:t>E</w:t>
                  </w:r>
                </w:p>
              </w:tc>
              <w:tc>
                <w:tcPr>
                  <w:tcW w:w="3013" w:type="pct"/>
                  <w:gridSpan w:val="4"/>
                  <w:vAlign w:val="center"/>
                </w:tcPr>
                <w:p>
                  <w:pPr>
                    <w:pStyle w:val="16"/>
                    <w:adjustRightInd w:val="0"/>
                    <w:jc w:val="center"/>
                    <w:rPr>
                      <w:bCs/>
                      <w:color w:val="auto"/>
                      <w:sz w:val="21"/>
                      <w:szCs w:val="21"/>
                    </w:rPr>
                  </w:pPr>
                  <w:r>
                    <w:rPr>
                      <w:bCs/>
                      <w:color w:val="auto"/>
                      <w:sz w:val="21"/>
                      <w:szCs w:val="21"/>
                    </w:rPr>
                    <w:t>103.213</w:t>
                  </w:r>
                </w:p>
              </w:tc>
              <w:tc>
                <w:tcPr>
                  <w:tcW w:w="752" w:type="pct"/>
                  <w:vAlign w:val="center"/>
                </w:tcPr>
                <w:p>
                  <w:pPr>
                    <w:pStyle w:val="16"/>
                    <w:adjustRightInd w:val="0"/>
                    <w:jc w:val="center"/>
                    <w:rPr>
                      <w:bCs/>
                      <w:color w:val="auto"/>
                      <w:sz w:val="21"/>
                      <w:szCs w:val="21"/>
                    </w:rPr>
                  </w:pPr>
                  <w:r>
                    <w:rPr>
                      <w:bCs/>
                      <w:color w:val="auto"/>
                      <w:sz w:val="21"/>
                      <w:szCs w:val="21"/>
                    </w:rPr>
                    <w:t>103.212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7" w:type="pct"/>
                  <w:vMerge w:val="continue"/>
                  <w:vAlign w:val="center"/>
                </w:tcPr>
                <w:p>
                  <w:pPr>
                    <w:pStyle w:val="16"/>
                    <w:adjustRightInd w:val="0"/>
                    <w:jc w:val="center"/>
                    <w:rPr>
                      <w:bCs/>
                      <w:color w:val="auto"/>
                      <w:sz w:val="21"/>
                      <w:szCs w:val="21"/>
                    </w:rPr>
                  </w:pPr>
                </w:p>
              </w:tc>
              <w:tc>
                <w:tcPr>
                  <w:tcW w:w="268" w:type="pct"/>
                  <w:vMerge w:val="continue"/>
                  <w:vAlign w:val="center"/>
                </w:tcPr>
                <w:p>
                  <w:pPr>
                    <w:pStyle w:val="16"/>
                    <w:adjustRightInd w:val="0"/>
                    <w:jc w:val="center"/>
                    <w:rPr>
                      <w:bCs/>
                      <w:color w:val="auto"/>
                      <w:sz w:val="21"/>
                      <w:szCs w:val="21"/>
                    </w:rPr>
                  </w:pPr>
                </w:p>
              </w:tc>
              <w:tc>
                <w:tcPr>
                  <w:tcW w:w="698" w:type="pct"/>
                  <w:vAlign w:val="center"/>
                </w:tcPr>
                <w:p>
                  <w:pPr>
                    <w:pStyle w:val="16"/>
                    <w:adjustRightInd w:val="0"/>
                    <w:jc w:val="center"/>
                    <w:rPr>
                      <w:bCs/>
                      <w:color w:val="auto"/>
                      <w:sz w:val="21"/>
                      <w:szCs w:val="21"/>
                    </w:rPr>
                  </w:pPr>
                  <w:r>
                    <w:rPr>
                      <w:bCs/>
                      <w:color w:val="auto"/>
                      <w:sz w:val="21"/>
                      <w:szCs w:val="21"/>
                    </w:rPr>
                    <w:t>N</w:t>
                  </w:r>
                </w:p>
              </w:tc>
              <w:tc>
                <w:tcPr>
                  <w:tcW w:w="3013" w:type="pct"/>
                  <w:gridSpan w:val="4"/>
                  <w:vAlign w:val="center"/>
                </w:tcPr>
                <w:p>
                  <w:pPr>
                    <w:pStyle w:val="16"/>
                    <w:adjustRightInd w:val="0"/>
                    <w:jc w:val="center"/>
                    <w:rPr>
                      <w:bCs/>
                      <w:color w:val="auto"/>
                      <w:sz w:val="21"/>
                      <w:szCs w:val="21"/>
                    </w:rPr>
                  </w:pPr>
                  <w:r>
                    <w:rPr>
                      <w:bCs/>
                      <w:color w:val="auto"/>
                      <w:sz w:val="21"/>
                      <w:szCs w:val="21"/>
                    </w:rPr>
                    <w:t>25.004</w:t>
                  </w:r>
                </w:p>
              </w:tc>
              <w:tc>
                <w:tcPr>
                  <w:tcW w:w="752" w:type="pct"/>
                  <w:vAlign w:val="center"/>
                </w:tcPr>
                <w:p>
                  <w:pPr>
                    <w:pStyle w:val="16"/>
                    <w:adjustRightInd w:val="0"/>
                    <w:jc w:val="center"/>
                    <w:rPr>
                      <w:bCs/>
                      <w:color w:val="auto"/>
                      <w:sz w:val="21"/>
                      <w:szCs w:val="21"/>
                    </w:rPr>
                  </w:pPr>
                  <w:r>
                    <w:rPr>
                      <w:bCs/>
                      <w:color w:val="auto"/>
                      <w:sz w:val="21"/>
                      <w:szCs w:val="21"/>
                    </w:rPr>
                    <w:t>25.005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4" w:type="pct"/>
                  <w:gridSpan w:val="3"/>
                  <w:vAlign w:val="center"/>
                </w:tcPr>
                <w:p>
                  <w:pPr>
                    <w:pStyle w:val="16"/>
                    <w:adjustRightInd w:val="0"/>
                    <w:jc w:val="center"/>
                    <w:rPr>
                      <w:bCs/>
                      <w:color w:val="auto"/>
                      <w:sz w:val="21"/>
                      <w:szCs w:val="21"/>
                    </w:rPr>
                  </w:pPr>
                  <w:r>
                    <w:rPr>
                      <w:bCs/>
                      <w:color w:val="auto"/>
                      <w:sz w:val="21"/>
                      <w:szCs w:val="21"/>
                    </w:rPr>
                    <w:t>排放标准</w:t>
                  </w:r>
                </w:p>
              </w:tc>
              <w:tc>
                <w:tcPr>
                  <w:tcW w:w="3765" w:type="pct"/>
                  <w:gridSpan w:val="5"/>
                  <w:vAlign w:val="center"/>
                </w:tcPr>
                <w:p>
                  <w:pPr>
                    <w:pStyle w:val="16"/>
                    <w:adjustRightInd w:val="0"/>
                    <w:jc w:val="center"/>
                    <w:rPr>
                      <w:color w:val="auto"/>
                      <w:sz w:val="21"/>
                      <w:szCs w:val="22"/>
                    </w:rPr>
                  </w:pPr>
                  <w:r>
                    <w:rPr>
                      <w:rFonts w:hint="eastAsia"/>
                      <w:color w:val="auto"/>
                      <w:sz w:val="21"/>
                      <w:szCs w:val="22"/>
                    </w:rPr>
                    <w:t>《工业炉窑大气污染物排放标准》（GB9078-1996）</w:t>
                  </w:r>
                </w:p>
                <w:p>
                  <w:pPr>
                    <w:pStyle w:val="16"/>
                    <w:adjustRightInd w:val="0"/>
                    <w:jc w:val="center"/>
                    <w:rPr>
                      <w:color w:val="auto"/>
                      <w:sz w:val="21"/>
                      <w:szCs w:val="22"/>
                    </w:rPr>
                  </w:pPr>
                  <w:r>
                    <w:rPr>
                      <w:color w:val="auto"/>
                      <w:sz w:val="21"/>
                      <w:szCs w:val="22"/>
                    </w:rPr>
                    <w:t>《大气污染物综合排放标准》（GB16297-1996）</w:t>
                  </w:r>
                </w:p>
              </w:tc>
            </w:tr>
          </w:tbl>
          <w:p>
            <w:pPr>
              <w:pStyle w:val="47"/>
              <w:adjustRightInd w:val="0"/>
              <w:snapToGrid w:val="0"/>
              <w:spacing w:line="240" w:lineRule="auto"/>
              <w:ind w:firstLine="420" w:firstLineChars="200"/>
              <w:outlineLvl w:val="2"/>
              <w:rPr>
                <w:color w:val="auto"/>
                <w:sz w:val="21"/>
                <w:szCs w:val="24"/>
              </w:rPr>
            </w:pPr>
          </w:p>
          <w:p>
            <w:pPr>
              <w:pStyle w:val="47"/>
              <w:adjustRightInd w:val="0"/>
              <w:snapToGrid w:val="0"/>
              <w:ind w:firstLine="481" w:firstLineChars="200"/>
              <w:outlineLvl w:val="2"/>
              <w:rPr>
                <w:b/>
                <w:bCs/>
                <w:color w:val="auto"/>
                <w:szCs w:val="24"/>
              </w:rPr>
            </w:pPr>
            <w:r>
              <w:rPr>
                <w:rFonts w:hint="eastAsia"/>
                <w:b/>
                <w:bCs/>
                <w:color w:val="auto"/>
                <w:szCs w:val="24"/>
              </w:rPr>
              <w:t>（2）无组织排放污染物</w:t>
            </w:r>
          </w:p>
          <w:p>
            <w:pPr>
              <w:pStyle w:val="47"/>
              <w:adjustRightInd w:val="0"/>
              <w:snapToGrid w:val="0"/>
              <w:ind w:firstLine="480" w:firstLineChars="200"/>
              <w:outlineLvl w:val="2"/>
              <w:rPr>
                <w:color w:val="auto"/>
                <w:szCs w:val="24"/>
              </w:rPr>
            </w:pPr>
            <w:r>
              <w:rPr>
                <w:rFonts w:hint="eastAsia"/>
                <w:color w:val="auto"/>
                <w:szCs w:val="24"/>
              </w:rPr>
              <w:t>项目无组织排放污染物为堆场扬尘、破碎车间粉尘、汽车尾气及燃油机械废气。</w:t>
            </w:r>
          </w:p>
          <w:p>
            <w:pPr>
              <w:pStyle w:val="47"/>
              <w:adjustRightInd w:val="0"/>
              <w:snapToGrid w:val="0"/>
              <w:ind w:firstLine="481" w:firstLineChars="200"/>
              <w:outlineLvl w:val="2"/>
              <w:rPr>
                <w:b/>
                <w:bCs/>
                <w:color w:val="auto"/>
                <w:szCs w:val="24"/>
              </w:rPr>
            </w:pPr>
            <w:r>
              <w:rPr>
                <w:rFonts w:hint="eastAsia"/>
                <w:b/>
                <w:bCs/>
                <w:color w:val="auto"/>
                <w:szCs w:val="24"/>
              </w:rPr>
              <w:t>①堆场扬尘</w:t>
            </w:r>
          </w:p>
          <w:p>
            <w:pPr>
              <w:pStyle w:val="47"/>
              <w:adjustRightInd w:val="0"/>
              <w:snapToGrid w:val="0"/>
              <w:ind w:firstLine="480" w:firstLineChars="200"/>
              <w:outlineLvl w:val="2"/>
              <w:rPr>
                <w:color w:val="auto"/>
                <w:szCs w:val="24"/>
              </w:rPr>
            </w:pPr>
            <w:r>
              <w:rPr>
                <w:rFonts w:hint="eastAsia"/>
                <w:color w:val="auto"/>
                <w:szCs w:val="24"/>
              </w:rPr>
              <w:t>本项目原料堆棚均设有顶棚和三面围挡，现有项目堆场面积4370m</w:t>
            </w:r>
            <w:r>
              <w:rPr>
                <w:rFonts w:hint="eastAsia"/>
                <w:color w:val="auto"/>
                <w:szCs w:val="24"/>
                <w:vertAlign w:val="superscript"/>
              </w:rPr>
              <w:t>2</w:t>
            </w:r>
            <w:r>
              <w:rPr>
                <w:rFonts w:hint="eastAsia"/>
                <w:color w:val="auto"/>
                <w:szCs w:val="24"/>
              </w:rPr>
              <w:t>，改扩建项目新建堆场面积4500 m</w:t>
            </w:r>
            <w:r>
              <w:rPr>
                <w:rFonts w:hint="eastAsia"/>
                <w:color w:val="auto"/>
                <w:szCs w:val="24"/>
                <w:vertAlign w:val="superscript"/>
              </w:rPr>
              <w:t>2</w:t>
            </w:r>
            <w:r>
              <w:rPr>
                <w:rFonts w:hint="eastAsia"/>
                <w:color w:val="auto"/>
                <w:szCs w:val="24"/>
              </w:rPr>
              <w:t>。堆场扬尘参考</w:t>
            </w:r>
            <w:r>
              <w:rPr>
                <w:rFonts w:hint="eastAsia"/>
                <w:bCs/>
                <w:color w:val="auto"/>
              </w:rPr>
              <w:t>日本三菱重工业公司长崎研究所起尘量计算公式计算。</w:t>
            </w:r>
          </w:p>
          <w:p>
            <w:pPr>
              <w:adjustRightInd w:val="0"/>
              <w:snapToGrid w:val="0"/>
              <w:spacing w:line="360" w:lineRule="auto"/>
              <w:jc w:val="center"/>
              <w:rPr>
                <w:bCs/>
                <w:color w:val="auto"/>
                <w:sz w:val="28"/>
              </w:rPr>
            </w:pPr>
            <w:r>
              <w:rPr>
                <w:rFonts w:hint="eastAsia"/>
                <w:bCs/>
                <w:color w:val="auto"/>
                <w:sz w:val="28"/>
              </w:rPr>
              <w:t>Q</w:t>
            </w:r>
            <w:r>
              <w:rPr>
                <w:rFonts w:hint="eastAsia"/>
                <w:bCs/>
                <w:color w:val="auto"/>
                <w:sz w:val="28"/>
                <w:vertAlign w:val="subscript"/>
              </w:rPr>
              <w:t>p</w:t>
            </w:r>
            <w:r>
              <w:rPr>
                <w:rFonts w:hint="eastAsia"/>
                <w:bCs/>
                <w:color w:val="auto"/>
                <w:sz w:val="28"/>
              </w:rPr>
              <w:t>=β×（W/4）</w:t>
            </w:r>
            <w:r>
              <w:rPr>
                <w:rFonts w:hint="eastAsia"/>
                <w:bCs/>
                <w:color w:val="auto"/>
                <w:sz w:val="28"/>
                <w:vertAlign w:val="superscript"/>
              </w:rPr>
              <w:t>-6</w:t>
            </w:r>
            <w:r>
              <w:rPr>
                <w:rFonts w:hint="eastAsia"/>
                <w:bCs/>
                <w:color w:val="auto"/>
                <w:sz w:val="28"/>
              </w:rPr>
              <w:t>×U</w:t>
            </w:r>
            <w:r>
              <w:rPr>
                <w:rFonts w:hint="eastAsia"/>
                <w:bCs/>
                <w:color w:val="auto"/>
                <w:sz w:val="28"/>
                <w:vertAlign w:val="superscript"/>
              </w:rPr>
              <w:t>5</w:t>
            </w:r>
            <w:r>
              <w:rPr>
                <w:rFonts w:hint="eastAsia"/>
                <w:bCs/>
                <w:color w:val="auto"/>
                <w:sz w:val="28"/>
              </w:rPr>
              <w:t>×A</w:t>
            </w:r>
            <w:r>
              <w:rPr>
                <w:rFonts w:hint="eastAsia"/>
                <w:bCs/>
                <w:color w:val="auto"/>
                <w:sz w:val="28"/>
                <w:vertAlign w:val="subscript"/>
              </w:rPr>
              <w:t>p</w:t>
            </w:r>
          </w:p>
          <w:p>
            <w:pPr>
              <w:adjustRightInd w:val="0"/>
              <w:snapToGrid w:val="0"/>
              <w:spacing w:line="360" w:lineRule="auto"/>
              <w:ind w:firstLine="480" w:firstLineChars="200"/>
              <w:rPr>
                <w:bCs/>
                <w:color w:val="auto"/>
                <w:sz w:val="24"/>
              </w:rPr>
            </w:pPr>
            <w:r>
              <w:rPr>
                <w:rFonts w:hint="eastAsia"/>
                <w:bCs/>
                <w:color w:val="auto"/>
                <w:sz w:val="24"/>
              </w:rPr>
              <w:t>式中：Q</w:t>
            </w:r>
            <w:r>
              <w:rPr>
                <w:rFonts w:hint="eastAsia"/>
                <w:bCs/>
                <w:color w:val="auto"/>
                <w:sz w:val="24"/>
                <w:vertAlign w:val="subscript"/>
              </w:rPr>
              <w:t>p</w:t>
            </w:r>
            <w:r>
              <w:rPr>
                <w:rFonts w:hint="eastAsia"/>
                <w:bCs/>
                <w:color w:val="auto"/>
                <w:sz w:val="24"/>
              </w:rPr>
              <w:t>——起尘量，mg/s；</w:t>
            </w:r>
          </w:p>
          <w:p>
            <w:pPr>
              <w:adjustRightInd w:val="0"/>
              <w:snapToGrid w:val="0"/>
              <w:spacing w:line="360" w:lineRule="auto"/>
              <w:ind w:firstLine="480" w:firstLineChars="200"/>
              <w:rPr>
                <w:bCs/>
                <w:color w:val="auto"/>
                <w:sz w:val="24"/>
              </w:rPr>
            </w:pPr>
            <w:r>
              <w:rPr>
                <w:rFonts w:hint="eastAsia"/>
                <w:bCs/>
                <w:color w:val="auto"/>
                <w:sz w:val="24"/>
              </w:rPr>
              <w:t xml:space="preserve">      β——经验系数，8.0×10</w:t>
            </w:r>
            <w:r>
              <w:rPr>
                <w:rFonts w:hint="eastAsia"/>
                <w:bCs/>
                <w:color w:val="auto"/>
                <w:sz w:val="24"/>
                <w:vertAlign w:val="superscript"/>
              </w:rPr>
              <w:t>-3</w:t>
            </w:r>
            <w:r>
              <w:rPr>
                <w:rFonts w:hint="eastAsia"/>
                <w:bCs/>
                <w:color w:val="auto"/>
                <w:sz w:val="24"/>
              </w:rPr>
              <w:t>；</w:t>
            </w:r>
          </w:p>
          <w:p>
            <w:pPr>
              <w:adjustRightInd w:val="0"/>
              <w:snapToGrid w:val="0"/>
              <w:spacing w:line="360" w:lineRule="auto"/>
              <w:ind w:firstLine="480" w:firstLineChars="200"/>
              <w:rPr>
                <w:bCs/>
                <w:color w:val="auto"/>
                <w:sz w:val="24"/>
              </w:rPr>
            </w:pPr>
            <w:r>
              <w:rPr>
                <w:rFonts w:hint="eastAsia"/>
                <w:bCs/>
                <w:color w:val="auto"/>
                <w:sz w:val="24"/>
              </w:rPr>
              <w:t xml:space="preserve">      W——物料含水率，%，取10%；</w:t>
            </w:r>
          </w:p>
          <w:p>
            <w:pPr>
              <w:adjustRightInd w:val="0"/>
              <w:snapToGrid w:val="0"/>
              <w:spacing w:line="360" w:lineRule="auto"/>
              <w:ind w:firstLine="480" w:firstLineChars="200"/>
              <w:rPr>
                <w:bCs/>
                <w:color w:val="auto"/>
                <w:sz w:val="24"/>
              </w:rPr>
            </w:pPr>
            <w:r>
              <w:rPr>
                <w:rFonts w:hint="eastAsia"/>
                <w:bCs/>
                <w:color w:val="auto"/>
                <w:sz w:val="24"/>
              </w:rPr>
              <w:t xml:space="preserve">      U——堆场平均风速，m/s，取宜良县平均风速2.8m/s；</w:t>
            </w:r>
          </w:p>
          <w:p>
            <w:pPr>
              <w:adjustRightInd w:val="0"/>
              <w:snapToGrid w:val="0"/>
              <w:spacing w:line="360" w:lineRule="auto"/>
              <w:ind w:firstLine="480" w:firstLineChars="200"/>
              <w:rPr>
                <w:bCs/>
                <w:color w:val="auto"/>
                <w:sz w:val="24"/>
              </w:rPr>
            </w:pPr>
            <w:r>
              <w:rPr>
                <w:rFonts w:hint="eastAsia"/>
                <w:bCs/>
                <w:color w:val="auto"/>
                <w:sz w:val="24"/>
              </w:rPr>
              <w:t xml:space="preserve">      A</w:t>
            </w:r>
            <w:r>
              <w:rPr>
                <w:rFonts w:hint="eastAsia"/>
                <w:bCs/>
                <w:color w:val="auto"/>
                <w:sz w:val="24"/>
                <w:vertAlign w:val="subscript"/>
              </w:rPr>
              <w:t>p</w:t>
            </w:r>
            <w:r>
              <w:rPr>
                <w:rFonts w:hint="eastAsia"/>
                <w:bCs/>
                <w:color w:val="auto"/>
                <w:sz w:val="24"/>
              </w:rPr>
              <w:t>——堆场面积，m</w:t>
            </w:r>
            <w:r>
              <w:rPr>
                <w:rFonts w:hint="eastAsia"/>
                <w:bCs/>
                <w:color w:val="auto"/>
                <w:sz w:val="24"/>
                <w:vertAlign w:val="superscript"/>
              </w:rPr>
              <w:t>2</w:t>
            </w:r>
            <w:r>
              <w:rPr>
                <w:rFonts w:hint="eastAsia"/>
                <w:bCs/>
                <w:color w:val="auto"/>
                <w:sz w:val="24"/>
              </w:rPr>
              <w:t>，4500m</w:t>
            </w:r>
            <w:r>
              <w:rPr>
                <w:rFonts w:hint="eastAsia"/>
                <w:bCs/>
                <w:color w:val="auto"/>
                <w:sz w:val="24"/>
                <w:vertAlign w:val="superscript"/>
              </w:rPr>
              <w:t>2</w:t>
            </w:r>
            <w:r>
              <w:rPr>
                <w:rFonts w:hint="eastAsia"/>
                <w:bCs/>
                <w:color w:val="auto"/>
                <w:sz w:val="24"/>
              </w:rPr>
              <w:t>；</w:t>
            </w:r>
          </w:p>
          <w:p>
            <w:pPr>
              <w:pStyle w:val="47"/>
              <w:adjustRightInd w:val="0"/>
              <w:snapToGrid w:val="0"/>
              <w:ind w:firstLine="480" w:firstLineChars="200"/>
              <w:outlineLvl w:val="2"/>
              <w:rPr>
                <w:color w:val="auto"/>
                <w:szCs w:val="24"/>
              </w:rPr>
            </w:pPr>
            <w:r>
              <w:rPr>
                <w:rFonts w:hint="eastAsia"/>
                <w:color w:val="auto"/>
                <w:szCs w:val="24"/>
              </w:rPr>
              <w:t>项目堆场均设有顶棚+三面围挡，并定时进行洒水降尘，可降低80%粉尘排放。堆场扬尘产排情况见表4-8。</w:t>
            </w:r>
          </w:p>
          <w:p>
            <w:pPr>
              <w:pStyle w:val="47"/>
              <w:adjustRightInd w:val="0"/>
              <w:snapToGrid w:val="0"/>
              <w:spacing w:line="240" w:lineRule="auto"/>
              <w:ind w:firstLine="0"/>
              <w:jc w:val="center"/>
              <w:outlineLvl w:val="2"/>
              <w:rPr>
                <w:b/>
                <w:bCs/>
                <w:color w:val="auto"/>
                <w:sz w:val="21"/>
                <w:szCs w:val="21"/>
              </w:rPr>
            </w:pPr>
            <w:r>
              <w:rPr>
                <w:rFonts w:hint="eastAsia"/>
                <w:b/>
                <w:bCs/>
                <w:color w:val="auto"/>
                <w:sz w:val="21"/>
                <w:szCs w:val="21"/>
              </w:rPr>
              <w:t>表4-8  堆场扬尘计算结果表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869"/>
              <w:gridCol w:w="1116"/>
              <w:gridCol w:w="1275"/>
              <w:gridCol w:w="994"/>
              <w:gridCol w:w="1232"/>
              <w:gridCol w:w="1003"/>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2"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序号</w:t>
                  </w:r>
                </w:p>
              </w:tc>
              <w:tc>
                <w:tcPr>
                  <w:tcW w:w="548"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堆场面积（m</w:t>
                  </w:r>
                  <w:r>
                    <w:rPr>
                      <w:rFonts w:hint="eastAsia"/>
                      <w:color w:val="auto"/>
                      <w:sz w:val="21"/>
                      <w:szCs w:val="24"/>
                      <w:vertAlign w:val="superscript"/>
                    </w:rPr>
                    <w:t>2</w:t>
                  </w:r>
                  <w:r>
                    <w:rPr>
                      <w:rFonts w:hint="eastAsia"/>
                      <w:color w:val="auto"/>
                      <w:sz w:val="21"/>
                      <w:szCs w:val="24"/>
                    </w:rPr>
                    <w:t>）</w:t>
                  </w:r>
                </w:p>
              </w:tc>
              <w:tc>
                <w:tcPr>
                  <w:tcW w:w="703"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物料含水率（%）</w:t>
                  </w:r>
                </w:p>
              </w:tc>
              <w:tc>
                <w:tcPr>
                  <w:tcW w:w="803"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堆场平均风速（m/s）</w:t>
                  </w:r>
                </w:p>
              </w:tc>
              <w:tc>
                <w:tcPr>
                  <w:tcW w:w="626"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产生量（t/a）</w:t>
                  </w:r>
                </w:p>
              </w:tc>
              <w:tc>
                <w:tcPr>
                  <w:tcW w:w="776"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处置措施</w:t>
                  </w:r>
                </w:p>
              </w:tc>
              <w:tc>
                <w:tcPr>
                  <w:tcW w:w="632"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处置效率（%）</w:t>
                  </w:r>
                </w:p>
              </w:tc>
              <w:tc>
                <w:tcPr>
                  <w:tcW w:w="630"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2"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1#</w:t>
                  </w:r>
                </w:p>
              </w:tc>
              <w:tc>
                <w:tcPr>
                  <w:tcW w:w="548"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4370</w:t>
                  </w:r>
                </w:p>
              </w:tc>
              <w:tc>
                <w:tcPr>
                  <w:tcW w:w="703"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10</w:t>
                  </w:r>
                </w:p>
              </w:tc>
              <w:tc>
                <w:tcPr>
                  <w:tcW w:w="803"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2.8</w:t>
                  </w:r>
                </w:p>
              </w:tc>
              <w:tc>
                <w:tcPr>
                  <w:tcW w:w="626"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0.64</w:t>
                  </w:r>
                </w:p>
              </w:tc>
              <w:tc>
                <w:tcPr>
                  <w:tcW w:w="776" w:type="pct"/>
                  <w:vMerge w:val="restar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顶棚+三面围挡+洒水降尘</w:t>
                  </w:r>
                </w:p>
              </w:tc>
              <w:tc>
                <w:tcPr>
                  <w:tcW w:w="632"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80</w:t>
                  </w:r>
                </w:p>
              </w:tc>
              <w:tc>
                <w:tcPr>
                  <w:tcW w:w="630"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2"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2#</w:t>
                  </w:r>
                </w:p>
              </w:tc>
              <w:tc>
                <w:tcPr>
                  <w:tcW w:w="548"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4500</w:t>
                  </w:r>
                </w:p>
              </w:tc>
              <w:tc>
                <w:tcPr>
                  <w:tcW w:w="703"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10</w:t>
                  </w:r>
                </w:p>
              </w:tc>
              <w:tc>
                <w:tcPr>
                  <w:tcW w:w="803"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2.8</w:t>
                  </w:r>
                </w:p>
              </w:tc>
              <w:tc>
                <w:tcPr>
                  <w:tcW w:w="626"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0.66</w:t>
                  </w:r>
                </w:p>
              </w:tc>
              <w:tc>
                <w:tcPr>
                  <w:tcW w:w="776" w:type="pct"/>
                  <w:vMerge w:val="continue"/>
                  <w:vAlign w:val="center"/>
                </w:tcPr>
                <w:p>
                  <w:pPr>
                    <w:pStyle w:val="47"/>
                    <w:adjustRightInd w:val="0"/>
                    <w:snapToGrid w:val="0"/>
                    <w:spacing w:line="240" w:lineRule="auto"/>
                    <w:ind w:firstLine="0"/>
                    <w:jc w:val="center"/>
                    <w:outlineLvl w:val="2"/>
                    <w:rPr>
                      <w:color w:val="auto"/>
                      <w:sz w:val="21"/>
                      <w:szCs w:val="24"/>
                    </w:rPr>
                  </w:pPr>
                </w:p>
              </w:tc>
              <w:tc>
                <w:tcPr>
                  <w:tcW w:w="632"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80</w:t>
                  </w:r>
                </w:p>
              </w:tc>
              <w:tc>
                <w:tcPr>
                  <w:tcW w:w="630"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0.132</w:t>
                  </w:r>
                </w:p>
              </w:tc>
            </w:tr>
          </w:tbl>
          <w:p>
            <w:pPr>
              <w:pStyle w:val="47"/>
              <w:adjustRightInd w:val="0"/>
              <w:snapToGrid w:val="0"/>
              <w:ind w:firstLine="480" w:firstLineChars="200"/>
              <w:outlineLvl w:val="2"/>
              <w:rPr>
                <w:color w:val="auto"/>
                <w:szCs w:val="24"/>
              </w:rPr>
            </w:pPr>
            <w:r>
              <w:rPr>
                <w:rFonts w:hint="eastAsia"/>
                <w:color w:val="auto"/>
                <w:szCs w:val="24"/>
              </w:rPr>
              <w:t>综上所述，改扩建完成后全厂堆场扬尘排放量为0.26t/a，排放量较小，本次环评认为堆场扬尘排放浓度满足《大气污染物综合排放标准》（GB16297-1996）表2颗粒物无组织排放监控浓度限值要求。</w:t>
            </w:r>
          </w:p>
          <w:p>
            <w:pPr>
              <w:pStyle w:val="47"/>
              <w:adjustRightInd w:val="0"/>
              <w:snapToGrid w:val="0"/>
              <w:ind w:firstLine="481" w:firstLineChars="200"/>
              <w:outlineLvl w:val="2"/>
              <w:rPr>
                <w:b/>
                <w:bCs/>
                <w:color w:val="auto"/>
                <w:szCs w:val="24"/>
              </w:rPr>
            </w:pPr>
            <w:r>
              <w:rPr>
                <w:rFonts w:hint="eastAsia"/>
                <w:b/>
                <w:bCs/>
                <w:color w:val="auto"/>
                <w:szCs w:val="24"/>
              </w:rPr>
              <w:t>②破碎车间粉尘</w:t>
            </w:r>
          </w:p>
          <w:p>
            <w:pPr>
              <w:pStyle w:val="47"/>
              <w:adjustRightInd w:val="0"/>
              <w:snapToGrid w:val="0"/>
              <w:ind w:firstLine="480" w:firstLineChars="200"/>
              <w:outlineLvl w:val="2"/>
              <w:rPr>
                <w:bCs/>
                <w:color w:val="auto"/>
              </w:rPr>
            </w:pPr>
            <w:r>
              <w:rPr>
                <w:rFonts w:hint="eastAsia"/>
                <w:bCs/>
                <w:color w:val="auto"/>
              </w:rPr>
              <w:t>破碎研磨粉尘经集气罩收集（收集效率90%）进入脉冲袋式除尘器（处理效率9</w:t>
            </w:r>
            <w:r>
              <w:rPr>
                <w:rFonts w:hint="eastAsia"/>
                <w:bCs/>
                <w:color w:val="auto"/>
                <w:lang w:val="en-US" w:eastAsia="zh-CN"/>
              </w:rPr>
              <w:t>8</w:t>
            </w:r>
            <w:r>
              <w:rPr>
                <w:rFonts w:hint="eastAsia"/>
                <w:bCs/>
                <w:color w:val="auto"/>
              </w:rPr>
              <w:t>%）处理后由一台风量为5000m</w:t>
            </w:r>
            <w:r>
              <w:rPr>
                <w:rFonts w:hint="eastAsia"/>
                <w:bCs/>
                <w:color w:val="auto"/>
                <w:vertAlign w:val="superscript"/>
              </w:rPr>
              <w:t>3</w:t>
            </w:r>
            <w:r>
              <w:rPr>
                <w:rFonts w:hint="eastAsia"/>
                <w:bCs/>
                <w:color w:val="auto"/>
              </w:rPr>
              <w:t>/h的风机通过一根高15m排气筒（DA002）抽排，未被收集的10%的粉尘以无组织形式排放。破碎车间设有顶棚+三面围挡，可有效降低</w:t>
            </w:r>
            <w:r>
              <w:rPr>
                <w:rFonts w:hint="eastAsia"/>
                <w:bCs/>
                <w:color w:val="auto"/>
                <w:lang w:val="en-US" w:eastAsia="zh-CN"/>
              </w:rPr>
              <w:t>7</w:t>
            </w:r>
            <w:r>
              <w:rPr>
                <w:rFonts w:hint="eastAsia"/>
                <w:bCs/>
                <w:color w:val="auto"/>
              </w:rPr>
              <w:t>0%的粉尘排放。破碎车间无组织粉尘产排情况如下表所示：</w:t>
            </w:r>
          </w:p>
          <w:p>
            <w:pPr>
              <w:pStyle w:val="47"/>
              <w:adjustRightInd w:val="0"/>
              <w:snapToGrid w:val="0"/>
              <w:spacing w:line="240" w:lineRule="auto"/>
              <w:ind w:firstLine="0"/>
              <w:jc w:val="center"/>
              <w:outlineLvl w:val="2"/>
              <w:rPr>
                <w:b/>
                <w:bCs/>
                <w:color w:val="auto"/>
                <w:sz w:val="21"/>
                <w:szCs w:val="21"/>
              </w:rPr>
            </w:pPr>
            <w:r>
              <w:rPr>
                <w:rFonts w:hint="eastAsia"/>
                <w:b/>
                <w:bCs/>
                <w:color w:val="auto"/>
                <w:sz w:val="21"/>
                <w:szCs w:val="21"/>
              </w:rPr>
              <w:t>表4-9  破碎车间无组织粉尘产排情况表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2241"/>
              <w:gridCol w:w="2155"/>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8"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产生量（t/a）</w:t>
                  </w:r>
                </w:p>
              </w:tc>
              <w:tc>
                <w:tcPr>
                  <w:tcW w:w="1412"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处置措施</w:t>
                  </w:r>
                </w:p>
              </w:tc>
              <w:tc>
                <w:tcPr>
                  <w:tcW w:w="1358"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处置效率（%）</w:t>
                  </w:r>
                </w:p>
              </w:tc>
              <w:tc>
                <w:tcPr>
                  <w:tcW w:w="1142"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8"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lang w:val="en-US" w:eastAsia="zh-CN"/>
                    </w:rPr>
                    <w:t>7.5</w:t>
                  </w:r>
                  <w:r>
                    <w:rPr>
                      <w:rFonts w:hint="eastAsia"/>
                      <w:color w:val="auto"/>
                      <w:sz w:val="21"/>
                      <w:szCs w:val="24"/>
                    </w:rPr>
                    <w:t>t/a</w:t>
                  </w:r>
                </w:p>
              </w:tc>
              <w:tc>
                <w:tcPr>
                  <w:tcW w:w="1412"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rPr>
                    <w:t>顶棚+三面围挡</w:t>
                  </w:r>
                </w:p>
              </w:tc>
              <w:tc>
                <w:tcPr>
                  <w:tcW w:w="1358" w:type="pct"/>
                  <w:vAlign w:val="center"/>
                </w:tcPr>
                <w:p>
                  <w:pPr>
                    <w:pStyle w:val="47"/>
                    <w:adjustRightInd w:val="0"/>
                    <w:snapToGrid w:val="0"/>
                    <w:spacing w:line="240" w:lineRule="auto"/>
                    <w:ind w:firstLine="0"/>
                    <w:jc w:val="center"/>
                    <w:outlineLvl w:val="2"/>
                    <w:rPr>
                      <w:rFonts w:hint="default"/>
                      <w:color w:val="auto"/>
                      <w:sz w:val="21"/>
                      <w:szCs w:val="24"/>
                      <w:lang w:val="en-US"/>
                    </w:rPr>
                  </w:pPr>
                  <w:r>
                    <w:rPr>
                      <w:rFonts w:hint="eastAsia"/>
                      <w:color w:val="auto"/>
                      <w:sz w:val="21"/>
                      <w:szCs w:val="24"/>
                      <w:lang w:val="en-US" w:eastAsia="zh-CN"/>
                    </w:rPr>
                    <w:t>70</w:t>
                  </w:r>
                </w:p>
              </w:tc>
              <w:tc>
                <w:tcPr>
                  <w:tcW w:w="1142" w:type="pct"/>
                  <w:vAlign w:val="center"/>
                </w:tcPr>
                <w:p>
                  <w:pPr>
                    <w:pStyle w:val="47"/>
                    <w:adjustRightInd w:val="0"/>
                    <w:snapToGrid w:val="0"/>
                    <w:spacing w:line="240" w:lineRule="auto"/>
                    <w:ind w:firstLine="0"/>
                    <w:jc w:val="center"/>
                    <w:outlineLvl w:val="2"/>
                    <w:rPr>
                      <w:color w:val="auto"/>
                      <w:sz w:val="21"/>
                      <w:szCs w:val="24"/>
                    </w:rPr>
                  </w:pPr>
                  <w:r>
                    <w:rPr>
                      <w:rFonts w:hint="eastAsia"/>
                      <w:color w:val="auto"/>
                      <w:sz w:val="21"/>
                      <w:szCs w:val="24"/>
                      <w:lang w:val="en-US" w:eastAsia="zh-CN"/>
                    </w:rPr>
                    <w:t>2.25</w:t>
                  </w:r>
                  <w:r>
                    <w:rPr>
                      <w:rFonts w:hint="eastAsia"/>
                      <w:color w:val="auto"/>
                      <w:sz w:val="21"/>
                      <w:szCs w:val="24"/>
                    </w:rPr>
                    <w:t>t/a</w:t>
                  </w:r>
                </w:p>
              </w:tc>
            </w:tr>
          </w:tbl>
          <w:p>
            <w:pPr>
              <w:pStyle w:val="47"/>
              <w:adjustRightInd w:val="0"/>
              <w:snapToGrid w:val="0"/>
              <w:spacing w:line="240" w:lineRule="auto"/>
              <w:ind w:firstLine="0"/>
              <w:outlineLvl w:val="2"/>
              <w:rPr>
                <w:color w:val="auto"/>
                <w:sz w:val="21"/>
                <w:szCs w:val="24"/>
              </w:rPr>
            </w:pPr>
          </w:p>
          <w:p>
            <w:pPr>
              <w:pStyle w:val="47"/>
              <w:adjustRightInd w:val="0"/>
              <w:snapToGrid w:val="0"/>
              <w:ind w:firstLine="480" w:firstLineChars="200"/>
              <w:outlineLvl w:val="2"/>
              <w:rPr>
                <w:color w:val="auto"/>
                <w:szCs w:val="24"/>
              </w:rPr>
            </w:pPr>
            <w:r>
              <w:rPr>
                <w:rFonts w:hint="eastAsia"/>
                <w:color w:val="auto"/>
                <w:szCs w:val="24"/>
              </w:rPr>
              <w:t>由表4-8可知，破碎车间未被收集的10%的粉尘经顶棚和围挡设施阻拦沉降后，排放量进一步减小。本次环评认为破碎车间无组织粉尘排放浓度可达到《大气污染物综合排放标准》（GB16297-1996）表2颗粒物无组织排放监控浓度限值要求。</w:t>
            </w:r>
          </w:p>
          <w:p>
            <w:pPr>
              <w:adjustRightInd w:val="0"/>
              <w:snapToGrid w:val="0"/>
              <w:spacing w:line="360" w:lineRule="auto"/>
              <w:ind w:firstLine="481" w:firstLineChars="200"/>
              <w:rPr>
                <w:b/>
                <w:bCs w:val="0"/>
                <w:color w:val="auto"/>
                <w:sz w:val="24"/>
              </w:rPr>
            </w:pPr>
            <w:r>
              <w:rPr>
                <w:rFonts w:hint="eastAsia"/>
                <w:b/>
                <w:bCs w:val="0"/>
                <w:color w:val="auto"/>
                <w:sz w:val="24"/>
              </w:rPr>
              <w:t xml:space="preserve">③汽车尾气及机械燃油废气 </w:t>
            </w:r>
          </w:p>
          <w:p>
            <w:pPr>
              <w:adjustRightInd w:val="0"/>
              <w:snapToGrid w:val="0"/>
              <w:spacing w:line="360" w:lineRule="auto"/>
              <w:ind w:firstLine="480" w:firstLineChars="200"/>
              <w:rPr>
                <w:bCs/>
                <w:color w:val="auto"/>
                <w:sz w:val="24"/>
              </w:rPr>
            </w:pPr>
            <w:r>
              <w:rPr>
                <w:rFonts w:hint="eastAsia"/>
                <w:bCs/>
                <w:color w:val="auto"/>
                <w:sz w:val="24"/>
              </w:rPr>
              <w:t>运营期间，使用汽车运送原料、设备运行及机械作业均会排放一定量的</w:t>
            </w:r>
            <w:r>
              <w:rPr>
                <w:bCs/>
                <w:color w:val="auto"/>
                <w:sz w:val="24"/>
              </w:rPr>
              <w:t>CO</w:t>
            </w:r>
            <w:r>
              <w:rPr>
                <w:rFonts w:hint="eastAsia"/>
                <w:bCs/>
                <w:color w:val="auto"/>
                <w:sz w:val="24"/>
              </w:rPr>
              <w:t>、</w:t>
            </w:r>
            <w:r>
              <w:rPr>
                <w:bCs/>
                <w:color w:val="auto"/>
                <w:sz w:val="24"/>
              </w:rPr>
              <w:t>NO</w:t>
            </w:r>
            <w:r>
              <w:rPr>
                <w:bCs/>
                <w:color w:val="auto"/>
                <w:sz w:val="24"/>
                <w:vertAlign w:val="subscript"/>
              </w:rPr>
              <w:t>x</w:t>
            </w:r>
            <w:r>
              <w:rPr>
                <w:rFonts w:hint="eastAsia"/>
                <w:bCs/>
                <w:color w:val="auto"/>
                <w:sz w:val="24"/>
              </w:rPr>
              <w:t>以及未完全燃烧的</w:t>
            </w:r>
            <w:r>
              <w:rPr>
                <w:bCs/>
                <w:color w:val="auto"/>
                <w:sz w:val="24"/>
              </w:rPr>
              <w:t>HC</w:t>
            </w:r>
            <w:r>
              <w:rPr>
                <w:rFonts w:hint="eastAsia"/>
                <w:bCs/>
                <w:color w:val="auto"/>
                <w:sz w:val="24"/>
              </w:rPr>
              <w:t>等，其特点是排放量小，且属间断性无组织排放，通过自然稀释后场界的贡献值可控制在较低水平。</w:t>
            </w:r>
          </w:p>
          <w:p>
            <w:pPr>
              <w:pStyle w:val="47"/>
              <w:adjustRightInd w:val="0"/>
              <w:snapToGrid w:val="0"/>
              <w:ind w:firstLine="481" w:firstLineChars="200"/>
              <w:outlineLvl w:val="2"/>
              <w:rPr>
                <w:b/>
                <w:bCs/>
                <w:color w:val="auto"/>
                <w:szCs w:val="24"/>
              </w:rPr>
            </w:pPr>
            <w:r>
              <w:rPr>
                <w:b/>
                <w:bCs/>
                <w:color w:val="auto"/>
                <w:szCs w:val="24"/>
              </w:rPr>
              <w:t>（</w:t>
            </w:r>
            <w:r>
              <w:rPr>
                <w:rFonts w:hint="eastAsia"/>
                <w:b/>
                <w:bCs/>
                <w:color w:val="auto"/>
                <w:szCs w:val="24"/>
              </w:rPr>
              <w:t>3</w:t>
            </w:r>
            <w:r>
              <w:rPr>
                <w:b/>
                <w:bCs/>
                <w:color w:val="auto"/>
                <w:szCs w:val="24"/>
              </w:rPr>
              <w:t>）非正常工况</w:t>
            </w:r>
            <w:r>
              <w:rPr>
                <w:rFonts w:hint="eastAsia"/>
                <w:b/>
                <w:bCs/>
                <w:color w:val="auto"/>
                <w:szCs w:val="24"/>
              </w:rPr>
              <w:t>废气影响分析</w:t>
            </w:r>
          </w:p>
          <w:p>
            <w:pPr>
              <w:adjustRightInd w:val="0"/>
              <w:snapToGrid w:val="0"/>
              <w:spacing w:line="360" w:lineRule="auto"/>
              <w:ind w:firstLine="480" w:firstLineChars="200"/>
              <w:rPr>
                <w:bCs/>
                <w:color w:val="auto"/>
                <w:sz w:val="24"/>
              </w:rPr>
            </w:pPr>
            <w:r>
              <w:rPr>
                <w:rFonts w:hint="eastAsia"/>
                <w:bCs/>
                <w:color w:val="auto"/>
                <w:sz w:val="24"/>
              </w:rPr>
              <w:t>本项目非正常排放主要考虑到</w:t>
            </w:r>
            <w:r>
              <w:rPr>
                <w:rFonts w:hint="eastAsia"/>
                <w:bCs/>
                <w:color w:val="auto"/>
                <w:sz w:val="24"/>
                <w:lang w:eastAsia="zh-CN"/>
              </w:rPr>
              <w:t>石灰石膏法脱硫塔</w:t>
            </w:r>
            <w:r>
              <w:rPr>
                <w:rFonts w:hint="eastAsia"/>
                <w:bCs/>
                <w:color w:val="auto"/>
                <w:sz w:val="24"/>
              </w:rPr>
              <w:t>、袋式除尘器故障。项目废气非正常排情况见下表。</w:t>
            </w:r>
          </w:p>
          <w:p>
            <w:pPr>
              <w:pStyle w:val="47"/>
              <w:adjustRightInd w:val="0"/>
              <w:snapToGrid w:val="0"/>
              <w:spacing w:line="240" w:lineRule="auto"/>
              <w:ind w:firstLine="0"/>
              <w:jc w:val="center"/>
              <w:outlineLvl w:val="2"/>
              <w:rPr>
                <w:b/>
                <w:color w:val="auto"/>
                <w:sz w:val="21"/>
                <w:szCs w:val="21"/>
              </w:rPr>
            </w:pPr>
            <w:r>
              <w:rPr>
                <w:rFonts w:hint="eastAsia"/>
                <w:b/>
                <w:color w:val="auto"/>
                <w:sz w:val="21"/>
                <w:szCs w:val="21"/>
              </w:rPr>
              <w:t>表4-10  非正常工况烟气排放情况一览表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879"/>
              <w:gridCol w:w="846"/>
              <w:gridCol w:w="1111"/>
              <w:gridCol w:w="909"/>
              <w:gridCol w:w="925"/>
              <w:gridCol w:w="1025"/>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5" w:type="pct"/>
                  <w:vMerge w:val="restar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废气</w:t>
                  </w:r>
                </w:p>
                <w:p>
                  <w:pPr>
                    <w:pStyle w:val="47"/>
                    <w:adjustRightInd w:val="0"/>
                    <w:snapToGrid w:val="0"/>
                    <w:spacing w:line="240" w:lineRule="auto"/>
                    <w:ind w:firstLine="0"/>
                    <w:jc w:val="center"/>
                    <w:outlineLvl w:val="2"/>
                    <w:rPr>
                      <w:color w:val="auto"/>
                      <w:sz w:val="21"/>
                      <w:szCs w:val="21"/>
                    </w:rPr>
                  </w:pPr>
                  <w:r>
                    <w:rPr>
                      <w:rFonts w:hint="eastAsia"/>
                      <w:color w:val="auto"/>
                      <w:sz w:val="21"/>
                      <w:szCs w:val="21"/>
                    </w:rPr>
                    <w:t>排放量</w:t>
                  </w:r>
                </w:p>
              </w:tc>
              <w:tc>
                <w:tcPr>
                  <w:tcW w:w="553" w:type="pct"/>
                  <w:vMerge w:val="restar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污染</w:t>
                  </w:r>
                </w:p>
                <w:p>
                  <w:pPr>
                    <w:pStyle w:val="47"/>
                    <w:adjustRightInd w:val="0"/>
                    <w:snapToGrid w:val="0"/>
                    <w:spacing w:line="240" w:lineRule="auto"/>
                    <w:ind w:firstLine="0"/>
                    <w:jc w:val="center"/>
                    <w:outlineLvl w:val="2"/>
                    <w:rPr>
                      <w:color w:val="auto"/>
                      <w:sz w:val="21"/>
                      <w:szCs w:val="21"/>
                    </w:rPr>
                  </w:pPr>
                  <w:r>
                    <w:rPr>
                      <w:rFonts w:hint="eastAsia"/>
                      <w:color w:val="auto"/>
                      <w:sz w:val="21"/>
                      <w:szCs w:val="21"/>
                    </w:rPr>
                    <w:t>因子</w:t>
                  </w:r>
                </w:p>
              </w:tc>
              <w:tc>
                <w:tcPr>
                  <w:tcW w:w="533" w:type="pct"/>
                  <w:vMerge w:val="restar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产生量</w:t>
                  </w:r>
                </w:p>
                <w:p>
                  <w:pPr>
                    <w:pStyle w:val="47"/>
                    <w:adjustRightInd w:val="0"/>
                    <w:snapToGrid w:val="0"/>
                    <w:spacing w:line="240" w:lineRule="auto"/>
                    <w:ind w:firstLine="0"/>
                    <w:jc w:val="center"/>
                    <w:outlineLvl w:val="2"/>
                    <w:rPr>
                      <w:color w:val="auto"/>
                      <w:sz w:val="21"/>
                      <w:szCs w:val="21"/>
                    </w:rPr>
                  </w:pPr>
                  <w:r>
                    <w:rPr>
                      <w:rFonts w:hint="eastAsia"/>
                      <w:color w:val="auto"/>
                      <w:sz w:val="21"/>
                      <w:szCs w:val="21"/>
                    </w:rPr>
                    <w:t>（t/a）</w:t>
                  </w:r>
                </w:p>
              </w:tc>
              <w:tc>
                <w:tcPr>
                  <w:tcW w:w="699" w:type="pct"/>
                  <w:vMerge w:val="restar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处理</w:t>
                  </w:r>
                </w:p>
                <w:p>
                  <w:pPr>
                    <w:pStyle w:val="47"/>
                    <w:adjustRightInd w:val="0"/>
                    <w:snapToGrid w:val="0"/>
                    <w:spacing w:line="240" w:lineRule="auto"/>
                    <w:ind w:firstLine="0"/>
                    <w:jc w:val="center"/>
                    <w:outlineLvl w:val="2"/>
                    <w:rPr>
                      <w:color w:val="auto"/>
                      <w:sz w:val="21"/>
                      <w:szCs w:val="21"/>
                    </w:rPr>
                  </w:pPr>
                  <w:r>
                    <w:rPr>
                      <w:rFonts w:hint="eastAsia"/>
                      <w:color w:val="auto"/>
                      <w:sz w:val="21"/>
                      <w:szCs w:val="21"/>
                    </w:rPr>
                    <w:t>方式</w:t>
                  </w:r>
                </w:p>
              </w:tc>
              <w:tc>
                <w:tcPr>
                  <w:tcW w:w="572" w:type="pct"/>
                  <w:vMerge w:val="restar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处理</w:t>
                  </w:r>
                </w:p>
                <w:p>
                  <w:pPr>
                    <w:pStyle w:val="47"/>
                    <w:adjustRightInd w:val="0"/>
                    <w:snapToGrid w:val="0"/>
                    <w:spacing w:line="240" w:lineRule="auto"/>
                    <w:ind w:firstLine="0"/>
                    <w:jc w:val="center"/>
                    <w:outlineLvl w:val="2"/>
                    <w:rPr>
                      <w:color w:val="auto"/>
                      <w:sz w:val="21"/>
                      <w:szCs w:val="21"/>
                    </w:rPr>
                  </w:pPr>
                  <w:r>
                    <w:rPr>
                      <w:rFonts w:hint="eastAsia"/>
                      <w:color w:val="auto"/>
                      <w:sz w:val="21"/>
                      <w:szCs w:val="21"/>
                    </w:rPr>
                    <w:t>效率</w:t>
                  </w:r>
                </w:p>
                <w:p>
                  <w:pPr>
                    <w:pStyle w:val="47"/>
                    <w:adjustRightInd w:val="0"/>
                    <w:snapToGrid w:val="0"/>
                    <w:spacing w:line="240" w:lineRule="auto"/>
                    <w:ind w:firstLine="0"/>
                    <w:jc w:val="center"/>
                    <w:outlineLvl w:val="2"/>
                    <w:rPr>
                      <w:color w:val="auto"/>
                      <w:sz w:val="21"/>
                      <w:szCs w:val="21"/>
                    </w:rPr>
                  </w:pPr>
                  <w:r>
                    <w:rPr>
                      <w:rFonts w:hint="eastAsia"/>
                      <w:color w:val="auto"/>
                      <w:sz w:val="21"/>
                      <w:szCs w:val="21"/>
                    </w:rPr>
                    <w:t>（%）</w:t>
                  </w:r>
                </w:p>
              </w:tc>
              <w:tc>
                <w:tcPr>
                  <w:tcW w:w="1995" w:type="pct"/>
                  <w:gridSpan w:val="3"/>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5"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553"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533"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699"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572"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582"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量</w:t>
                  </w:r>
                </w:p>
                <w:p>
                  <w:pPr>
                    <w:pStyle w:val="47"/>
                    <w:adjustRightInd w:val="0"/>
                    <w:snapToGrid w:val="0"/>
                    <w:spacing w:line="240" w:lineRule="auto"/>
                    <w:ind w:firstLine="0"/>
                    <w:jc w:val="center"/>
                    <w:outlineLvl w:val="2"/>
                    <w:rPr>
                      <w:color w:val="auto"/>
                      <w:sz w:val="21"/>
                      <w:szCs w:val="21"/>
                    </w:rPr>
                  </w:pPr>
                  <w:r>
                    <w:rPr>
                      <w:rFonts w:hint="eastAsia"/>
                      <w:color w:val="auto"/>
                      <w:sz w:val="21"/>
                      <w:szCs w:val="21"/>
                    </w:rPr>
                    <w:t>（t/a）</w:t>
                  </w:r>
                </w:p>
              </w:tc>
              <w:tc>
                <w:tcPr>
                  <w:tcW w:w="645"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速率（kg/h）</w:t>
                  </w:r>
                </w:p>
              </w:tc>
              <w:tc>
                <w:tcPr>
                  <w:tcW w:w="766"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浓度（mg/m</w:t>
                  </w:r>
                  <w:r>
                    <w:rPr>
                      <w:rFonts w:hint="eastAsia"/>
                      <w:color w:val="auto"/>
                      <w:sz w:val="21"/>
                      <w:szCs w:val="21"/>
                      <w:vertAlign w:val="superscript"/>
                    </w:rPr>
                    <w:t>3</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5" w:type="pct"/>
                  <w:vMerge w:val="restar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lang w:val="en-US" w:eastAsia="zh-CN"/>
                    </w:rPr>
                    <w:t>25874</w:t>
                  </w:r>
                  <w:r>
                    <w:rPr>
                      <w:rFonts w:hint="eastAsia"/>
                      <w:color w:val="auto"/>
                      <w:sz w:val="21"/>
                      <w:szCs w:val="21"/>
                    </w:rPr>
                    <w:t>万Nm</w:t>
                  </w:r>
                  <w:r>
                    <w:rPr>
                      <w:rFonts w:hint="eastAsia"/>
                      <w:color w:val="auto"/>
                      <w:sz w:val="21"/>
                      <w:szCs w:val="21"/>
                      <w:vertAlign w:val="superscript"/>
                    </w:rPr>
                    <w:t>3</w:t>
                  </w:r>
                  <w:r>
                    <w:rPr>
                      <w:rFonts w:hint="eastAsia"/>
                      <w:color w:val="auto"/>
                      <w:sz w:val="21"/>
                      <w:szCs w:val="21"/>
                    </w:rPr>
                    <w:t>/a</w:t>
                  </w:r>
                </w:p>
              </w:tc>
              <w:tc>
                <w:tcPr>
                  <w:tcW w:w="553"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颗粒物</w:t>
                  </w:r>
                </w:p>
              </w:tc>
              <w:tc>
                <w:tcPr>
                  <w:tcW w:w="533"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2.244</w:t>
                  </w:r>
                </w:p>
              </w:tc>
              <w:tc>
                <w:tcPr>
                  <w:tcW w:w="699" w:type="pct"/>
                  <w:vMerge w:val="restart"/>
                  <w:vAlign w:val="center"/>
                </w:tcPr>
                <w:p>
                  <w:pPr>
                    <w:pStyle w:val="47"/>
                    <w:adjustRightInd w:val="0"/>
                    <w:snapToGrid w:val="0"/>
                    <w:spacing w:line="240" w:lineRule="auto"/>
                    <w:ind w:firstLine="0"/>
                    <w:outlineLvl w:val="2"/>
                    <w:rPr>
                      <w:color w:val="auto"/>
                      <w:sz w:val="21"/>
                      <w:szCs w:val="21"/>
                    </w:rPr>
                  </w:pPr>
                  <w:r>
                    <w:rPr>
                      <w:rFonts w:hint="eastAsia"/>
                      <w:color w:val="auto"/>
                      <w:sz w:val="21"/>
                      <w:szCs w:val="21"/>
                    </w:rPr>
                    <w:t>50m排气筒DA001</w:t>
                  </w:r>
                </w:p>
              </w:tc>
              <w:tc>
                <w:tcPr>
                  <w:tcW w:w="572"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0</w:t>
                  </w:r>
                </w:p>
              </w:tc>
              <w:tc>
                <w:tcPr>
                  <w:tcW w:w="582" w:type="pct"/>
                  <w:vAlign w:val="center"/>
                </w:tcPr>
                <w:p>
                  <w:pPr>
                    <w:pStyle w:val="47"/>
                    <w:adjustRightInd w:val="0"/>
                    <w:snapToGrid w:val="0"/>
                    <w:spacing w:line="240" w:lineRule="auto"/>
                    <w:ind w:firstLine="0" w:firstLineChars="0"/>
                    <w:jc w:val="center"/>
                    <w:outlineLvl w:val="2"/>
                    <w:rPr>
                      <w:rFonts w:hint="eastAsia" w:ascii="Times New Roman" w:hAnsi="Times New Roman" w:eastAsia="宋体" w:cs="Times New Roman"/>
                      <w:bCs/>
                      <w:color w:val="auto"/>
                      <w:kern w:val="2"/>
                      <w:sz w:val="21"/>
                      <w:szCs w:val="16"/>
                      <w:lang w:val="en-US" w:eastAsia="zh-CN" w:bidi="ar-SA"/>
                    </w:rPr>
                  </w:pPr>
                  <w:r>
                    <w:rPr>
                      <w:rFonts w:hint="eastAsia"/>
                      <w:bCs/>
                      <w:color w:val="auto"/>
                      <w:sz w:val="21"/>
                      <w:szCs w:val="16"/>
                    </w:rPr>
                    <w:t>2.24</w:t>
                  </w:r>
                  <w:r>
                    <w:rPr>
                      <w:rFonts w:hint="eastAsia"/>
                      <w:bCs/>
                      <w:color w:val="auto"/>
                      <w:sz w:val="21"/>
                      <w:szCs w:val="16"/>
                      <w:lang w:val="en-US" w:eastAsia="zh-CN"/>
                    </w:rPr>
                    <w:t>4</w:t>
                  </w:r>
                </w:p>
              </w:tc>
              <w:tc>
                <w:tcPr>
                  <w:tcW w:w="645" w:type="pct"/>
                  <w:vAlign w:val="center"/>
                </w:tcPr>
                <w:p>
                  <w:pPr>
                    <w:pStyle w:val="47"/>
                    <w:adjustRightInd w:val="0"/>
                    <w:snapToGrid w:val="0"/>
                    <w:spacing w:line="240" w:lineRule="auto"/>
                    <w:ind w:firstLine="0" w:firstLineChars="0"/>
                    <w:jc w:val="center"/>
                    <w:outlineLvl w:val="2"/>
                    <w:rPr>
                      <w:rFonts w:hint="default" w:ascii="Times New Roman" w:hAnsi="Times New Roman" w:eastAsia="宋体" w:cs="Times New Roman"/>
                      <w:bCs/>
                      <w:color w:val="auto"/>
                      <w:kern w:val="2"/>
                      <w:sz w:val="21"/>
                      <w:szCs w:val="16"/>
                      <w:lang w:val="en-US" w:eastAsia="zh-CN" w:bidi="ar-SA"/>
                    </w:rPr>
                  </w:pPr>
                  <w:r>
                    <w:rPr>
                      <w:rFonts w:hint="eastAsia"/>
                      <w:bCs/>
                      <w:color w:val="auto"/>
                      <w:sz w:val="21"/>
                      <w:szCs w:val="16"/>
                      <w:lang w:val="en-US" w:eastAsia="zh-CN"/>
                    </w:rPr>
                    <w:t>0.31</w:t>
                  </w:r>
                </w:p>
              </w:tc>
              <w:tc>
                <w:tcPr>
                  <w:tcW w:w="766" w:type="pct"/>
                  <w:vAlign w:val="center"/>
                </w:tcPr>
                <w:p>
                  <w:pPr>
                    <w:pStyle w:val="47"/>
                    <w:adjustRightInd w:val="0"/>
                    <w:snapToGrid w:val="0"/>
                    <w:spacing w:line="240" w:lineRule="auto"/>
                    <w:ind w:firstLine="0" w:firstLineChars="0"/>
                    <w:jc w:val="center"/>
                    <w:outlineLvl w:val="2"/>
                    <w:rPr>
                      <w:rFonts w:hint="default" w:ascii="Times New Roman" w:hAnsi="Times New Roman" w:eastAsia="宋体" w:cs="Times New Roman"/>
                      <w:bCs/>
                      <w:color w:val="auto"/>
                      <w:kern w:val="2"/>
                      <w:sz w:val="21"/>
                      <w:szCs w:val="16"/>
                      <w:lang w:val="en-US" w:eastAsia="zh-CN" w:bidi="ar-SA"/>
                    </w:rPr>
                  </w:pPr>
                  <w:r>
                    <w:rPr>
                      <w:rFonts w:hint="eastAsia"/>
                      <w:bCs/>
                      <w:color w:val="auto"/>
                      <w:sz w:val="21"/>
                      <w:szCs w:val="16"/>
                      <w:lang w:val="en-US" w:eastAsia="zh-CN"/>
                    </w:rPr>
                    <w:t>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5" w:type="pct"/>
                  <w:vMerge w:val="continue"/>
                  <w:vAlign w:val="center"/>
                </w:tcPr>
                <w:p>
                  <w:pPr>
                    <w:pStyle w:val="47"/>
                    <w:adjustRightInd w:val="0"/>
                    <w:snapToGrid w:val="0"/>
                    <w:spacing w:line="240" w:lineRule="auto"/>
                    <w:ind w:firstLine="0"/>
                    <w:jc w:val="center"/>
                    <w:outlineLvl w:val="2"/>
                    <w:rPr>
                      <w:rFonts w:hint="eastAsia"/>
                      <w:color w:val="auto"/>
                      <w:sz w:val="21"/>
                      <w:szCs w:val="21"/>
                      <w:lang w:val="en-US" w:eastAsia="zh-CN"/>
                    </w:rPr>
                  </w:pPr>
                </w:p>
              </w:tc>
              <w:tc>
                <w:tcPr>
                  <w:tcW w:w="553" w:type="pct"/>
                  <w:vAlign w:val="center"/>
                </w:tcPr>
                <w:p>
                  <w:pPr>
                    <w:pStyle w:val="47"/>
                    <w:adjustRightInd w:val="0"/>
                    <w:snapToGrid w:val="0"/>
                    <w:spacing w:line="240" w:lineRule="auto"/>
                    <w:ind w:firstLine="0" w:firstLineChars="0"/>
                    <w:jc w:val="center"/>
                    <w:outlineLvl w:val="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NO</w:t>
                  </w:r>
                  <w:r>
                    <w:rPr>
                      <w:rFonts w:hint="eastAsia"/>
                      <w:color w:val="auto"/>
                      <w:sz w:val="21"/>
                      <w:szCs w:val="21"/>
                      <w:vertAlign w:val="subscript"/>
                    </w:rPr>
                    <w:t>x</w:t>
                  </w:r>
                </w:p>
              </w:tc>
              <w:tc>
                <w:tcPr>
                  <w:tcW w:w="533" w:type="pct"/>
                  <w:vAlign w:val="center"/>
                </w:tcPr>
                <w:p>
                  <w:pPr>
                    <w:pStyle w:val="47"/>
                    <w:adjustRightInd w:val="0"/>
                    <w:snapToGrid w:val="0"/>
                    <w:spacing w:line="240" w:lineRule="auto"/>
                    <w:ind w:firstLine="0" w:firstLineChars="0"/>
                    <w:jc w:val="center"/>
                    <w:outlineLvl w:val="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13.124</w:t>
                  </w:r>
                </w:p>
              </w:tc>
              <w:tc>
                <w:tcPr>
                  <w:tcW w:w="699" w:type="pct"/>
                  <w:vMerge w:val="continue"/>
                  <w:vAlign w:val="center"/>
                </w:tcPr>
                <w:p>
                  <w:pPr>
                    <w:pStyle w:val="47"/>
                    <w:adjustRightInd w:val="0"/>
                    <w:snapToGrid w:val="0"/>
                    <w:spacing w:line="240" w:lineRule="auto"/>
                    <w:ind w:firstLine="0" w:firstLineChars="0"/>
                    <w:jc w:val="center"/>
                    <w:outlineLvl w:val="2"/>
                    <w:rPr>
                      <w:rFonts w:hint="eastAsia" w:ascii="Times New Roman" w:hAnsi="Times New Roman" w:eastAsia="宋体" w:cs="Times New Roman"/>
                      <w:color w:val="auto"/>
                      <w:kern w:val="2"/>
                      <w:sz w:val="21"/>
                      <w:szCs w:val="21"/>
                      <w:lang w:val="en-US" w:eastAsia="zh-CN" w:bidi="ar-SA"/>
                    </w:rPr>
                  </w:pPr>
                </w:p>
              </w:tc>
              <w:tc>
                <w:tcPr>
                  <w:tcW w:w="572" w:type="pct"/>
                  <w:vAlign w:val="center"/>
                </w:tcPr>
                <w:p>
                  <w:pPr>
                    <w:pStyle w:val="47"/>
                    <w:adjustRightInd w:val="0"/>
                    <w:snapToGrid w:val="0"/>
                    <w:spacing w:line="240" w:lineRule="auto"/>
                    <w:ind w:firstLine="0" w:firstLineChars="0"/>
                    <w:jc w:val="center"/>
                    <w:outlineLvl w:val="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0</w:t>
                  </w:r>
                </w:p>
              </w:tc>
              <w:tc>
                <w:tcPr>
                  <w:tcW w:w="582" w:type="pct"/>
                  <w:vAlign w:val="center"/>
                </w:tcPr>
                <w:p>
                  <w:pPr>
                    <w:pStyle w:val="47"/>
                    <w:adjustRightInd w:val="0"/>
                    <w:snapToGrid w:val="0"/>
                    <w:spacing w:line="240" w:lineRule="auto"/>
                    <w:ind w:firstLine="0" w:firstLineChars="0"/>
                    <w:jc w:val="center"/>
                    <w:outlineLvl w:val="2"/>
                    <w:rPr>
                      <w:rFonts w:hint="eastAsia" w:ascii="Times New Roman" w:hAnsi="Times New Roman" w:eastAsia="宋体" w:cs="Times New Roman"/>
                      <w:bCs/>
                      <w:color w:val="auto"/>
                      <w:kern w:val="2"/>
                      <w:sz w:val="21"/>
                      <w:szCs w:val="16"/>
                      <w:lang w:val="en-US" w:eastAsia="zh-CN" w:bidi="ar-SA"/>
                    </w:rPr>
                  </w:pPr>
                  <w:r>
                    <w:rPr>
                      <w:rFonts w:hint="eastAsia"/>
                      <w:bCs/>
                      <w:color w:val="auto"/>
                      <w:sz w:val="21"/>
                      <w:szCs w:val="16"/>
                    </w:rPr>
                    <w:t>13.1</w:t>
                  </w:r>
                  <w:r>
                    <w:rPr>
                      <w:rFonts w:hint="eastAsia"/>
                      <w:bCs/>
                      <w:color w:val="auto"/>
                      <w:sz w:val="21"/>
                      <w:szCs w:val="16"/>
                      <w:lang w:val="en-US" w:eastAsia="zh-CN"/>
                    </w:rPr>
                    <w:t>24</w:t>
                  </w:r>
                </w:p>
              </w:tc>
              <w:tc>
                <w:tcPr>
                  <w:tcW w:w="645" w:type="pct"/>
                  <w:vAlign w:val="center"/>
                </w:tcPr>
                <w:p>
                  <w:pPr>
                    <w:pStyle w:val="47"/>
                    <w:adjustRightInd w:val="0"/>
                    <w:snapToGrid w:val="0"/>
                    <w:spacing w:line="240" w:lineRule="auto"/>
                    <w:ind w:firstLine="0" w:firstLineChars="0"/>
                    <w:jc w:val="center"/>
                    <w:outlineLvl w:val="2"/>
                    <w:rPr>
                      <w:rFonts w:hint="eastAsia" w:ascii="Times New Roman" w:hAnsi="Times New Roman" w:eastAsia="宋体" w:cs="Times New Roman"/>
                      <w:bCs/>
                      <w:color w:val="auto"/>
                      <w:kern w:val="2"/>
                      <w:sz w:val="21"/>
                      <w:szCs w:val="16"/>
                      <w:lang w:val="en-US" w:eastAsia="zh-CN" w:bidi="ar-SA"/>
                    </w:rPr>
                  </w:pPr>
                  <w:r>
                    <w:rPr>
                      <w:rFonts w:hint="eastAsia"/>
                      <w:bCs/>
                      <w:color w:val="auto"/>
                      <w:sz w:val="21"/>
                      <w:szCs w:val="16"/>
                      <w:lang w:val="en-US" w:eastAsia="zh-CN"/>
                    </w:rPr>
                    <w:t>1.82</w:t>
                  </w:r>
                </w:p>
              </w:tc>
              <w:tc>
                <w:tcPr>
                  <w:tcW w:w="766" w:type="pct"/>
                  <w:vAlign w:val="center"/>
                </w:tcPr>
                <w:p>
                  <w:pPr>
                    <w:pStyle w:val="47"/>
                    <w:adjustRightInd w:val="0"/>
                    <w:snapToGrid w:val="0"/>
                    <w:spacing w:line="240" w:lineRule="auto"/>
                    <w:ind w:firstLine="0" w:firstLineChars="0"/>
                    <w:jc w:val="center"/>
                    <w:outlineLvl w:val="2"/>
                    <w:rPr>
                      <w:rFonts w:hint="eastAsia" w:ascii="Times New Roman" w:hAnsi="Times New Roman" w:eastAsia="宋体" w:cs="Times New Roman"/>
                      <w:bCs/>
                      <w:color w:val="auto"/>
                      <w:kern w:val="2"/>
                      <w:sz w:val="21"/>
                      <w:szCs w:val="16"/>
                      <w:lang w:val="en-US" w:eastAsia="zh-CN" w:bidi="ar-SA"/>
                    </w:rPr>
                  </w:pPr>
                  <w:r>
                    <w:rPr>
                      <w:rFonts w:hint="eastAsia"/>
                      <w:bCs/>
                      <w:color w:val="auto"/>
                      <w:sz w:val="21"/>
                      <w:szCs w:val="16"/>
                      <w:lang w:val="en-US" w:eastAsia="zh-CN"/>
                    </w:rPr>
                    <w:t>50.72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5" w:type="pct"/>
                  <w:vMerge w:val="continue"/>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14.85</w:t>
                  </w:r>
                </w:p>
              </w:tc>
              <w:tc>
                <w:tcPr>
                  <w:tcW w:w="553"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SO</w:t>
                  </w:r>
                  <w:r>
                    <w:rPr>
                      <w:rFonts w:hint="eastAsia"/>
                      <w:color w:val="auto"/>
                      <w:sz w:val="21"/>
                      <w:szCs w:val="21"/>
                      <w:vertAlign w:val="subscript"/>
                    </w:rPr>
                    <w:t>2</w:t>
                  </w:r>
                </w:p>
              </w:tc>
              <w:tc>
                <w:tcPr>
                  <w:tcW w:w="533"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127.38</w:t>
                  </w:r>
                </w:p>
              </w:tc>
              <w:tc>
                <w:tcPr>
                  <w:tcW w:w="699"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572"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0</w:t>
                  </w:r>
                </w:p>
              </w:tc>
              <w:tc>
                <w:tcPr>
                  <w:tcW w:w="582" w:type="pct"/>
                  <w:vAlign w:val="center"/>
                </w:tcPr>
                <w:p>
                  <w:pPr>
                    <w:widowControl/>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127.38</w:t>
                  </w:r>
                </w:p>
              </w:tc>
              <w:tc>
                <w:tcPr>
                  <w:tcW w:w="645" w:type="pct"/>
                  <w:vAlign w:val="center"/>
                </w:tcPr>
                <w:p>
                  <w:pPr>
                    <w:widowControl/>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17.69</w:t>
                  </w:r>
                </w:p>
              </w:tc>
              <w:tc>
                <w:tcPr>
                  <w:tcW w:w="766" w:type="pct"/>
                  <w:vAlign w:val="center"/>
                </w:tcPr>
                <w:p>
                  <w:pPr>
                    <w:widowControl/>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492.31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5"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553" w:type="pct"/>
                  <w:vAlign w:val="center"/>
                </w:tcPr>
                <w:p>
                  <w:pPr>
                    <w:pStyle w:val="47"/>
                    <w:adjustRightInd w:val="0"/>
                    <w:snapToGrid w:val="0"/>
                    <w:spacing w:line="240" w:lineRule="auto"/>
                    <w:ind w:firstLine="0"/>
                    <w:jc w:val="center"/>
                    <w:outlineLvl w:val="2"/>
                    <w:rPr>
                      <w:rFonts w:hint="eastAsia" w:eastAsia="宋体"/>
                      <w:color w:val="auto"/>
                      <w:sz w:val="21"/>
                      <w:szCs w:val="21"/>
                      <w:lang w:eastAsia="zh-CN"/>
                    </w:rPr>
                  </w:pPr>
                  <w:r>
                    <w:rPr>
                      <w:rFonts w:hint="eastAsia"/>
                      <w:color w:val="auto"/>
                      <w:sz w:val="21"/>
                      <w:szCs w:val="21"/>
                      <w:lang w:eastAsia="zh-CN"/>
                    </w:rPr>
                    <w:t>氟及其化合物（以F计）</w:t>
                  </w:r>
                </w:p>
              </w:tc>
              <w:tc>
                <w:tcPr>
                  <w:tcW w:w="533"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0.74</w:t>
                  </w:r>
                </w:p>
              </w:tc>
              <w:tc>
                <w:tcPr>
                  <w:tcW w:w="699" w:type="pct"/>
                  <w:vMerge w:val="continue"/>
                  <w:vAlign w:val="center"/>
                </w:tcPr>
                <w:p>
                  <w:pPr>
                    <w:pStyle w:val="47"/>
                    <w:adjustRightInd w:val="0"/>
                    <w:snapToGrid w:val="0"/>
                    <w:spacing w:line="240" w:lineRule="auto"/>
                    <w:ind w:firstLine="0"/>
                    <w:jc w:val="center"/>
                    <w:outlineLvl w:val="2"/>
                    <w:rPr>
                      <w:color w:val="auto"/>
                      <w:sz w:val="21"/>
                      <w:szCs w:val="21"/>
                    </w:rPr>
                  </w:pPr>
                </w:p>
              </w:tc>
              <w:tc>
                <w:tcPr>
                  <w:tcW w:w="572"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0</w:t>
                  </w:r>
                </w:p>
              </w:tc>
              <w:tc>
                <w:tcPr>
                  <w:tcW w:w="582" w:type="pct"/>
                  <w:vAlign w:val="center"/>
                </w:tcPr>
                <w:p>
                  <w:pPr>
                    <w:pStyle w:val="47"/>
                    <w:adjustRightInd w:val="0"/>
                    <w:snapToGrid w:val="0"/>
                    <w:spacing w:line="240" w:lineRule="auto"/>
                    <w:ind w:firstLine="0" w:firstLineChars="0"/>
                    <w:jc w:val="center"/>
                    <w:outlineLvl w:val="2"/>
                    <w:rPr>
                      <w:rFonts w:hint="default" w:ascii="Times New Roman" w:hAnsi="Times New Roman" w:eastAsia="宋体" w:cs="Times New Roman"/>
                      <w:bCs/>
                      <w:color w:val="auto"/>
                      <w:kern w:val="2"/>
                      <w:sz w:val="21"/>
                      <w:szCs w:val="16"/>
                      <w:lang w:val="en-US" w:eastAsia="zh-CN" w:bidi="ar-SA"/>
                    </w:rPr>
                  </w:pPr>
                  <w:r>
                    <w:rPr>
                      <w:rFonts w:hint="eastAsia"/>
                      <w:bCs/>
                      <w:color w:val="auto"/>
                      <w:sz w:val="21"/>
                      <w:szCs w:val="16"/>
                      <w:lang w:val="en-US" w:eastAsia="zh-CN"/>
                    </w:rPr>
                    <w:t>0.74</w:t>
                  </w:r>
                </w:p>
              </w:tc>
              <w:tc>
                <w:tcPr>
                  <w:tcW w:w="645" w:type="pct"/>
                  <w:vAlign w:val="center"/>
                </w:tcPr>
                <w:p>
                  <w:pPr>
                    <w:pStyle w:val="47"/>
                    <w:adjustRightInd w:val="0"/>
                    <w:snapToGrid w:val="0"/>
                    <w:spacing w:line="240" w:lineRule="auto"/>
                    <w:ind w:firstLine="0" w:firstLineChars="0"/>
                    <w:jc w:val="center"/>
                    <w:outlineLvl w:val="2"/>
                    <w:rPr>
                      <w:rFonts w:hint="default" w:ascii="Times New Roman" w:hAnsi="Times New Roman" w:eastAsia="宋体" w:cs="Times New Roman"/>
                      <w:bCs/>
                      <w:color w:val="auto"/>
                      <w:kern w:val="2"/>
                      <w:sz w:val="21"/>
                      <w:szCs w:val="16"/>
                      <w:lang w:val="en-US" w:eastAsia="zh-CN" w:bidi="ar-SA"/>
                    </w:rPr>
                  </w:pPr>
                  <w:r>
                    <w:rPr>
                      <w:rFonts w:hint="eastAsia"/>
                      <w:bCs/>
                      <w:color w:val="auto"/>
                      <w:sz w:val="21"/>
                      <w:szCs w:val="16"/>
                      <w:lang w:val="en-US" w:eastAsia="zh-CN"/>
                    </w:rPr>
                    <w:t>0.10</w:t>
                  </w:r>
                </w:p>
              </w:tc>
              <w:tc>
                <w:tcPr>
                  <w:tcW w:w="766" w:type="pct"/>
                  <w:vAlign w:val="center"/>
                </w:tcPr>
                <w:p>
                  <w:pPr>
                    <w:pStyle w:val="47"/>
                    <w:adjustRightInd w:val="0"/>
                    <w:snapToGrid w:val="0"/>
                    <w:spacing w:line="240" w:lineRule="auto"/>
                    <w:ind w:firstLine="0" w:firstLineChars="0"/>
                    <w:jc w:val="center"/>
                    <w:outlineLvl w:val="2"/>
                    <w:rPr>
                      <w:rFonts w:hint="default" w:ascii="Times New Roman" w:hAnsi="Times New Roman" w:eastAsia="宋体" w:cs="Times New Roman"/>
                      <w:bCs/>
                      <w:color w:val="auto"/>
                      <w:kern w:val="2"/>
                      <w:sz w:val="21"/>
                      <w:szCs w:val="16"/>
                      <w:lang w:val="en-US" w:eastAsia="zh-CN" w:bidi="ar-SA"/>
                    </w:rPr>
                  </w:pPr>
                  <w:r>
                    <w:rPr>
                      <w:rFonts w:hint="eastAsia"/>
                      <w:bCs/>
                      <w:color w:val="auto"/>
                      <w:sz w:val="21"/>
                      <w:szCs w:val="16"/>
                      <w:lang w:val="en-US" w:eastAsia="zh-CN"/>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5"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1200万Nm</w:t>
                  </w:r>
                  <w:r>
                    <w:rPr>
                      <w:rFonts w:hint="eastAsia"/>
                      <w:color w:val="auto"/>
                      <w:sz w:val="21"/>
                      <w:szCs w:val="21"/>
                      <w:vertAlign w:val="superscript"/>
                    </w:rPr>
                    <w:t>3</w:t>
                  </w:r>
                  <w:r>
                    <w:rPr>
                      <w:rFonts w:hint="eastAsia"/>
                      <w:color w:val="auto"/>
                      <w:sz w:val="21"/>
                      <w:szCs w:val="21"/>
                    </w:rPr>
                    <w:t>/a</w:t>
                  </w:r>
                </w:p>
              </w:tc>
              <w:tc>
                <w:tcPr>
                  <w:tcW w:w="553"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颗粒物</w:t>
                  </w:r>
                </w:p>
              </w:tc>
              <w:tc>
                <w:tcPr>
                  <w:tcW w:w="533"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75</w:t>
                  </w:r>
                </w:p>
              </w:tc>
              <w:tc>
                <w:tcPr>
                  <w:tcW w:w="699"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15m排气筒DA002</w:t>
                  </w:r>
                </w:p>
              </w:tc>
              <w:tc>
                <w:tcPr>
                  <w:tcW w:w="572" w:type="pct"/>
                  <w:vAlign w:val="center"/>
                </w:tcPr>
                <w:p>
                  <w:pPr>
                    <w:pStyle w:val="47"/>
                    <w:adjustRightInd w:val="0"/>
                    <w:snapToGrid w:val="0"/>
                    <w:spacing w:line="240" w:lineRule="auto"/>
                    <w:ind w:firstLine="0"/>
                    <w:jc w:val="center"/>
                    <w:outlineLvl w:val="2"/>
                    <w:rPr>
                      <w:color w:val="auto"/>
                      <w:sz w:val="21"/>
                      <w:szCs w:val="21"/>
                    </w:rPr>
                  </w:pPr>
                  <w:r>
                    <w:rPr>
                      <w:rFonts w:hint="eastAsia"/>
                      <w:color w:val="auto"/>
                      <w:sz w:val="21"/>
                      <w:szCs w:val="21"/>
                    </w:rPr>
                    <w:t>0</w:t>
                  </w:r>
                </w:p>
              </w:tc>
              <w:tc>
                <w:tcPr>
                  <w:tcW w:w="582"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75</w:t>
                  </w:r>
                </w:p>
              </w:tc>
              <w:tc>
                <w:tcPr>
                  <w:tcW w:w="645"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10.42</w:t>
                  </w:r>
                </w:p>
              </w:tc>
              <w:tc>
                <w:tcPr>
                  <w:tcW w:w="766" w:type="pct"/>
                  <w:vAlign w:val="center"/>
                </w:tcPr>
                <w:p>
                  <w:pPr>
                    <w:pStyle w:val="47"/>
                    <w:adjustRightInd w:val="0"/>
                    <w:snapToGrid w:val="0"/>
                    <w:spacing w:line="240" w:lineRule="auto"/>
                    <w:ind w:firstLine="0"/>
                    <w:jc w:val="center"/>
                    <w:outlineLvl w:val="2"/>
                    <w:rPr>
                      <w:rFonts w:hint="default" w:eastAsia="宋体"/>
                      <w:color w:val="auto"/>
                      <w:sz w:val="21"/>
                      <w:szCs w:val="21"/>
                      <w:lang w:val="en-US" w:eastAsia="zh-CN"/>
                    </w:rPr>
                  </w:pPr>
                  <w:r>
                    <w:rPr>
                      <w:rFonts w:hint="eastAsia"/>
                      <w:color w:val="auto"/>
                      <w:sz w:val="21"/>
                      <w:szCs w:val="21"/>
                      <w:lang w:val="en-US" w:eastAsia="zh-CN"/>
                    </w:rPr>
                    <w:t>6250</w:t>
                  </w:r>
                </w:p>
              </w:tc>
            </w:tr>
          </w:tbl>
          <w:p>
            <w:pPr>
              <w:pStyle w:val="47"/>
              <w:adjustRightInd w:val="0"/>
              <w:snapToGrid w:val="0"/>
              <w:spacing w:line="240" w:lineRule="auto"/>
              <w:ind w:firstLine="0"/>
              <w:outlineLvl w:val="2"/>
              <w:rPr>
                <w:b/>
                <w:color w:val="auto"/>
                <w:sz w:val="21"/>
                <w:szCs w:val="21"/>
              </w:rPr>
            </w:pPr>
          </w:p>
          <w:p>
            <w:pPr>
              <w:pStyle w:val="47"/>
              <w:adjustRightInd w:val="0"/>
              <w:snapToGrid w:val="0"/>
              <w:ind w:firstLine="480" w:firstLineChars="200"/>
              <w:outlineLvl w:val="2"/>
              <w:rPr>
                <w:color w:val="auto"/>
                <w:szCs w:val="24"/>
              </w:rPr>
            </w:pPr>
            <w:r>
              <w:rPr>
                <w:rFonts w:hint="eastAsia"/>
                <w:color w:val="auto"/>
                <w:szCs w:val="24"/>
              </w:rPr>
              <w:t>在非正常工况下污染物排放量大，对环境污染极为严重，给周围人群和生态造成严重影响。因此，废气处理设施出现故障时，生产装置必须限产、停产，待故障装置修复后方可完全恢复生产。</w:t>
            </w:r>
          </w:p>
          <w:p>
            <w:pPr>
              <w:pStyle w:val="47"/>
              <w:adjustRightInd w:val="0"/>
              <w:snapToGrid w:val="0"/>
              <w:ind w:firstLine="481" w:firstLineChars="200"/>
              <w:outlineLvl w:val="2"/>
              <w:rPr>
                <w:b/>
                <w:bCs/>
                <w:color w:val="auto"/>
                <w:szCs w:val="24"/>
              </w:rPr>
            </w:pPr>
            <w:r>
              <w:rPr>
                <w:rFonts w:hint="eastAsia"/>
                <w:b/>
                <w:bCs/>
                <w:color w:val="auto"/>
                <w:szCs w:val="24"/>
              </w:rPr>
              <w:t>（4）废气监测计划</w:t>
            </w:r>
          </w:p>
          <w:p>
            <w:pPr>
              <w:widowControl/>
              <w:spacing w:line="360" w:lineRule="auto"/>
              <w:ind w:firstLine="480" w:firstLineChars="200"/>
              <w:rPr>
                <w:color w:val="auto"/>
              </w:rPr>
            </w:pPr>
            <w:r>
              <w:rPr>
                <w:color w:val="auto"/>
                <w:sz w:val="24"/>
              </w:rPr>
              <w:t>本项目产生的废气主要为颗粒物、二氧化硫、氮氧化物和</w:t>
            </w:r>
            <w:r>
              <w:rPr>
                <w:rFonts w:hint="eastAsia"/>
                <w:color w:val="auto"/>
                <w:sz w:val="24"/>
                <w:lang w:eastAsia="zh-CN"/>
              </w:rPr>
              <w:t>氟及其化合物（以F计）</w:t>
            </w:r>
            <w:r>
              <w:rPr>
                <w:color w:val="auto"/>
                <w:sz w:val="24"/>
              </w:rPr>
              <w:t>。运营废气监测计划执行</w:t>
            </w:r>
            <w:r>
              <w:rPr>
                <w:color w:val="auto"/>
                <w:sz w:val="24"/>
                <w:lang w:bidi="ar"/>
              </w:rPr>
              <w:t>《排污许可证申请与核发技术规范 工业炉窑》（HJ1121-2020）</w:t>
            </w:r>
            <w:r>
              <w:rPr>
                <w:color w:val="auto"/>
                <w:sz w:val="24"/>
              </w:rPr>
              <w:t>的相关要求</w:t>
            </w:r>
            <w:r>
              <w:rPr>
                <w:rFonts w:hint="eastAsia"/>
                <w:color w:val="auto"/>
                <w:sz w:val="24"/>
                <w:lang w:eastAsia="zh-CN"/>
              </w:rPr>
              <w:t>，</w:t>
            </w:r>
            <w:r>
              <w:rPr>
                <w:rFonts w:hint="eastAsia"/>
                <w:color w:val="auto"/>
                <w:sz w:val="24"/>
                <w:lang w:val="en-US" w:eastAsia="zh-CN"/>
              </w:rPr>
              <w:t>其中破碎车间的监测计划参照《排污单位自行监测技术指南 砖瓦工业》（HJ 1254—2022）中粉碎工段的相关要求执行</w:t>
            </w:r>
            <w:r>
              <w:rPr>
                <w:color w:val="auto"/>
                <w:sz w:val="24"/>
              </w:rPr>
              <w:t>。此外，</w:t>
            </w:r>
            <w:r>
              <w:rPr>
                <w:rFonts w:hint="eastAsia"/>
                <w:color w:val="auto"/>
                <w:sz w:val="24"/>
              </w:rPr>
              <w:t>应管理部门</w:t>
            </w:r>
            <w:r>
              <w:rPr>
                <w:color w:val="auto"/>
                <w:sz w:val="24"/>
              </w:rPr>
              <w:t>相关要求</w:t>
            </w:r>
            <w:r>
              <w:rPr>
                <w:rFonts w:hint="eastAsia"/>
                <w:color w:val="auto"/>
                <w:sz w:val="24"/>
              </w:rPr>
              <w:t>，现有项目已设在线监测系统，并与生态环境主管部门联网。项目监测计划详见表4-11。</w:t>
            </w:r>
          </w:p>
          <w:p>
            <w:pPr>
              <w:pStyle w:val="47"/>
              <w:adjustRightInd w:val="0"/>
              <w:snapToGrid w:val="0"/>
              <w:spacing w:line="240" w:lineRule="auto"/>
              <w:ind w:firstLine="0"/>
              <w:jc w:val="center"/>
              <w:outlineLvl w:val="2"/>
              <w:rPr>
                <w:b/>
                <w:bCs/>
                <w:color w:val="auto"/>
                <w:sz w:val="21"/>
                <w:szCs w:val="21"/>
              </w:rPr>
            </w:pPr>
            <w:r>
              <w:rPr>
                <w:rFonts w:hint="eastAsia"/>
                <w:b/>
                <w:bCs/>
                <w:color w:val="auto"/>
                <w:sz w:val="21"/>
                <w:szCs w:val="21"/>
              </w:rPr>
              <w:t>表4-11  废气监测计划一览表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1"/>
              <w:gridCol w:w="3135"/>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pct"/>
                  <w:vAlign w:val="center"/>
                </w:tcPr>
                <w:p>
                  <w:pPr>
                    <w:jc w:val="center"/>
                    <w:rPr>
                      <w:color w:val="auto"/>
                    </w:rPr>
                  </w:pPr>
                  <w:r>
                    <w:rPr>
                      <w:rFonts w:hint="eastAsia"/>
                      <w:color w:val="auto"/>
                    </w:rPr>
                    <w:t>监测点位</w:t>
                  </w:r>
                </w:p>
              </w:tc>
              <w:tc>
                <w:tcPr>
                  <w:tcW w:w="1975" w:type="pct"/>
                  <w:vAlign w:val="center"/>
                </w:tcPr>
                <w:p>
                  <w:pPr>
                    <w:jc w:val="center"/>
                    <w:rPr>
                      <w:color w:val="auto"/>
                    </w:rPr>
                  </w:pPr>
                  <w:r>
                    <w:rPr>
                      <w:rFonts w:hint="eastAsia"/>
                      <w:color w:val="auto"/>
                    </w:rPr>
                    <w:t>检测指标</w:t>
                  </w:r>
                </w:p>
              </w:tc>
              <w:tc>
                <w:tcPr>
                  <w:tcW w:w="899" w:type="pct"/>
                  <w:vAlign w:val="center"/>
                </w:tcPr>
                <w:p>
                  <w:pPr>
                    <w:jc w:val="center"/>
                    <w:rPr>
                      <w:color w:val="auto"/>
                    </w:rPr>
                  </w:pPr>
                  <w:r>
                    <w:rPr>
                      <w:rFonts w:hint="eastAsia"/>
                      <w:color w:val="auto"/>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pct"/>
                  <w:vMerge w:val="restart"/>
                  <w:vAlign w:val="center"/>
                </w:tcPr>
                <w:p>
                  <w:pPr>
                    <w:jc w:val="center"/>
                    <w:rPr>
                      <w:color w:val="auto"/>
                    </w:rPr>
                  </w:pPr>
                  <w:r>
                    <w:rPr>
                      <w:rFonts w:hint="eastAsia"/>
                      <w:color w:val="auto"/>
                    </w:rPr>
                    <w:t>焙烧烟气排气筒（DA001）</w:t>
                  </w:r>
                </w:p>
              </w:tc>
              <w:tc>
                <w:tcPr>
                  <w:tcW w:w="1975" w:type="pct"/>
                  <w:vAlign w:val="center"/>
                </w:tcPr>
                <w:p>
                  <w:pPr>
                    <w:jc w:val="center"/>
                    <w:rPr>
                      <w:color w:val="auto"/>
                    </w:rPr>
                  </w:pPr>
                  <w:r>
                    <w:rPr>
                      <w:rFonts w:hint="eastAsia"/>
                      <w:color w:val="auto"/>
                    </w:rPr>
                    <w:t>颗粒物、SO</w:t>
                  </w:r>
                  <w:r>
                    <w:rPr>
                      <w:rFonts w:hint="eastAsia"/>
                      <w:color w:val="auto"/>
                      <w:vertAlign w:val="subscript"/>
                    </w:rPr>
                    <w:t>2</w:t>
                  </w:r>
                  <w:r>
                    <w:rPr>
                      <w:rFonts w:hint="eastAsia"/>
                      <w:color w:val="auto"/>
                    </w:rPr>
                    <w:t>、NO</w:t>
                  </w:r>
                  <w:r>
                    <w:rPr>
                      <w:rFonts w:hint="eastAsia"/>
                      <w:color w:val="auto"/>
                      <w:vertAlign w:val="subscript"/>
                    </w:rPr>
                    <w:t>x</w:t>
                  </w:r>
                </w:p>
              </w:tc>
              <w:tc>
                <w:tcPr>
                  <w:tcW w:w="899" w:type="pct"/>
                  <w:vAlign w:val="center"/>
                </w:tcPr>
                <w:p>
                  <w:pPr>
                    <w:jc w:val="center"/>
                    <w:rPr>
                      <w:color w:val="auto"/>
                    </w:rPr>
                  </w:pPr>
                  <w:r>
                    <w:rPr>
                      <w:rFonts w:hint="eastAsia"/>
                      <w:color w:val="auto"/>
                    </w:rPr>
                    <w:t>在线监测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pct"/>
                  <w:vMerge w:val="continue"/>
                  <w:vAlign w:val="center"/>
                </w:tcPr>
                <w:p>
                  <w:pPr>
                    <w:jc w:val="center"/>
                    <w:rPr>
                      <w:color w:val="auto"/>
                    </w:rPr>
                  </w:pPr>
                </w:p>
              </w:tc>
              <w:tc>
                <w:tcPr>
                  <w:tcW w:w="1975" w:type="pct"/>
                  <w:vAlign w:val="center"/>
                </w:tcPr>
                <w:p>
                  <w:pPr>
                    <w:jc w:val="center"/>
                    <w:rPr>
                      <w:color w:val="auto"/>
                    </w:rPr>
                  </w:pPr>
                  <w:r>
                    <w:rPr>
                      <w:rFonts w:hint="eastAsia"/>
                      <w:color w:val="auto"/>
                    </w:rPr>
                    <w:t>氟及其化合物</w:t>
                  </w:r>
                  <w:r>
                    <w:rPr>
                      <w:rFonts w:hint="eastAsia"/>
                      <w:color w:val="auto"/>
                      <w:sz w:val="24"/>
                      <w:lang w:eastAsia="zh-CN"/>
                    </w:rPr>
                    <w:t>（以F计）</w:t>
                  </w:r>
                  <w:r>
                    <w:rPr>
                      <w:rFonts w:hint="eastAsia"/>
                      <w:color w:val="auto"/>
                    </w:rPr>
                    <w:t>、烟气黑度</w:t>
                  </w:r>
                </w:p>
              </w:tc>
              <w:tc>
                <w:tcPr>
                  <w:tcW w:w="899" w:type="pct"/>
                  <w:vAlign w:val="center"/>
                </w:tcPr>
                <w:p>
                  <w:pPr>
                    <w:jc w:val="center"/>
                    <w:rPr>
                      <w:color w:val="auto"/>
                    </w:rPr>
                  </w:pPr>
                  <w:r>
                    <w:rPr>
                      <w:rFonts w:hint="eastAsia"/>
                      <w:color w:val="auto"/>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pct"/>
                  <w:vAlign w:val="center"/>
                </w:tcPr>
                <w:p>
                  <w:pPr>
                    <w:jc w:val="center"/>
                    <w:rPr>
                      <w:color w:val="auto"/>
                    </w:rPr>
                  </w:pPr>
                  <w:r>
                    <w:rPr>
                      <w:rFonts w:hint="eastAsia"/>
                      <w:color w:val="auto"/>
                    </w:rPr>
                    <w:t>破碎车间排气筒（DA002）</w:t>
                  </w:r>
                </w:p>
              </w:tc>
              <w:tc>
                <w:tcPr>
                  <w:tcW w:w="1975" w:type="pct"/>
                  <w:vAlign w:val="center"/>
                </w:tcPr>
                <w:p>
                  <w:pPr>
                    <w:jc w:val="center"/>
                    <w:rPr>
                      <w:color w:val="auto"/>
                    </w:rPr>
                  </w:pPr>
                  <w:r>
                    <w:rPr>
                      <w:rFonts w:hint="eastAsia"/>
                      <w:color w:val="auto"/>
                    </w:rPr>
                    <w:t>颗粒物</w:t>
                  </w:r>
                </w:p>
              </w:tc>
              <w:tc>
                <w:tcPr>
                  <w:tcW w:w="899" w:type="pct"/>
                  <w:vAlign w:val="center"/>
                </w:tcPr>
                <w:p>
                  <w:pPr>
                    <w:jc w:val="center"/>
                    <w:rPr>
                      <w:color w:val="auto"/>
                    </w:rPr>
                  </w:pPr>
                  <w:r>
                    <w:rPr>
                      <w:rFonts w:hint="eastAsia"/>
                      <w:color w:val="auto"/>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pct"/>
                  <w:vAlign w:val="center"/>
                </w:tcPr>
                <w:p>
                  <w:pPr>
                    <w:jc w:val="center"/>
                    <w:rPr>
                      <w:rFonts w:hint="default" w:eastAsia="宋体"/>
                      <w:color w:val="auto"/>
                      <w:lang w:val="en-US" w:eastAsia="zh-CN"/>
                    </w:rPr>
                  </w:pPr>
                  <w:r>
                    <w:rPr>
                      <w:rFonts w:hint="eastAsia"/>
                      <w:color w:val="auto"/>
                      <w:lang w:val="en-US" w:eastAsia="zh-CN"/>
                    </w:rPr>
                    <w:t>工业炉窑车间厂房门窗排放口处</w:t>
                  </w:r>
                </w:p>
              </w:tc>
              <w:tc>
                <w:tcPr>
                  <w:tcW w:w="1975" w:type="pct"/>
                  <w:vAlign w:val="center"/>
                </w:tcPr>
                <w:p>
                  <w:pPr>
                    <w:jc w:val="center"/>
                    <w:rPr>
                      <w:rFonts w:hint="eastAsia"/>
                      <w:color w:val="auto"/>
                    </w:rPr>
                  </w:pPr>
                  <w:r>
                    <w:rPr>
                      <w:rFonts w:hint="eastAsia"/>
                      <w:color w:val="auto"/>
                    </w:rPr>
                    <w:t>颗粒物</w:t>
                  </w:r>
                </w:p>
              </w:tc>
              <w:tc>
                <w:tcPr>
                  <w:tcW w:w="899" w:type="pct"/>
                  <w:vAlign w:val="center"/>
                </w:tcPr>
                <w:p>
                  <w:pPr>
                    <w:jc w:val="center"/>
                    <w:rPr>
                      <w:rFonts w:hint="eastAsia"/>
                      <w:color w:val="auto"/>
                    </w:rPr>
                  </w:pPr>
                  <w:r>
                    <w:rPr>
                      <w:rFonts w:hint="eastAsia"/>
                      <w:color w:val="auto"/>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24" w:type="pct"/>
                  <w:vAlign w:val="center"/>
                </w:tcPr>
                <w:p>
                  <w:pPr>
                    <w:jc w:val="center"/>
                    <w:rPr>
                      <w:color w:val="auto"/>
                    </w:rPr>
                  </w:pPr>
                  <w:r>
                    <w:rPr>
                      <w:rFonts w:hint="eastAsia"/>
                      <w:color w:val="auto"/>
                    </w:rPr>
                    <w:t>厂界</w:t>
                  </w:r>
                </w:p>
              </w:tc>
              <w:tc>
                <w:tcPr>
                  <w:tcW w:w="1975" w:type="pct"/>
                  <w:vAlign w:val="center"/>
                </w:tcPr>
                <w:p>
                  <w:pPr>
                    <w:jc w:val="center"/>
                    <w:rPr>
                      <w:color w:val="auto"/>
                    </w:rPr>
                  </w:pPr>
                  <w:r>
                    <w:rPr>
                      <w:rFonts w:hint="eastAsia"/>
                      <w:color w:val="auto"/>
                    </w:rPr>
                    <w:t>颗粒物</w:t>
                  </w:r>
                </w:p>
              </w:tc>
              <w:tc>
                <w:tcPr>
                  <w:tcW w:w="899" w:type="pct"/>
                  <w:vAlign w:val="center"/>
                </w:tcPr>
                <w:p>
                  <w:pPr>
                    <w:jc w:val="center"/>
                    <w:rPr>
                      <w:color w:val="auto"/>
                    </w:rPr>
                  </w:pPr>
                  <w:r>
                    <w:rPr>
                      <w:rFonts w:hint="eastAsia"/>
                      <w:color w:val="auto"/>
                    </w:rPr>
                    <w:t>1次/年</w:t>
                  </w:r>
                </w:p>
              </w:tc>
            </w:tr>
          </w:tbl>
          <w:p>
            <w:pPr>
              <w:pStyle w:val="47"/>
              <w:adjustRightInd w:val="0"/>
              <w:snapToGrid w:val="0"/>
              <w:spacing w:line="240" w:lineRule="auto"/>
              <w:ind w:firstLine="0"/>
              <w:outlineLvl w:val="2"/>
              <w:rPr>
                <w:b/>
                <w:bCs w:val="0"/>
                <w:color w:val="auto"/>
                <w:sz w:val="21"/>
                <w:szCs w:val="21"/>
              </w:rPr>
            </w:pPr>
          </w:p>
          <w:p>
            <w:pPr>
              <w:pStyle w:val="47"/>
              <w:adjustRightInd w:val="0"/>
              <w:snapToGrid w:val="0"/>
              <w:ind w:firstLine="481" w:firstLineChars="200"/>
              <w:outlineLvl w:val="2"/>
              <w:rPr>
                <w:b/>
                <w:bCs w:val="0"/>
                <w:color w:val="auto"/>
                <w:szCs w:val="24"/>
              </w:rPr>
            </w:pPr>
            <w:r>
              <w:rPr>
                <w:rFonts w:hint="eastAsia"/>
                <w:b/>
                <w:bCs w:val="0"/>
                <w:color w:val="auto"/>
                <w:szCs w:val="24"/>
              </w:rPr>
              <w:t>（5）环境空气影响结论</w:t>
            </w:r>
          </w:p>
          <w:p>
            <w:pPr>
              <w:adjustRightInd w:val="0"/>
              <w:snapToGrid w:val="0"/>
              <w:spacing w:line="360" w:lineRule="auto"/>
              <w:ind w:firstLine="482"/>
              <w:rPr>
                <w:rFonts w:hint="eastAsia"/>
                <w:color w:val="auto"/>
                <w:sz w:val="24"/>
                <w:lang w:val="zh-CN"/>
              </w:rPr>
            </w:pPr>
            <w:r>
              <w:rPr>
                <w:color w:val="auto"/>
                <w:kern w:val="0"/>
                <w:sz w:val="24"/>
              </w:rPr>
              <w:t>项目所在区域</w:t>
            </w:r>
            <w:r>
              <w:rPr>
                <w:rFonts w:hint="eastAsia"/>
                <w:color w:val="auto"/>
                <w:kern w:val="0"/>
                <w:sz w:val="24"/>
              </w:rPr>
              <w:t>为</w:t>
            </w:r>
            <w:r>
              <w:rPr>
                <w:color w:val="auto"/>
                <w:kern w:val="0"/>
                <w:sz w:val="24"/>
              </w:rPr>
              <w:t>大气环境质量达标区</w:t>
            </w:r>
            <w:r>
              <w:rPr>
                <w:rFonts w:hint="eastAsia"/>
                <w:color w:val="auto"/>
                <w:kern w:val="0"/>
                <w:sz w:val="24"/>
                <w:lang w:eastAsia="zh-CN"/>
              </w:rPr>
              <w:t>，</w:t>
            </w:r>
            <w:r>
              <w:rPr>
                <w:color w:val="auto"/>
                <w:sz w:val="24"/>
              </w:rPr>
              <w:t>项目</w:t>
            </w:r>
            <w:r>
              <w:rPr>
                <w:rFonts w:hint="eastAsia"/>
                <w:color w:val="auto"/>
                <w:sz w:val="24"/>
                <w:lang w:val="en-US" w:eastAsia="zh-CN"/>
              </w:rPr>
              <w:t>改扩建后产生的废气均设置废气收集、</w:t>
            </w:r>
            <w:r>
              <w:rPr>
                <w:color w:val="auto"/>
                <w:sz w:val="24"/>
              </w:rPr>
              <w:t>净化</w:t>
            </w:r>
            <w:r>
              <w:rPr>
                <w:rFonts w:hint="eastAsia"/>
                <w:color w:val="auto"/>
                <w:sz w:val="24"/>
                <w:lang w:val="en-US" w:eastAsia="zh-CN"/>
              </w:rPr>
              <w:t>设施，经废气处理设施</w:t>
            </w:r>
            <w:r>
              <w:rPr>
                <w:color w:val="auto"/>
                <w:sz w:val="24"/>
              </w:rPr>
              <w:t>处理后</w:t>
            </w:r>
            <w:r>
              <w:rPr>
                <w:rFonts w:hint="eastAsia"/>
                <w:color w:val="auto"/>
                <w:sz w:val="24"/>
                <w:lang w:val="en-US" w:eastAsia="zh-CN"/>
              </w:rPr>
              <w:t>达标</w:t>
            </w:r>
            <w:r>
              <w:rPr>
                <w:color w:val="auto"/>
                <w:sz w:val="24"/>
              </w:rPr>
              <w:t>排放</w:t>
            </w:r>
            <w:r>
              <w:rPr>
                <w:rFonts w:hint="eastAsia"/>
                <w:color w:val="auto"/>
                <w:sz w:val="24"/>
                <w:lang w:eastAsia="zh-CN"/>
              </w:rPr>
              <w:t>，</w:t>
            </w:r>
            <w:r>
              <w:rPr>
                <w:color w:val="auto"/>
                <w:sz w:val="24"/>
              </w:rPr>
              <w:t>不会造成区域环境质量超标</w:t>
            </w:r>
            <w:r>
              <w:rPr>
                <w:rFonts w:hint="eastAsia"/>
                <w:color w:val="auto"/>
                <w:sz w:val="24"/>
              </w:rPr>
              <w:t>。</w:t>
            </w:r>
            <w:r>
              <w:rPr>
                <w:color w:val="auto"/>
                <w:sz w:val="24"/>
              </w:rPr>
              <w:t>另外，区域主导风向为西南风，</w:t>
            </w:r>
            <w:r>
              <w:rPr>
                <w:rFonts w:hint="eastAsia"/>
                <w:color w:val="auto"/>
                <w:sz w:val="24"/>
                <w:lang w:val="en-US" w:eastAsia="zh-CN"/>
              </w:rPr>
              <w:t>项目500m范围内无环境空气保护目标分布</w:t>
            </w:r>
            <w:r>
              <w:rPr>
                <w:rFonts w:hint="eastAsia"/>
                <w:color w:val="auto"/>
                <w:sz w:val="24"/>
              </w:rPr>
              <w:t>。</w:t>
            </w:r>
            <w:r>
              <w:rPr>
                <w:color w:val="auto"/>
                <w:sz w:val="24"/>
                <w:lang w:val="zh-CN"/>
              </w:rPr>
              <w:t>综上分析，大气环境影响可接受。</w:t>
            </w:r>
          </w:p>
          <w:p>
            <w:pPr>
              <w:pStyle w:val="47"/>
              <w:adjustRightInd w:val="0"/>
              <w:snapToGrid w:val="0"/>
              <w:ind w:firstLine="0"/>
              <w:outlineLvl w:val="2"/>
              <w:rPr>
                <w:b/>
                <w:color w:val="auto"/>
                <w:szCs w:val="24"/>
              </w:rPr>
            </w:pPr>
            <w:r>
              <w:rPr>
                <w:rFonts w:hint="eastAsia"/>
                <w:b/>
                <w:color w:val="auto"/>
                <w:szCs w:val="24"/>
              </w:rPr>
              <w:t>4.2</w:t>
            </w:r>
            <w:r>
              <w:rPr>
                <w:b/>
                <w:color w:val="auto"/>
                <w:szCs w:val="24"/>
              </w:rPr>
              <w:t>.2废水</w:t>
            </w:r>
          </w:p>
          <w:p>
            <w:pPr>
              <w:pStyle w:val="47"/>
              <w:adjustRightInd w:val="0"/>
              <w:snapToGrid w:val="0"/>
              <w:ind w:firstLine="480" w:firstLineChars="200"/>
              <w:outlineLvl w:val="2"/>
              <w:rPr>
                <w:color w:val="auto"/>
                <w:szCs w:val="24"/>
              </w:rPr>
            </w:pPr>
            <w:r>
              <w:rPr>
                <w:rFonts w:hint="eastAsia"/>
                <w:color w:val="auto"/>
                <w:szCs w:val="24"/>
              </w:rPr>
              <w:t>（1）废水产排量核算</w:t>
            </w:r>
          </w:p>
          <w:p>
            <w:pPr>
              <w:pStyle w:val="47"/>
              <w:adjustRightInd w:val="0"/>
              <w:snapToGrid w:val="0"/>
              <w:ind w:firstLine="480" w:firstLineChars="200"/>
              <w:outlineLvl w:val="2"/>
              <w:rPr>
                <w:color w:val="auto"/>
                <w:szCs w:val="24"/>
              </w:rPr>
            </w:pPr>
            <w:r>
              <w:rPr>
                <w:rFonts w:hint="eastAsia"/>
                <w:color w:val="auto"/>
                <w:szCs w:val="24"/>
              </w:rPr>
              <w:t>①原料搅拌用水</w:t>
            </w:r>
          </w:p>
          <w:p>
            <w:pPr>
              <w:pStyle w:val="47"/>
              <w:adjustRightInd w:val="0"/>
              <w:snapToGrid w:val="0"/>
              <w:ind w:firstLine="480" w:firstLineChars="200"/>
              <w:outlineLvl w:val="2"/>
              <w:rPr>
                <w:color w:val="auto"/>
                <w:szCs w:val="24"/>
              </w:rPr>
            </w:pPr>
            <w:r>
              <w:rPr>
                <w:rFonts w:hint="eastAsia"/>
                <w:color w:val="auto"/>
                <w:szCs w:val="24"/>
              </w:rPr>
              <w:t>项目原料进入搅拌机后须加水搅拌，根据业主提供资料，本次改扩建原料年消耗量新增6万</w:t>
            </w:r>
            <w:r>
              <w:rPr>
                <w:color w:val="auto"/>
                <w:szCs w:val="24"/>
              </w:rPr>
              <w:t>t</w:t>
            </w:r>
            <w:r>
              <w:rPr>
                <w:rFonts w:hint="eastAsia"/>
                <w:color w:val="auto"/>
                <w:szCs w:val="24"/>
              </w:rPr>
              <w:t>，原有项目原料年消耗量为4万t。搅拌后混合粉料含水率按照</w:t>
            </w:r>
            <w:r>
              <w:rPr>
                <w:color w:val="auto"/>
                <w:szCs w:val="24"/>
              </w:rPr>
              <w:t>5%</w:t>
            </w:r>
            <w:r>
              <w:rPr>
                <w:rFonts w:hint="eastAsia"/>
                <w:color w:val="auto"/>
                <w:szCs w:val="24"/>
              </w:rPr>
              <w:t>计算，则原有项目搅拌用水量为6.67m</w:t>
            </w:r>
            <w:r>
              <w:rPr>
                <w:rFonts w:hint="eastAsia"/>
                <w:color w:val="auto"/>
                <w:szCs w:val="24"/>
                <w:vertAlign w:val="superscript"/>
              </w:rPr>
              <w:t>3</w:t>
            </w:r>
            <w:r>
              <w:rPr>
                <w:rFonts w:hint="eastAsia"/>
                <w:color w:val="auto"/>
                <w:szCs w:val="24"/>
              </w:rPr>
              <w:t>/d、2000m</w:t>
            </w:r>
            <w:r>
              <w:rPr>
                <w:rFonts w:hint="eastAsia"/>
                <w:color w:val="auto"/>
                <w:szCs w:val="24"/>
                <w:vertAlign w:val="superscript"/>
              </w:rPr>
              <w:t>3</w:t>
            </w:r>
            <w:r>
              <w:rPr>
                <w:rFonts w:hint="eastAsia"/>
                <w:color w:val="auto"/>
                <w:szCs w:val="24"/>
              </w:rPr>
              <w:t>/a，本次改扩建搅拌用水量为10</w:t>
            </w:r>
            <w:r>
              <w:rPr>
                <w:color w:val="auto"/>
                <w:szCs w:val="24"/>
              </w:rPr>
              <w:t>m</w:t>
            </w:r>
            <w:r>
              <w:rPr>
                <w:color w:val="auto"/>
                <w:szCs w:val="24"/>
                <w:vertAlign w:val="superscript"/>
              </w:rPr>
              <w:t>3</w:t>
            </w:r>
            <w:r>
              <w:rPr>
                <w:color w:val="auto"/>
                <w:szCs w:val="24"/>
              </w:rPr>
              <w:t>/d</w:t>
            </w:r>
            <w:r>
              <w:rPr>
                <w:rFonts w:hint="eastAsia"/>
                <w:color w:val="auto"/>
                <w:szCs w:val="24"/>
              </w:rPr>
              <w:t>，3000</w:t>
            </w:r>
            <w:r>
              <w:rPr>
                <w:color w:val="auto"/>
                <w:szCs w:val="24"/>
              </w:rPr>
              <w:t>m</w:t>
            </w:r>
            <w:r>
              <w:rPr>
                <w:color w:val="auto"/>
                <w:szCs w:val="24"/>
                <w:vertAlign w:val="superscript"/>
              </w:rPr>
              <w:t>3</w:t>
            </w:r>
            <w:r>
              <w:rPr>
                <w:color w:val="auto"/>
                <w:szCs w:val="24"/>
              </w:rPr>
              <w:t>/a</w:t>
            </w:r>
            <w:r>
              <w:rPr>
                <w:rFonts w:hint="eastAsia"/>
                <w:color w:val="auto"/>
                <w:szCs w:val="24"/>
              </w:rPr>
              <w:t>。搅拌用水随砖坯进入隧道窑烧结时全部蒸发消散，不外排。</w:t>
            </w:r>
          </w:p>
          <w:p>
            <w:pPr>
              <w:pStyle w:val="47"/>
              <w:adjustRightInd w:val="0"/>
              <w:snapToGrid w:val="0"/>
              <w:ind w:firstLine="480" w:firstLineChars="200"/>
              <w:outlineLvl w:val="2"/>
              <w:rPr>
                <w:color w:val="auto"/>
                <w:szCs w:val="24"/>
              </w:rPr>
            </w:pPr>
            <w:r>
              <w:rPr>
                <w:rFonts w:hint="eastAsia"/>
                <w:color w:val="auto"/>
                <w:szCs w:val="24"/>
              </w:rPr>
              <w:t>②烟气处理用水</w:t>
            </w:r>
          </w:p>
          <w:p>
            <w:pPr>
              <w:widowControl/>
              <w:spacing w:line="360" w:lineRule="auto"/>
              <w:ind w:firstLine="480" w:firstLineChars="200"/>
              <w:rPr>
                <w:color w:val="auto"/>
                <w:sz w:val="24"/>
              </w:rPr>
            </w:pPr>
            <w:r>
              <w:rPr>
                <w:rFonts w:hint="eastAsia"/>
                <w:color w:val="auto"/>
                <w:sz w:val="24"/>
              </w:rPr>
              <w:t>窑烧烟气全部用管道汇总至一座</w:t>
            </w:r>
            <w:r>
              <w:rPr>
                <w:rFonts w:hint="eastAsia"/>
                <w:color w:val="auto"/>
                <w:sz w:val="24"/>
                <w:lang w:eastAsia="zh-CN"/>
              </w:rPr>
              <w:t>石灰石膏法脱硫塔</w:t>
            </w:r>
            <w:r>
              <w:rPr>
                <w:rFonts w:hint="eastAsia"/>
                <w:color w:val="auto"/>
                <w:sz w:val="24"/>
              </w:rPr>
              <w:t>中处置，除尘脱硫后通过一根高50m的烟囱排放。本次改扩建后全厂总烟气量为</w:t>
            </w:r>
            <w:r>
              <w:rPr>
                <w:rFonts w:hint="eastAsia"/>
                <w:color w:val="auto"/>
                <w:sz w:val="24"/>
                <w:lang w:val="en-US" w:eastAsia="zh-CN"/>
              </w:rPr>
              <w:t>25874</w:t>
            </w:r>
            <w:r>
              <w:rPr>
                <w:rFonts w:hint="eastAsia"/>
                <w:color w:val="auto"/>
                <w:sz w:val="24"/>
              </w:rPr>
              <w:t>万m</w:t>
            </w:r>
            <w:r>
              <w:rPr>
                <w:rFonts w:hint="eastAsia"/>
                <w:color w:val="auto"/>
                <w:sz w:val="24"/>
                <w:vertAlign w:val="superscript"/>
              </w:rPr>
              <w:t>3</w:t>
            </w:r>
            <w:r>
              <w:rPr>
                <w:rFonts w:hint="eastAsia"/>
                <w:color w:val="auto"/>
                <w:sz w:val="24"/>
              </w:rPr>
              <w:t>/a，烟气处理总用水量为1800m</w:t>
            </w:r>
            <w:r>
              <w:rPr>
                <w:rFonts w:hint="eastAsia"/>
                <w:color w:val="auto"/>
                <w:sz w:val="24"/>
                <w:vertAlign w:val="superscript"/>
              </w:rPr>
              <w:t>3</w:t>
            </w:r>
            <w:r>
              <w:rPr>
                <w:rFonts w:hint="eastAsia"/>
                <w:color w:val="auto"/>
                <w:sz w:val="24"/>
              </w:rPr>
              <w:t>/d、54万m</w:t>
            </w:r>
            <w:r>
              <w:rPr>
                <w:rFonts w:hint="eastAsia"/>
                <w:color w:val="auto"/>
                <w:sz w:val="24"/>
                <w:vertAlign w:val="superscript"/>
              </w:rPr>
              <w:t>3</w:t>
            </w:r>
            <w:r>
              <w:rPr>
                <w:rFonts w:hint="eastAsia"/>
                <w:color w:val="auto"/>
                <w:sz w:val="24"/>
              </w:rPr>
              <w:t>/a。烟气带走的水量为4~5</w:t>
            </w:r>
            <w:r>
              <w:rPr>
                <w:color w:val="auto"/>
                <w:sz w:val="24"/>
              </w:rPr>
              <w:t>g/m</w:t>
            </w:r>
            <w:r>
              <w:rPr>
                <w:color w:val="auto"/>
                <w:sz w:val="24"/>
                <w:vertAlign w:val="superscript"/>
              </w:rPr>
              <w:t>3</w:t>
            </w:r>
            <w:r>
              <w:rPr>
                <w:rFonts w:hint="eastAsia"/>
                <w:color w:val="auto"/>
                <w:sz w:val="24"/>
              </w:rPr>
              <w:t>、3.6t</w:t>
            </w:r>
            <w:r>
              <w:rPr>
                <w:color w:val="auto"/>
                <w:sz w:val="24"/>
              </w:rPr>
              <w:t>/d</w:t>
            </w:r>
            <w:r>
              <w:rPr>
                <w:rFonts w:hint="eastAsia"/>
                <w:color w:val="auto"/>
                <w:sz w:val="24"/>
              </w:rPr>
              <w:t>、1080t/a。烟气处理废水过滤时带走水量为0.2m</w:t>
            </w:r>
            <w:r>
              <w:rPr>
                <w:rFonts w:hint="eastAsia"/>
                <w:color w:val="auto"/>
                <w:sz w:val="24"/>
                <w:vertAlign w:val="superscript"/>
              </w:rPr>
              <w:t>3</w:t>
            </w:r>
            <w:r>
              <w:rPr>
                <w:rFonts w:hint="eastAsia"/>
                <w:color w:val="auto"/>
                <w:sz w:val="24"/>
              </w:rPr>
              <w:t>/d。损耗水由新鲜水补充，其余部分进入再生池加碳酸钙再生循环使用，不外排。</w:t>
            </w:r>
          </w:p>
          <w:p>
            <w:pPr>
              <w:widowControl/>
              <w:spacing w:line="360" w:lineRule="auto"/>
              <w:ind w:firstLine="480" w:firstLineChars="200"/>
              <w:jc w:val="left"/>
              <w:rPr>
                <w:bCs/>
                <w:color w:val="auto"/>
                <w:sz w:val="24"/>
              </w:rPr>
            </w:pPr>
            <w:r>
              <w:rPr>
                <w:rFonts w:hint="eastAsia"/>
                <w:bCs/>
                <w:color w:val="auto"/>
                <w:sz w:val="24"/>
              </w:rPr>
              <w:t>③生活污水</w:t>
            </w:r>
          </w:p>
          <w:p>
            <w:pPr>
              <w:widowControl/>
              <w:spacing w:line="360" w:lineRule="auto"/>
              <w:ind w:firstLine="480" w:firstLineChars="200"/>
              <w:jc w:val="left"/>
              <w:rPr>
                <w:color w:val="auto"/>
                <w:kern w:val="0"/>
                <w:sz w:val="24"/>
                <w:lang w:bidi="ar"/>
              </w:rPr>
            </w:pPr>
            <w:r>
              <w:rPr>
                <w:color w:val="auto"/>
                <w:kern w:val="0"/>
                <w:sz w:val="24"/>
                <w:lang w:bidi="ar"/>
              </w:rPr>
              <w:t>本次改扩建不新增员工</w:t>
            </w:r>
            <w:r>
              <w:rPr>
                <w:rFonts w:hint="eastAsia"/>
                <w:color w:val="auto"/>
                <w:kern w:val="0"/>
                <w:sz w:val="24"/>
                <w:lang w:bidi="ar"/>
              </w:rPr>
              <w:t>，</w:t>
            </w:r>
            <w:r>
              <w:rPr>
                <w:color w:val="auto"/>
                <w:kern w:val="0"/>
                <w:sz w:val="24"/>
                <w:lang w:bidi="ar"/>
              </w:rPr>
              <w:t>故不新增生活污水</w:t>
            </w:r>
            <w:r>
              <w:rPr>
                <w:rFonts w:hint="eastAsia"/>
                <w:color w:val="auto"/>
                <w:kern w:val="0"/>
                <w:sz w:val="24"/>
                <w:lang w:bidi="ar"/>
              </w:rPr>
              <w:t>。</w:t>
            </w:r>
            <w:r>
              <w:rPr>
                <w:color w:val="auto"/>
                <w:kern w:val="0"/>
                <w:sz w:val="24"/>
                <w:lang w:bidi="ar"/>
              </w:rPr>
              <w:t>根据原有项目实际情况，厂区共有员工80人，其中10人在厂区食宿，</w:t>
            </w:r>
            <w:r>
              <w:rPr>
                <w:rFonts w:hint="eastAsia"/>
                <w:color w:val="auto"/>
                <w:kern w:val="0"/>
                <w:sz w:val="24"/>
                <w:lang w:bidi="ar"/>
              </w:rPr>
              <w:t>项目10名在厂区食宿员工用水量为110L/d，其余70人用水量为</w:t>
            </w:r>
            <w:r>
              <w:rPr>
                <w:color w:val="auto"/>
                <w:kern w:val="0"/>
                <w:sz w:val="24"/>
                <w:lang w:bidi="ar"/>
              </w:rPr>
              <w:t>10 L/d、则全厂日用水量为1.8m</w:t>
            </w:r>
            <w:r>
              <w:rPr>
                <w:color w:val="auto"/>
                <w:kern w:val="0"/>
                <w:sz w:val="24"/>
                <w:vertAlign w:val="superscript"/>
                <w:lang w:bidi="ar"/>
              </w:rPr>
              <w:t>3</w:t>
            </w:r>
            <w:r>
              <w:rPr>
                <w:color w:val="auto"/>
                <w:kern w:val="0"/>
                <w:sz w:val="24"/>
                <w:lang w:bidi="ar"/>
              </w:rPr>
              <w:t>/d，废水产生量为1.44 m</w:t>
            </w:r>
            <w:r>
              <w:rPr>
                <w:color w:val="auto"/>
                <w:kern w:val="0"/>
                <w:sz w:val="24"/>
                <w:vertAlign w:val="superscript"/>
                <w:lang w:bidi="ar"/>
              </w:rPr>
              <w:t>3</w:t>
            </w:r>
            <w:r>
              <w:rPr>
                <w:color w:val="auto"/>
                <w:kern w:val="0"/>
                <w:sz w:val="24"/>
                <w:lang w:bidi="ar"/>
              </w:rPr>
              <w:t>/d。</w:t>
            </w:r>
            <w:r>
              <w:rPr>
                <w:rFonts w:hint="eastAsia"/>
                <w:color w:val="auto"/>
                <w:kern w:val="0"/>
                <w:sz w:val="24"/>
                <w:lang w:bidi="ar"/>
              </w:rPr>
              <w:t>餐饮废水经隔油池处理后，与其他生活污水一同经化粪池处理后排入园区污水管网，最终排入宜良工业园区污水处理厂处理。</w:t>
            </w:r>
          </w:p>
          <w:p>
            <w:pPr>
              <w:widowControl/>
              <w:spacing w:line="360" w:lineRule="auto"/>
              <w:ind w:firstLine="480" w:firstLineChars="200"/>
              <w:jc w:val="left"/>
              <w:rPr>
                <w:bCs/>
                <w:color w:val="auto"/>
                <w:sz w:val="24"/>
              </w:rPr>
            </w:pPr>
            <w:r>
              <w:rPr>
                <w:rFonts w:hint="eastAsia"/>
                <w:bCs/>
                <w:color w:val="auto"/>
                <w:sz w:val="24"/>
              </w:rPr>
              <w:t>④实验室废水</w:t>
            </w:r>
          </w:p>
          <w:p>
            <w:pPr>
              <w:widowControl/>
              <w:spacing w:line="360" w:lineRule="auto"/>
              <w:ind w:firstLine="480" w:firstLineChars="200"/>
              <w:rPr>
                <w:color w:val="auto"/>
                <w:kern w:val="0"/>
                <w:sz w:val="24"/>
                <w:lang w:bidi="ar"/>
              </w:rPr>
            </w:pPr>
            <w:r>
              <w:rPr>
                <w:rFonts w:hint="eastAsia"/>
                <w:bCs/>
                <w:color w:val="auto"/>
                <w:sz w:val="24"/>
              </w:rPr>
              <w:t>本项目实验室主要进行</w:t>
            </w:r>
            <w:r>
              <w:rPr>
                <w:color w:val="auto"/>
                <w:kern w:val="0"/>
                <w:sz w:val="24"/>
                <w:lang w:bidi="ar"/>
              </w:rPr>
              <w:t>耐火砖的硬度</w:t>
            </w:r>
            <w:r>
              <w:rPr>
                <w:rFonts w:hint="eastAsia"/>
                <w:color w:val="auto"/>
                <w:kern w:val="0"/>
                <w:sz w:val="24"/>
                <w:lang w:bidi="ar"/>
              </w:rPr>
              <w:t>、</w:t>
            </w:r>
            <w:r>
              <w:rPr>
                <w:color w:val="auto"/>
                <w:kern w:val="0"/>
                <w:sz w:val="24"/>
                <w:lang w:bidi="ar"/>
              </w:rPr>
              <w:t>耐热度试验</w:t>
            </w:r>
            <w:r>
              <w:rPr>
                <w:rFonts w:hint="eastAsia"/>
                <w:color w:val="auto"/>
                <w:kern w:val="0"/>
                <w:sz w:val="24"/>
                <w:lang w:bidi="ar"/>
              </w:rPr>
              <w:t>以及</w:t>
            </w:r>
            <w:r>
              <w:rPr>
                <w:color w:val="auto"/>
                <w:kern w:val="0"/>
                <w:sz w:val="24"/>
                <w:lang w:bidi="ar"/>
              </w:rPr>
              <w:t>检验原料</w:t>
            </w:r>
            <w:r>
              <w:rPr>
                <w:rFonts w:hint="eastAsia"/>
                <w:color w:val="auto"/>
                <w:kern w:val="0"/>
                <w:sz w:val="24"/>
                <w:lang w:bidi="ar"/>
              </w:rPr>
              <w:t>、</w:t>
            </w:r>
            <w:r>
              <w:rPr>
                <w:color w:val="auto"/>
                <w:kern w:val="0"/>
                <w:sz w:val="24"/>
                <w:lang w:bidi="ar"/>
              </w:rPr>
              <w:t>成品中耐火成分含量</w:t>
            </w:r>
            <w:r>
              <w:rPr>
                <w:rFonts w:hint="eastAsia"/>
                <w:color w:val="auto"/>
                <w:kern w:val="0"/>
                <w:sz w:val="24"/>
                <w:lang w:bidi="ar"/>
              </w:rPr>
              <w:t>。</w:t>
            </w:r>
            <w:r>
              <w:rPr>
                <w:color w:val="auto"/>
                <w:kern w:val="0"/>
                <w:sz w:val="24"/>
                <w:lang w:bidi="ar"/>
              </w:rPr>
              <w:t>实验室废水主要为仪器清洗废水</w:t>
            </w:r>
            <w:r>
              <w:rPr>
                <w:rFonts w:hint="eastAsia"/>
                <w:color w:val="auto"/>
                <w:kern w:val="0"/>
                <w:sz w:val="24"/>
                <w:lang w:bidi="ar"/>
              </w:rPr>
              <w:t>，</w:t>
            </w:r>
            <w:r>
              <w:rPr>
                <w:color w:val="auto"/>
                <w:kern w:val="0"/>
                <w:sz w:val="24"/>
                <w:lang w:bidi="ar"/>
              </w:rPr>
              <w:t>主要污染</w:t>
            </w:r>
            <w:r>
              <w:rPr>
                <w:rFonts w:hint="eastAsia"/>
                <w:color w:val="auto"/>
                <w:kern w:val="0"/>
                <w:sz w:val="24"/>
                <w:lang w:bidi="ar"/>
              </w:rPr>
              <w:t>因子</w:t>
            </w:r>
            <w:r>
              <w:rPr>
                <w:color w:val="auto"/>
                <w:kern w:val="0"/>
                <w:sz w:val="24"/>
                <w:lang w:bidi="ar"/>
              </w:rPr>
              <w:t>为</w:t>
            </w:r>
            <w:r>
              <w:rPr>
                <w:rFonts w:hint="eastAsia"/>
                <w:color w:val="auto"/>
                <w:kern w:val="0"/>
                <w:sz w:val="24"/>
                <w:lang w:bidi="ar"/>
              </w:rPr>
              <w:t>SS、酸和碱等。原有项目实验室年用水量为0.1t/d、30t/a，改扩建项目实验室用水量为0.15t/d、45t/a，产污系数以0.8计，则原有项目实验废水产生量为0.08t/d、24t/a，改扩建项目实验废水产生量为0.12t/d、36t/a。</w:t>
            </w:r>
            <w:r>
              <w:rPr>
                <w:rFonts w:hint="eastAsia"/>
                <w:bCs/>
                <w:color w:val="auto"/>
                <w:sz w:val="24"/>
              </w:rPr>
              <w:t>经中和池酸碱调节为中性后排入化粪池与生活污水一并处理后再</w:t>
            </w:r>
            <w:r>
              <w:rPr>
                <w:rFonts w:hint="eastAsia"/>
                <w:color w:val="auto"/>
                <w:kern w:val="0"/>
                <w:sz w:val="24"/>
                <w:lang w:bidi="ar"/>
              </w:rPr>
              <w:t>排入园区污水管网，最终进入宜良工业园区污水处理厂处理</w:t>
            </w:r>
            <w:r>
              <w:rPr>
                <w:rFonts w:hint="eastAsia"/>
                <w:bCs/>
                <w:color w:val="auto"/>
                <w:sz w:val="24"/>
              </w:rPr>
              <w:t>。</w:t>
            </w:r>
          </w:p>
          <w:p>
            <w:pPr>
              <w:pStyle w:val="47"/>
              <w:adjustRightInd w:val="0"/>
              <w:snapToGrid w:val="0"/>
              <w:ind w:firstLine="480" w:firstLineChars="200"/>
              <w:outlineLvl w:val="2"/>
              <w:rPr>
                <w:color w:val="auto"/>
                <w:szCs w:val="24"/>
              </w:rPr>
            </w:pPr>
            <w:r>
              <w:rPr>
                <w:rFonts w:hint="eastAsia"/>
                <w:color w:val="auto"/>
                <w:szCs w:val="24"/>
              </w:rPr>
              <w:t>⑤初期雨水</w:t>
            </w:r>
          </w:p>
          <w:p>
            <w:pPr>
              <w:pStyle w:val="8"/>
              <w:tabs>
                <w:tab w:val="left" w:pos="5220"/>
              </w:tabs>
              <w:spacing w:before="0" w:after="0" w:line="360" w:lineRule="auto"/>
              <w:ind w:right="0" w:firstLine="482"/>
              <w:outlineLvl w:val="2"/>
              <w:rPr>
                <w:color w:val="auto"/>
                <w:sz w:val="24"/>
                <w:szCs w:val="24"/>
              </w:rPr>
            </w:pPr>
            <w:r>
              <w:rPr>
                <w:rFonts w:hint="eastAsia"/>
                <w:color w:val="auto"/>
                <w:sz w:val="24"/>
                <w:szCs w:val="24"/>
              </w:rPr>
              <w:t>根据《建筑与小区雨水控制及利用工程技术规范》（GB50400-2016）5.3.4规定：初期径流气流量应按照下垫面实测收集雨水的CODcr、SS、色度等污染物浓度确定。当无资料时，地面弃流可采用3mm~5mm。初期径流弃流量用下式计算：</w:t>
            </w:r>
          </w:p>
          <w:p>
            <w:pPr>
              <w:pStyle w:val="8"/>
              <w:tabs>
                <w:tab w:val="left" w:pos="5220"/>
              </w:tabs>
              <w:spacing w:before="0" w:after="0" w:line="360" w:lineRule="auto"/>
              <w:ind w:right="0"/>
              <w:outlineLvl w:val="2"/>
              <w:rPr>
                <w:color w:val="auto"/>
                <w:sz w:val="24"/>
                <w:szCs w:val="24"/>
              </w:rPr>
            </w:pPr>
            <m:oMathPara>
              <m:oMath>
                <m:sSub>
                  <m:sSubPr>
                    <m:ctrlPr>
                      <w:rPr>
                        <w:rFonts w:ascii="Cambria Math" w:hAnsi="Cambria Math"/>
                        <w:color w:val="auto"/>
                        <w:sz w:val="24"/>
                        <w:szCs w:val="24"/>
                      </w:rPr>
                    </m:ctrlPr>
                  </m:sSubPr>
                  <m:e>
                    <m:r>
                      <m:rPr/>
                      <w:rPr>
                        <w:rFonts w:ascii="Cambria Math" w:hAnsi="Cambria Math"/>
                        <w:color w:val="auto"/>
                        <w:sz w:val="24"/>
                        <w:szCs w:val="24"/>
                      </w:rPr>
                      <m:t>W</m:t>
                    </m:r>
                    <m:ctrlPr>
                      <w:rPr>
                        <w:rFonts w:ascii="Cambria Math" w:hAnsi="Cambria Math"/>
                        <w:color w:val="auto"/>
                        <w:sz w:val="24"/>
                        <w:szCs w:val="24"/>
                      </w:rPr>
                    </m:ctrlPr>
                  </m:e>
                  <m:sub>
                    <m:r>
                      <m:rPr/>
                      <w:rPr>
                        <w:rFonts w:ascii="Cambria Math" w:hAnsi="Cambria Math"/>
                        <w:color w:val="auto"/>
                        <w:sz w:val="24"/>
                        <w:szCs w:val="24"/>
                      </w:rPr>
                      <m:t>i</m:t>
                    </m:r>
                    <m:ctrlPr>
                      <w:rPr>
                        <w:rFonts w:ascii="Cambria Math" w:hAnsi="Cambria Math"/>
                        <w:color w:val="auto"/>
                        <w:sz w:val="24"/>
                        <w:szCs w:val="24"/>
                      </w:rPr>
                    </m:ctrlPr>
                  </m:sub>
                </m:sSub>
                <m:r>
                  <m:rPr/>
                  <w:rPr>
                    <w:rFonts w:hint="eastAsia" w:ascii="Cambria Math" w:hAnsi="Cambria Math"/>
                    <w:color w:val="auto"/>
                    <w:sz w:val="24"/>
                    <w:szCs w:val="24"/>
                  </w:rPr>
                  <m:t>=</m:t>
                </m:r>
                <m:r>
                  <m:rPr/>
                  <w:rPr>
                    <w:rFonts w:ascii="Cambria Math" w:hAnsi="Cambria Math"/>
                    <w:color w:val="auto"/>
                    <w:sz w:val="24"/>
                    <w:szCs w:val="24"/>
                  </w:rPr>
                  <m:t>10×</m:t>
                </m:r>
                <m:r>
                  <m:rPr/>
                  <w:rPr>
                    <w:rFonts w:hint="eastAsia" w:ascii="Cambria Math" w:hAnsi="Cambria Math"/>
                    <w:color w:val="auto"/>
                    <w:sz w:val="24"/>
                    <w:szCs w:val="24"/>
                  </w:rPr>
                  <m:t>δ</m:t>
                </m:r>
                <m:r>
                  <m:rPr/>
                  <w:rPr>
                    <w:rFonts w:ascii="Cambria Math" w:hAnsi="Cambria Math"/>
                    <w:color w:val="auto"/>
                    <w:sz w:val="24"/>
                    <w:szCs w:val="24"/>
                  </w:rPr>
                  <m:t>×F</m:t>
                </m:r>
              </m:oMath>
            </m:oMathPara>
          </w:p>
          <w:p>
            <w:pPr>
              <w:pStyle w:val="8"/>
              <w:tabs>
                <w:tab w:val="left" w:pos="5220"/>
              </w:tabs>
              <w:spacing w:before="0" w:after="0" w:line="360" w:lineRule="auto"/>
              <w:ind w:right="0" w:firstLine="482"/>
              <w:outlineLvl w:val="2"/>
              <w:rPr>
                <w:color w:val="auto"/>
                <w:sz w:val="24"/>
                <w:szCs w:val="24"/>
              </w:rPr>
            </w:pPr>
            <w:r>
              <w:rPr>
                <w:rFonts w:hint="eastAsia"/>
                <w:color w:val="auto"/>
                <w:sz w:val="24"/>
                <w:szCs w:val="24"/>
              </w:rPr>
              <w:t>式中：W</w:t>
            </w:r>
            <w:r>
              <w:rPr>
                <w:rFonts w:hint="eastAsia"/>
                <w:color w:val="auto"/>
                <w:sz w:val="24"/>
                <w:szCs w:val="24"/>
                <w:vertAlign w:val="subscript"/>
              </w:rPr>
              <w:t>i</w:t>
            </w:r>
            <w:r>
              <w:rPr>
                <w:rFonts w:hint="eastAsia"/>
                <w:color w:val="auto"/>
                <w:sz w:val="24"/>
                <w:szCs w:val="24"/>
              </w:rPr>
              <w:t>—初期径流弃流量，m</w:t>
            </w:r>
            <w:r>
              <w:rPr>
                <w:rFonts w:hint="eastAsia"/>
                <w:color w:val="auto"/>
                <w:sz w:val="24"/>
                <w:szCs w:val="24"/>
                <w:vertAlign w:val="superscript"/>
              </w:rPr>
              <w:t>3</w:t>
            </w:r>
            <w:r>
              <w:rPr>
                <w:rFonts w:hint="eastAsia"/>
                <w:color w:val="auto"/>
                <w:sz w:val="24"/>
                <w:szCs w:val="24"/>
              </w:rPr>
              <w:t>；</w:t>
            </w:r>
          </w:p>
          <w:p>
            <w:pPr>
              <w:pStyle w:val="8"/>
              <w:tabs>
                <w:tab w:val="left" w:pos="5220"/>
              </w:tabs>
              <w:spacing w:before="0" w:after="0" w:line="360" w:lineRule="auto"/>
              <w:ind w:right="0" w:firstLine="482"/>
              <w:outlineLvl w:val="2"/>
              <w:rPr>
                <w:color w:val="auto"/>
                <w:sz w:val="24"/>
                <w:szCs w:val="24"/>
              </w:rPr>
            </w:pPr>
            <w:r>
              <w:rPr>
                <w:rFonts w:hint="eastAsia"/>
                <w:color w:val="auto"/>
                <w:sz w:val="24"/>
                <w:szCs w:val="24"/>
              </w:rPr>
              <w:t xml:space="preserve">      δ—初期径流弃流厚度，mm；</w:t>
            </w:r>
          </w:p>
          <w:p>
            <w:pPr>
              <w:pStyle w:val="8"/>
              <w:tabs>
                <w:tab w:val="left" w:pos="5220"/>
              </w:tabs>
              <w:spacing w:before="0" w:after="0" w:line="360" w:lineRule="auto"/>
              <w:ind w:right="0" w:firstLine="482"/>
              <w:outlineLvl w:val="2"/>
              <w:rPr>
                <w:color w:val="auto"/>
                <w:sz w:val="24"/>
                <w:szCs w:val="24"/>
              </w:rPr>
            </w:pPr>
            <w:r>
              <w:rPr>
                <w:rFonts w:hint="eastAsia"/>
                <w:color w:val="auto"/>
                <w:sz w:val="24"/>
                <w:szCs w:val="24"/>
              </w:rPr>
              <w:t xml:space="preserve">       F—汇水面积，hm</w:t>
            </w:r>
            <w:r>
              <w:rPr>
                <w:rFonts w:hint="eastAsia"/>
                <w:color w:val="auto"/>
                <w:sz w:val="24"/>
                <w:szCs w:val="24"/>
                <w:vertAlign w:val="superscript"/>
              </w:rPr>
              <w:t>2</w:t>
            </w:r>
            <w:r>
              <w:rPr>
                <w:rFonts w:hint="eastAsia"/>
                <w:color w:val="auto"/>
                <w:sz w:val="24"/>
                <w:szCs w:val="24"/>
              </w:rPr>
              <w:t>。</w:t>
            </w:r>
          </w:p>
          <w:p>
            <w:pPr>
              <w:pStyle w:val="47"/>
              <w:adjustRightInd w:val="0"/>
              <w:snapToGrid w:val="0"/>
              <w:ind w:firstLine="480" w:firstLineChars="200"/>
              <w:outlineLvl w:val="2"/>
              <w:rPr>
                <w:color w:val="auto"/>
                <w:szCs w:val="24"/>
              </w:rPr>
            </w:pPr>
            <w:r>
              <w:rPr>
                <w:rFonts w:hint="eastAsia"/>
                <w:color w:val="auto"/>
                <w:szCs w:val="24"/>
              </w:rPr>
              <w:t>项目改扩建完成后，新建1座占地面积为4500m</w:t>
            </w:r>
            <w:r>
              <w:rPr>
                <w:rFonts w:hint="eastAsia"/>
                <w:color w:val="auto"/>
                <w:szCs w:val="24"/>
                <w:vertAlign w:val="superscript"/>
              </w:rPr>
              <w:t>2</w:t>
            </w:r>
            <w:r>
              <w:rPr>
                <w:rFonts w:hint="eastAsia"/>
                <w:color w:val="auto"/>
                <w:szCs w:val="24"/>
              </w:rPr>
              <w:t>的原料堆棚，生产区露天地表面积减小为5743.45 m</w:t>
            </w:r>
            <w:r>
              <w:rPr>
                <w:rFonts w:hint="eastAsia"/>
                <w:color w:val="auto"/>
                <w:szCs w:val="24"/>
                <w:vertAlign w:val="superscript"/>
              </w:rPr>
              <w:t>2</w:t>
            </w:r>
            <w:r>
              <w:rPr>
                <w:rFonts w:hint="eastAsia"/>
                <w:color w:val="auto"/>
                <w:szCs w:val="24"/>
              </w:rPr>
              <w:t>（0.57hn</w:t>
            </w:r>
            <w:r>
              <w:rPr>
                <w:rFonts w:hint="eastAsia"/>
                <w:color w:val="auto"/>
                <w:szCs w:val="24"/>
                <w:vertAlign w:val="superscript"/>
              </w:rPr>
              <w:t>2</w:t>
            </w:r>
            <w:r>
              <w:rPr>
                <w:rFonts w:hint="eastAsia"/>
                <w:color w:val="auto"/>
                <w:szCs w:val="24"/>
              </w:rPr>
              <w:t>）。按照公式计算，改扩建完成后项目初期径流弃流量为17.1m</w:t>
            </w:r>
            <w:r>
              <w:rPr>
                <w:rFonts w:hint="eastAsia"/>
                <w:color w:val="auto"/>
                <w:szCs w:val="24"/>
                <w:vertAlign w:val="superscript"/>
              </w:rPr>
              <w:t>3</w:t>
            </w:r>
            <w:r>
              <w:rPr>
                <w:rFonts w:hint="eastAsia"/>
                <w:color w:val="auto"/>
                <w:szCs w:val="24"/>
              </w:rPr>
              <w:t>。项目所在地雨季天数为150天，则初期径流弃流量为2565m</w:t>
            </w:r>
            <w:r>
              <w:rPr>
                <w:rFonts w:hint="eastAsia"/>
                <w:color w:val="auto"/>
                <w:szCs w:val="24"/>
                <w:vertAlign w:val="superscript"/>
              </w:rPr>
              <w:t>3</w:t>
            </w:r>
            <w:r>
              <w:rPr>
                <w:rFonts w:hint="eastAsia"/>
                <w:color w:val="auto"/>
                <w:szCs w:val="24"/>
              </w:rPr>
              <w:t>/a。主要污染物为SS。环评要求建设一座容积为200m</w:t>
            </w:r>
            <w:r>
              <w:rPr>
                <w:rFonts w:hint="eastAsia"/>
                <w:color w:val="auto"/>
                <w:szCs w:val="24"/>
                <w:vertAlign w:val="superscript"/>
              </w:rPr>
              <w:t>2</w:t>
            </w:r>
            <w:r>
              <w:rPr>
                <w:rFonts w:hint="eastAsia"/>
                <w:color w:val="auto"/>
                <w:szCs w:val="24"/>
              </w:rPr>
              <w:t>的初期雨水池对项目生产区露天地面的初期径流进行收集沉淀处理，沉淀后的初期雨水回用于生产，不外排。</w:t>
            </w:r>
          </w:p>
          <w:p>
            <w:pPr>
              <w:pStyle w:val="47"/>
              <w:adjustRightInd w:val="0"/>
              <w:snapToGrid w:val="0"/>
              <w:ind w:firstLine="480" w:firstLineChars="200"/>
              <w:outlineLvl w:val="2"/>
              <w:rPr>
                <w:color w:val="auto"/>
                <w:szCs w:val="24"/>
              </w:rPr>
            </w:pPr>
            <w:r>
              <w:rPr>
                <w:rFonts w:hint="eastAsia"/>
                <w:color w:val="auto"/>
                <w:szCs w:val="24"/>
              </w:rPr>
              <w:t>（2）废水处置可行性分析</w:t>
            </w:r>
          </w:p>
          <w:p>
            <w:pPr>
              <w:widowControl/>
              <w:spacing w:line="360" w:lineRule="auto"/>
              <w:ind w:firstLine="480" w:firstLineChars="200"/>
              <w:jc w:val="left"/>
              <w:rPr>
                <w:color w:val="auto"/>
                <w:kern w:val="0"/>
                <w:sz w:val="24"/>
                <w:lang w:bidi="ar"/>
              </w:rPr>
            </w:pPr>
            <w:r>
              <w:rPr>
                <w:rFonts w:hint="eastAsia"/>
                <w:color w:val="auto"/>
                <w:kern w:val="0"/>
                <w:sz w:val="24"/>
                <w:lang w:bidi="ar"/>
              </w:rPr>
              <w:t>1）污水排入污水处理厂可行性分析</w:t>
            </w:r>
          </w:p>
          <w:p>
            <w:pPr>
              <w:widowControl/>
              <w:spacing w:line="360" w:lineRule="auto"/>
              <w:ind w:firstLine="480" w:firstLineChars="200"/>
              <w:jc w:val="left"/>
              <w:rPr>
                <w:color w:val="auto"/>
                <w:kern w:val="0"/>
                <w:sz w:val="24"/>
                <w:lang w:bidi="ar"/>
              </w:rPr>
            </w:pPr>
            <w:r>
              <w:rPr>
                <w:rFonts w:hint="eastAsia"/>
                <w:color w:val="auto"/>
                <w:kern w:val="0"/>
                <w:sz w:val="24"/>
                <w:lang w:bidi="ar"/>
              </w:rPr>
              <w:t>①宜良工业园区污水处理厂基本情况</w:t>
            </w:r>
          </w:p>
          <w:p>
            <w:pPr>
              <w:widowControl/>
              <w:spacing w:line="360" w:lineRule="auto"/>
              <w:ind w:firstLine="480" w:firstLineChars="200"/>
              <w:jc w:val="left"/>
              <w:rPr>
                <w:color w:val="auto"/>
                <w:kern w:val="0"/>
                <w:sz w:val="24"/>
                <w:lang w:bidi="ar"/>
              </w:rPr>
            </w:pPr>
            <w:r>
              <w:rPr>
                <w:rFonts w:hint="eastAsia"/>
                <w:color w:val="auto"/>
                <w:kern w:val="0"/>
                <w:sz w:val="24"/>
                <w:lang w:bidi="ar"/>
              </w:rPr>
              <w:t>根据《宜良工业园区污水处理厂及配套管网工程建设项目环境影响报告表》，宜良工业园区污水处理厂位于宜良工业园区北古城片区先觉村。近期（2020年）处理规模为0.5万m</w:t>
            </w:r>
            <w:r>
              <w:rPr>
                <w:rFonts w:hint="eastAsia"/>
                <w:color w:val="auto"/>
                <w:kern w:val="0"/>
                <w:sz w:val="24"/>
                <w:vertAlign w:val="superscript"/>
                <w:lang w:bidi="ar"/>
              </w:rPr>
              <w:t>3</w:t>
            </w:r>
            <w:r>
              <w:rPr>
                <w:rFonts w:hint="eastAsia"/>
                <w:color w:val="auto"/>
                <w:kern w:val="0"/>
                <w:sz w:val="24"/>
                <w:lang w:bidi="ar"/>
              </w:rPr>
              <w:t>/d，远期（2030年）处理规模为2.0万m</w:t>
            </w:r>
            <w:r>
              <w:rPr>
                <w:rFonts w:hint="eastAsia"/>
                <w:color w:val="auto"/>
                <w:kern w:val="0"/>
                <w:sz w:val="24"/>
                <w:vertAlign w:val="superscript"/>
                <w:lang w:bidi="ar"/>
              </w:rPr>
              <w:t>3</w:t>
            </w:r>
            <w:r>
              <w:rPr>
                <w:rFonts w:hint="eastAsia"/>
                <w:color w:val="auto"/>
                <w:kern w:val="0"/>
                <w:sz w:val="24"/>
                <w:lang w:bidi="ar"/>
              </w:rPr>
              <w:t>/d。采用A2O反应池+二沉池+混合反应沉淀池+V型滤池一体工艺，尾水排放标准为《城镇污水处理厂污染物排放标准》一级A标。主要服务范围为板材、建材加工基地。本项目位于宜良工业园区北古城片区建材加工片区内，在污水处理厂纳污范围内。</w:t>
            </w:r>
          </w:p>
          <w:p>
            <w:pPr>
              <w:widowControl/>
              <w:spacing w:line="360" w:lineRule="auto"/>
              <w:ind w:firstLine="480" w:firstLineChars="200"/>
              <w:jc w:val="left"/>
              <w:rPr>
                <w:color w:val="auto"/>
                <w:kern w:val="0"/>
                <w:sz w:val="24"/>
                <w:lang w:bidi="ar"/>
              </w:rPr>
            </w:pPr>
            <w:r>
              <w:rPr>
                <w:rFonts w:hint="eastAsia"/>
                <w:color w:val="auto"/>
                <w:kern w:val="0"/>
                <w:sz w:val="24"/>
                <w:lang w:bidi="ar"/>
              </w:rPr>
              <w:t>②水质、水量可行性分析</w:t>
            </w:r>
          </w:p>
          <w:p>
            <w:pPr>
              <w:widowControl/>
              <w:spacing w:line="360" w:lineRule="auto"/>
              <w:ind w:firstLine="480" w:firstLineChars="200"/>
              <w:jc w:val="left"/>
              <w:rPr>
                <w:rFonts w:cs="宋体"/>
                <w:color w:val="auto"/>
                <w:sz w:val="24"/>
                <w:lang w:val="zh-CN"/>
              </w:rPr>
            </w:pPr>
            <w:r>
              <w:rPr>
                <w:rFonts w:hint="eastAsia"/>
                <w:color w:val="auto"/>
                <w:kern w:val="0"/>
                <w:sz w:val="24"/>
                <w:lang w:bidi="ar"/>
              </w:rPr>
              <w:t>本项目排入污水处理厂水量为1.52m</w:t>
            </w:r>
            <w:r>
              <w:rPr>
                <w:rFonts w:hint="eastAsia"/>
                <w:color w:val="auto"/>
                <w:kern w:val="0"/>
                <w:sz w:val="24"/>
                <w:vertAlign w:val="superscript"/>
                <w:lang w:bidi="ar"/>
              </w:rPr>
              <w:t>3</w:t>
            </w:r>
            <w:r>
              <w:rPr>
                <w:rFonts w:hint="eastAsia"/>
                <w:color w:val="auto"/>
                <w:kern w:val="0"/>
                <w:sz w:val="24"/>
                <w:lang w:bidi="ar"/>
              </w:rPr>
              <w:t>/d，为中和处理后的酸碱废水和生活污水。主要污染因子为</w:t>
            </w:r>
            <w:r>
              <w:rPr>
                <w:rFonts w:cs="宋体"/>
                <w:color w:val="auto"/>
                <w:sz w:val="24"/>
              </w:rPr>
              <w:t>COD、BOD</w:t>
            </w:r>
            <w:r>
              <w:rPr>
                <w:rFonts w:cs="宋体"/>
                <w:color w:val="auto"/>
                <w:sz w:val="24"/>
                <w:vertAlign w:val="subscript"/>
              </w:rPr>
              <w:t>5</w:t>
            </w:r>
            <w:r>
              <w:rPr>
                <w:rFonts w:cs="宋体"/>
                <w:color w:val="auto"/>
                <w:sz w:val="24"/>
              </w:rPr>
              <w:t>、SS 350、氨氮</w:t>
            </w:r>
            <w:r>
              <w:rPr>
                <w:rFonts w:hint="eastAsia" w:cs="宋体"/>
                <w:color w:val="auto"/>
                <w:sz w:val="24"/>
              </w:rPr>
              <w:t>、</w:t>
            </w:r>
            <w:r>
              <w:rPr>
                <w:rFonts w:cs="宋体"/>
                <w:color w:val="auto"/>
                <w:sz w:val="24"/>
              </w:rPr>
              <w:t>总磷和动植物油等</w:t>
            </w:r>
            <w:r>
              <w:rPr>
                <w:rFonts w:hint="eastAsia" w:cs="宋体"/>
                <w:color w:val="auto"/>
                <w:sz w:val="24"/>
              </w:rPr>
              <w:t>。</w:t>
            </w:r>
            <w:r>
              <w:rPr>
                <w:rFonts w:cs="宋体"/>
                <w:color w:val="auto"/>
                <w:sz w:val="24"/>
              </w:rPr>
              <w:t>污染物浓度约为COD 450mg/L、BOD</w:t>
            </w:r>
            <w:r>
              <w:rPr>
                <w:rFonts w:cs="宋体"/>
                <w:color w:val="auto"/>
                <w:sz w:val="24"/>
                <w:vertAlign w:val="subscript"/>
              </w:rPr>
              <w:t>5</w:t>
            </w:r>
            <w:r>
              <w:rPr>
                <w:rFonts w:cs="宋体"/>
                <w:color w:val="auto"/>
                <w:sz w:val="24"/>
              </w:rPr>
              <w:t xml:space="preserve"> 250mg/L、SS 350mg/L、氨氮30mg/L</w:t>
            </w:r>
            <w:r>
              <w:rPr>
                <w:rFonts w:hint="eastAsia" w:cs="宋体"/>
                <w:color w:val="auto"/>
                <w:sz w:val="24"/>
              </w:rPr>
              <w:t>、</w:t>
            </w:r>
            <w:r>
              <w:rPr>
                <w:rFonts w:cs="宋体"/>
                <w:color w:val="auto"/>
                <w:sz w:val="24"/>
              </w:rPr>
              <w:t>总磷</w:t>
            </w:r>
            <w:r>
              <w:rPr>
                <w:rFonts w:hint="eastAsia" w:cs="宋体"/>
                <w:color w:val="auto"/>
                <w:sz w:val="24"/>
              </w:rPr>
              <w:t>5mg/L、动植物油85mg/L。水质能达到</w:t>
            </w:r>
            <w:r>
              <w:rPr>
                <w:rFonts w:cs="宋体"/>
                <w:color w:val="auto"/>
                <w:sz w:val="24"/>
                <w:lang w:val="zh-CN"/>
              </w:rPr>
              <w:t>《污水排入城镇下水道水质标准》（</w:t>
            </w:r>
            <w:r>
              <w:rPr>
                <w:rFonts w:hint="eastAsia" w:cs="宋体"/>
                <w:color w:val="auto"/>
                <w:sz w:val="24"/>
                <w:lang w:val="zh-CN"/>
              </w:rPr>
              <w:t>GB/T31962-2015</w:t>
            </w:r>
            <w:r>
              <w:rPr>
                <w:rFonts w:cs="宋体"/>
                <w:color w:val="auto"/>
                <w:sz w:val="24"/>
                <w:lang w:val="zh-CN"/>
              </w:rPr>
              <w:t>）</w:t>
            </w:r>
            <w:r>
              <w:rPr>
                <w:rFonts w:hint="eastAsia" w:cs="宋体"/>
                <w:color w:val="auto"/>
                <w:sz w:val="24"/>
                <w:lang w:val="zh-CN"/>
              </w:rPr>
              <w:t>A</w:t>
            </w:r>
            <w:r>
              <w:rPr>
                <w:rFonts w:cs="宋体"/>
                <w:color w:val="auto"/>
                <w:sz w:val="24"/>
                <w:lang w:val="zh-CN"/>
              </w:rPr>
              <w:t>级标准</w:t>
            </w:r>
            <w:r>
              <w:rPr>
                <w:rFonts w:hint="eastAsia" w:cs="宋体"/>
                <w:color w:val="auto"/>
                <w:sz w:val="24"/>
                <w:lang w:val="zh-CN"/>
              </w:rPr>
              <w:t>。</w:t>
            </w:r>
          </w:p>
          <w:p>
            <w:pPr>
              <w:widowControl/>
              <w:spacing w:line="360" w:lineRule="auto"/>
              <w:ind w:firstLine="480" w:firstLineChars="200"/>
              <w:jc w:val="left"/>
              <w:rPr>
                <w:color w:val="auto"/>
                <w:kern w:val="0"/>
                <w:sz w:val="24"/>
                <w:lang w:bidi="ar"/>
              </w:rPr>
            </w:pPr>
            <w:r>
              <w:rPr>
                <w:rFonts w:hint="eastAsia"/>
                <w:color w:val="auto"/>
                <w:kern w:val="0"/>
                <w:sz w:val="24"/>
                <w:lang w:bidi="ar"/>
              </w:rPr>
              <w:t>综上所述，本项目在园区纳污范围内，却排水量远小于园区污水处理厂处理规模，水质也能达到污水处理厂纳污标准。从水量、水质的角度分析，本项目实验室废水和生活污水经中和池、隔油池和化粪池处理后排入园区污水处理厂的方案是可行的。</w:t>
            </w:r>
          </w:p>
          <w:p>
            <w:pPr>
              <w:widowControl/>
              <w:spacing w:line="360" w:lineRule="auto"/>
              <w:ind w:firstLine="480" w:firstLineChars="200"/>
              <w:jc w:val="left"/>
              <w:rPr>
                <w:color w:val="auto"/>
                <w:kern w:val="0"/>
                <w:sz w:val="24"/>
                <w:lang w:bidi="ar"/>
              </w:rPr>
            </w:pPr>
            <w:r>
              <w:rPr>
                <w:rFonts w:hint="eastAsia"/>
                <w:color w:val="auto"/>
                <w:kern w:val="0"/>
                <w:sz w:val="24"/>
                <w:lang w:bidi="ar"/>
              </w:rPr>
              <w:t>③初期雨水不外排可行性</w:t>
            </w:r>
          </w:p>
          <w:p>
            <w:pPr>
              <w:widowControl/>
              <w:spacing w:line="360" w:lineRule="auto"/>
              <w:ind w:firstLine="480" w:firstLineChars="200"/>
              <w:jc w:val="left"/>
              <w:rPr>
                <w:color w:val="auto"/>
                <w:kern w:val="0"/>
                <w:sz w:val="24"/>
                <w:lang w:bidi="ar"/>
              </w:rPr>
            </w:pPr>
            <w:r>
              <w:rPr>
                <w:rFonts w:hint="eastAsia"/>
                <w:color w:val="auto"/>
                <w:kern w:val="0"/>
                <w:sz w:val="24"/>
                <w:lang w:bidi="ar"/>
              </w:rPr>
              <w:t>改扩建完成后，全厂初期雨水量为2565m</w:t>
            </w:r>
            <w:r>
              <w:rPr>
                <w:rFonts w:hint="eastAsia"/>
                <w:color w:val="auto"/>
                <w:kern w:val="0"/>
                <w:sz w:val="24"/>
                <w:vertAlign w:val="superscript"/>
                <w:lang w:bidi="ar"/>
              </w:rPr>
              <w:t>3</w:t>
            </w:r>
            <w:r>
              <w:rPr>
                <w:rFonts w:hint="eastAsia"/>
                <w:color w:val="auto"/>
                <w:kern w:val="0"/>
                <w:sz w:val="24"/>
                <w:lang w:bidi="ar"/>
              </w:rPr>
              <w:t>/a，主要污染物为SS，由一座容积为200m</w:t>
            </w:r>
            <w:r>
              <w:rPr>
                <w:rFonts w:hint="eastAsia"/>
                <w:color w:val="auto"/>
                <w:kern w:val="0"/>
                <w:sz w:val="24"/>
                <w:vertAlign w:val="superscript"/>
                <w:lang w:bidi="ar"/>
              </w:rPr>
              <w:t>3</w:t>
            </w:r>
            <w:r>
              <w:rPr>
                <w:rFonts w:hint="eastAsia"/>
                <w:color w:val="auto"/>
                <w:kern w:val="0"/>
                <w:sz w:val="24"/>
                <w:lang w:bidi="ar"/>
              </w:rPr>
              <w:t>的初期雨水收集池收集沉淀后回用于生产拌料工段。根据项目工程分析，项目改扩建完成后拌料工段用水量为5000m</w:t>
            </w:r>
            <w:r>
              <w:rPr>
                <w:rFonts w:hint="eastAsia"/>
                <w:color w:val="auto"/>
                <w:kern w:val="0"/>
                <w:sz w:val="24"/>
                <w:vertAlign w:val="superscript"/>
                <w:lang w:bidi="ar"/>
              </w:rPr>
              <w:t>3</w:t>
            </w:r>
            <w:r>
              <w:rPr>
                <w:rFonts w:hint="eastAsia"/>
                <w:color w:val="auto"/>
                <w:kern w:val="0"/>
                <w:sz w:val="24"/>
                <w:lang w:bidi="ar"/>
              </w:rPr>
              <w:t>/a，项目初期雨水量小于生产搅拌用水量，满足初期雨水回用不外排的条件。且改扩建项目拟建初期雨水池容量可满足雨季连续6天初期雨水收集。综上所述，项目初期雨水收集回用可行。</w:t>
            </w:r>
          </w:p>
          <w:p>
            <w:pPr>
              <w:widowControl/>
              <w:spacing w:line="360" w:lineRule="auto"/>
              <w:ind w:firstLine="480" w:firstLineChars="200"/>
              <w:jc w:val="left"/>
              <w:rPr>
                <w:color w:val="auto"/>
                <w:kern w:val="0"/>
                <w:sz w:val="24"/>
                <w:lang w:bidi="ar"/>
              </w:rPr>
            </w:pPr>
            <w:r>
              <w:rPr>
                <w:color w:val="auto"/>
                <w:kern w:val="0"/>
                <w:sz w:val="24"/>
                <w:lang w:bidi="ar"/>
              </w:rPr>
              <w:t>（3）</w:t>
            </w:r>
            <w:r>
              <w:rPr>
                <w:rFonts w:hint="eastAsia"/>
                <w:color w:val="auto"/>
                <w:kern w:val="0"/>
                <w:sz w:val="24"/>
                <w:lang w:bidi="ar"/>
              </w:rPr>
              <w:t>水环境影响结论</w:t>
            </w:r>
          </w:p>
          <w:p>
            <w:pPr>
              <w:widowControl/>
              <w:spacing w:line="360" w:lineRule="auto"/>
              <w:ind w:firstLine="480" w:firstLineChars="200"/>
              <w:jc w:val="left"/>
              <w:rPr>
                <w:rFonts w:ascii="宋体" w:hAnsi="宋体" w:cs="宋体"/>
                <w:color w:val="auto"/>
                <w:kern w:val="0"/>
                <w:sz w:val="24"/>
                <w:lang w:bidi="ar"/>
              </w:rPr>
            </w:pPr>
            <w:r>
              <w:rPr>
                <w:rFonts w:hint="eastAsia"/>
                <w:color w:val="auto"/>
                <w:sz w:val="24"/>
              </w:rPr>
              <w:t>本项目初期雨水经收集沉淀后回用于生产、不外排。实验室废水经中和池处理后与经化粪池处理后的原有生活污水排入园区污水管网，最终进入园区污水处理厂处理；生产过程中原料搅拌用水随砖胚进入窑体全部焙烧蒸发，脱硫废水经再生池添加石灰发生置换反应并过滤沉淀后返回</w:t>
            </w:r>
            <w:r>
              <w:rPr>
                <w:rFonts w:hint="eastAsia"/>
                <w:color w:val="auto"/>
                <w:sz w:val="24"/>
                <w:lang w:eastAsia="zh-CN"/>
              </w:rPr>
              <w:t>石灰石膏法脱硫塔</w:t>
            </w:r>
            <w:r>
              <w:rPr>
                <w:rFonts w:hint="eastAsia"/>
                <w:color w:val="auto"/>
                <w:sz w:val="24"/>
              </w:rPr>
              <w:t>配套水池循环使用，项目无废水直排</w:t>
            </w:r>
            <w:r>
              <w:rPr>
                <w:rFonts w:hint="eastAsia" w:ascii="宋体" w:hAnsi="宋体" w:cs="宋体"/>
                <w:color w:val="auto"/>
                <w:kern w:val="0"/>
                <w:sz w:val="24"/>
                <w:lang w:bidi="ar"/>
              </w:rPr>
              <w:t>，对区域地表水环境影响较小。</w:t>
            </w:r>
            <w:r>
              <w:rPr>
                <w:b/>
                <w:color w:val="auto"/>
              </w:rPr>
              <w:br w:type="textWrapping" w:clear="all"/>
            </w:r>
            <w:r>
              <w:rPr>
                <w:rFonts w:hint="eastAsia"/>
                <w:b/>
                <w:color w:val="auto"/>
                <w:sz w:val="24"/>
              </w:rPr>
              <w:t>4.2.3噪声</w:t>
            </w:r>
          </w:p>
          <w:p>
            <w:pPr>
              <w:widowControl/>
              <w:spacing w:line="360" w:lineRule="auto"/>
              <w:ind w:firstLine="480" w:firstLineChars="200"/>
              <w:rPr>
                <w:color w:val="auto"/>
                <w:sz w:val="24"/>
              </w:rPr>
            </w:pPr>
            <w:r>
              <w:rPr>
                <w:color w:val="auto"/>
                <w:sz w:val="24"/>
              </w:rPr>
              <w:t>（1）噪声源强及降噪措施</w:t>
            </w:r>
          </w:p>
          <w:p>
            <w:pPr>
              <w:widowControl/>
              <w:spacing w:line="360" w:lineRule="auto"/>
              <w:ind w:firstLine="480" w:firstLineChars="200"/>
              <w:rPr>
                <w:color w:val="auto"/>
                <w:sz w:val="24"/>
              </w:rPr>
            </w:pPr>
            <w:r>
              <w:rPr>
                <w:color w:val="auto"/>
                <w:sz w:val="24"/>
              </w:rPr>
              <w:t>项目运营期噪声主要为生产加工设备噪声，其设备噪声声级范围在70~</w:t>
            </w:r>
            <w:r>
              <w:rPr>
                <w:rFonts w:hint="eastAsia"/>
                <w:color w:val="auto"/>
                <w:sz w:val="24"/>
              </w:rPr>
              <w:t>95</w:t>
            </w:r>
            <w:r>
              <w:rPr>
                <w:color w:val="auto"/>
                <w:sz w:val="24"/>
              </w:rPr>
              <w:t>dB(A)之间。本项目噪声源及降噪措施情况汇总于下表所示。</w:t>
            </w:r>
          </w:p>
          <w:p>
            <w:pPr>
              <w:jc w:val="center"/>
              <w:rPr>
                <w:b/>
                <w:bCs/>
                <w:color w:val="auto"/>
              </w:rPr>
            </w:pPr>
          </w:p>
          <w:p>
            <w:pPr>
              <w:jc w:val="center"/>
              <w:rPr>
                <w:b/>
                <w:bCs/>
                <w:color w:val="auto"/>
              </w:rPr>
            </w:pPr>
            <w:r>
              <w:rPr>
                <w:b/>
                <w:bCs/>
                <w:color w:val="auto"/>
              </w:rPr>
              <w:t>表4-</w:t>
            </w:r>
            <w:r>
              <w:rPr>
                <w:rFonts w:hint="eastAsia"/>
                <w:b/>
                <w:bCs/>
                <w:color w:val="auto"/>
              </w:rPr>
              <w:t>12  噪声源强</w:t>
            </w:r>
            <w:r>
              <w:rPr>
                <w:b/>
                <w:bCs/>
                <w:color w:val="auto"/>
              </w:rPr>
              <w:t>调查表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611"/>
              <w:gridCol w:w="848"/>
              <w:gridCol w:w="570"/>
              <w:gridCol w:w="552"/>
              <w:gridCol w:w="567"/>
              <w:gridCol w:w="567"/>
              <w:gridCol w:w="417"/>
              <w:gridCol w:w="554"/>
              <w:gridCol w:w="570"/>
              <w:gridCol w:w="517"/>
              <w:gridCol w:w="675"/>
              <w:gridCol w:w="592"/>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1" w:type="pct"/>
                  <w:vMerge w:val="restart"/>
                  <w:vAlign w:val="center"/>
                </w:tcPr>
                <w:p>
                  <w:pPr>
                    <w:jc w:val="center"/>
                    <w:rPr>
                      <w:bCs/>
                      <w:color w:val="auto"/>
                      <w:sz w:val="13"/>
                      <w:szCs w:val="13"/>
                    </w:rPr>
                  </w:pPr>
                  <w:r>
                    <w:rPr>
                      <w:bCs/>
                      <w:color w:val="auto"/>
                      <w:sz w:val="13"/>
                      <w:szCs w:val="13"/>
                    </w:rPr>
                    <w:t>建筑名称</w:t>
                  </w:r>
                </w:p>
              </w:tc>
              <w:tc>
                <w:tcPr>
                  <w:tcW w:w="385" w:type="pct"/>
                  <w:vMerge w:val="restart"/>
                  <w:vAlign w:val="center"/>
                </w:tcPr>
                <w:p>
                  <w:pPr>
                    <w:jc w:val="center"/>
                    <w:rPr>
                      <w:bCs/>
                      <w:color w:val="auto"/>
                      <w:sz w:val="13"/>
                      <w:szCs w:val="13"/>
                    </w:rPr>
                  </w:pPr>
                  <w:r>
                    <w:rPr>
                      <w:bCs/>
                      <w:color w:val="auto"/>
                      <w:sz w:val="13"/>
                      <w:szCs w:val="13"/>
                    </w:rPr>
                    <w:t>声源</w:t>
                  </w:r>
                </w:p>
                <w:p>
                  <w:pPr>
                    <w:jc w:val="center"/>
                    <w:rPr>
                      <w:bCs/>
                      <w:color w:val="auto"/>
                      <w:sz w:val="13"/>
                      <w:szCs w:val="13"/>
                    </w:rPr>
                  </w:pPr>
                  <w:r>
                    <w:rPr>
                      <w:bCs/>
                      <w:color w:val="auto"/>
                      <w:sz w:val="13"/>
                      <w:szCs w:val="13"/>
                    </w:rPr>
                    <w:t>名称</w:t>
                  </w:r>
                </w:p>
              </w:tc>
              <w:tc>
                <w:tcPr>
                  <w:tcW w:w="534" w:type="pct"/>
                  <w:vMerge w:val="restart"/>
                  <w:vAlign w:val="center"/>
                </w:tcPr>
                <w:p>
                  <w:pPr>
                    <w:jc w:val="center"/>
                    <w:rPr>
                      <w:bCs/>
                      <w:color w:val="auto"/>
                      <w:sz w:val="13"/>
                      <w:szCs w:val="13"/>
                    </w:rPr>
                  </w:pPr>
                  <w:r>
                    <w:rPr>
                      <w:bCs/>
                      <w:color w:val="auto"/>
                      <w:sz w:val="13"/>
                      <w:szCs w:val="13"/>
                    </w:rPr>
                    <w:t>型号</w:t>
                  </w:r>
                </w:p>
              </w:tc>
              <w:tc>
                <w:tcPr>
                  <w:tcW w:w="359" w:type="pct"/>
                  <w:vMerge w:val="restart"/>
                  <w:vAlign w:val="center"/>
                </w:tcPr>
                <w:p>
                  <w:pPr>
                    <w:jc w:val="center"/>
                    <w:rPr>
                      <w:bCs/>
                      <w:color w:val="auto"/>
                      <w:sz w:val="13"/>
                      <w:szCs w:val="13"/>
                    </w:rPr>
                  </w:pPr>
                  <w:r>
                    <w:rPr>
                      <w:bCs/>
                      <w:color w:val="auto"/>
                      <w:sz w:val="13"/>
                      <w:szCs w:val="13"/>
                    </w:rPr>
                    <w:t>声压级</w:t>
                  </w:r>
                  <w:r>
                    <w:rPr>
                      <w:rFonts w:hint="eastAsia"/>
                      <w:color w:val="auto"/>
                      <w:sz w:val="13"/>
                      <w:szCs w:val="13"/>
                    </w:rPr>
                    <w:t>dB（A）</w:t>
                  </w:r>
                </w:p>
              </w:tc>
              <w:tc>
                <w:tcPr>
                  <w:tcW w:w="348" w:type="pct"/>
                  <w:vMerge w:val="restart"/>
                  <w:vAlign w:val="center"/>
                </w:tcPr>
                <w:p>
                  <w:pPr>
                    <w:jc w:val="center"/>
                    <w:rPr>
                      <w:bCs/>
                      <w:color w:val="auto"/>
                      <w:sz w:val="13"/>
                      <w:szCs w:val="13"/>
                    </w:rPr>
                  </w:pPr>
                  <w:r>
                    <w:rPr>
                      <w:bCs/>
                      <w:color w:val="auto"/>
                      <w:sz w:val="13"/>
                      <w:szCs w:val="13"/>
                    </w:rPr>
                    <w:t>控制措施</w:t>
                  </w:r>
                </w:p>
              </w:tc>
              <w:tc>
                <w:tcPr>
                  <w:tcW w:w="976" w:type="pct"/>
                  <w:gridSpan w:val="3"/>
                  <w:vAlign w:val="center"/>
                </w:tcPr>
                <w:p>
                  <w:pPr>
                    <w:jc w:val="center"/>
                    <w:rPr>
                      <w:bCs/>
                      <w:color w:val="auto"/>
                      <w:sz w:val="13"/>
                      <w:szCs w:val="13"/>
                    </w:rPr>
                  </w:pPr>
                  <w:r>
                    <w:rPr>
                      <w:bCs/>
                      <w:color w:val="auto"/>
                      <w:sz w:val="13"/>
                      <w:szCs w:val="13"/>
                    </w:rPr>
                    <w:t>相对空间位置</w:t>
                  </w:r>
                  <w:r>
                    <w:rPr>
                      <w:rFonts w:hint="eastAsia"/>
                      <w:bCs/>
                      <w:color w:val="auto"/>
                      <w:sz w:val="13"/>
                      <w:szCs w:val="13"/>
                    </w:rPr>
                    <w:t>/m</w:t>
                  </w:r>
                </w:p>
              </w:tc>
              <w:tc>
                <w:tcPr>
                  <w:tcW w:w="349" w:type="pct"/>
                  <w:vMerge w:val="restart"/>
                  <w:vAlign w:val="center"/>
                </w:tcPr>
                <w:p>
                  <w:pPr>
                    <w:jc w:val="center"/>
                    <w:rPr>
                      <w:bCs/>
                      <w:color w:val="auto"/>
                      <w:sz w:val="13"/>
                      <w:szCs w:val="13"/>
                    </w:rPr>
                  </w:pPr>
                  <w:r>
                    <w:rPr>
                      <w:bCs/>
                      <w:color w:val="auto"/>
                      <w:sz w:val="13"/>
                      <w:szCs w:val="13"/>
                    </w:rPr>
                    <w:t>距室内边界距离</w:t>
                  </w:r>
                </w:p>
              </w:tc>
              <w:tc>
                <w:tcPr>
                  <w:tcW w:w="359" w:type="pct"/>
                  <w:vMerge w:val="restart"/>
                  <w:vAlign w:val="center"/>
                </w:tcPr>
                <w:p>
                  <w:pPr>
                    <w:jc w:val="center"/>
                    <w:rPr>
                      <w:bCs/>
                      <w:color w:val="auto"/>
                      <w:sz w:val="13"/>
                      <w:szCs w:val="13"/>
                    </w:rPr>
                  </w:pPr>
                  <w:r>
                    <w:rPr>
                      <w:bCs/>
                      <w:color w:val="auto"/>
                      <w:sz w:val="13"/>
                      <w:szCs w:val="13"/>
                    </w:rPr>
                    <w:t>室内边界声级</w:t>
                  </w:r>
                  <w:r>
                    <w:rPr>
                      <w:rFonts w:hint="eastAsia"/>
                      <w:color w:val="auto"/>
                      <w:sz w:val="13"/>
                      <w:szCs w:val="13"/>
                    </w:rPr>
                    <w:t>dB（A）</w:t>
                  </w:r>
                </w:p>
              </w:tc>
              <w:tc>
                <w:tcPr>
                  <w:tcW w:w="326" w:type="pct"/>
                  <w:vMerge w:val="restart"/>
                  <w:vAlign w:val="center"/>
                </w:tcPr>
                <w:p>
                  <w:pPr>
                    <w:jc w:val="center"/>
                    <w:rPr>
                      <w:bCs/>
                      <w:color w:val="auto"/>
                      <w:sz w:val="13"/>
                      <w:szCs w:val="13"/>
                    </w:rPr>
                  </w:pPr>
                  <w:r>
                    <w:rPr>
                      <w:bCs/>
                      <w:color w:val="auto"/>
                      <w:sz w:val="13"/>
                      <w:szCs w:val="13"/>
                    </w:rPr>
                    <w:t>运行时段</w:t>
                  </w:r>
                </w:p>
              </w:tc>
              <w:tc>
                <w:tcPr>
                  <w:tcW w:w="425" w:type="pct"/>
                  <w:vMerge w:val="restart"/>
                  <w:vAlign w:val="center"/>
                </w:tcPr>
                <w:p>
                  <w:pPr>
                    <w:jc w:val="center"/>
                    <w:rPr>
                      <w:bCs/>
                      <w:color w:val="auto"/>
                      <w:sz w:val="13"/>
                      <w:szCs w:val="13"/>
                    </w:rPr>
                  </w:pPr>
                  <w:r>
                    <w:rPr>
                      <w:bCs/>
                      <w:color w:val="auto"/>
                      <w:sz w:val="13"/>
                      <w:szCs w:val="13"/>
                    </w:rPr>
                    <w:t>建筑物插入损失</w:t>
                  </w:r>
                  <w:r>
                    <w:rPr>
                      <w:rFonts w:hint="eastAsia"/>
                      <w:color w:val="auto"/>
                      <w:sz w:val="13"/>
                      <w:szCs w:val="13"/>
                    </w:rPr>
                    <w:t>dB（A）</w:t>
                  </w:r>
                </w:p>
              </w:tc>
              <w:tc>
                <w:tcPr>
                  <w:tcW w:w="698" w:type="pct"/>
                  <w:gridSpan w:val="2"/>
                  <w:vAlign w:val="center"/>
                </w:tcPr>
                <w:p>
                  <w:pPr>
                    <w:jc w:val="center"/>
                    <w:rPr>
                      <w:bCs/>
                      <w:color w:val="auto"/>
                      <w:sz w:val="13"/>
                      <w:szCs w:val="13"/>
                    </w:rPr>
                  </w:pPr>
                  <w:r>
                    <w:rPr>
                      <w:bCs/>
                      <w:color w:val="auto"/>
                      <w:sz w:val="13"/>
                      <w:szCs w:val="13"/>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1" w:type="pct"/>
                  <w:vMerge w:val="continue"/>
                  <w:vAlign w:val="center"/>
                </w:tcPr>
                <w:p>
                  <w:pPr>
                    <w:jc w:val="center"/>
                    <w:rPr>
                      <w:bCs/>
                      <w:color w:val="auto"/>
                      <w:sz w:val="13"/>
                      <w:szCs w:val="13"/>
                    </w:rPr>
                  </w:pPr>
                </w:p>
              </w:tc>
              <w:tc>
                <w:tcPr>
                  <w:tcW w:w="385" w:type="pct"/>
                  <w:vMerge w:val="continue"/>
                  <w:vAlign w:val="center"/>
                </w:tcPr>
                <w:p>
                  <w:pPr>
                    <w:jc w:val="center"/>
                    <w:rPr>
                      <w:bCs/>
                      <w:color w:val="auto"/>
                      <w:sz w:val="13"/>
                      <w:szCs w:val="13"/>
                    </w:rPr>
                  </w:pPr>
                </w:p>
              </w:tc>
              <w:tc>
                <w:tcPr>
                  <w:tcW w:w="534" w:type="pct"/>
                  <w:vMerge w:val="continue"/>
                  <w:vAlign w:val="center"/>
                </w:tcPr>
                <w:p>
                  <w:pPr>
                    <w:jc w:val="center"/>
                    <w:rPr>
                      <w:bCs/>
                      <w:color w:val="auto"/>
                      <w:sz w:val="13"/>
                      <w:szCs w:val="13"/>
                    </w:rPr>
                  </w:pPr>
                </w:p>
              </w:tc>
              <w:tc>
                <w:tcPr>
                  <w:tcW w:w="359" w:type="pct"/>
                  <w:vMerge w:val="continue"/>
                  <w:vAlign w:val="center"/>
                </w:tcPr>
                <w:p>
                  <w:pPr>
                    <w:jc w:val="center"/>
                    <w:rPr>
                      <w:bCs/>
                      <w:color w:val="auto"/>
                      <w:sz w:val="13"/>
                      <w:szCs w:val="13"/>
                    </w:rPr>
                  </w:pPr>
                </w:p>
              </w:tc>
              <w:tc>
                <w:tcPr>
                  <w:tcW w:w="348" w:type="pct"/>
                  <w:vMerge w:val="continue"/>
                  <w:vAlign w:val="center"/>
                </w:tcPr>
                <w:p>
                  <w:pPr>
                    <w:jc w:val="center"/>
                    <w:rPr>
                      <w:bCs/>
                      <w:color w:val="auto"/>
                      <w:sz w:val="13"/>
                      <w:szCs w:val="13"/>
                    </w:rPr>
                  </w:pPr>
                </w:p>
              </w:tc>
              <w:tc>
                <w:tcPr>
                  <w:tcW w:w="357" w:type="pct"/>
                  <w:vAlign w:val="center"/>
                </w:tcPr>
                <w:p>
                  <w:pPr>
                    <w:jc w:val="center"/>
                    <w:rPr>
                      <w:bCs/>
                      <w:color w:val="auto"/>
                      <w:sz w:val="13"/>
                      <w:szCs w:val="13"/>
                    </w:rPr>
                  </w:pPr>
                  <w:r>
                    <w:rPr>
                      <w:rFonts w:hint="eastAsia"/>
                      <w:bCs/>
                      <w:color w:val="auto"/>
                      <w:sz w:val="13"/>
                      <w:szCs w:val="13"/>
                    </w:rPr>
                    <w:t>X</w:t>
                  </w:r>
                </w:p>
              </w:tc>
              <w:tc>
                <w:tcPr>
                  <w:tcW w:w="357" w:type="pct"/>
                  <w:vAlign w:val="center"/>
                </w:tcPr>
                <w:p>
                  <w:pPr>
                    <w:jc w:val="center"/>
                    <w:rPr>
                      <w:bCs/>
                      <w:color w:val="auto"/>
                      <w:sz w:val="13"/>
                      <w:szCs w:val="13"/>
                    </w:rPr>
                  </w:pPr>
                  <w:r>
                    <w:rPr>
                      <w:rFonts w:hint="eastAsia"/>
                      <w:bCs/>
                      <w:color w:val="auto"/>
                      <w:sz w:val="13"/>
                      <w:szCs w:val="13"/>
                    </w:rPr>
                    <w:t>Y</w:t>
                  </w:r>
                </w:p>
              </w:tc>
              <w:tc>
                <w:tcPr>
                  <w:tcW w:w="263" w:type="pct"/>
                  <w:vAlign w:val="center"/>
                </w:tcPr>
                <w:p>
                  <w:pPr>
                    <w:jc w:val="center"/>
                    <w:rPr>
                      <w:bCs/>
                      <w:color w:val="auto"/>
                      <w:sz w:val="13"/>
                      <w:szCs w:val="13"/>
                    </w:rPr>
                  </w:pPr>
                  <w:r>
                    <w:rPr>
                      <w:rFonts w:hint="eastAsia"/>
                      <w:bCs/>
                      <w:color w:val="auto"/>
                      <w:sz w:val="13"/>
                      <w:szCs w:val="13"/>
                    </w:rPr>
                    <w:t>Z</w:t>
                  </w:r>
                </w:p>
              </w:tc>
              <w:tc>
                <w:tcPr>
                  <w:tcW w:w="349" w:type="pct"/>
                  <w:vMerge w:val="continue"/>
                  <w:vAlign w:val="center"/>
                </w:tcPr>
                <w:p>
                  <w:pPr>
                    <w:jc w:val="center"/>
                    <w:rPr>
                      <w:bCs/>
                      <w:color w:val="auto"/>
                      <w:sz w:val="13"/>
                      <w:szCs w:val="13"/>
                    </w:rPr>
                  </w:pPr>
                </w:p>
              </w:tc>
              <w:tc>
                <w:tcPr>
                  <w:tcW w:w="359" w:type="pct"/>
                  <w:vMerge w:val="continue"/>
                  <w:vAlign w:val="center"/>
                </w:tcPr>
                <w:p>
                  <w:pPr>
                    <w:jc w:val="center"/>
                    <w:rPr>
                      <w:bCs/>
                      <w:color w:val="auto"/>
                      <w:sz w:val="13"/>
                      <w:szCs w:val="13"/>
                    </w:rPr>
                  </w:pPr>
                </w:p>
              </w:tc>
              <w:tc>
                <w:tcPr>
                  <w:tcW w:w="326" w:type="pct"/>
                  <w:vMerge w:val="continue"/>
                  <w:vAlign w:val="center"/>
                </w:tcPr>
                <w:p>
                  <w:pPr>
                    <w:jc w:val="center"/>
                    <w:rPr>
                      <w:bCs/>
                      <w:color w:val="auto"/>
                      <w:sz w:val="13"/>
                      <w:szCs w:val="13"/>
                    </w:rPr>
                  </w:pPr>
                </w:p>
              </w:tc>
              <w:tc>
                <w:tcPr>
                  <w:tcW w:w="425" w:type="pct"/>
                  <w:vMerge w:val="continue"/>
                  <w:vAlign w:val="center"/>
                </w:tcPr>
                <w:p>
                  <w:pPr>
                    <w:jc w:val="center"/>
                    <w:rPr>
                      <w:bCs/>
                      <w:color w:val="auto"/>
                      <w:sz w:val="13"/>
                      <w:szCs w:val="13"/>
                    </w:rPr>
                  </w:pPr>
                </w:p>
              </w:tc>
              <w:tc>
                <w:tcPr>
                  <w:tcW w:w="698" w:type="pct"/>
                  <w:gridSpan w:val="2"/>
                  <w:vAlign w:val="center"/>
                </w:tcPr>
                <w:p>
                  <w:pPr>
                    <w:jc w:val="center"/>
                    <w:rPr>
                      <w:bCs/>
                      <w:color w:val="auto"/>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1" w:type="pct"/>
                  <w:vMerge w:val="restart"/>
                  <w:vAlign w:val="center"/>
                </w:tcPr>
                <w:p>
                  <w:pPr>
                    <w:jc w:val="center"/>
                    <w:rPr>
                      <w:bCs/>
                      <w:color w:val="auto"/>
                      <w:sz w:val="13"/>
                      <w:szCs w:val="13"/>
                    </w:rPr>
                  </w:pPr>
                  <w:r>
                    <w:rPr>
                      <w:bCs/>
                      <w:color w:val="auto"/>
                      <w:sz w:val="13"/>
                      <w:szCs w:val="13"/>
                    </w:rPr>
                    <w:t>烧成车间</w:t>
                  </w:r>
                </w:p>
              </w:tc>
              <w:tc>
                <w:tcPr>
                  <w:tcW w:w="385" w:type="pct"/>
                  <w:vAlign w:val="center"/>
                </w:tcPr>
                <w:p>
                  <w:pPr>
                    <w:widowControl/>
                    <w:jc w:val="center"/>
                    <w:textAlignment w:val="center"/>
                    <w:rPr>
                      <w:color w:val="auto"/>
                      <w:sz w:val="13"/>
                      <w:szCs w:val="13"/>
                    </w:rPr>
                  </w:pPr>
                  <w:r>
                    <w:rPr>
                      <w:rFonts w:hint="eastAsia"/>
                      <w:color w:val="auto"/>
                      <w:sz w:val="13"/>
                      <w:szCs w:val="13"/>
                    </w:rPr>
                    <w:t>风机</w:t>
                  </w:r>
                </w:p>
              </w:tc>
              <w:tc>
                <w:tcPr>
                  <w:tcW w:w="534" w:type="pct"/>
                  <w:vAlign w:val="center"/>
                </w:tcPr>
                <w:p>
                  <w:pPr>
                    <w:jc w:val="center"/>
                    <w:rPr>
                      <w:color w:val="auto"/>
                      <w:sz w:val="13"/>
                      <w:szCs w:val="13"/>
                    </w:rPr>
                  </w:pPr>
                  <w:r>
                    <w:rPr>
                      <w:rFonts w:hint="eastAsia"/>
                      <w:color w:val="auto"/>
                      <w:sz w:val="13"/>
                      <w:szCs w:val="13"/>
                    </w:rPr>
                    <w:t>Y9-38</w:t>
                  </w:r>
                </w:p>
              </w:tc>
              <w:tc>
                <w:tcPr>
                  <w:tcW w:w="359" w:type="pct"/>
                  <w:vAlign w:val="center"/>
                </w:tcPr>
                <w:p>
                  <w:pPr>
                    <w:jc w:val="center"/>
                    <w:rPr>
                      <w:color w:val="auto"/>
                      <w:sz w:val="13"/>
                      <w:szCs w:val="13"/>
                    </w:rPr>
                  </w:pPr>
                  <w:r>
                    <w:rPr>
                      <w:rFonts w:hint="eastAsia"/>
                      <w:color w:val="auto"/>
                      <w:sz w:val="13"/>
                      <w:szCs w:val="13"/>
                    </w:rPr>
                    <w:t>90</w:t>
                  </w:r>
                </w:p>
              </w:tc>
              <w:tc>
                <w:tcPr>
                  <w:tcW w:w="348" w:type="pct"/>
                  <w:vMerge w:val="restart"/>
                  <w:vAlign w:val="center"/>
                </w:tcPr>
                <w:p>
                  <w:pPr>
                    <w:jc w:val="center"/>
                    <w:rPr>
                      <w:bCs/>
                      <w:color w:val="auto"/>
                      <w:sz w:val="13"/>
                      <w:szCs w:val="13"/>
                    </w:rPr>
                  </w:pPr>
                  <w:r>
                    <w:rPr>
                      <w:bCs/>
                      <w:color w:val="auto"/>
                      <w:sz w:val="13"/>
                      <w:szCs w:val="13"/>
                    </w:rPr>
                    <w:t>厂房隔声基础减振降噪</w:t>
                  </w:r>
                </w:p>
              </w:tc>
              <w:tc>
                <w:tcPr>
                  <w:tcW w:w="357" w:type="pct"/>
                  <w:vAlign w:val="center"/>
                </w:tcPr>
                <w:p>
                  <w:pPr>
                    <w:pStyle w:val="47"/>
                    <w:spacing w:line="240" w:lineRule="auto"/>
                    <w:ind w:firstLine="0"/>
                    <w:jc w:val="center"/>
                    <w:outlineLvl w:val="2"/>
                    <w:rPr>
                      <w:color w:val="auto"/>
                      <w:sz w:val="13"/>
                      <w:szCs w:val="13"/>
                    </w:rPr>
                  </w:pPr>
                  <w:r>
                    <w:rPr>
                      <w:rFonts w:hint="eastAsia"/>
                      <w:color w:val="auto"/>
                      <w:sz w:val="13"/>
                      <w:szCs w:val="13"/>
                    </w:rPr>
                    <w:t>57.87</w:t>
                  </w:r>
                </w:p>
              </w:tc>
              <w:tc>
                <w:tcPr>
                  <w:tcW w:w="357" w:type="pct"/>
                  <w:vAlign w:val="center"/>
                </w:tcPr>
                <w:p>
                  <w:pPr>
                    <w:pStyle w:val="47"/>
                    <w:spacing w:line="240" w:lineRule="auto"/>
                    <w:ind w:firstLine="0"/>
                    <w:jc w:val="center"/>
                    <w:outlineLvl w:val="2"/>
                    <w:rPr>
                      <w:color w:val="auto"/>
                      <w:sz w:val="13"/>
                      <w:szCs w:val="13"/>
                    </w:rPr>
                  </w:pPr>
                  <w:r>
                    <w:rPr>
                      <w:rFonts w:hint="eastAsia"/>
                      <w:color w:val="auto"/>
                      <w:sz w:val="13"/>
                      <w:szCs w:val="13"/>
                    </w:rPr>
                    <w:t>-37.54</w:t>
                  </w:r>
                </w:p>
              </w:tc>
              <w:tc>
                <w:tcPr>
                  <w:tcW w:w="263" w:type="pct"/>
                  <w:vAlign w:val="center"/>
                </w:tcPr>
                <w:p>
                  <w:pPr>
                    <w:jc w:val="center"/>
                    <w:rPr>
                      <w:color w:val="auto"/>
                      <w:sz w:val="13"/>
                      <w:szCs w:val="13"/>
                    </w:rPr>
                  </w:pPr>
                  <w:r>
                    <w:rPr>
                      <w:rFonts w:hint="eastAsia"/>
                      <w:color w:val="auto"/>
                      <w:sz w:val="13"/>
                      <w:szCs w:val="13"/>
                    </w:rPr>
                    <w:t>2</w:t>
                  </w:r>
                </w:p>
              </w:tc>
              <w:tc>
                <w:tcPr>
                  <w:tcW w:w="349" w:type="pct"/>
                  <w:vAlign w:val="center"/>
                </w:tcPr>
                <w:p>
                  <w:pPr>
                    <w:jc w:val="center"/>
                    <w:rPr>
                      <w:bCs/>
                      <w:color w:val="auto"/>
                      <w:sz w:val="13"/>
                      <w:szCs w:val="13"/>
                    </w:rPr>
                  </w:pPr>
                  <w:r>
                    <w:rPr>
                      <w:rFonts w:hint="eastAsia"/>
                      <w:bCs/>
                      <w:color w:val="auto"/>
                      <w:sz w:val="13"/>
                      <w:szCs w:val="13"/>
                    </w:rPr>
                    <w:t>9</w:t>
                  </w:r>
                </w:p>
              </w:tc>
              <w:tc>
                <w:tcPr>
                  <w:tcW w:w="359" w:type="pct"/>
                  <w:vAlign w:val="center"/>
                </w:tcPr>
                <w:p>
                  <w:pPr>
                    <w:jc w:val="center"/>
                    <w:rPr>
                      <w:bCs/>
                      <w:color w:val="auto"/>
                      <w:sz w:val="13"/>
                      <w:szCs w:val="13"/>
                    </w:rPr>
                  </w:pPr>
                  <w:r>
                    <w:rPr>
                      <w:rFonts w:hint="eastAsia"/>
                      <w:bCs/>
                      <w:color w:val="auto"/>
                      <w:sz w:val="13"/>
                      <w:szCs w:val="13"/>
                    </w:rPr>
                    <w:t>70.91</w:t>
                  </w:r>
                </w:p>
              </w:tc>
              <w:tc>
                <w:tcPr>
                  <w:tcW w:w="326" w:type="pct"/>
                  <w:vMerge w:val="restart"/>
                  <w:vAlign w:val="center"/>
                </w:tcPr>
                <w:p>
                  <w:pPr>
                    <w:jc w:val="center"/>
                    <w:rPr>
                      <w:bCs/>
                      <w:color w:val="auto"/>
                      <w:sz w:val="13"/>
                      <w:szCs w:val="13"/>
                    </w:rPr>
                  </w:pPr>
                  <w:r>
                    <w:rPr>
                      <w:bCs/>
                      <w:color w:val="auto"/>
                      <w:sz w:val="13"/>
                      <w:szCs w:val="13"/>
                    </w:rPr>
                    <w:t>全天</w:t>
                  </w:r>
                </w:p>
              </w:tc>
              <w:tc>
                <w:tcPr>
                  <w:tcW w:w="425" w:type="pct"/>
                  <w:vAlign w:val="center"/>
                </w:tcPr>
                <w:p>
                  <w:pPr>
                    <w:jc w:val="center"/>
                    <w:rPr>
                      <w:bCs/>
                      <w:color w:val="auto"/>
                      <w:sz w:val="13"/>
                      <w:szCs w:val="13"/>
                    </w:rPr>
                  </w:pPr>
                  <w:r>
                    <w:rPr>
                      <w:rFonts w:hint="eastAsia"/>
                      <w:bCs/>
                      <w:color w:val="auto"/>
                      <w:sz w:val="13"/>
                      <w:szCs w:val="13"/>
                    </w:rPr>
                    <w:t>10</w:t>
                  </w:r>
                </w:p>
              </w:tc>
              <w:tc>
                <w:tcPr>
                  <w:tcW w:w="373" w:type="pct"/>
                  <w:vAlign w:val="center"/>
                </w:tcPr>
                <w:p>
                  <w:pPr>
                    <w:jc w:val="center"/>
                    <w:rPr>
                      <w:bCs/>
                      <w:color w:val="auto"/>
                      <w:sz w:val="13"/>
                      <w:szCs w:val="13"/>
                    </w:rPr>
                  </w:pPr>
                  <w:r>
                    <w:rPr>
                      <w:rFonts w:hint="eastAsia"/>
                      <w:bCs/>
                      <w:color w:val="auto"/>
                      <w:sz w:val="13"/>
                      <w:szCs w:val="13"/>
                    </w:rPr>
                    <w:t>60.9</w:t>
                  </w:r>
                </w:p>
              </w:tc>
              <w:tc>
                <w:tcPr>
                  <w:tcW w:w="325" w:type="pct"/>
                  <w:vAlign w:val="center"/>
                </w:tcPr>
                <w:p>
                  <w:pPr>
                    <w:jc w:val="center"/>
                    <w:rPr>
                      <w:bCs/>
                      <w:color w:val="auto"/>
                      <w:sz w:val="13"/>
                      <w:szCs w:val="13"/>
                    </w:rPr>
                  </w:pPr>
                  <w:r>
                    <w:rPr>
                      <w:rFonts w:hint="eastAsia"/>
                      <w:bCs/>
                      <w:color w:val="auto"/>
                      <w:sz w:val="13"/>
                      <w:szCs w:val="13"/>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241" w:type="pct"/>
                  <w:vMerge w:val="continue"/>
                  <w:vAlign w:val="center"/>
                </w:tcPr>
                <w:p>
                  <w:pPr>
                    <w:jc w:val="center"/>
                    <w:rPr>
                      <w:bCs/>
                      <w:color w:val="auto"/>
                      <w:sz w:val="13"/>
                      <w:szCs w:val="13"/>
                    </w:rPr>
                  </w:pPr>
                </w:p>
              </w:tc>
              <w:tc>
                <w:tcPr>
                  <w:tcW w:w="385" w:type="pct"/>
                  <w:vAlign w:val="center"/>
                </w:tcPr>
                <w:p>
                  <w:pPr>
                    <w:widowControl/>
                    <w:jc w:val="center"/>
                    <w:textAlignment w:val="center"/>
                    <w:rPr>
                      <w:color w:val="auto"/>
                      <w:sz w:val="13"/>
                      <w:szCs w:val="13"/>
                    </w:rPr>
                  </w:pPr>
                  <w:r>
                    <w:rPr>
                      <w:rFonts w:hint="eastAsia"/>
                      <w:color w:val="auto"/>
                      <w:sz w:val="13"/>
                      <w:szCs w:val="13"/>
                    </w:rPr>
                    <w:t>风机</w:t>
                  </w:r>
                </w:p>
              </w:tc>
              <w:tc>
                <w:tcPr>
                  <w:tcW w:w="534" w:type="pct"/>
                  <w:vAlign w:val="center"/>
                </w:tcPr>
                <w:p>
                  <w:pPr>
                    <w:jc w:val="center"/>
                    <w:rPr>
                      <w:color w:val="auto"/>
                      <w:sz w:val="13"/>
                      <w:szCs w:val="13"/>
                    </w:rPr>
                  </w:pPr>
                  <w:r>
                    <w:rPr>
                      <w:rFonts w:hint="eastAsia"/>
                      <w:color w:val="auto"/>
                      <w:sz w:val="13"/>
                      <w:szCs w:val="13"/>
                    </w:rPr>
                    <w:t>DMC-48</w:t>
                  </w:r>
                </w:p>
              </w:tc>
              <w:tc>
                <w:tcPr>
                  <w:tcW w:w="359" w:type="pct"/>
                  <w:vAlign w:val="center"/>
                </w:tcPr>
                <w:p>
                  <w:pPr>
                    <w:jc w:val="center"/>
                    <w:rPr>
                      <w:color w:val="auto"/>
                      <w:sz w:val="13"/>
                      <w:szCs w:val="13"/>
                    </w:rPr>
                  </w:pPr>
                  <w:r>
                    <w:rPr>
                      <w:rFonts w:hint="eastAsia"/>
                      <w:color w:val="auto"/>
                      <w:sz w:val="13"/>
                      <w:szCs w:val="13"/>
                    </w:rPr>
                    <w:t>70</w:t>
                  </w:r>
                </w:p>
              </w:tc>
              <w:tc>
                <w:tcPr>
                  <w:tcW w:w="348" w:type="pct"/>
                  <w:vMerge w:val="continue"/>
                  <w:vAlign w:val="center"/>
                </w:tcPr>
                <w:p>
                  <w:pPr>
                    <w:jc w:val="center"/>
                    <w:rPr>
                      <w:bCs/>
                      <w:color w:val="auto"/>
                      <w:sz w:val="13"/>
                      <w:szCs w:val="13"/>
                    </w:rPr>
                  </w:pPr>
                </w:p>
              </w:tc>
              <w:tc>
                <w:tcPr>
                  <w:tcW w:w="357" w:type="pct"/>
                  <w:vAlign w:val="center"/>
                </w:tcPr>
                <w:p>
                  <w:pPr>
                    <w:pStyle w:val="47"/>
                    <w:spacing w:line="240" w:lineRule="auto"/>
                    <w:ind w:firstLine="0"/>
                    <w:jc w:val="center"/>
                    <w:outlineLvl w:val="2"/>
                    <w:rPr>
                      <w:color w:val="auto"/>
                      <w:sz w:val="13"/>
                      <w:szCs w:val="13"/>
                    </w:rPr>
                  </w:pPr>
                  <w:r>
                    <w:rPr>
                      <w:rFonts w:hint="eastAsia"/>
                      <w:color w:val="auto"/>
                      <w:sz w:val="13"/>
                      <w:szCs w:val="13"/>
                    </w:rPr>
                    <w:t>23.78</w:t>
                  </w:r>
                </w:p>
              </w:tc>
              <w:tc>
                <w:tcPr>
                  <w:tcW w:w="357" w:type="pct"/>
                  <w:vAlign w:val="center"/>
                </w:tcPr>
                <w:p>
                  <w:pPr>
                    <w:pStyle w:val="47"/>
                    <w:spacing w:line="240" w:lineRule="auto"/>
                    <w:ind w:firstLine="0"/>
                    <w:jc w:val="center"/>
                    <w:outlineLvl w:val="2"/>
                    <w:rPr>
                      <w:color w:val="auto"/>
                      <w:sz w:val="13"/>
                      <w:szCs w:val="13"/>
                    </w:rPr>
                  </w:pPr>
                  <w:r>
                    <w:rPr>
                      <w:rFonts w:hint="eastAsia"/>
                      <w:color w:val="auto"/>
                      <w:sz w:val="13"/>
                      <w:szCs w:val="13"/>
                    </w:rPr>
                    <w:t>82.88</w:t>
                  </w:r>
                </w:p>
              </w:tc>
              <w:tc>
                <w:tcPr>
                  <w:tcW w:w="263" w:type="pct"/>
                  <w:vAlign w:val="center"/>
                </w:tcPr>
                <w:p>
                  <w:pPr>
                    <w:jc w:val="center"/>
                    <w:rPr>
                      <w:color w:val="auto"/>
                      <w:sz w:val="13"/>
                      <w:szCs w:val="13"/>
                    </w:rPr>
                  </w:pPr>
                  <w:r>
                    <w:rPr>
                      <w:rFonts w:hint="eastAsia"/>
                      <w:color w:val="auto"/>
                      <w:sz w:val="13"/>
                      <w:szCs w:val="13"/>
                    </w:rPr>
                    <w:t>2</w:t>
                  </w:r>
                </w:p>
              </w:tc>
              <w:tc>
                <w:tcPr>
                  <w:tcW w:w="349" w:type="pct"/>
                  <w:vAlign w:val="center"/>
                </w:tcPr>
                <w:p>
                  <w:pPr>
                    <w:jc w:val="center"/>
                    <w:rPr>
                      <w:bCs/>
                      <w:color w:val="auto"/>
                      <w:sz w:val="13"/>
                      <w:szCs w:val="13"/>
                    </w:rPr>
                  </w:pPr>
                  <w:r>
                    <w:rPr>
                      <w:rFonts w:hint="eastAsia"/>
                      <w:bCs/>
                      <w:color w:val="auto"/>
                      <w:sz w:val="13"/>
                      <w:szCs w:val="13"/>
                    </w:rPr>
                    <w:t>8</w:t>
                  </w:r>
                </w:p>
              </w:tc>
              <w:tc>
                <w:tcPr>
                  <w:tcW w:w="359" w:type="pct"/>
                  <w:vAlign w:val="center"/>
                </w:tcPr>
                <w:p>
                  <w:pPr>
                    <w:jc w:val="center"/>
                    <w:rPr>
                      <w:bCs/>
                      <w:color w:val="auto"/>
                      <w:sz w:val="13"/>
                      <w:szCs w:val="13"/>
                    </w:rPr>
                  </w:pPr>
                  <w:r>
                    <w:rPr>
                      <w:rFonts w:hint="eastAsia"/>
                      <w:bCs/>
                      <w:color w:val="auto"/>
                      <w:sz w:val="13"/>
                      <w:szCs w:val="13"/>
                    </w:rPr>
                    <w:t>51.93</w:t>
                  </w:r>
                </w:p>
              </w:tc>
              <w:tc>
                <w:tcPr>
                  <w:tcW w:w="326" w:type="pct"/>
                  <w:vMerge w:val="continue"/>
                  <w:vAlign w:val="center"/>
                </w:tcPr>
                <w:p>
                  <w:pPr>
                    <w:jc w:val="center"/>
                    <w:rPr>
                      <w:bCs/>
                      <w:color w:val="auto"/>
                      <w:sz w:val="13"/>
                      <w:szCs w:val="13"/>
                    </w:rPr>
                  </w:pPr>
                </w:p>
              </w:tc>
              <w:tc>
                <w:tcPr>
                  <w:tcW w:w="425" w:type="pct"/>
                  <w:vAlign w:val="center"/>
                </w:tcPr>
                <w:p>
                  <w:pPr>
                    <w:jc w:val="center"/>
                    <w:rPr>
                      <w:bCs/>
                      <w:color w:val="auto"/>
                      <w:sz w:val="13"/>
                      <w:szCs w:val="13"/>
                    </w:rPr>
                  </w:pPr>
                  <w:r>
                    <w:rPr>
                      <w:rFonts w:hint="eastAsia"/>
                      <w:bCs/>
                      <w:color w:val="auto"/>
                      <w:sz w:val="13"/>
                      <w:szCs w:val="13"/>
                    </w:rPr>
                    <w:t>10</w:t>
                  </w:r>
                </w:p>
              </w:tc>
              <w:tc>
                <w:tcPr>
                  <w:tcW w:w="373" w:type="pct"/>
                  <w:vAlign w:val="center"/>
                </w:tcPr>
                <w:p>
                  <w:pPr>
                    <w:jc w:val="center"/>
                    <w:rPr>
                      <w:bCs/>
                      <w:color w:val="auto"/>
                      <w:sz w:val="13"/>
                      <w:szCs w:val="13"/>
                    </w:rPr>
                  </w:pPr>
                  <w:r>
                    <w:rPr>
                      <w:rFonts w:hint="eastAsia"/>
                      <w:bCs/>
                      <w:color w:val="auto"/>
                      <w:sz w:val="13"/>
                      <w:szCs w:val="13"/>
                    </w:rPr>
                    <w:t>41.93</w:t>
                  </w:r>
                </w:p>
              </w:tc>
              <w:tc>
                <w:tcPr>
                  <w:tcW w:w="325" w:type="pct"/>
                  <w:vAlign w:val="center"/>
                </w:tcPr>
                <w:p>
                  <w:pPr>
                    <w:jc w:val="center"/>
                    <w:rPr>
                      <w:bCs/>
                      <w:color w:val="auto"/>
                      <w:sz w:val="13"/>
                      <w:szCs w:val="13"/>
                    </w:rPr>
                  </w:pPr>
                  <w:r>
                    <w:rPr>
                      <w:rFonts w:hint="eastAsia"/>
                      <w:bCs/>
                      <w:color w:val="auto"/>
                      <w:sz w:val="13"/>
                      <w:szCs w:val="13"/>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1" w:type="pct"/>
                  <w:vMerge w:val="restart"/>
                  <w:vAlign w:val="center"/>
                </w:tcPr>
                <w:p>
                  <w:pPr>
                    <w:jc w:val="center"/>
                    <w:rPr>
                      <w:bCs/>
                      <w:color w:val="auto"/>
                      <w:sz w:val="13"/>
                      <w:szCs w:val="13"/>
                    </w:rPr>
                  </w:pPr>
                  <w:r>
                    <w:rPr>
                      <w:bCs/>
                      <w:color w:val="auto"/>
                      <w:sz w:val="13"/>
                      <w:szCs w:val="13"/>
                    </w:rPr>
                    <w:t>破碎车间</w:t>
                  </w:r>
                </w:p>
              </w:tc>
              <w:tc>
                <w:tcPr>
                  <w:tcW w:w="385" w:type="pct"/>
                  <w:vAlign w:val="center"/>
                </w:tcPr>
                <w:p>
                  <w:pPr>
                    <w:widowControl/>
                    <w:jc w:val="center"/>
                    <w:textAlignment w:val="center"/>
                    <w:rPr>
                      <w:color w:val="auto"/>
                      <w:sz w:val="13"/>
                      <w:szCs w:val="13"/>
                    </w:rPr>
                  </w:pPr>
                  <w:r>
                    <w:rPr>
                      <w:rFonts w:hint="eastAsia"/>
                      <w:color w:val="auto"/>
                      <w:sz w:val="13"/>
                      <w:szCs w:val="13"/>
                    </w:rPr>
                    <w:t>球磨机</w:t>
                  </w:r>
                </w:p>
              </w:tc>
              <w:tc>
                <w:tcPr>
                  <w:tcW w:w="534" w:type="pct"/>
                  <w:vAlign w:val="center"/>
                </w:tcPr>
                <w:p>
                  <w:pPr>
                    <w:jc w:val="center"/>
                    <w:rPr>
                      <w:color w:val="auto"/>
                      <w:sz w:val="13"/>
                      <w:szCs w:val="13"/>
                    </w:rPr>
                  </w:pPr>
                  <w:r>
                    <w:rPr>
                      <w:rFonts w:hint="eastAsia"/>
                      <w:color w:val="auto"/>
                      <w:sz w:val="13"/>
                      <w:szCs w:val="13"/>
                    </w:rPr>
                    <w:t>φ1.5</w:t>
                  </w:r>
                </w:p>
              </w:tc>
              <w:tc>
                <w:tcPr>
                  <w:tcW w:w="359" w:type="pct"/>
                  <w:vAlign w:val="center"/>
                </w:tcPr>
                <w:p>
                  <w:pPr>
                    <w:jc w:val="center"/>
                    <w:rPr>
                      <w:color w:val="auto"/>
                      <w:sz w:val="13"/>
                      <w:szCs w:val="13"/>
                    </w:rPr>
                  </w:pPr>
                  <w:r>
                    <w:rPr>
                      <w:rFonts w:hint="eastAsia"/>
                      <w:color w:val="auto"/>
                      <w:sz w:val="13"/>
                      <w:szCs w:val="13"/>
                    </w:rPr>
                    <w:t>90</w:t>
                  </w:r>
                </w:p>
              </w:tc>
              <w:tc>
                <w:tcPr>
                  <w:tcW w:w="348" w:type="pct"/>
                  <w:vMerge w:val="continue"/>
                  <w:vAlign w:val="center"/>
                </w:tcPr>
                <w:p>
                  <w:pPr>
                    <w:jc w:val="center"/>
                    <w:rPr>
                      <w:bCs/>
                      <w:color w:val="auto"/>
                      <w:sz w:val="13"/>
                      <w:szCs w:val="13"/>
                    </w:rPr>
                  </w:pPr>
                </w:p>
              </w:tc>
              <w:tc>
                <w:tcPr>
                  <w:tcW w:w="357" w:type="pct"/>
                  <w:vAlign w:val="center"/>
                </w:tcPr>
                <w:p>
                  <w:pPr>
                    <w:jc w:val="center"/>
                    <w:rPr>
                      <w:color w:val="auto"/>
                      <w:sz w:val="13"/>
                      <w:szCs w:val="13"/>
                    </w:rPr>
                  </w:pPr>
                  <w:r>
                    <w:rPr>
                      <w:rFonts w:hint="eastAsia"/>
                      <w:color w:val="auto"/>
                      <w:sz w:val="13"/>
                      <w:szCs w:val="13"/>
                    </w:rPr>
                    <w:t>-11.8</w:t>
                  </w:r>
                </w:p>
              </w:tc>
              <w:tc>
                <w:tcPr>
                  <w:tcW w:w="357" w:type="pct"/>
                  <w:vAlign w:val="center"/>
                </w:tcPr>
                <w:p>
                  <w:pPr>
                    <w:jc w:val="center"/>
                    <w:rPr>
                      <w:color w:val="auto"/>
                      <w:sz w:val="13"/>
                      <w:szCs w:val="13"/>
                    </w:rPr>
                  </w:pPr>
                  <w:r>
                    <w:rPr>
                      <w:rFonts w:hint="eastAsia"/>
                      <w:color w:val="auto"/>
                      <w:sz w:val="13"/>
                      <w:szCs w:val="13"/>
                    </w:rPr>
                    <w:t>38.0</w:t>
                  </w:r>
                </w:p>
              </w:tc>
              <w:tc>
                <w:tcPr>
                  <w:tcW w:w="263" w:type="pct"/>
                  <w:vAlign w:val="center"/>
                </w:tcPr>
                <w:p>
                  <w:pPr>
                    <w:jc w:val="center"/>
                    <w:rPr>
                      <w:color w:val="auto"/>
                      <w:sz w:val="13"/>
                      <w:szCs w:val="13"/>
                    </w:rPr>
                  </w:pPr>
                  <w:r>
                    <w:rPr>
                      <w:rFonts w:hint="eastAsia"/>
                      <w:color w:val="auto"/>
                      <w:sz w:val="13"/>
                      <w:szCs w:val="13"/>
                    </w:rPr>
                    <w:t>2</w:t>
                  </w:r>
                </w:p>
              </w:tc>
              <w:tc>
                <w:tcPr>
                  <w:tcW w:w="349" w:type="pct"/>
                  <w:vAlign w:val="center"/>
                </w:tcPr>
                <w:p>
                  <w:pPr>
                    <w:jc w:val="center"/>
                    <w:rPr>
                      <w:bCs/>
                      <w:color w:val="auto"/>
                      <w:sz w:val="13"/>
                      <w:szCs w:val="13"/>
                    </w:rPr>
                  </w:pPr>
                  <w:r>
                    <w:rPr>
                      <w:rFonts w:hint="eastAsia"/>
                      <w:bCs/>
                      <w:color w:val="auto"/>
                      <w:sz w:val="13"/>
                      <w:szCs w:val="13"/>
                    </w:rPr>
                    <w:t>10</w:t>
                  </w:r>
                </w:p>
              </w:tc>
              <w:tc>
                <w:tcPr>
                  <w:tcW w:w="359" w:type="pct"/>
                  <w:vAlign w:val="center"/>
                </w:tcPr>
                <w:p>
                  <w:pPr>
                    <w:jc w:val="center"/>
                    <w:rPr>
                      <w:bCs/>
                      <w:color w:val="auto"/>
                      <w:sz w:val="13"/>
                      <w:szCs w:val="13"/>
                    </w:rPr>
                  </w:pPr>
                  <w:r>
                    <w:rPr>
                      <w:rFonts w:hint="eastAsia"/>
                      <w:bCs/>
                      <w:color w:val="auto"/>
                      <w:sz w:val="13"/>
                      <w:szCs w:val="13"/>
                    </w:rPr>
                    <w:t>70</w:t>
                  </w:r>
                </w:p>
              </w:tc>
              <w:tc>
                <w:tcPr>
                  <w:tcW w:w="326" w:type="pct"/>
                  <w:vMerge w:val="restart"/>
                  <w:vAlign w:val="center"/>
                </w:tcPr>
                <w:p>
                  <w:pPr>
                    <w:jc w:val="center"/>
                    <w:rPr>
                      <w:bCs/>
                      <w:color w:val="auto"/>
                      <w:sz w:val="13"/>
                      <w:szCs w:val="13"/>
                    </w:rPr>
                  </w:pPr>
                  <w:r>
                    <w:rPr>
                      <w:rFonts w:hint="eastAsia"/>
                      <w:bCs/>
                      <w:color w:val="auto"/>
                      <w:sz w:val="13"/>
                      <w:szCs w:val="13"/>
                    </w:rPr>
                    <w:t>9:00~</w:t>
                  </w:r>
                </w:p>
                <w:p>
                  <w:pPr>
                    <w:jc w:val="center"/>
                    <w:rPr>
                      <w:bCs/>
                      <w:color w:val="auto"/>
                      <w:sz w:val="13"/>
                      <w:szCs w:val="13"/>
                    </w:rPr>
                  </w:pPr>
                  <w:r>
                    <w:rPr>
                      <w:rFonts w:hint="eastAsia"/>
                      <w:bCs/>
                      <w:color w:val="auto"/>
                      <w:sz w:val="13"/>
                      <w:szCs w:val="13"/>
                    </w:rPr>
                    <w:t>17:00</w:t>
                  </w:r>
                </w:p>
              </w:tc>
              <w:tc>
                <w:tcPr>
                  <w:tcW w:w="425" w:type="pct"/>
                  <w:vAlign w:val="center"/>
                </w:tcPr>
                <w:p>
                  <w:pPr>
                    <w:jc w:val="center"/>
                    <w:rPr>
                      <w:bCs/>
                      <w:color w:val="auto"/>
                      <w:sz w:val="13"/>
                      <w:szCs w:val="13"/>
                    </w:rPr>
                  </w:pPr>
                  <w:r>
                    <w:rPr>
                      <w:rFonts w:hint="eastAsia"/>
                      <w:bCs/>
                      <w:color w:val="auto"/>
                      <w:sz w:val="13"/>
                      <w:szCs w:val="13"/>
                    </w:rPr>
                    <w:t>10</w:t>
                  </w:r>
                </w:p>
              </w:tc>
              <w:tc>
                <w:tcPr>
                  <w:tcW w:w="373" w:type="pct"/>
                  <w:vAlign w:val="center"/>
                </w:tcPr>
                <w:p>
                  <w:pPr>
                    <w:jc w:val="center"/>
                    <w:rPr>
                      <w:bCs/>
                      <w:color w:val="auto"/>
                      <w:sz w:val="13"/>
                      <w:szCs w:val="13"/>
                    </w:rPr>
                  </w:pPr>
                  <w:r>
                    <w:rPr>
                      <w:rFonts w:hint="eastAsia"/>
                      <w:bCs/>
                      <w:color w:val="auto"/>
                      <w:sz w:val="13"/>
                      <w:szCs w:val="13"/>
                    </w:rPr>
                    <w:t>60</w:t>
                  </w:r>
                </w:p>
              </w:tc>
              <w:tc>
                <w:tcPr>
                  <w:tcW w:w="325" w:type="pct"/>
                  <w:vAlign w:val="center"/>
                </w:tcPr>
                <w:p>
                  <w:pPr>
                    <w:jc w:val="center"/>
                    <w:rPr>
                      <w:bCs/>
                      <w:color w:val="auto"/>
                      <w:sz w:val="13"/>
                      <w:szCs w:val="13"/>
                    </w:rPr>
                  </w:pPr>
                  <w:r>
                    <w:rPr>
                      <w:rFonts w:hint="eastAsia"/>
                      <w:bCs/>
                      <w:color w:val="auto"/>
                      <w:sz w:val="13"/>
                      <w:szCs w:val="13"/>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1" w:type="pct"/>
                  <w:vMerge w:val="continue"/>
                  <w:vAlign w:val="center"/>
                </w:tcPr>
                <w:p>
                  <w:pPr>
                    <w:jc w:val="center"/>
                    <w:rPr>
                      <w:bCs/>
                      <w:color w:val="auto"/>
                      <w:sz w:val="13"/>
                      <w:szCs w:val="13"/>
                    </w:rPr>
                  </w:pPr>
                </w:p>
              </w:tc>
              <w:tc>
                <w:tcPr>
                  <w:tcW w:w="385" w:type="pct"/>
                  <w:vAlign w:val="center"/>
                </w:tcPr>
                <w:p>
                  <w:pPr>
                    <w:widowControl/>
                    <w:jc w:val="center"/>
                    <w:textAlignment w:val="center"/>
                    <w:rPr>
                      <w:color w:val="auto"/>
                      <w:sz w:val="13"/>
                      <w:szCs w:val="13"/>
                    </w:rPr>
                  </w:pPr>
                  <w:r>
                    <w:rPr>
                      <w:rFonts w:hint="eastAsia"/>
                      <w:color w:val="auto"/>
                      <w:sz w:val="13"/>
                      <w:szCs w:val="13"/>
                    </w:rPr>
                    <w:t>颚式</w:t>
                  </w:r>
                </w:p>
                <w:p>
                  <w:pPr>
                    <w:widowControl/>
                    <w:jc w:val="center"/>
                    <w:textAlignment w:val="center"/>
                    <w:rPr>
                      <w:color w:val="auto"/>
                      <w:sz w:val="13"/>
                      <w:szCs w:val="13"/>
                    </w:rPr>
                  </w:pPr>
                  <w:r>
                    <w:rPr>
                      <w:rFonts w:hint="eastAsia"/>
                      <w:color w:val="auto"/>
                      <w:sz w:val="13"/>
                      <w:szCs w:val="13"/>
                    </w:rPr>
                    <w:t>破碎机</w:t>
                  </w:r>
                </w:p>
              </w:tc>
              <w:tc>
                <w:tcPr>
                  <w:tcW w:w="534" w:type="pct"/>
                  <w:vAlign w:val="center"/>
                </w:tcPr>
                <w:p>
                  <w:pPr>
                    <w:jc w:val="center"/>
                    <w:rPr>
                      <w:color w:val="auto"/>
                      <w:sz w:val="13"/>
                      <w:szCs w:val="13"/>
                    </w:rPr>
                  </w:pPr>
                  <w:r>
                    <w:rPr>
                      <w:rFonts w:hint="eastAsia"/>
                      <w:color w:val="auto"/>
                      <w:sz w:val="13"/>
                      <w:szCs w:val="13"/>
                    </w:rPr>
                    <w:t>150-400</w:t>
                  </w:r>
                </w:p>
              </w:tc>
              <w:tc>
                <w:tcPr>
                  <w:tcW w:w="359" w:type="pct"/>
                  <w:vAlign w:val="center"/>
                </w:tcPr>
                <w:p>
                  <w:pPr>
                    <w:jc w:val="center"/>
                    <w:rPr>
                      <w:color w:val="auto"/>
                      <w:sz w:val="13"/>
                      <w:szCs w:val="13"/>
                    </w:rPr>
                  </w:pPr>
                  <w:r>
                    <w:rPr>
                      <w:rFonts w:hint="eastAsia"/>
                      <w:color w:val="auto"/>
                      <w:sz w:val="13"/>
                      <w:szCs w:val="13"/>
                    </w:rPr>
                    <w:t>95</w:t>
                  </w:r>
                </w:p>
              </w:tc>
              <w:tc>
                <w:tcPr>
                  <w:tcW w:w="348" w:type="pct"/>
                  <w:vMerge w:val="continue"/>
                  <w:vAlign w:val="center"/>
                </w:tcPr>
                <w:p>
                  <w:pPr>
                    <w:jc w:val="center"/>
                    <w:rPr>
                      <w:bCs/>
                      <w:color w:val="auto"/>
                      <w:sz w:val="13"/>
                      <w:szCs w:val="13"/>
                    </w:rPr>
                  </w:pPr>
                </w:p>
              </w:tc>
              <w:tc>
                <w:tcPr>
                  <w:tcW w:w="357" w:type="pct"/>
                  <w:vAlign w:val="center"/>
                </w:tcPr>
                <w:p>
                  <w:pPr>
                    <w:pStyle w:val="47"/>
                    <w:spacing w:line="240" w:lineRule="auto"/>
                    <w:ind w:firstLine="0"/>
                    <w:jc w:val="center"/>
                    <w:outlineLvl w:val="2"/>
                    <w:rPr>
                      <w:color w:val="auto"/>
                      <w:sz w:val="13"/>
                      <w:szCs w:val="13"/>
                    </w:rPr>
                  </w:pPr>
                  <w:r>
                    <w:rPr>
                      <w:rFonts w:hint="eastAsia"/>
                      <w:color w:val="auto"/>
                      <w:sz w:val="13"/>
                      <w:szCs w:val="13"/>
                    </w:rPr>
                    <w:t>-12.08</w:t>
                  </w:r>
                </w:p>
              </w:tc>
              <w:tc>
                <w:tcPr>
                  <w:tcW w:w="357" w:type="pct"/>
                  <w:vAlign w:val="center"/>
                </w:tcPr>
                <w:p>
                  <w:pPr>
                    <w:pStyle w:val="47"/>
                    <w:spacing w:line="240" w:lineRule="auto"/>
                    <w:ind w:firstLine="0"/>
                    <w:jc w:val="center"/>
                    <w:outlineLvl w:val="2"/>
                    <w:rPr>
                      <w:color w:val="auto"/>
                      <w:sz w:val="13"/>
                      <w:szCs w:val="13"/>
                    </w:rPr>
                  </w:pPr>
                  <w:r>
                    <w:rPr>
                      <w:rFonts w:hint="eastAsia"/>
                      <w:color w:val="auto"/>
                      <w:sz w:val="13"/>
                      <w:szCs w:val="13"/>
                    </w:rPr>
                    <w:t>39.05</w:t>
                  </w:r>
                </w:p>
              </w:tc>
              <w:tc>
                <w:tcPr>
                  <w:tcW w:w="263" w:type="pct"/>
                  <w:vAlign w:val="center"/>
                </w:tcPr>
                <w:p>
                  <w:pPr>
                    <w:jc w:val="center"/>
                    <w:rPr>
                      <w:color w:val="auto"/>
                      <w:sz w:val="13"/>
                      <w:szCs w:val="13"/>
                    </w:rPr>
                  </w:pPr>
                  <w:r>
                    <w:rPr>
                      <w:rFonts w:hint="eastAsia"/>
                      <w:color w:val="auto"/>
                      <w:sz w:val="13"/>
                      <w:szCs w:val="13"/>
                    </w:rPr>
                    <w:t>2</w:t>
                  </w:r>
                </w:p>
              </w:tc>
              <w:tc>
                <w:tcPr>
                  <w:tcW w:w="349" w:type="pct"/>
                  <w:vAlign w:val="center"/>
                </w:tcPr>
                <w:p>
                  <w:pPr>
                    <w:jc w:val="center"/>
                    <w:rPr>
                      <w:bCs/>
                      <w:color w:val="auto"/>
                      <w:sz w:val="13"/>
                      <w:szCs w:val="13"/>
                    </w:rPr>
                  </w:pPr>
                  <w:r>
                    <w:rPr>
                      <w:rFonts w:hint="eastAsia"/>
                      <w:bCs/>
                      <w:color w:val="auto"/>
                      <w:sz w:val="13"/>
                      <w:szCs w:val="13"/>
                    </w:rPr>
                    <w:t>7</w:t>
                  </w:r>
                </w:p>
              </w:tc>
              <w:tc>
                <w:tcPr>
                  <w:tcW w:w="359" w:type="pct"/>
                  <w:vAlign w:val="center"/>
                </w:tcPr>
                <w:p>
                  <w:pPr>
                    <w:jc w:val="center"/>
                    <w:rPr>
                      <w:bCs/>
                      <w:color w:val="auto"/>
                      <w:sz w:val="13"/>
                      <w:szCs w:val="13"/>
                    </w:rPr>
                  </w:pPr>
                  <w:r>
                    <w:rPr>
                      <w:rFonts w:hint="eastAsia"/>
                      <w:bCs/>
                      <w:color w:val="auto"/>
                      <w:sz w:val="13"/>
                      <w:szCs w:val="13"/>
                    </w:rPr>
                    <w:t>78.09</w:t>
                  </w:r>
                </w:p>
              </w:tc>
              <w:tc>
                <w:tcPr>
                  <w:tcW w:w="326" w:type="pct"/>
                  <w:vMerge w:val="continue"/>
                  <w:vAlign w:val="center"/>
                </w:tcPr>
                <w:p>
                  <w:pPr>
                    <w:jc w:val="center"/>
                    <w:rPr>
                      <w:bCs/>
                      <w:color w:val="auto"/>
                      <w:sz w:val="13"/>
                      <w:szCs w:val="13"/>
                    </w:rPr>
                  </w:pPr>
                </w:p>
              </w:tc>
              <w:tc>
                <w:tcPr>
                  <w:tcW w:w="425" w:type="pct"/>
                  <w:vAlign w:val="center"/>
                </w:tcPr>
                <w:p>
                  <w:pPr>
                    <w:jc w:val="center"/>
                    <w:rPr>
                      <w:bCs/>
                      <w:color w:val="auto"/>
                      <w:sz w:val="13"/>
                      <w:szCs w:val="13"/>
                    </w:rPr>
                  </w:pPr>
                  <w:r>
                    <w:rPr>
                      <w:rFonts w:hint="eastAsia"/>
                      <w:bCs/>
                      <w:color w:val="auto"/>
                      <w:sz w:val="13"/>
                      <w:szCs w:val="13"/>
                    </w:rPr>
                    <w:t>10</w:t>
                  </w:r>
                </w:p>
              </w:tc>
              <w:tc>
                <w:tcPr>
                  <w:tcW w:w="373" w:type="pct"/>
                  <w:vAlign w:val="center"/>
                </w:tcPr>
                <w:p>
                  <w:pPr>
                    <w:jc w:val="center"/>
                    <w:rPr>
                      <w:bCs/>
                      <w:color w:val="auto"/>
                      <w:sz w:val="13"/>
                      <w:szCs w:val="13"/>
                    </w:rPr>
                  </w:pPr>
                  <w:r>
                    <w:rPr>
                      <w:rFonts w:hint="eastAsia"/>
                      <w:bCs/>
                      <w:color w:val="auto"/>
                      <w:sz w:val="13"/>
                      <w:szCs w:val="13"/>
                    </w:rPr>
                    <w:t>68.08</w:t>
                  </w:r>
                </w:p>
              </w:tc>
              <w:tc>
                <w:tcPr>
                  <w:tcW w:w="325" w:type="pct"/>
                  <w:vAlign w:val="center"/>
                </w:tcPr>
                <w:p>
                  <w:pPr>
                    <w:jc w:val="center"/>
                    <w:rPr>
                      <w:bCs/>
                      <w:color w:val="auto"/>
                      <w:sz w:val="13"/>
                      <w:szCs w:val="13"/>
                    </w:rPr>
                  </w:pPr>
                  <w:r>
                    <w:rPr>
                      <w:rFonts w:hint="eastAsia"/>
                      <w:bCs/>
                      <w:color w:val="auto"/>
                      <w:sz w:val="13"/>
                      <w:szCs w:val="13"/>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1" w:type="pct"/>
                  <w:vMerge w:val="continue"/>
                  <w:vAlign w:val="center"/>
                </w:tcPr>
                <w:p>
                  <w:pPr>
                    <w:jc w:val="center"/>
                    <w:rPr>
                      <w:bCs/>
                      <w:color w:val="auto"/>
                      <w:sz w:val="13"/>
                      <w:szCs w:val="13"/>
                    </w:rPr>
                  </w:pPr>
                </w:p>
              </w:tc>
              <w:tc>
                <w:tcPr>
                  <w:tcW w:w="385" w:type="pct"/>
                  <w:vAlign w:val="center"/>
                </w:tcPr>
                <w:p>
                  <w:pPr>
                    <w:widowControl/>
                    <w:jc w:val="center"/>
                    <w:textAlignment w:val="center"/>
                    <w:rPr>
                      <w:color w:val="auto"/>
                      <w:sz w:val="13"/>
                      <w:szCs w:val="13"/>
                    </w:rPr>
                  </w:pPr>
                  <w:r>
                    <w:rPr>
                      <w:rFonts w:hint="eastAsia"/>
                      <w:color w:val="auto"/>
                      <w:sz w:val="13"/>
                      <w:szCs w:val="13"/>
                    </w:rPr>
                    <w:t>颚式</w:t>
                  </w:r>
                </w:p>
                <w:p>
                  <w:pPr>
                    <w:widowControl/>
                    <w:jc w:val="center"/>
                    <w:textAlignment w:val="center"/>
                    <w:rPr>
                      <w:color w:val="auto"/>
                      <w:sz w:val="13"/>
                      <w:szCs w:val="13"/>
                    </w:rPr>
                  </w:pPr>
                  <w:r>
                    <w:rPr>
                      <w:rFonts w:hint="eastAsia"/>
                      <w:color w:val="auto"/>
                      <w:sz w:val="13"/>
                      <w:szCs w:val="13"/>
                    </w:rPr>
                    <w:t>破碎机</w:t>
                  </w:r>
                </w:p>
              </w:tc>
              <w:tc>
                <w:tcPr>
                  <w:tcW w:w="534" w:type="pct"/>
                  <w:vAlign w:val="center"/>
                </w:tcPr>
                <w:p>
                  <w:pPr>
                    <w:jc w:val="center"/>
                    <w:rPr>
                      <w:color w:val="auto"/>
                      <w:sz w:val="13"/>
                      <w:szCs w:val="13"/>
                    </w:rPr>
                  </w:pPr>
                  <w:r>
                    <w:rPr>
                      <w:color w:val="auto"/>
                      <w:kern w:val="0"/>
                      <w:sz w:val="13"/>
                      <w:szCs w:val="13"/>
                      <w:lang w:bidi="ar"/>
                    </w:rPr>
                    <w:t>250-400</w:t>
                  </w:r>
                </w:p>
              </w:tc>
              <w:tc>
                <w:tcPr>
                  <w:tcW w:w="359" w:type="pct"/>
                  <w:vAlign w:val="center"/>
                </w:tcPr>
                <w:p>
                  <w:pPr>
                    <w:jc w:val="center"/>
                    <w:rPr>
                      <w:color w:val="auto"/>
                      <w:sz w:val="13"/>
                      <w:szCs w:val="13"/>
                    </w:rPr>
                  </w:pPr>
                  <w:r>
                    <w:rPr>
                      <w:rFonts w:hint="eastAsia"/>
                      <w:color w:val="auto"/>
                      <w:sz w:val="13"/>
                      <w:szCs w:val="13"/>
                    </w:rPr>
                    <w:t>95</w:t>
                  </w:r>
                </w:p>
              </w:tc>
              <w:tc>
                <w:tcPr>
                  <w:tcW w:w="348" w:type="pct"/>
                  <w:vMerge w:val="continue"/>
                  <w:vAlign w:val="center"/>
                </w:tcPr>
                <w:p>
                  <w:pPr>
                    <w:jc w:val="center"/>
                    <w:rPr>
                      <w:bCs/>
                      <w:color w:val="auto"/>
                      <w:sz w:val="13"/>
                      <w:szCs w:val="13"/>
                    </w:rPr>
                  </w:pPr>
                </w:p>
              </w:tc>
              <w:tc>
                <w:tcPr>
                  <w:tcW w:w="357" w:type="pct"/>
                  <w:vAlign w:val="center"/>
                </w:tcPr>
                <w:p>
                  <w:pPr>
                    <w:pStyle w:val="47"/>
                    <w:spacing w:line="240" w:lineRule="auto"/>
                    <w:ind w:firstLine="0"/>
                    <w:jc w:val="center"/>
                    <w:outlineLvl w:val="2"/>
                    <w:rPr>
                      <w:color w:val="auto"/>
                      <w:sz w:val="13"/>
                      <w:szCs w:val="13"/>
                    </w:rPr>
                  </w:pPr>
                  <w:r>
                    <w:rPr>
                      <w:rFonts w:hint="eastAsia"/>
                      <w:color w:val="auto"/>
                      <w:sz w:val="13"/>
                      <w:szCs w:val="13"/>
                    </w:rPr>
                    <w:t>-13.5</w:t>
                  </w:r>
                </w:p>
              </w:tc>
              <w:tc>
                <w:tcPr>
                  <w:tcW w:w="357" w:type="pct"/>
                  <w:vAlign w:val="center"/>
                </w:tcPr>
                <w:p>
                  <w:pPr>
                    <w:pStyle w:val="47"/>
                    <w:spacing w:line="240" w:lineRule="auto"/>
                    <w:ind w:firstLine="0"/>
                    <w:jc w:val="center"/>
                    <w:outlineLvl w:val="2"/>
                    <w:rPr>
                      <w:color w:val="auto"/>
                      <w:sz w:val="13"/>
                      <w:szCs w:val="13"/>
                    </w:rPr>
                  </w:pPr>
                  <w:r>
                    <w:rPr>
                      <w:rFonts w:hint="eastAsia"/>
                      <w:color w:val="auto"/>
                      <w:sz w:val="13"/>
                      <w:szCs w:val="13"/>
                    </w:rPr>
                    <w:t>40.5</w:t>
                  </w:r>
                </w:p>
              </w:tc>
              <w:tc>
                <w:tcPr>
                  <w:tcW w:w="263" w:type="pct"/>
                  <w:vAlign w:val="center"/>
                </w:tcPr>
                <w:p>
                  <w:pPr>
                    <w:jc w:val="center"/>
                    <w:rPr>
                      <w:color w:val="auto"/>
                      <w:sz w:val="13"/>
                      <w:szCs w:val="13"/>
                    </w:rPr>
                  </w:pPr>
                  <w:r>
                    <w:rPr>
                      <w:rFonts w:hint="eastAsia"/>
                      <w:color w:val="auto"/>
                      <w:sz w:val="13"/>
                      <w:szCs w:val="13"/>
                    </w:rPr>
                    <w:t>2</w:t>
                  </w:r>
                </w:p>
              </w:tc>
              <w:tc>
                <w:tcPr>
                  <w:tcW w:w="349" w:type="pct"/>
                  <w:vAlign w:val="center"/>
                </w:tcPr>
                <w:p>
                  <w:pPr>
                    <w:jc w:val="center"/>
                    <w:rPr>
                      <w:bCs/>
                      <w:color w:val="auto"/>
                      <w:sz w:val="13"/>
                      <w:szCs w:val="13"/>
                    </w:rPr>
                  </w:pPr>
                  <w:r>
                    <w:rPr>
                      <w:rFonts w:hint="eastAsia"/>
                      <w:bCs/>
                      <w:color w:val="auto"/>
                      <w:sz w:val="13"/>
                      <w:szCs w:val="13"/>
                    </w:rPr>
                    <w:t>9</w:t>
                  </w:r>
                </w:p>
              </w:tc>
              <w:tc>
                <w:tcPr>
                  <w:tcW w:w="359" w:type="pct"/>
                  <w:vAlign w:val="center"/>
                </w:tcPr>
                <w:p>
                  <w:pPr>
                    <w:jc w:val="center"/>
                    <w:rPr>
                      <w:bCs/>
                      <w:color w:val="auto"/>
                      <w:sz w:val="13"/>
                      <w:szCs w:val="13"/>
                    </w:rPr>
                  </w:pPr>
                  <w:r>
                    <w:rPr>
                      <w:rFonts w:hint="eastAsia"/>
                      <w:bCs/>
                      <w:color w:val="auto"/>
                      <w:sz w:val="13"/>
                      <w:szCs w:val="13"/>
                    </w:rPr>
                    <w:t>75.91</w:t>
                  </w:r>
                </w:p>
              </w:tc>
              <w:tc>
                <w:tcPr>
                  <w:tcW w:w="326" w:type="pct"/>
                  <w:vMerge w:val="continue"/>
                  <w:vAlign w:val="center"/>
                </w:tcPr>
                <w:p>
                  <w:pPr>
                    <w:jc w:val="center"/>
                    <w:rPr>
                      <w:bCs/>
                      <w:color w:val="auto"/>
                      <w:sz w:val="13"/>
                      <w:szCs w:val="13"/>
                    </w:rPr>
                  </w:pPr>
                </w:p>
              </w:tc>
              <w:tc>
                <w:tcPr>
                  <w:tcW w:w="425" w:type="pct"/>
                  <w:vAlign w:val="center"/>
                </w:tcPr>
                <w:p>
                  <w:pPr>
                    <w:jc w:val="center"/>
                    <w:rPr>
                      <w:bCs/>
                      <w:color w:val="auto"/>
                      <w:sz w:val="13"/>
                      <w:szCs w:val="13"/>
                    </w:rPr>
                  </w:pPr>
                  <w:r>
                    <w:rPr>
                      <w:rFonts w:hint="eastAsia"/>
                      <w:bCs/>
                      <w:color w:val="auto"/>
                      <w:sz w:val="13"/>
                      <w:szCs w:val="13"/>
                    </w:rPr>
                    <w:t>10</w:t>
                  </w:r>
                </w:p>
              </w:tc>
              <w:tc>
                <w:tcPr>
                  <w:tcW w:w="373" w:type="pct"/>
                  <w:vAlign w:val="center"/>
                </w:tcPr>
                <w:p>
                  <w:pPr>
                    <w:jc w:val="center"/>
                    <w:rPr>
                      <w:bCs/>
                      <w:color w:val="auto"/>
                      <w:sz w:val="13"/>
                      <w:szCs w:val="13"/>
                    </w:rPr>
                  </w:pPr>
                  <w:r>
                    <w:rPr>
                      <w:rFonts w:hint="eastAsia"/>
                      <w:bCs/>
                      <w:color w:val="auto"/>
                      <w:sz w:val="13"/>
                      <w:szCs w:val="13"/>
                    </w:rPr>
                    <w:t>6.91</w:t>
                  </w:r>
                </w:p>
              </w:tc>
              <w:tc>
                <w:tcPr>
                  <w:tcW w:w="325" w:type="pct"/>
                  <w:vAlign w:val="center"/>
                </w:tcPr>
                <w:p>
                  <w:pPr>
                    <w:jc w:val="center"/>
                    <w:rPr>
                      <w:bCs/>
                      <w:color w:val="auto"/>
                      <w:sz w:val="13"/>
                      <w:szCs w:val="13"/>
                    </w:rPr>
                  </w:pPr>
                  <w:r>
                    <w:rPr>
                      <w:rFonts w:hint="eastAsia"/>
                      <w:bCs/>
                      <w:color w:val="auto"/>
                      <w:sz w:val="13"/>
                      <w:szCs w:val="13"/>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241" w:type="pct"/>
                  <w:vMerge w:val="continue"/>
                  <w:vAlign w:val="center"/>
                </w:tcPr>
                <w:p>
                  <w:pPr>
                    <w:jc w:val="center"/>
                    <w:rPr>
                      <w:bCs/>
                      <w:color w:val="auto"/>
                      <w:sz w:val="13"/>
                      <w:szCs w:val="13"/>
                    </w:rPr>
                  </w:pPr>
                </w:p>
              </w:tc>
              <w:tc>
                <w:tcPr>
                  <w:tcW w:w="385" w:type="pct"/>
                  <w:vAlign w:val="center"/>
                </w:tcPr>
                <w:p>
                  <w:pPr>
                    <w:widowControl/>
                    <w:jc w:val="center"/>
                    <w:textAlignment w:val="center"/>
                    <w:rPr>
                      <w:color w:val="auto"/>
                      <w:sz w:val="13"/>
                      <w:szCs w:val="13"/>
                    </w:rPr>
                  </w:pPr>
                  <w:r>
                    <w:rPr>
                      <w:rFonts w:hint="eastAsia"/>
                      <w:color w:val="auto"/>
                      <w:sz w:val="13"/>
                      <w:szCs w:val="13"/>
                    </w:rPr>
                    <w:t>高压</w:t>
                  </w:r>
                </w:p>
                <w:p>
                  <w:pPr>
                    <w:widowControl/>
                    <w:jc w:val="center"/>
                    <w:textAlignment w:val="center"/>
                    <w:rPr>
                      <w:color w:val="auto"/>
                      <w:sz w:val="13"/>
                      <w:szCs w:val="13"/>
                    </w:rPr>
                  </w:pPr>
                  <w:r>
                    <w:rPr>
                      <w:rFonts w:hint="eastAsia"/>
                      <w:color w:val="auto"/>
                      <w:sz w:val="13"/>
                      <w:szCs w:val="13"/>
                    </w:rPr>
                    <w:t>粉磨机</w:t>
                  </w:r>
                </w:p>
              </w:tc>
              <w:tc>
                <w:tcPr>
                  <w:tcW w:w="534" w:type="pct"/>
                  <w:vAlign w:val="center"/>
                </w:tcPr>
                <w:p>
                  <w:pPr>
                    <w:jc w:val="center"/>
                    <w:rPr>
                      <w:color w:val="auto"/>
                      <w:sz w:val="13"/>
                      <w:szCs w:val="13"/>
                    </w:rPr>
                  </w:pPr>
                  <w:r>
                    <w:rPr>
                      <w:rFonts w:hint="eastAsia"/>
                      <w:color w:val="auto"/>
                      <w:sz w:val="13"/>
                      <w:szCs w:val="13"/>
                    </w:rPr>
                    <w:t>9548</w:t>
                  </w:r>
                </w:p>
              </w:tc>
              <w:tc>
                <w:tcPr>
                  <w:tcW w:w="359" w:type="pct"/>
                  <w:vAlign w:val="center"/>
                </w:tcPr>
                <w:p>
                  <w:pPr>
                    <w:jc w:val="center"/>
                    <w:rPr>
                      <w:color w:val="auto"/>
                      <w:sz w:val="13"/>
                      <w:szCs w:val="13"/>
                    </w:rPr>
                  </w:pPr>
                  <w:r>
                    <w:rPr>
                      <w:rFonts w:hint="eastAsia"/>
                      <w:color w:val="auto"/>
                      <w:sz w:val="13"/>
                      <w:szCs w:val="13"/>
                    </w:rPr>
                    <w:t>90</w:t>
                  </w:r>
                </w:p>
              </w:tc>
              <w:tc>
                <w:tcPr>
                  <w:tcW w:w="348" w:type="pct"/>
                  <w:vMerge w:val="continue"/>
                  <w:vAlign w:val="center"/>
                </w:tcPr>
                <w:p>
                  <w:pPr>
                    <w:jc w:val="center"/>
                    <w:rPr>
                      <w:bCs/>
                      <w:color w:val="auto"/>
                      <w:sz w:val="13"/>
                      <w:szCs w:val="13"/>
                    </w:rPr>
                  </w:pPr>
                </w:p>
              </w:tc>
              <w:tc>
                <w:tcPr>
                  <w:tcW w:w="357" w:type="pct"/>
                  <w:vAlign w:val="center"/>
                </w:tcPr>
                <w:p>
                  <w:pPr>
                    <w:pStyle w:val="47"/>
                    <w:spacing w:line="240" w:lineRule="auto"/>
                    <w:ind w:firstLine="0"/>
                    <w:jc w:val="center"/>
                    <w:outlineLvl w:val="2"/>
                    <w:rPr>
                      <w:color w:val="auto"/>
                      <w:sz w:val="13"/>
                      <w:szCs w:val="13"/>
                    </w:rPr>
                  </w:pPr>
                  <w:r>
                    <w:rPr>
                      <w:rFonts w:hint="eastAsia"/>
                      <w:color w:val="auto"/>
                      <w:sz w:val="13"/>
                      <w:szCs w:val="13"/>
                    </w:rPr>
                    <w:t>-2.12</w:t>
                  </w:r>
                </w:p>
              </w:tc>
              <w:tc>
                <w:tcPr>
                  <w:tcW w:w="357" w:type="pct"/>
                  <w:vAlign w:val="center"/>
                </w:tcPr>
                <w:p>
                  <w:pPr>
                    <w:pStyle w:val="47"/>
                    <w:spacing w:line="240" w:lineRule="auto"/>
                    <w:ind w:firstLine="0"/>
                    <w:jc w:val="center"/>
                    <w:outlineLvl w:val="2"/>
                    <w:rPr>
                      <w:color w:val="auto"/>
                      <w:sz w:val="13"/>
                      <w:szCs w:val="13"/>
                    </w:rPr>
                  </w:pPr>
                  <w:r>
                    <w:rPr>
                      <w:rFonts w:hint="eastAsia"/>
                      <w:color w:val="auto"/>
                      <w:sz w:val="13"/>
                      <w:szCs w:val="13"/>
                    </w:rPr>
                    <w:t>33.46</w:t>
                  </w:r>
                </w:p>
              </w:tc>
              <w:tc>
                <w:tcPr>
                  <w:tcW w:w="263" w:type="pct"/>
                  <w:vAlign w:val="center"/>
                </w:tcPr>
                <w:p>
                  <w:pPr>
                    <w:jc w:val="center"/>
                    <w:rPr>
                      <w:color w:val="auto"/>
                      <w:sz w:val="13"/>
                      <w:szCs w:val="13"/>
                    </w:rPr>
                  </w:pPr>
                  <w:r>
                    <w:rPr>
                      <w:rFonts w:hint="eastAsia"/>
                      <w:color w:val="auto"/>
                      <w:sz w:val="13"/>
                      <w:szCs w:val="13"/>
                    </w:rPr>
                    <w:t>2</w:t>
                  </w:r>
                </w:p>
              </w:tc>
              <w:tc>
                <w:tcPr>
                  <w:tcW w:w="349" w:type="pct"/>
                  <w:vAlign w:val="center"/>
                </w:tcPr>
                <w:p>
                  <w:pPr>
                    <w:jc w:val="center"/>
                    <w:rPr>
                      <w:bCs/>
                      <w:color w:val="auto"/>
                      <w:sz w:val="13"/>
                      <w:szCs w:val="13"/>
                    </w:rPr>
                  </w:pPr>
                  <w:r>
                    <w:rPr>
                      <w:rFonts w:hint="eastAsia"/>
                      <w:bCs/>
                      <w:color w:val="auto"/>
                      <w:sz w:val="13"/>
                      <w:szCs w:val="13"/>
                    </w:rPr>
                    <w:t>6</w:t>
                  </w:r>
                </w:p>
              </w:tc>
              <w:tc>
                <w:tcPr>
                  <w:tcW w:w="359" w:type="pct"/>
                  <w:vAlign w:val="center"/>
                </w:tcPr>
                <w:p>
                  <w:pPr>
                    <w:jc w:val="center"/>
                    <w:rPr>
                      <w:bCs/>
                      <w:color w:val="auto"/>
                      <w:sz w:val="13"/>
                      <w:szCs w:val="13"/>
                    </w:rPr>
                  </w:pPr>
                  <w:r>
                    <w:rPr>
                      <w:rFonts w:hint="eastAsia"/>
                      <w:bCs/>
                      <w:color w:val="auto"/>
                      <w:sz w:val="13"/>
                      <w:szCs w:val="13"/>
                    </w:rPr>
                    <w:t>74.43</w:t>
                  </w:r>
                </w:p>
              </w:tc>
              <w:tc>
                <w:tcPr>
                  <w:tcW w:w="326" w:type="pct"/>
                  <w:vMerge w:val="continue"/>
                  <w:vAlign w:val="center"/>
                </w:tcPr>
                <w:p>
                  <w:pPr>
                    <w:jc w:val="center"/>
                    <w:rPr>
                      <w:bCs/>
                      <w:color w:val="auto"/>
                      <w:sz w:val="13"/>
                      <w:szCs w:val="13"/>
                    </w:rPr>
                  </w:pPr>
                </w:p>
              </w:tc>
              <w:tc>
                <w:tcPr>
                  <w:tcW w:w="425" w:type="pct"/>
                  <w:vAlign w:val="center"/>
                </w:tcPr>
                <w:p>
                  <w:pPr>
                    <w:jc w:val="center"/>
                    <w:rPr>
                      <w:bCs/>
                      <w:color w:val="auto"/>
                      <w:sz w:val="13"/>
                      <w:szCs w:val="13"/>
                    </w:rPr>
                  </w:pPr>
                  <w:r>
                    <w:rPr>
                      <w:rFonts w:hint="eastAsia"/>
                      <w:bCs/>
                      <w:color w:val="auto"/>
                      <w:sz w:val="13"/>
                      <w:szCs w:val="13"/>
                    </w:rPr>
                    <w:t>10</w:t>
                  </w:r>
                </w:p>
              </w:tc>
              <w:tc>
                <w:tcPr>
                  <w:tcW w:w="373" w:type="pct"/>
                  <w:vAlign w:val="center"/>
                </w:tcPr>
                <w:p>
                  <w:pPr>
                    <w:jc w:val="center"/>
                    <w:rPr>
                      <w:bCs/>
                      <w:color w:val="auto"/>
                      <w:sz w:val="13"/>
                      <w:szCs w:val="13"/>
                    </w:rPr>
                  </w:pPr>
                  <w:r>
                    <w:rPr>
                      <w:rFonts w:hint="eastAsia"/>
                      <w:bCs/>
                      <w:color w:val="auto"/>
                      <w:sz w:val="13"/>
                      <w:szCs w:val="13"/>
                    </w:rPr>
                    <w:t>64.43</w:t>
                  </w:r>
                </w:p>
              </w:tc>
              <w:tc>
                <w:tcPr>
                  <w:tcW w:w="325" w:type="pct"/>
                  <w:vAlign w:val="center"/>
                </w:tcPr>
                <w:p>
                  <w:pPr>
                    <w:jc w:val="center"/>
                    <w:rPr>
                      <w:bCs/>
                      <w:color w:val="auto"/>
                      <w:sz w:val="13"/>
                      <w:szCs w:val="13"/>
                    </w:rPr>
                  </w:pPr>
                  <w:r>
                    <w:rPr>
                      <w:rFonts w:hint="eastAsia"/>
                      <w:bCs/>
                      <w:color w:val="auto"/>
                      <w:sz w:val="13"/>
                      <w:szCs w:val="13"/>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1" w:type="pct"/>
                  <w:vMerge w:val="continue"/>
                  <w:vAlign w:val="center"/>
                </w:tcPr>
                <w:p>
                  <w:pPr>
                    <w:jc w:val="center"/>
                    <w:rPr>
                      <w:bCs/>
                      <w:color w:val="auto"/>
                      <w:sz w:val="13"/>
                      <w:szCs w:val="13"/>
                    </w:rPr>
                  </w:pPr>
                </w:p>
              </w:tc>
              <w:tc>
                <w:tcPr>
                  <w:tcW w:w="385" w:type="pct"/>
                  <w:vAlign w:val="center"/>
                </w:tcPr>
                <w:p>
                  <w:pPr>
                    <w:widowControl/>
                    <w:jc w:val="center"/>
                    <w:textAlignment w:val="center"/>
                    <w:rPr>
                      <w:color w:val="auto"/>
                      <w:sz w:val="13"/>
                      <w:szCs w:val="13"/>
                    </w:rPr>
                  </w:pPr>
                  <w:r>
                    <w:rPr>
                      <w:rFonts w:hint="eastAsia"/>
                      <w:color w:val="auto"/>
                      <w:sz w:val="13"/>
                      <w:szCs w:val="13"/>
                    </w:rPr>
                    <w:t>双辊</w:t>
                  </w:r>
                </w:p>
                <w:p>
                  <w:pPr>
                    <w:widowControl/>
                    <w:jc w:val="center"/>
                    <w:textAlignment w:val="center"/>
                    <w:rPr>
                      <w:color w:val="auto"/>
                      <w:sz w:val="13"/>
                      <w:szCs w:val="13"/>
                    </w:rPr>
                  </w:pPr>
                  <w:r>
                    <w:rPr>
                      <w:rFonts w:hint="eastAsia"/>
                      <w:color w:val="auto"/>
                      <w:sz w:val="13"/>
                      <w:szCs w:val="13"/>
                    </w:rPr>
                    <w:t>破碎机</w:t>
                  </w:r>
                </w:p>
              </w:tc>
              <w:tc>
                <w:tcPr>
                  <w:tcW w:w="534" w:type="pct"/>
                  <w:vAlign w:val="center"/>
                </w:tcPr>
                <w:p>
                  <w:pPr>
                    <w:jc w:val="center"/>
                    <w:rPr>
                      <w:color w:val="auto"/>
                      <w:sz w:val="13"/>
                      <w:szCs w:val="13"/>
                    </w:rPr>
                  </w:pPr>
                  <w:r>
                    <w:rPr>
                      <w:rFonts w:hint="eastAsia"/>
                      <w:color w:val="auto"/>
                      <w:sz w:val="13"/>
                      <w:szCs w:val="13"/>
                    </w:rPr>
                    <w:t>2PC</w:t>
                  </w:r>
                </w:p>
              </w:tc>
              <w:tc>
                <w:tcPr>
                  <w:tcW w:w="359" w:type="pct"/>
                  <w:vAlign w:val="center"/>
                </w:tcPr>
                <w:p>
                  <w:pPr>
                    <w:jc w:val="center"/>
                    <w:rPr>
                      <w:color w:val="auto"/>
                      <w:sz w:val="13"/>
                      <w:szCs w:val="13"/>
                    </w:rPr>
                  </w:pPr>
                  <w:r>
                    <w:rPr>
                      <w:rFonts w:hint="eastAsia"/>
                      <w:color w:val="auto"/>
                      <w:sz w:val="13"/>
                      <w:szCs w:val="13"/>
                    </w:rPr>
                    <w:t>95</w:t>
                  </w:r>
                </w:p>
              </w:tc>
              <w:tc>
                <w:tcPr>
                  <w:tcW w:w="348" w:type="pct"/>
                  <w:vMerge w:val="continue"/>
                  <w:vAlign w:val="center"/>
                </w:tcPr>
                <w:p>
                  <w:pPr>
                    <w:jc w:val="center"/>
                    <w:rPr>
                      <w:bCs/>
                      <w:color w:val="auto"/>
                      <w:sz w:val="13"/>
                      <w:szCs w:val="13"/>
                    </w:rPr>
                  </w:pPr>
                </w:p>
              </w:tc>
              <w:tc>
                <w:tcPr>
                  <w:tcW w:w="357" w:type="pct"/>
                  <w:vAlign w:val="center"/>
                </w:tcPr>
                <w:p>
                  <w:pPr>
                    <w:pStyle w:val="47"/>
                    <w:spacing w:line="240" w:lineRule="auto"/>
                    <w:ind w:firstLine="0"/>
                    <w:jc w:val="center"/>
                    <w:outlineLvl w:val="2"/>
                    <w:rPr>
                      <w:color w:val="auto"/>
                      <w:sz w:val="13"/>
                      <w:szCs w:val="13"/>
                    </w:rPr>
                  </w:pPr>
                  <w:r>
                    <w:rPr>
                      <w:color w:val="auto"/>
                      <w:sz w:val="13"/>
                      <w:szCs w:val="13"/>
                    </w:rPr>
                    <w:t>-15.13</w:t>
                  </w:r>
                </w:p>
              </w:tc>
              <w:tc>
                <w:tcPr>
                  <w:tcW w:w="357" w:type="pct"/>
                  <w:vAlign w:val="center"/>
                </w:tcPr>
                <w:p>
                  <w:pPr>
                    <w:pStyle w:val="47"/>
                    <w:spacing w:line="240" w:lineRule="auto"/>
                    <w:ind w:firstLine="0"/>
                    <w:jc w:val="center"/>
                    <w:outlineLvl w:val="2"/>
                    <w:rPr>
                      <w:color w:val="auto"/>
                      <w:sz w:val="13"/>
                      <w:szCs w:val="13"/>
                    </w:rPr>
                  </w:pPr>
                  <w:r>
                    <w:rPr>
                      <w:rFonts w:hint="eastAsia"/>
                      <w:color w:val="auto"/>
                      <w:sz w:val="13"/>
                      <w:szCs w:val="13"/>
                    </w:rPr>
                    <w:t>24.33</w:t>
                  </w:r>
                </w:p>
              </w:tc>
              <w:tc>
                <w:tcPr>
                  <w:tcW w:w="263" w:type="pct"/>
                  <w:vAlign w:val="center"/>
                </w:tcPr>
                <w:p>
                  <w:pPr>
                    <w:jc w:val="center"/>
                    <w:rPr>
                      <w:color w:val="auto"/>
                      <w:sz w:val="13"/>
                      <w:szCs w:val="13"/>
                    </w:rPr>
                  </w:pPr>
                  <w:r>
                    <w:rPr>
                      <w:rFonts w:hint="eastAsia"/>
                      <w:color w:val="auto"/>
                      <w:sz w:val="13"/>
                      <w:szCs w:val="13"/>
                    </w:rPr>
                    <w:t>2</w:t>
                  </w:r>
                </w:p>
              </w:tc>
              <w:tc>
                <w:tcPr>
                  <w:tcW w:w="349" w:type="pct"/>
                  <w:vAlign w:val="center"/>
                </w:tcPr>
                <w:p>
                  <w:pPr>
                    <w:jc w:val="center"/>
                    <w:rPr>
                      <w:bCs/>
                      <w:color w:val="auto"/>
                      <w:sz w:val="13"/>
                      <w:szCs w:val="13"/>
                    </w:rPr>
                  </w:pPr>
                  <w:r>
                    <w:rPr>
                      <w:rFonts w:hint="eastAsia"/>
                      <w:bCs/>
                      <w:color w:val="auto"/>
                      <w:sz w:val="13"/>
                      <w:szCs w:val="13"/>
                    </w:rPr>
                    <w:t>10</w:t>
                  </w:r>
                </w:p>
              </w:tc>
              <w:tc>
                <w:tcPr>
                  <w:tcW w:w="359" w:type="pct"/>
                  <w:vAlign w:val="center"/>
                </w:tcPr>
                <w:p>
                  <w:pPr>
                    <w:jc w:val="center"/>
                    <w:rPr>
                      <w:bCs/>
                      <w:color w:val="auto"/>
                      <w:sz w:val="13"/>
                      <w:szCs w:val="13"/>
                    </w:rPr>
                  </w:pPr>
                  <w:r>
                    <w:rPr>
                      <w:rFonts w:hint="eastAsia"/>
                      <w:bCs/>
                      <w:color w:val="auto"/>
                      <w:sz w:val="13"/>
                      <w:szCs w:val="13"/>
                    </w:rPr>
                    <w:t>75</w:t>
                  </w:r>
                </w:p>
              </w:tc>
              <w:tc>
                <w:tcPr>
                  <w:tcW w:w="326" w:type="pct"/>
                  <w:vMerge w:val="continue"/>
                  <w:vAlign w:val="center"/>
                </w:tcPr>
                <w:p>
                  <w:pPr>
                    <w:jc w:val="center"/>
                    <w:rPr>
                      <w:bCs/>
                      <w:color w:val="auto"/>
                      <w:sz w:val="13"/>
                      <w:szCs w:val="13"/>
                    </w:rPr>
                  </w:pPr>
                </w:p>
              </w:tc>
              <w:tc>
                <w:tcPr>
                  <w:tcW w:w="425" w:type="pct"/>
                  <w:vAlign w:val="center"/>
                </w:tcPr>
                <w:p>
                  <w:pPr>
                    <w:jc w:val="center"/>
                    <w:rPr>
                      <w:bCs/>
                      <w:color w:val="auto"/>
                      <w:sz w:val="13"/>
                      <w:szCs w:val="13"/>
                    </w:rPr>
                  </w:pPr>
                  <w:r>
                    <w:rPr>
                      <w:rFonts w:hint="eastAsia"/>
                      <w:bCs/>
                      <w:color w:val="auto"/>
                      <w:sz w:val="13"/>
                      <w:szCs w:val="13"/>
                    </w:rPr>
                    <w:t>10</w:t>
                  </w:r>
                </w:p>
              </w:tc>
              <w:tc>
                <w:tcPr>
                  <w:tcW w:w="373" w:type="pct"/>
                  <w:vAlign w:val="center"/>
                </w:tcPr>
                <w:p>
                  <w:pPr>
                    <w:jc w:val="center"/>
                    <w:rPr>
                      <w:bCs/>
                      <w:color w:val="auto"/>
                      <w:sz w:val="13"/>
                      <w:szCs w:val="13"/>
                    </w:rPr>
                  </w:pPr>
                  <w:r>
                    <w:rPr>
                      <w:rFonts w:hint="eastAsia"/>
                      <w:bCs/>
                      <w:color w:val="auto"/>
                      <w:sz w:val="13"/>
                      <w:szCs w:val="13"/>
                    </w:rPr>
                    <w:t>65</w:t>
                  </w:r>
                </w:p>
              </w:tc>
              <w:tc>
                <w:tcPr>
                  <w:tcW w:w="325" w:type="pct"/>
                  <w:vAlign w:val="center"/>
                </w:tcPr>
                <w:p>
                  <w:pPr>
                    <w:jc w:val="center"/>
                    <w:rPr>
                      <w:bCs/>
                      <w:color w:val="auto"/>
                      <w:sz w:val="13"/>
                      <w:szCs w:val="13"/>
                    </w:rPr>
                  </w:pPr>
                  <w:r>
                    <w:rPr>
                      <w:rFonts w:hint="eastAsia"/>
                      <w:bCs/>
                      <w:color w:val="auto"/>
                      <w:sz w:val="13"/>
                      <w:szCs w:val="13"/>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1" w:type="pct"/>
                  <w:vMerge w:val="continue"/>
                  <w:vAlign w:val="center"/>
                </w:tcPr>
                <w:p>
                  <w:pPr>
                    <w:jc w:val="center"/>
                    <w:rPr>
                      <w:bCs/>
                      <w:color w:val="auto"/>
                      <w:sz w:val="13"/>
                      <w:szCs w:val="13"/>
                    </w:rPr>
                  </w:pPr>
                </w:p>
              </w:tc>
              <w:tc>
                <w:tcPr>
                  <w:tcW w:w="385" w:type="pct"/>
                  <w:vAlign w:val="center"/>
                </w:tcPr>
                <w:p>
                  <w:pPr>
                    <w:widowControl/>
                    <w:jc w:val="center"/>
                    <w:textAlignment w:val="center"/>
                    <w:rPr>
                      <w:color w:val="auto"/>
                      <w:sz w:val="13"/>
                      <w:szCs w:val="13"/>
                    </w:rPr>
                  </w:pPr>
                  <w:r>
                    <w:rPr>
                      <w:rFonts w:hint="eastAsia"/>
                      <w:color w:val="auto"/>
                      <w:sz w:val="13"/>
                      <w:szCs w:val="13"/>
                    </w:rPr>
                    <w:t>提升机</w:t>
                  </w:r>
                </w:p>
              </w:tc>
              <w:tc>
                <w:tcPr>
                  <w:tcW w:w="534" w:type="pct"/>
                  <w:vAlign w:val="center"/>
                </w:tcPr>
                <w:p>
                  <w:pPr>
                    <w:jc w:val="center"/>
                    <w:rPr>
                      <w:color w:val="auto"/>
                      <w:sz w:val="13"/>
                      <w:szCs w:val="13"/>
                    </w:rPr>
                  </w:pPr>
                  <w:r>
                    <w:rPr>
                      <w:rFonts w:hint="eastAsia"/>
                      <w:color w:val="auto"/>
                      <w:sz w:val="13"/>
                      <w:szCs w:val="13"/>
                    </w:rPr>
                    <w:t>LS159</w:t>
                  </w:r>
                </w:p>
              </w:tc>
              <w:tc>
                <w:tcPr>
                  <w:tcW w:w="359" w:type="pct"/>
                  <w:vAlign w:val="center"/>
                </w:tcPr>
                <w:p>
                  <w:pPr>
                    <w:jc w:val="center"/>
                    <w:rPr>
                      <w:color w:val="auto"/>
                      <w:sz w:val="13"/>
                      <w:szCs w:val="13"/>
                    </w:rPr>
                  </w:pPr>
                  <w:r>
                    <w:rPr>
                      <w:rFonts w:hint="eastAsia"/>
                      <w:color w:val="auto"/>
                      <w:sz w:val="13"/>
                      <w:szCs w:val="13"/>
                    </w:rPr>
                    <w:t>90</w:t>
                  </w:r>
                </w:p>
              </w:tc>
              <w:tc>
                <w:tcPr>
                  <w:tcW w:w="348" w:type="pct"/>
                  <w:vMerge w:val="continue"/>
                  <w:vAlign w:val="center"/>
                </w:tcPr>
                <w:p>
                  <w:pPr>
                    <w:jc w:val="center"/>
                    <w:rPr>
                      <w:bCs/>
                      <w:color w:val="auto"/>
                      <w:sz w:val="13"/>
                      <w:szCs w:val="13"/>
                    </w:rPr>
                  </w:pPr>
                </w:p>
              </w:tc>
              <w:tc>
                <w:tcPr>
                  <w:tcW w:w="357" w:type="pct"/>
                  <w:vAlign w:val="center"/>
                </w:tcPr>
                <w:p>
                  <w:pPr>
                    <w:pStyle w:val="47"/>
                    <w:spacing w:line="240" w:lineRule="auto"/>
                    <w:ind w:firstLine="0"/>
                    <w:jc w:val="center"/>
                    <w:outlineLvl w:val="2"/>
                    <w:rPr>
                      <w:color w:val="auto"/>
                      <w:sz w:val="13"/>
                      <w:szCs w:val="13"/>
                    </w:rPr>
                  </w:pPr>
                  <w:r>
                    <w:rPr>
                      <w:rFonts w:hint="eastAsia"/>
                      <w:color w:val="auto"/>
                      <w:sz w:val="13"/>
                      <w:szCs w:val="13"/>
                    </w:rPr>
                    <w:t>-21.82</w:t>
                  </w:r>
                </w:p>
              </w:tc>
              <w:tc>
                <w:tcPr>
                  <w:tcW w:w="357" w:type="pct"/>
                  <w:vAlign w:val="center"/>
                </w:tcPr>
                <w:p>
                  <w:pPr>
                    <w:pStyle w:val="47"/>
                    <w:spacing w:line="240" w:lineRule="auto"/>
                    <w:ind w:firstLine="0"/>
                    <w:jc w:val="center"/>
                    <w:outlineLvl w:val="2"/>
                    <w:rPr>
                      <w:color w:val="auto"/>
                      <w:sz w:val="13"/>
                      <w:szCs w:val="13"/>
                    </w:rPr>
                  </w:pPr>
                  <w:r>
                    <w:rPr>
                      <w:rFonts w:hint="eastAsia"/>
                      <w:color w:val="auto"/>
                      <w:sz w:val="13"/>
                      <w:szCs w:val="13"/>
                    </w:rPr>
                    <w:t>29.76</w:t>
                  </w:r>
                </w:p>
              </w:tc>
              <w:tc>
                <w:tcPr>
                  <w:tcW w:w="263" w:type="pct"/>
                  <w:vAlign w:val="center"/>
                </w:tcPr>
                <w:p>
                  <w:pPr>
                    <w:jc w:val="center"/>
                    <w:rPr>
                      <w:color w:val="auto"/>
                      <w:sz w:val="13"/>
                      <w:szCs w:val="13"/>
                    </w:rPr>
                  </w:pPr>
                  <w:r>
                    <w:rPr>
                      <w:rFonts w:hint="eastAsia"/>
                      <w:color w:val="auto"/>
                      <w:sz w:val="13"/>
                      <w:szCs w:val="13"/>
                    </w:rPr>
                    <w:t>5</w:t>
                  </w:r>
                </w:p>
              </w:tc>
              <w:tc>
                <w:tcPr>
                  <w:tcW w:w="349" w:type="pct"/>
                  <w:vAlign w:val="center"/>
                </w:tcPr>
                <w:p>
                  <w:pPr>
                    <w:jc w:val="center"/>
                    <w:rPr>
                      <w:bCs/>
                      <w:color w:val="auto"/>
                      <w:sz w:val="13"/>
                      <w:szCs w:val="13"/>
                    </w:rPr>
                  </w:pPr>
                  <w:r>
                    <w:rPr>
                      <w:rFonts w:hint="eastAsia"/>
                      <w:bCs/>
                      <w:color w:val="auto"/>
                      <w:sz w:val="13"/>
                      <w:szCs w:val="13"/>
                    </w:rPr>
                    <w:t>9</w:t>
                  </w:r>
                </w:p>
              </w:tc>
              <w:tc>
                <w:tcPr>
                  <w:tcW w:w="359" w:type="pct"/>
                  <w:vAlign w:val="center"/>
                </w:tcPr>
                <w:p>
                  <w:pPr>
                    <w:jc w:val="center"/>
                    <w:rPr>
                      <w:bCs/>
                      <w:color w:val="auto"/>
                      <w:sz w:val="13"/>
                      <w:szCs w:val="13"/>
                    </w:rPr>
                  </w:pPr>
                  <w:r>
                    <w:rPr>
                      <w:rFonts w:hint="eastAsia"/>
                      <w:bCs/>
                      <w:color w:val="auto"/>
                      <w:sz w:val="13"/>
                      <w:szCs w:val="13"/>
                    </w:rPr>
                    <w:t>70.91</w:t>
                  </w:r>
                </w:p>
              </w:tc>
              <w:tc>
                <w:tcPr>
                  <w:tcW w:w="326" w:type="pct"/>
                  <w:vMerge w:val="continue"/>
                  <w:vAlign w:val="center"/>
                </w:tcPr>
                <w:p>
                  <w:pPr>
                    <w:jc w:val="center"/>
                    <w:rPr>
                      <w:bCs/>
                      <w:color w:val="auto"/>
                      <w:sz w:val="13"/>
                      <w:szCs w:val="13"/>
                    </w:rPr>
                  </w:pPr>
                </w:p>
              </w:tc>
              <w:tc>
                <w:tcPr>
                  <w:tcW w:w="425" w:type="pct"/>
                  <w:vAlign w:val="center"/>
                </w:tcPr>
                <w:p>
                  <w:pPr>
                    <w:jc w:val="center"/>
                    <w:rPr>
                      <w:bCs/>
                      <w:color w:val="auto"/>
                      <w:sz w:val="13"/>
                      <w:szCs w:val="13"/>
                    </w:rPr>
                  </w:pPr>
                  <w:r>
                    <w:rPr>
                      <w:rFonts w:hint="eastAsia"/>
                      <w:bCs/>
                      <w:color w:val="auto"/>
                      <w:sz w:val="13"/>
                      <w:szCs w:val="13"/>
                    </w:rPr>
                    <w:t>10</w:t>
                  </w:r>
                </w:p>
              </w:tc>
              <w:tc>
                <w:tcPr>
                  <w:tcW w:w="373" w:type="pct"/>
                  <w:vAlign w:val="center"/>
                </w:tcPr>
                <w:p>
                  <w:pPr>
                    <w:jc w:val="center"/>
                    <w:rPr>
                      <w:bCs/>
                      <w:color w:val="auto"/>
                      <w:sz w:val="13"/>
                      <w:szCs w:val="13"/>
                    </w:rPr>
                  </w:pPr>
                  <w:r>
                    <w:rPr>
                      <w:rFonts w:hint="eastAsia"/>
                      <w:bCs/>
                      <w:color w:val="auto"/>
                      <w:sz w:val="13"/>
                      <w:szCs w:val="13"/>
                    </w:rPr>
                    <w:t>60.91</w:t>
                  </w:r>
                </w:p>
              </w:tc>
              <w:tc>
                <w:tcPr>
                  <w:tcW w:w="325" w:type="pct"/>
                  <w:vAlign w:val="center"/>
                </w:tcPr>
                <w:p>
                  <w:pPr>
                    <w:jc w:val="center"/>
                    <w:rPr>
                      <w:bCs/>
                      <w:color w:val="auto"/>
                      <w:sz w:val="13"/>
                      <w:szCs w:val="13"/>
                    </w:rPr>
                  </w:pPr>
                  <w:r>
                    <w:rPr>
                      <w:rFonts w:hint="eastAsia"/>
                      <w:bCs/>
                      <w:color w:val="auto"/>
                      <w:sz w:val="13"/>
                      <w:szCs w:val="13"/>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1" w:type="pct"/>
                  <w:vMerge w:val="continue"/>
                  <w:vAlign w:val="center"/>
                </w:tcPr>
                <w:p>
                  <w:pPr>
                    <w:jc w:val="center"/>
                    <w:rPr>
                      <w:bCs/>
                      <w:color w:val="auto"/>
                      <w:sz w:val="13"/>
                      <w:szCs w:val="13"/>
                    </w:rPr>
                  </w:pPr>
                </w:p>
              </w:tc>
              <w:tc>
                <w:tcPr>
                  <w:tcW w:w="385" w:type="pct"/>
                  <w:vAlign w:val="center"/>
                </w:tcPr>
                <w:p>
                  <w:pPr>
                    <w:widowControl/>
                    <w:jc w:val="center"/>
                    <w:textAlignment w:val="center"/>
                    <w:rPr>
                      <w:color w:val="auto"/>
                      <w:sz w:val="13"/>
                      <w:szCs w:val="13"/>
                    </w:rPr>
                  </w:pPr>
                  <w:r>
                    <w:rPr>
                      <w:rFonts w:hint="eastAsia"/>
                      <w:color w:val="auto"/>
                      <w:sz w:val="13"/>
                      <w:szCs w:val="13"/>
                    </w:rPr>
                    <w:t>石碾机</w:t>
                  </w:r>
                </w:p>
              </w:tc>
              <w:tc>
                <w:tcPr>
                  <w:tcW w:w="534" w:type="pct"/>
                  <w:vAlign w:val="center"/>
                </w:tcPr>
                <w:p>
                  <w:pPr>
                    <w:jc w:val="center"/>
                    <w:rPr>
                      <w:color w:val="auto"/>
                      <w:sz w:val="13"/>
                      <w:szCs w:val="13"/>
                    </w:rPr>
                  </w:pPr>
                  <w:r>
                    <w:rPr>
                      <w:rFonts w:hint="eastAsia"/>
                      <w:color w:val="auto"/>
                      <w:sz w:val="13"/>
                      <w:szCs w:val="13"/>
                    </w:rPr>
                    <w:t>S1110</w:t>
                  </w:r>
                </w:p>
              </w:tc>
              <w:tc>
                <w:tcPr>
                  <w:tcW w:w="359" w:type="pct"/>
                  <w:vAlign w:val="center"/>
                </w:tcPr>
                <w:p>
                  <w:pPr>
                    <w:jc w:val="center"/>
                    <w:rPr>
                      <w:color w:val="auto"/>
                      <w:sz w:val="13"/>
                      <w:szCs w:val="13"/>
                    </w:rPr>
                  </w:pPr>
                  <w:r>
                    <w:rPr>
                      <w:rFonts w:hint="eastAsia"/>
                      <w:color w:val="auto"/>
                      <w:sz w:val="13"/>
                      <w:szCs w:val="13"/>
                    </w:rPr>
                    <w:t>90</w:t>
                  </w:r>
                </w:p>
              </w:tc>
              <w:tc>
                <w:tcPr>
                  <w:tcW w:w="348" w:type="pct"/>
                  <w:vMerge w:val="continue"/>
                  <w:vAlign w:val="center"/>
                </w:tcPr>
                <w:p>
                  <w:pPr>
                    <w:jc w:val="center"/>
                    <w:rPr>
                      <w:bCs/>
                      <w:color w:val="auto"/>
                      <w:sz w:val="13"/>
                      <w:szCs w:val="13"/>
                    </w:rPr>
                  </w:pPr>
                </w:p>
              </w:tc>
              <w:tc>
                <w:tcPr>
                  <w:tcW w:w="357" w:type="pct"/>
                  <w:vAlign w:val="center"/>
                </w:tcPr>
                <w:p>
                  <w:pPr>
                    <w:pStyle w:val="47"/>
                    <w:spacing w:line="240" w:lineRule="auto"/>
                    <w:ind w:firstLine="0"/>
                    <w:jc w:val="center"/>
                    <w:outlineLvl w:val="2"/>
                    <w:rPr>
                      <w:color w:val="auto"/>
                      <w:sz w:val="13"/>
                      <w:szCs w:val="13"/>
                    </w:rPr>
                  </w:pPr>
                  <w:r>
                    <w:rPr>
                      <w:rFonts w:hint="eastAsia"/>
                      <w:color w:val="auto"/>
                      <w:sz w:val="13"/>
                      <w:szCs w:val="13"/>
                    </w:rPr>
                    <w:t>6.52</w:t>
                  </w:r>
                </w:p>
              </w:tc>
              <w:tc>
                <w:tcPr>
                  <w:tcW w:w="357" w:type="pct"/>
                  <w:vAlign w:val="center"/>
                </w:tcPr>
                <w:p>
                  <w:pPr>
                    <w:pStyle w:val="47"/>
                    <w:spacing w:line="240" w:lineRule="auto"/>
                    <w:ind w:firstLine="0"/>
                    <w:jc w:val="center"/>
                    <w:outlineLvl w:val="2"/>
                    <w:rPr>
                      <w:color w:val="auto"/>
                      <w:sz w:val="13"/>
                      <w:szCs w:val="13"/>
                    </w:rPr>
                  </w:pPr>
                  <w:r>
                    <w:rPr>
                      <w:rFonts w:hint="eastAsia"/>
                      <w:color w:val="auto"/>
                      <w:sz w:val="13"/>
                      <w:szCs w:val="13"/>
                    </w:rPr>
                    <w:t>25.75</w:t>
                  </w:r>
                </w:p>
              </w:tc>
              <w:tc>
                <w:tcPr>
                  <w:tcW w:w="263" w:type="pct"/>
                  <w:vAlign w:val="center"/>
                </w:tcPr>
                <w:p>
                  <w:pPr>
                    <w:jc w:val="center"/>
                    <w:rPr>
                      <w:color w:val="auto"/>
                      <w:sz w:val="13"/>
                      <w:szCs w:val="13"/>
                    </w:rPr>
                  </w:pPr>
                  <w:r>
                    <w:rPr>
                      <w:rFonts w:hint="eastAsia"/>
                      <w:color w:val="auto"/>
                      <w:sz w:val="13"/>
                      <w:szCs w:val="13"/>
                    </w:rPr>
                    <w:t>2</w:t>
                  </w:r>
                </w:p>
              </w:tc>
              <w:tc>
                <w:tcPr>
                  <w:tcW w:w="349" w:type="pct"/>
                  <w:vAlign w:val="center"/>
                </w:tcPr>
                <w:p>
                  <w:pPr>
                    <w:jc w:val="center"/>
                    <w:rPr>
                      <w:bCs/>
                      <w:color w:val="auto"/>
                      <w:sz w:val="13"/>
                      <w:szCs w:val="13"/>
                    </w:rPr>
                  </w:pPr>
                  <w:r>
                    <w:rPr>
                      <w:rFonts w:hint="eastAsia"/>
                      <w:bCs/>
                      <w:color w:val="auto"/>
                      <w:sz w:val="13"/>
                      <w:szCs w:val="13"/>
                    </w:rPr>
                    <w:t>8</w:t>
                  </w:r>
                </w:p>
              </w:tc>
              <w:tc>
                <w:tcPr>
                  <w:tcW w:w="359" w:type="pct"/>
                  <w:vAlign w:val="center"/>
                </w:tcPr>
                <w:p>
                  <w:pPr>
                    <w:jc w:val="center"/>
                    <w:rPr>
                      <w:bCs/>
                      <w:color w:val="auto"/>
                      <w:sz w:val="13"/>
                      <w:szCs w:val="13"/>
                    </w:rPr>
                  </w:pPr>
                  <w:r>
                    <w:rPr>
                      <w:rFonts w:hint="eastAsia"/>
                      <w:bCs/>
                      <w:color w:val="auto"/>
                      <w:sz w:val="13"/>
                      <w:szCs w:val="13"/>
                    </w:rPr>
                    <w:t>71.93</w:t>
                  </w:r>
                </w:p>
              </w:tc>
              <w:tc>
                <w:tcPr>
                  <w:tcW w:w="326" w:type="pct"/>
                  <w:vMerge w:val="continue"/>
                  <w:vAlign w:val="center"/>
                </w:tcPr>
                <w:p>
                  <w:pPr>
                    <w:jc w:val="center"/>
                    <w:rPr>
                      <w:bCs/>
                      <w:color w:val="auto"/>
                      <w:sz w:val="13"/>
                      <w:szCs w:val="13"/>
                    </w:rPr>
                  </w:pPr>
                </w:p>
              </w:tc>
              <w:tc>
                <w:tcPr>
                  <w:tcW w:w="425" w:type="pct"/>
                  <w:vAlign w:val="center"/>
                </w:tcPr>
                <w:p>
                  <w:pPr>
                    <w:jc w:val="center"/>
                    <w:rPr>
                      <w:bCs/>
                      <w:color w:val="auto"/>
                      <w:sz w:val="13"/>
                      <w:szCs w:val="13"/>
                    </w:rPr>
                  </w:pPr>
                  <w:r>
                    <w:rPr>
                      <w:rFonts w:hint="eastAsia"/>
                      <w:bCs/>
                      <w:color w:val="auto"/>
                      <w:sz w:val="13"/>
                      <w:szCs w:val="13"/>
                    </w:rPr>
                    <w:t>10</w:t>
                  </w:r>
                </w:p>
              </w:tc>
              <w:tc>
                <w:tcPr>
                  <w:tcW w:w="373" w:type="pct"/>
                  <w:vAlign w:val="center"/>
                </w:tcPr>
                <w:p>
                  <w:pPr>
                    <w:jc w:val="center"/>
                    <w:rPr>
                      <w:bCs/>
                      <w:color w:val="auto"/>
                      <w:sz w:val="13"/>
                      <w:szCs w:val="13"/>
                    </w:rPr>
                  </w:pPr>
                  <w:r>
                    <w:rPr>
                      <w:rFonts w:hint="eastAsia"/>
                      <w:bCs/>
                      <w:color w:val="auto"/>
                      <w:sz w:val="13"/>
                      <w:szCs w:val="13"/>
                    </w:rPr>
                    <w:t>61.93</w:t>
                  </w:r>
                </w:p>
              </w:tc>
              <w:tc>
                <w:tcPr>
                  <w:tcW w:w="325" w:type="pct"/>
                  <w:vAlign w:val="center"/>
                </w:tcPr>
                <w:p>
                  <w:pPr>
                    <w:jc w:val="center"/>
                    <w:rPr>
                      <w:bCs/>
                      <w:color w:val="auto"/>
                      <w:sz w:val="13"/>
                      <w:szCs w:val="13"/>
                    </w:rPr>
                  </w:pPr>
                  <w:r>
                    <w:rPr>
                      <w:rFonts w:hint="eastAsia"/>
                      <w:bCs/>
                      <w:color w:val="auto"/>
                      <w:sz w:val="13"/>
                      <w:szCs w:val="13"/>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241" w:type="pct"/>
                  <w:vMerge w:val="restart"/>
                  <w:vAlign w:val="center"/>
                </w:tcPr>
                <w:p>
                  <w:pPr>
                    <w:jc w:val="center"/>
                    <w:rPr>
                      <w:bCs/>
                      <w:color w:val="auto"/>
                      <w:sz w:val="13"/>
                      <w:szCs w:val="13"/>
                    </w:rPr>
                  </w:pPr>
                  <w:r>
                    <w:rPr>
                      <w:bCs/>
                      <w:color w:val="auto"/>
                      <w:sz w:val="13"/>
                      <w:szCs w:val="13"/>
                    </w:rPr>
                    <w:t>成型车间</w:t>
                  </w:r>
                </w:p>
              </w:tc>
              <w:tc>
                <w:tcPr>
                  <w:tcW w:w="385" w:type="pct"/>
                  <w:vAlign w:val="center"/>
                </w:tcPr>
                <w:p>
                  <w:pPr>
                    <w:widowControl/>
                    <w:jc w:val="center"/>
                    <w:textAlignment w:val="center"/>
                    <w:rPr>
                      <w:color w:val="auto"/>
                      <w:sz w:val="13"/>
                      <w:szCs w:val="13"/>
                    </w:rPr>
                  </w:pPr>
                  <w:r>
                    <w:rPr>
                      <w:rFonts w:hint="eastAsia"/>
                      <w:color w:val="auto"/>
                      <w:sz w:val="13"/>
                      <w:szCs w:val="13"/>
                    </w:rPr>
                    <w:t>强制</w:t>
                  </w:r>
                </w:p>
                <w:p>
                  <w:pPr>
                    <w:widowControl/>
                    <w:jc w:val="center"/>
                    <w:textAlignment w:val="center"/>
                    <w:rPr>
                      <w:color w:val="auto"/>
                      <w:sz w:val="13"/>
                      <w:szCs w:val="13"/>
                    </w:rPr>
                  </w:pPr>
                  <w:r>
                    <w:rPr>
                      <w:rFonts w:hint="eastAsia"/>
                      <w:color w:val="auto"/>
                      <w:sz w:val="13"/>
                      <w:szCs w:val="13"/>
                    </w:rPr>
                    <w:t>混合机</w:t>
                  </w:r>
                </w:p>
              </w:tc>
              <w:tc>
                <w:tcPr>
                  <w:tcW w:w="534" w:type="pct"/>
                  <w:vAlign w:val="center"/>
                </w:tcPr>
                <w:p>
                  <w:pPr>
                    <w:jc w:val="center"/>
                    <w:rPr>
                      <w:color w:val="auto"/>
                      <w:sz w:val="13"/>
                      <w:szCs w:val="13"/>
                    </w:rPr>
                  </w:pPr>
                  <w:r>
                    <w:rPr>
                      <w:rFonts w:hint="eastAsia"/>
                      <w:color w:val="auto"/>
                      <w:sz w:val="13"/>
                      <w:szCs w:val="13"/>
                    </w:rPr>
                    <w:t>HN-750</w:t>
                  </w:r>
                </w:p>
              </w:tc>
              <w:tc>
                <w:tcPr>
                  <w:tcW w:w="359" w:type="pct"/>
                  <w:vAlign w:val="center"/>
                </w:tcPr>
                <w:p>
                  <w:pPr>
                    <w:jc w:val="center"/>
                    <w:rPr>
                      <w:color w:val="auto"/>
                      <w:sz w:val="13"/>
                      <w:szCs w:val="13"/>
                    </w:rPr>
                  </w:pPr>
                  <w:r>
                    <w:rPr>
                      <w:rFonts w:hint="eastAsia"/>
                      <w:color w:val="auto"/>
                      <w:sz w:val="13"/>
                      <w:szCs w:val="13"/>
                    </w:rPr>
                    <w:t>80</w:t>
                  </w:r>
                </w:p>
              </w:tc>
              <w:tc>
                <w:tcPr>
                  <w:tcW w:w="348" w:type="pct"/>
                  <w:vMerge w:val="continue"/>
                  <w:vAlign w:val="center"/>
                </w:tcPr>
                <w:p>
                  <w:pPr>
                    <w:jc w:val="center"/>
                    <w:rPr>
                      <w:bCs/>
                      <w:color w:val="auto"/>
                      <w:sz w:val="13"/>
                      <w:szCs w:val="13"/>
                    </w:rPr>
                  </w:pPr>
                </w:p>
              </w:tc>
              <w:tc>
                <w:tcPr>
                  <w:tcW w:w="357" w:type="pct"/>
                  <w:vAlign w:val="center"/>
                </w:tcPr>
                <w:p>
                  <w:pPr>
                    <w:jc w:val="center"/>
                    <w:rPr>
                      <w:color w:val="auto"/>
                      <w:sz w:val="13"/>
                      <w:szCs w:val="13"/>
                    </w:rPr>
                  </w:pPr>
                  <w:r>
                    <w:rPr>
                      <w:rFonts w:hint="eastAsia"/>
                      <w:color w:val="auto"/>
                      <w:sz w:val="13"/>
                      <w:szCs w:val="13"/>
                    </w:rPr>
                    <w:t>-11.2</w:t>
                  </w:r>
                </w:p>
              </w:tc>
              <w:tc>
                <w:tcPr>
                  <w:tcW w:w="357" w:type="pct"/>
                  <w:vAlign w:val="center"/>
                </w:tcPr>
                <w:p>
                  <w:pPr>
                    <w:jc w:val="center"/>
                    <w:rPr>
                      <w:color w:val="auto"/>
                      <w:sz w:val="13"/>
                      <w:szCs w:val="13"/>
                    </w:rPr>
                  </w:pPr>
                  <w:r>
                    <w:rPr>
                      <w:rFonts w:hint="eastAsia"/>
                      <w:color w:val="auto"/>
                      <w:sz w:val="13"/>
                      <w:szCs w:val="13"/>
                    </w:rPr>
                    <w:t>35.8</w:t>
                  </w:r>
                </w:p>
              </w:tc>
              <w:tc>
                <w:tcPr>
                  <w:tcW w:w="263" w:type="pct"/>
                  <w:vAlign w:val="center"/>
                </w:tcPr>
                <w:p>
                  <w:pPr>
                    <w:jc w:val="center"/>
                    <w:rPr>
                      <w:color w:val="auto"/>
                      <w:sz w:val="13"/>
                      <w:szCs w:val="13"/>
                    </w:rPr>
                  </w:pPr>
                  <w:r>
                    <w:rPr>
                      <w:rFonts w:hint="eastAsia"/>
                      <w:color w:val="auto"/>
                      <w:sz w:val="13"/>
                      <w:szCs w:val="13"/>
                    </w:rPr>
                    <w:t>2</w:t>
                  </w:r>
                </w:p>
              </w:tc>
              <w:tc>
                <w:tcPr>
                  <w:tcW w:w="349" w:type="pct"/>
                  <w:vAlign w:val="center"/>
                </w:tcPr>
                <w:p>
                  <w:pPr>
                    <w:jc w:val="center"/>
                    <w:rPr>
                      <w:bCs/>
                      <w:color w:val="auto"/>
                      <w:sz w:val="13"/>
                      <w:szCs w:val="13"/>
                    </w:rPr>
                  </w:pPr>
                  <w:r>
                    <w:rPr>
                      <w:rFonts w:hint="eastAsia"/>
                      <w:bCs/>
                      <w:color w:val="auto"/>
                      <w:sz w:val="13"/>
                      <w:szCs w:val="13"/>
                    </w:rPr>
                    <w:t>10</w:t>
                  </w:r>
                </w:p>
              </w:tc>
              <w:tc>
                <w:tcPr>
                  <w:tcW w:w="359" w:type="pct"/>
                  <w:vAlign w:val="center"/>
                </w:tcPr>
                <w:p>
                  <w:pPr>
                    <w:jc w:val="center"/>
                    <w:rPr>
                      <w:bCs/>
                      <w:color w:val="auto"/>
                      <w:sz w:val="13"/>
                      <w:szCs w:val="13"/>
                    </w:rPr>
                  </w:pPr>
                  <w:r>
                    <w:rPr>
                      <w:rFonts w:hint="eastAsia"/>
                      <w:bCs/>
                      <w:color w:val="auto"/>
                      <w:sz w:val="13"/>
                      <w:szCs w:val="13"/>
                    </w:rPr>
                    <w:t>60</w:t>
                  </w:r>
                </w:p>
              </w:tc>
              <w:tc>
                <w:tcPr>
                  <w:tcW w:w="326" w:type="pct"/>
                  <w:vMerge w:val="restart"/>
                  <w:vAlign w:val="center"/>
                </w:tcPr>
                <w:p>
                  <w:pPr>
                    <w:jc w:val="center"/>
                    <w:rPr>
                      <w:bCs/>
                      <w:color w:val="auto"/>
                      <w:sz w:val="13"/>
                      <w:szCs w:val="13"/>
                    </w:rPr>
                  </w:pPr>
                  <w:r>
                    <w:rPr>
                      <w:rFonts w:hint="eastAsia"/>
                      <w:bCs/>
                      <w:color w:val="auto"/>
                      <w:sz w:val="13"/>
                      <w:szCs w:val="13"/>
                    </w:rPr>
                    <w:t>9:00~</w:t>
                  </w:r>
                </w:p>
                <w:p>
                  <w:pPr>
                    <w:jc w:val="center"/>
                    <w:rPr>
                      <w:bCs/>
                      <w:color w:val="auto"/>
                      <w:sz w:val="13"/>
                      <w:szCs w:val="13"/>
                    </w:rPr>
                  </w:pPr>
                  <w:r>
                    <w:rPr>
                      <w:rFonts w:hint="eastAsia"/>
                      <w:bCs/>
                      <w:color w:val="auto"/>
                      <w:sz w:val="13"/>
                      <w:szCs w:val="13"/>
                    </w:rPr>
                    <w:t>17:00</w:t>
                  </w:r>
                </w:p>
              </w:tc>
              <w:tc>
                <w:tcPr>
                  <w:tcW w:w="425" w:type="pct"/>
                  <w:vAlign w:val="center"/>
                </w:tcPr>
                <w:p>
                  <w:pPr>
                    <w:jc w:val="center"/>
                    <w:rPr>
                      <w:bCs/>
                      <w:color w:val="auto"/>
                      <w:sz w:val="13"/>
                      <w:szCs w:val="13"/>
                    </w:rPr>
                  </w:pPr>
                  <w:r>
                    <w:rPr>
                      <w:rFonts w:hint="eastAsia"/>
                      <w:bCs/>
                      <w:color w:val="auto"/>
                      <w:sz w:val="13"/>
                      <w:szCs w:val="13"/>
                    </w:rPr>
                    <w:t>10</w:t>
                  </w:r>
                </w:p>
              </w:tc>
              <w:tc>
                <w:tcPr>
                  <w:tcW w:w="373" w:type="pct"/>
                  <w:vAlign w:val="center"/>
                </w:tcPr>
                <w:p>
                  <w:pPr>
                    <w:jc w:val="center"/>
                    <w:rPr>
                      <w:bCs/>
                      <w:color w:val="auto"/>
                      <w:sz w:val="13"/>
                      <w:szCs w:val="13"/>
                    </w:rPr>
                  </w:pPr>
                  <w:r>
                    <w:rPr>
                      <w:rFonts w:hint="eastAsia"/>
                      <w:bCs/>
                      <w:color w:val="auto"/>
                      <w:sz w:val="13"/>
                      <w:szCs w:val="13"/>
                    </w:rPr>
                    <w:t>50</w:t>
                  </w:r>
                </w:p>
              </w:tc>
              <w:tc>
                <w:tcPr>
                  <w:tcW w:w="325" w:type="pct"/>
                  <w:vAlign w:val="center"/>
                </w:tcPr>
                <w:p>
                  <w:pPr>
                    <w:jc w:val="center"/>
                    <w:rPr>
                      <w:bCs/>
                      <w:color w:val="auto"/>
                      <w:sz w:val="13"/>
                      <w:szCs w:val="13"/>
                    </w:rPr>
                  </w:pPr>
                  <w:r>
                    <w:rPr>
                      <w:rFonts w:hint="eastAsia"/>
                      <w:bCs/>
                      <w:color w:val="auto"/>
                      <w:sz w:val="13"/>
                      <w:szCs w:val="13"/>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1" w:type="pct"/>
                  <w:vMerge w:val="continue"/>
                  <w:vAlign w:val="center"/>
                </w:tcPr>
                <w:p>
                  <w:pPr>
                    <w:jc w:val="center"/>
                    <w:rPr>
                      <w:bCs/>
                      <w:color w:val="auto"/>
                      <w:sz w:val="13"/>
                      <w:szCs w:val="13"/>
                    </w:rPr>
                  </w:pPr>
                </w:p>
              </w:tc>
              <w:tc>
                <w:tcPr>
                  <w:tcW w:w="385" w:type="pct"/>
                  <w:vAlign w:val="center"/>
                </w:tcPr>
                <w:p>
                  <w:pPr>
                    <w:widowControl/>
                    <w:jc w:val="center"/>
                    <w:textAlignment w:val="center"/>
                    <w:rPr>
                      <w:color w:val="auto"/>
                      <w:sz w:val="13"/>
                      <w:szCs w:val="13"/>
                    </w:rPr>
                  </w:pPr>
                  <w:r>
                    <w:rPr>
                      <w:rFonts w:hint="eastAsia"/>
                      <w:color w:val="auto"/>
                      <w:sz w:val="13"/>
                      <w:szCs w:val="13"/>
                    </w:rPr>
                    <w:t>螺旋</w:t>
                  </w:r>
                </w:p>
                <w:p>
                  <w:pPr>
                    <w:widowControl/>
                    <w:jc w:val="center"/>
                    <w:textAlignment w:val="center"/>
                    <w:rPr>
                      <w:color w:val="auto"/>
                      <w:sz w:val="13"/>
                      <w:szCs w:val="13"/>
                    </w:rPr>
                  </w:pPr>
                  <w:r>
                    <w:rPr>
                      <w:rFonts w:hint="eastAsia"/>
                      <w:color w:val="auto"/>
                      <w:sz w:val="13"/>
                      <w:szCs w:val="13"/>
                    </w:rPr>
                    <w:t>压力机</w:t>
                  </w:r>
                </w:p>
              </w:tc>
              <w:tc>
                <w:tcPr>
                  <w:tcW w:w="534" w:type="pct"/>
                  <w:vAlign w:val="center"/>
                </w:tcPr>
                <w:p>
                  <w:pPr>
                    <w:widowControl/>
                    <w:jc w:val="center"/>
                    <w:textAlignment w:val="center"/>
                    <w:rPr>
                      <w:color w:val="auto"/>
                      <w:sz w:val="13"/>
                      <w:szCs w:val="13"/>
                    </w:rPr>
                  </w:pPr>
                  <w:r>
                    <w:rPr>
                      <w:rFonts w:hint="eastAsia"/>
                      <w:color w:val="auto"/>
                      <w:sz w:val="13"/>
                      <w:szCs w:val="13"/>
                    </w:rPr>
                    <w:t>J67-160</w:t>
                  </w:r>
                </w:p>
              </w:tc>
              <w:tc>
                <w:tcPr>
                  <w:tcW w:w="359" w:type="pct"/>
                  <w:vAlign w:val="center"/>
                </w:tcPr>
                <w:p>
                  <w:pPr>
                    <w:jc w:val="center"/>
                    <w:rPr>
                      <w:color w:val="auto"/>
                      <w:sz w:val="13"/>
                      <w:szCs w:val="13"/>
                    </w:rPr>
                  </w:pPr>
                  <w:r>
                    <w:rPr>
                      <w:rFonts w:hint="eastAsia"/>
                      <w:color w:val="auto"/>
                      <w:sz w:val="13"/>
                      <w:szCs w:val="13"/>
                    </w:rPr>
                    <w:t>90</w:t>
                  </w:r>
                </w:p>
              </w:tc>
              <w:tc>
                <w:tcPr>
                  <w:tcW w:w="348" w:type="pct"/>
                  <w:vMerge w:val="continue"/>
                  <w:vAlign w:val="center"/>
                </w:tcPr>
                <w:p>
                  <w:pPr>
                    <w:jc w:val="center"/>
                    <w:rPr>
                      <w:bCs/>
                      <w:color w:val="auto"/>
                      <w:sz w:val="13"/>
                      <w:szCs w:val="13"/>
                    </w:rPr>
                  </w:pPr>
                </w:p>
              </w:tc>
              <w:tc>
                <w:tcPr>
                  <w:tcW w:w="357" w:type="pct"/>
                  <w:vAlign w:val="center"/>
                </w:tcPr>
                <w:p>
                  <w:pPr>
                    <w:jc w:val="center"/>
                    <w:rPr>
                      <w:color w:val="auto"/>
                      <w:sz w:val="13"/>
                      <w:szCs w:val="13"/>
                    </w:rPr>
                  </w:pPr>
                  <w:r>
                    <w:rPr>
                      <w:rFonts w:hint="eastAsia"/>
                      <w:color w:val="auto"/>
                      <w:sz w:val="13"/>
                      <w:szCs w:val="13"/>
                    </w:rPr>
                    <w:t>-15.5</w:t>
                  </w:r>
                </w:p>
              </w:tc>
              <w:tc>
                <w:tcPr>
                  <w:tcW w:w="357" w:type="pct"/>
                  <w:vAlign w:val="center"/>
                </w:tcPr>
                <w:p>
                  <w:pPr>
                    <w:jc w:val="center"/>
                    <w:rPr>
                      <w:color w:val="auto"/>
                      <w:sz w:val="13"/>
                      <w:szCs w:val="13"/>
                    </w:rPr>
                  </w:pPr>
                  <w:r>
                    <w:rPr>
                      <w:rFonts w:hint="eastAsia"/>
                      <w:color w:val="auto"/>
                      <w:sz w:val="13"/>
                      <w:szCs w:val="13"/>
                    </w:rPr>
                    <w:t>32.8</w:t>
                  </w:r>
                </w:p>
              </w:tc>
              <w:tc>
                <w:tcPr>
                  <w:tcW w:w="263" w:type="pct"/>
                  <w:vAlign w:val="center"/>
                </w:tcPr>
                <w:p>
                  <w:pPr>
                    <w:jc w:val="center"/>
                    <w:rPr>
                      <w:color w:val="auto"/>
                      <w:sz w:val="13"/>
                      <w:szCs w:val="13"/>
                    </w:rPr>
                  </w:pPr>
                  <w:r>
                    <w:rPr>
                      <w:rFonts w:hint="eastAsia"/>
                      <w:color w:val="auto"/>
                      <w:sz w:val="13"/>
                      <w:szCs w:val="13"/>
                    </w:rPr>
                    <w:t>7</w:t>
                  </w:r>
                </w:p>
              </w:tc>
              <w:tc>
                <w:tcPr>
                  <w:tcW w:w="349" w:type="pct"/>
                  <w:vAlign w:val="center"/>
                </w:tcPr>
                <w:p>
                  <w:pPr>
                    <w:jc w:val="center"/>
                    <w:rPr>
                      <w:bCs/>
                      <w:color w:val="auto"/>
                      <w:sz w:val="13"/>
                      <w:szCs w:val="13"/>
                    </w:rPr>
                  </w:pPr>
                  <w:r>
                    <w:rPr>
                      <w:rFonts w:hint="eastAsia"/>
                      <w:bCs/>
                      <w:color w:val="auto"/>
                      <w:sz w:val="13"/>
                      <w:szCs w:val="13"/>
                    </w:rPr>
                    <w:t>8</w:t>
                  </w:r>
                </w:p>
              </w:tc>
              <w:tc>
                <w:tcPr>
                  <w:tcW w:w="359" w:type="pct"/>
                  <w:vAlign w:val="center"/>
                </w:tcPr>
                <w:p>
                  <w:pPr>
                    <w:jc w:val="center"/>
                    <w:rPr>
                      <w:bCs/>
                      <w:color w:val="auto"/>
                      <w:sz w:val="13"/>
                      <w:szCs w:val="13"/>
                    </w:rPr>
                  </w:pPr>
                  <w:r>
                    <w:rPr>
                      <w:rFonts w:hint="eastAsia"/>
                      <w:bCs/>
                      <w:color w:val="auto"/>
                      <w:sz w:val="13"/>
                      <w:szCs w:val="13"/>
                    </w:rPr>
                    <w:t>71.93</w:t>
                  </w:r>
                </w:p>
              </w:tc>
              <w:tc>
                <w:tcPr>
                  <w:tcW w:w="326" w:type="pct"/>
                  <w:vMerge w:val="continue"/>
                  <w:vAlign w:val="center"/>
                </w:tcPr>
                <w:p>
                  <w:pPr>
                    <w:jc w:val="center"/>
                    <w:rPr>
                      <w:bCs/>
                      <w:color w:val="auto"/>
                      <w:sz w:val="13"/>
                      <w:szCs w:val="13"/>
                    </w:rPr>
                  </w:pPr>
                </w:p>
              </w:tc>
              <w:tc>
                <w:tcPr>
                  <w:tcW w:w="425" w:type="pct"/>
                  <w:vAlign w:val="center"/>
                </w:tcPr>
                <w:p>
                  <w:pPr>
                    <w:jc w:val="center"/>
                    <w:rPr>
                      <w:bCs/>
                      <w:color w:val="auto"/>
                      <w:sz w:val="13"/>
                      <w:szCs w:val="13"/>
                    </w:rPr>
                  </w:pPr>
                  <w:r>
                    <w:rPr>
                      <w:rFonts w:hint="eastAsia"/>
                      <w:bCs/>
                      <w:color w:val="auto"/>
                      <w:sz w:val="13"/>
                      <w:szCs w:val="13"/>
                    </w:rPr>
                    <w:t>10</w:t>
                  </w:r>
                </w:p>
              </w:tc>
              <w:tc>
                <w:tcPr>
                  <w:tcW w:w="373" w:type="pct"/>
                  <w:vAlign w:val="center"/>
                </w:tcPr>
                <w:p>
                  <w:pPr>
                    <w:jc w:val="center"/>
                    <w:rPr>
                      <w:bCs/>
                      <w:color w:val="auto"/>
                      <w:sz w:val="13"/>
                      <w:szCs w:val="13"/>
                    </w:rPr>
                  </w:pPr>
                  <w:r>
                    <w:rPr>
                      <w:rFonts w:hint="eastAsia"/>
                      <w:bCs/>
                      <w:color w:val="auto"/>
                      <w:sz w:val="13"/>
                      <w:szCs w:val="13"/>
                    </w:rPr>
                    <w:t>61.93</w:t>
                  </w:r>
                </w:p>
              </w:tc>
              <w:tc>
                <w:tcPr>
                  <w:tcW w:w="325" w:type="pct"/>
                  <w:vAlign w:val="center"/>
                </w:tcPr>
                <w:p>
                  <w:pPr>
                    <w:jc w:val="center"/>
                    <w:rPr>
                      <w:bCs/>
                      <w:color w:val="auto"/>
                      <w:sz w:val="13"/>
                      <w:szCs w:val="13"/>
                    </w:rPr>
                  </w:pPr>
                  <w:r>
                    <w:rPr>
                      <w:rFonts w:hint="eastAsia"/>
                      <w:bCs/>
                      <w:color w:val="auto"/>
                      <w:sz w:val="13"/>
                      <w:szCs w:val="13"/>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1" w:type="pct"/>
                  <w:vMerge w:val="continue"/>
                  <w:vAlign w:val="center"/>
                </w:tcPr>
                <w:p>
                  <w:pPr>
                    <w:jc w:val="center"/>
                    <w:rPr>
                      <w:bCs/>
                      <w:color w:val="auto"/>
                      <w:sz w:val="13"/>
                      <w:szCs w:val="13"/>
                    </w:rPr>
                  </w:pPr>
                </w:p>
              </w:tc>
              <w:tc>
                <w:tcPr>
                  <w:tcW w:w="385" w:type="pct"/>
                  <w:vAlign w:val="center"/>
                </w:tcPr>
                <w:p>
                  <w:pPr>
                    <w:jc w:val="center"/>
                    <w:rPr>
                      <w:color w:val="auto"/>
                      <w:sz w:val="13"/>
                      <w:szCs w:val="13"/>
                    </w:rPr>
                  </w:pPr>
                  <w:r>
                    <w:rPr>
                      <w:rFonts w:hint="eastAsia"/>
                      <w:color w:val="auto"/>
                      <w:sz w:val="13"/>
                      <w:szCs w:val="13"/>
                    </w:rPr>
                    <w:t>螺旋</w:t>
                  </w:r>
                </w:p>
                <w:p>
                  <w:pPr>
                    <w:jc w:val="center"/>
                    <w:rPr>
                      <w:color w:val="auto"/>
                      <w:sz w:val="13"/>
                      <w:szCs w:val="13"/>
                    </w:rPr>
                  </w:pPr>
                  <w:r>
                    <w:rPr>
                      <w:rFonts w:hint="eastAsia"/>
                      <w:color w:val="auto"/>
                      <w:sz w:val="13"/>
                      <w:szCs w:val="13"/>
                    </w:rPr>
                    <w:t>压力机</w:t>
                  </w:r>
                </w:p>
              </w:tc>
              <w:tc>
                <w:tcPr>
                  <w:tcW w:w="534" w:type="pct"/>
                  <w:vAlign w:val="center"/>
                </w:tcPr>
                <w:p>
                  <w:pPr>
                    <w:widowControl/>
                    <w:jc w:val="center"/>
                    <w:textAlignment w:val="center"/>
                    <w:rPr>
                      <w:color w:val="auto"/>
                      <w:sz w:val="13"/>
                      <w:szCs w:val="13"/>
                    </w:rPr>
                  </w:pPr>
                  <w:r>
                    <w:rPr>
                      <w:rFonts w:hint="eastAsia"/>
                      <w:color w:val="auto"/>
                      <w:sz w:val="13"/>
                      <w:szCs w:val="13"/>
                    </w:rPr>
                    <w:t>J67-315</w:t>
                  </w:r>
                </w:p>
              </w:tc>
              <w:tc>
                <w:tcPr>
                  <w:tcW w:w="359" w:type="pct"/>
                  <w:vAlign w:val="center"/>
                </w:tcPr>
                <w:p>
                  <w:pPr>
                    <w:jc w:val="center"/>
                    <w:rPr>
                      <w:color w:val="auto"/>
                      <w:sz w:val="13"/>
                      <w:szCs w:val="13"/>
                    </w:rPr>
                  </w:pPr>
                  <w:r>
                    <w:rPr>
                      <w:rFonts w:hint="eastAsia"/>
                      <w:color w:val="auto"/>
                      <w:sz w:val="13"/>
                      <w:szCs w:val="13"/>
                    </w:rPr>
                    <w:t>90</w:t>
                  </w:r>
                </w:p>
              </w:tc>
              <w:tc>
                <w:tcPr>
                  <w:tcW w:w="348" w:type="pct"/>
                  <w:vMerge w:val="continue"/>
                  <w:vAlign w:val="center"/>
                </w:tcPr>
                <w:p>
                  <w:pPr>
                    <w:jc w:val="center"/>
                    <w:rPr>
                      <w:bCs/>
                      <w:color w:val="auto"/>
                      <w:sz w:val="13"/>
                      <w:szCs w:val="13"/>
                    </w:rPr>
                  </w:pPr>
                </w:p>
              </w:tc>
              <w:tc>
                <w:tcPr>
                  <w:tcW w:w="357" w:type="pct"/>
                  <w:vAlign w:val="center"/>
                </w:tcPr>
                <w:p>
                  <w:pPr>
                    <w:jc w:val="center"/>
                    <w:rPr>
                      <w:color w:val="auto"/>
                      <w:sz w:val="13"/>
                      <w:szCs w:val="13"/>
                    </w:rPr>
                  </w:pPr>
                  <w:r>
                    <w:rPr>
                      <w:rFonts w:hint="eastAsia"/>
                      <w:color w:val="auto"/>
                      <w:sz w:val="13"/>
                      <w:szCs w:val="13"/>
                    </w:rPr>
                    <w:t>-14.8</w:t>
                  </w:r>
                </w:p>
              </w:tc>
              <w:tc>
                <w:tcPr>
                  <w:tcW w:w="357" w:type="pct"/>
                  <w:vAlign w:val="center"/>
                </w:tcPr>
                <w:p>
                  <w:pPr>
                    <w:jc w:val="center"/>
                    <w:rPr>
                      <w:color w:val="auto"/>
                      <w:sz w:val="13"/>
                      <w:szCs w:val="13"/>
                    </w:rPr>
                  </w:pPr>
                  <w:r>
                    <w:rPr>
                      <w:rFonts w:hint="eastAsia"/>
                      <w:color w:val="auto"/>
                      <w:sz w:val="13"/>
                      <w:szCs w:val="13"/>
                    </w:rPr>
                    <w:t>33.7</w:t>
                  </w:r>
                </w:p>
              </w:tc>
              <w:tc>
                <w:tcPr>
                  <w:tcW w:w="263" w:type="pct"/>
                  <w:vAlign w:val="center"/>
                </w:tcPr>
                <w:p>
                  <w:pPr>
                    <w:jc w:val="center"/>
                    <w:rPr>
                      <w:color w:val="auto"/>
                      <w:sz w:val="13"/>
                      <w:szCs w:val="13"/>
                    </w:rPr>
                  </w:pPr>
                  <w:r>
                    <w:rPr>
                      <w:rFonts w:hint="eastAsia"/>
                      <w:color w:val="auto"/>
                      <w:sz w:val="13"/>
                      <w:szCs w:val="13"/>
                    </w:rPr>
                    <w:t>7</w:t>
                  </w:r>
                </w:p>
              </w:tc>
              <w:tc>
                <w:tcPr>
                  <w:tcW w:w="349" w:type="pct"/>
                  <w:vAlign w:val="center"/>
                </w:tcPr>
                <w:p>
                  <w:pPr>
                    <w:jc w:val="center"/>
                    <w:rPr>
                      <w:bCs/>
                      <w:color w:val="auto"/>
                      <w:sz w:val="13"/>
                      <w:szCs w:val="13"/>
                    </w:rPr>
                  </w:pPr>
                  <w:r>
                    <w:rPr>
                      <w:rFonts w:hint="eastAsia"/>
                      <w:bCs/>
                      <w:color w:val="auto"/>
                      <w:sz w:val="13"/>
                      <w:szCs w:val="13"/>
                    </w:rPr>
                    <w:t>11</w:t>
                  </w:r>
                </w:p>
              </w:tc>
              <w:tc>
                <w:tcPr>
                  <w:tcW w:w="359" w:type="pct"/>
                  <w:vAlign w:val="center"/>
                </w:tcPr>
                <w:p>
                  <w:pPr>
                    <w:jc w:val="center"/>
                    <w:rPr>
                      <w:bCs/>
                      <w:color w:val="auto"/>
                      <w:sz w:val="13"/>
                      <w:szCs w:val="13"/>
                    </w:rPr>
                  </w:pPr>
                  <w:r>
                    <w:rPr>
                      <w:rFonts w:hint="eastAsia"/>
                      <w:bCs/>
                      <w:color w:val="auto"/>
                      <w:sz w:val="13"/>
                      <w:szCs w:val="13"/>
                    </w:rPr>
                    <w:t>69.17</w:t>
                  </w:r>
                </w:p>
              </w:tc>
              <w:tc>
                <w:tcPr>
                  <w:tcW w:w="326" w:type="pct"/>
                  <w:vMerge w:val="continue"/>
                  <w:vAlign w:val="center"/>
                </w:tcPr>
                <w:p>
                  <w:pPr>
                    <w:jc w:val="center"/>
                    <w:rPr>
                      <w:bCs/>
                      <w:color w:val="auto"/>
                      <w:sz w:val="13"/>
                      <w:szCs w:val="13"/>
                    </w:rPr>
                  </w:pPr>
                </w:p>
              </w:tc>
              <w:tc>
                <w:tcPr>
                  <w:tcW w:w="425" w:type="pct"/>
                  <w:vAlign w:val="center"/>
                </w:tcPr>
                <w:p>
                  <w:pPr>
                    <w:jc w:val="center"/>
                    <w:rPr>
                      <w:bCs/>
                      <w:color w:val="auto"/>
                      <w:sz w:val="13"/>
                      <w:szCs w:val="13"/>
                    </w:rPr>
                  </w:pPr>
                  <w:r>
                    <w:rPr>
                      <w:rFonts w:hint="eastAsia"/>
                      <w:bCs/>
                      <w:color w:val="auto"/>
                      <w:sz w:val="13"/>
                      <w:szCs w:val="13"/>
                    </w:rPr>
                    <w:t>10</w:t>
                  </w:r>
                </w:p>
              </w:tc>
              <w:tc>
                <w:tcPr>
                  <w:tcW w:w="373" w:type="pct"/>
                  <w:vAlign w:val="center"/>
                </w:tcPr>
                <w:p>
                  <w:pPr>
                    <w:jc w:val="center"/>
                    <w:rPr>
                      <w:bCs/>
                      <w:color w:val="auto"/>
                      <w:sz w:val="13"/>
                      <w:szCs w:val="13"/>
                    </w:rPr>
                  </w:pPr>
                  <w:r>
                    <w:rPr>
                      <w:rFonts w:hint="eastAsia"/>
                      <w:bCs/>
                      <w:color w:val="auto"/>
                      <w:sz w:val="13"/>
                      <w:szCs w:val="13"/>
                    </w:rPr>
                    <w:t>59.17</w:t>
                  </w:r>
                </w:p>
              </w:tc>
              <w:tc>
                <w:tcPr>
                  <w:tcW w:w="325" w:type="pct"/>
                  <w:vAlign w:val="center"/>
                </w:tcPr>
                <w:p>
                  <w:pPr>
                    <w:jc w:val="center"/>
                    <w:rPr>
                      <w:bCs/>
                      <w:color w:val="auto"/>
                      <w:sz w:val="13"/>
                      <w:szCs w:val="13"/>
                    </w:rPr>
                  </w:pPr>
                  <w:r>
                    <w:rPr>
                      <w:rFonts w:hint="eastAsia"/>
                      <w:bCs/>
                      <w:color w:val="auto"/>
                      <w:sz w:val="13"/>
                      <w:szCs w:val="13"/>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1" w:type="pct"/>
                  <w:vMerge w:val="continue"/>
                  <w:vAlign w:val="center"/>
                </w:tcPr>
                <w:p>
                  <w:pPr>
                    <w:jc w:val="center"/>
                    <w:rPr>
                      <w:bCs/>
                      <w:color w:val="auto"/>
                      <w:sz w:val="13"/>
                      <w:szCs w:val="13"/>
                    </w:rPr>
                  </w:pPr>
                </w:p>
              </w:tc>
              <w:tc>
                <w:tcPr>
                  <w:tcW w:w="385" w:type="pct"/>
                  <w:vAlign w:val="center"/>
                </w:tcPr>
                <w:p>
                  <w:pPr>
                    <w:jc w:val="center"/>
                    <w:rPr>
                      <w:color w:val="auto"/>
                      <w:sz w:val="13"/>
                      <w:szCs w:val="13"/>
                    </w:rPr>
                  </w:pPr>
                  <w:r>
                    <w:rPr>
                      <w:rFonts w:hint="eastAsia"/>
                      <w:color w:val="auto"/>
                      <w:sz w:val="13"/>
                      <w:szCs w:val="13"/>
                    </w:rPr>
                    <w:t>螺旋</w:t>
                  </w:r>
                </w:p>
                <w:p>
                  <w:pPr>
                    <w:jc w:val="center"/>
                    <w:rPr>
                      <w:color w:val="auto"/>
                      <w:sz w:val="13"/>
                      <w:szCs w:val="13"/>
                    </w:rPr>
                  </w:pPr>
                  <w:r>
                    <w:rPr>
                      <w:rFonts w:hint="eastAsia"/>
                      <w:color w:val="auto"/>
                      <w:sz w:val="13"/>
                      <w:szCs w:val="13"/>
                    </w:rPr>
                    <w:t>压力机</w:t>
                  </w:r>
                </w:p>
              </w:tc>
              <w:tc>
                <w:tcPr>
                  <w:tcW w:w="534" w:type="pct"/>
                  <w:vAlign w:val="center"/>
                </w:tcPr>
                <w:p>
                  <w:pPr>
                    <w:widowControl/>
                    <w:jc w:val="center"/>
                    <w:textAlignment w:val="center"/>
                    <w:rPr>
                      <w:color w:val="auto"/>
                      <w:sz w:val="13"/>
                      <w:szCs w:val="13"/>
                    </w:rPr>
                  </w:pPr>
                  <w:r>
                    <w:rPr>
                      <w:rFonts w:hint="eastAsia"/>
                      <w:color w:val="auto"/>
                      <w:sz w:val="13"/>
                      <w:szCs w:val="13"/>
                    </w:rPr>
                    <w:t>J67-400</w:t>
                  </w:r>
                </w:p>
              </w:tc>
              <w:tc>
                <w:tcPr>
                  <w:tcW w:w="359" w:type="pct"/>
                  <w:vAlign w:val="center"/>
                </w:tcPr>
                <w:p>
                  <w:pPr>
                    <w:jc w:val="center"/>
                    <w:rPr>
                      <w:color w:val="auto"/>
                      <w:sz w:val="13"/>
                      <w:szCs w:val="13"/>
                    </w:rPr>
                  </w:pPr>
                  <w:r>
                    <w:rPr>
                      <w:rFonts w:hint="eastAsia"/>
                      <w:color w:val="auto"/>
                      <w:sz w:val="13"/>
                      <w:szCs w:val="13"/>
                    </w:rPr>
                    <w:t>90</w:t>
                  </w:r>
                </w:p>
              </w:tc>
              <w:tc>
                <w:tcPr>
                  <w:tcW w:w="348" w:type="pct"/>
                  <w:vMerge w:val="continue"/>
                  <w:vAlign w:val="center"/>
                </w:tcPr>
                <w:p>
                  <w:pPr>
                    <w:jc w:val="center"/>
                    <w:rPr>
                      <w:bCs/>
                      <w:color w:val="auto"/>
                      <w:sz w:val="13"/>
                      <w:szCs w:val="13"/>
                    </w:rPr>
                  </w:pPr>
                </w:p>
              </w:tc>
              <w:tc>
                <w:tcPr>
                  <w:tcW w:w="357" w:type="pct"/>
                  <w:vAlign w:val="center"/>
                </w:tcPr>
                <w:p>
                  <w:pPr>
                    <w:jc w:val="center"/>
                    <w:rPr>
                      <w:color w:val="auto"/>
                      <w:sz w:val="13"/>
                      <w:szCs w:val="13"/>
                    </w:rPr>
                  </w:pPr>
                  <w:r>
                    <w:rPr>
                      <w:rFonts w:hint="eastAsia"/>
                      <w:color w:val="auto"/>
                      <w:sz w:val="13"/>
                      <w:szCs w:val="13"/>
                    </w:rPr>
                    <w:t>-16.5</w:t>
                  </w:r>
                </w:p>
              </w:tc>
              <w:tc>
                <w:tcPr>
                  <w:tcW w:w="357" w:type="pct"/>
                  <w:vAlign w:val="center"/>
                </w:tcPr>
                <w:p>
                  <w:pPr>
                    <w:jc w:val="center"/>
                    <w:rPr>
                      <w:color w:val="auto"/>
                      <w:sz w:val="13"/>
                      <w:szCs w:val="13"/>
                    </w:rPr>
                  </w:pPr>
                  <w:r>
                    <w:rPr>
                      <w:rFonts w:hint="eastAsia"/>
                      <w:color w:val="auto"/>
                      <w:sz w:val="13"/>
                      <w:szCs w:val="13"/>
                    </w:rPr>
                    <w:t>35.7</w:t>
                  </w:r>
                </w:p>
              </w:tc>
              <w:tc>
                <w:tcPr>
                  <w:tcW w:w="263" w:type="pct"/>
                  <w:vAlign w:val="center"/>
                </w:tcPr>
                <w:p>
                  <w:pPr>
                    <w:jc w:val="center"/>
                    <w:rPr>
                      <w:color w:val="auto"/>
                      <w:sz w:val="13"/>
                      <w:szCs w:val="13"/>
                    </w:rPr>
                  </w:pPr>
                  <w:r>
                    <w:rPr>
                      <w:rFonts w:hint="eastAsia"/>
                      <w:color w:val="auto"/>
                      <w:sz w:val="13"/>
                      <w:szCs w:val="13"/>
                    </w:rPr>
                    <w:t>7</w:t>
                  </w:r>
                </w:p>
              </w:tc>
              <w:tc>
                <w:tcPr>
                  <w:tcW w:w="349" w:type="pct"/>
                  <w:vAlign w:val="center"/>
                </w:tcPr>
                <w:p>
                  <w:pPr>
                    <w:jc w:val="center"/>
                    <w:rPr>
                      <w:bCs/>
                      <w:color w:val="auto"/>
                      <w:sz w:val="13"/>
                      <w:szCs w:val="13"/>
                    </w:rPr>
                  </w:pPr>
                  <w:r>
                    <w:rPr>
                      <w:rFonts w:hint="eastAsia"/>
                      <w:bCs/>
                      <w:color w:val="auto"/>
                      <w:sz w:val="13"/>
                      <w:szCs w:val="13"/>
                    </w:rPr>
                    <w:t>9</w:t>
                  </w:r>
                </w:p>
              </w:tc>
              <w:tc>
                <w:tcPr>
                  <w:tcW w:w="359" w:type="pct"/>
                  <w:vAlign w:val="center"/>
                </w:tcPr>
                <w:p>
                  <w:pPr>
                    <w:jc w:val="center"/>
                    <w:rPr>
                      <w:bCs/>
                      <w:color w:val="auto"/>
                      <w:sz w:val="13"/>
                      <w:szCs w:val="13"/>
                    </w:rPr>
                  </w:pPr>
                  <w:r>
                    <w:rPr>
                      <w:rFonts w:hint="eastAsia"/>
                      <w:bCs/>
                      <w:color w:val="auto"/>
                      <w:sz w:val="13"/>
                      <w:szCs w:val="13"/>
                    </w:rPr>
                    <w:t>70.91</w:t>
                  </w:r>
                </w:p>
              </w:tc>
              <w:tc>
                <w:tcPr>
                  <w:tcW w:w="326" w:type="pct"/>
                  <w:vMerge w:val="continue"/>
                  <w:vAlign w:val="center"/>
                </w:tcPr>
                <w:p>
                  <w:pPr>
                    <w:jc w:val="center"/>
                    <w:rPr>
                      <w:bCs/>
                      <w:color w:val="auto"/>
                      <w:sz w:val="13"/>
                      <w:szCs w:val="13"/>
                    </w:rPr>
                  </w:pPr>
                </w:p>
              </w:tc>
              <w:tc>
                <w:tcPr>
                  <w:tcW w:w="425" w:type="pct"/>
                  <w:vAlign w:val="center"/>
                </w:tcPr>
                <w:p>
                  <w:pPr>
                    <w:jc w:val="center"/>
                    <w:rPr>
                      <w:bCs/>
                      <w:color w:val="auto"/>
                      <w:sz w:val="13"/>
                      <w:szCs w:val="13"/>
                    </w:rPr>
                  </w:pPr>
                  <w:r>
                    <w:rPr>
                      <w:rFonts w:hint="eastAsia"/>
                      <w:bCs/>
                      <w:color w:val="auto"/>
                      <w:sz w:val="13"/>
                      <w:szCs w:val="13"/>
                    </w:rPr>
                    <w:t>10</w:t>
                  </w:r>
                </w:p>
              </w:tc>
              <w:tc>
                <w:tcPr>
                  <w:tcW w:w="373" w:type="pct"/>
                  <w:vAlign w:val="center"/>
                </w:tcPr>
                <w:p>
                  <w:pPr>
                    <w:jc w:val="center"/>
                    <w:rPr>
                      <w:bCs/>
                      <w:color w:val="auto"/>
                      <w:sz w:val="13"/>
                      <w:szCs w:val="13"/>
                    </w:rPr>
                  </w:pPr>
                  <w:r>
                    <w:rPr>
                      <w:rFonts w:hint="eastAsia"/>
                      <w:bCs/>
                      <w:color w:val="auto"/>
                      <w:sz w:val="13"/>
                      <w:szCs w:val="13"/>
                    </w:rPr>
                    <w:t>70.91</w:t>
                  </w:r>
                </w:p>
              </w:tc>
              <w:tc>
                <w:tcPr>
                  <w:tcW w:w="325" w:type="pct"/>
                  <w:vAlign w:val="center"/>
                </w:tcPr>
                <w:p>
                  <w:pPr>
                    <w:jc w:val="center"/>
                    <w:rPr>
                      <w:bCs/>
                      <w:color w:val="auto"/>
                      <w:sz w:val="13"/>
                      <w:szCs w:val="13"/>
                    </w:rPr>
                  </w:pPr>
                  <w:r>
                    <w:rPr>
                      <w:rFonts w:hint="eastAsia"/>
                      <w:bCs/>
                      <w:color w:val="auto"/>
                      <w:sz w:val="13"/>
                      <w:szCs w:val="13"/>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241" w:type="pct"/>
                  <w:vMerge w:val="continue"/>
                  <w:vAlign w:val="center"/>
                </w:tcPr>
                <w:p>
                  <w:pPr>
                    <w:jc w:val="center"/>
                    <w:rPr>
                      <w:bCs/>
                      <w:color w:val="auto"/>
                      <w:sz w:val="13"/>
                      <w:szCs w:val="13"/>
                    </w:rPr>
                  </w:pPr>
                </w:p>
              </w:tc>
              <w:tc>
                <w:tcPr>
                  <w:tcW w:w="385" w:type="pct"/>
                  <w:vAlign w:val="center"/>
                </w:tcPr>
                <w:p>
                  <w:pPr>
                    <w:jc w:val="center"/>
                    <w:rPr>
                      <w:color w:val="auto"/>
                      <w:sz w:val="13"/>
                      <w:szCs w:val="13"/>
                    </w:rPr>
                  </w:pPr>
                  <w:r>
                    <w:rPr>
                      <w:rFonts w:hint="eastAsia"/>
                      <w:color w:val="auto"/>
                      <w:sz w:val="13"/>
                      <w:szCs w:val="13"/>
                    </w:rPr>
                    <w:t>配料机</w:t>
                  </w:r>
                </w:p>
              </w:tc>
              <w:tc>
                <w:tcPr>
                  <w:tcW w:w="534" w:type="pct"/>
                  <w:vAlign w:val="center"/>
                </w:tcPr>
                <w:p>
                  <w:pPr>
                    <w:jc w:val="center"/>
                    <w:rPr>
                      <w:color w:val="auto"/>
                      <w:sz w:val="13"/>
                      <w:szCs w:val="13"/>
                    </w:rPr>
                  </w:pPr>
                  <w:r>
                    <w:rPr>
                      <w:rFonts w:hint="eastAsia"/>
                      <w:color w:val="auto"/>
                      <w:sz w:val="13"/>
                      <w:szCs w:val="13"/>
                    </w:rPr>
                    <w:t>PLD600</w:t>
                  </w:r>
                </w:p>
              </w:tc>
              <w:tc>
                <w:tcPr>
                  <w:tcW w:w="359" w:type="pct"/>
                  <w:vAlign w:val="center"/>
                </w:tcPr>
                <w:p>
                  <w:pPr>
                    <w:jc w:val="center"/>
                    <w:rPr>
                      <w:color w:val="auto"/>
                      <w:sz w:val="13"/>
                      <w:szCs w:val="13"/>
                    </w:rPr>
                  </w:pPr>
                  <w:r>
                    <w:rPr>
                      <w:rFonts w:hint="eastAsia"/>
                      <w:color w:val="auto"/>
                      <w:sz w:val="13"/>
                      <w:szCs w:val="13"/>
                    </w:rPr>
                    <w:t>80</w:t>
                  </w:r>
                </w:p>
              </w:tc>
              <w:tc>
                <w:tcPr>
                  <w:tcW w:w="348" w:type="pct"/>
                  <w:vMerge w:val="continue"/>
                  <w:vAlign w:val="center"/>
                </w:tcPr>
                <w:p>
                  <w:pPr>
                    <w:jc w:val="center"/>
                    <w:rPr>
                      <w:bCs/>
                      <w:color w:val="auto"/>
                      <w:sz w:val="13"/>
                      <w:szCs w:val="13"/>
                    </w:rPr>
                  </w:pPr>
                </w:p>
              </w:tc>
              <w:tc>
                <w:tcPr>
                  <w:tcW w:w="357" w:type="pct"/>
                  <w:vAlign w:val="center"/>
                </w:tcPr>
                <w:p>
                  <w:pPr>
                    <w:pStyle w:val="47"/>
                    <w:spacing w:line="240" w:lineRule="auto"/>
                    <w:ind w:firstLine="0"/>
                    <w:jc w:val="center"/>
                    <w:outlineLvl w:val="2"/>
                    <w:rPr>
                      <w:color w:val="auto"/>
                      <w:sz w:val="13"/>
                      <w:szCs w:val="13"/>
                    </w:rPr>
                  </w:pPr>
                  <w:r>
                    <w:rPr>
                      <w:rFonts w:hint="eastAsia"/>
                      <w:color w:val="auto"/>
                      <w:sz w:val="13"/>
                      <w:szCs w:val="13"/>
                    </w:rPr>
                    <w:t>-11.97</w:t>
                  </w:r>
                </w:p>
              </w:tc>
              <w:tc>
                <w:tcPr>
                  <w:tcW w:w="357" w:type="pct"/>
                  <w:vAlign w:val="center"/>
                </w:tcPr>
                <w:p>
                  <w:pPr>
                    <w:pStyle w:val="47"/>
                    <w:spacing w:line="240" w:lineRule="auto"/>
                    <w:ind w:firstLine="0"/>
                    <w:jc w:val="center"/>
                    <w:outlineLvl w:val="2"/>
                    <w:rPr>
                      <w:color w:val="auto"/>
                      <w:sz w:val="13"/>
                      <w:szCs w:val="13"/>
                    </w:rPr>
                  </w:pPr>
                  <w:r>
                    <w:rPr>
                      <w:rFonts w:hint="eastAsia"/>
                      <w:color w:val="auto"/>
                      <w:sz w:val="13"/>
                      <w:szCs w:val="13"/>
                    </w:rPr>
                    <w:t>30.39</w:t>
                  </w:r>
                </w:p>
              </w:tc>
              <w:tc>
                <w:tcPr>
                  <w:tcW w:w="263" w:type="pct"/>
                  <w:vAlign w:val="center"/>
                </w:tcPr>
                <w:p>
                  <w:pPr>
                    <w:jc w:val="center"/>
                    <w:rPr>
                      <w:color w:val="auto"/>
                      <w:sz w:val="13"/>
                      <w:szCs w:val="13"/>
                    </w:rPr>
                  </w:pPr>
                  <w:r>
                    <w:rPr>
                      <w:rFonts w:hint="eastAsia"/>
                      <w:color w:val="auto"/>
                      <w:sz w:val="13"/>
                      <w:szCs w:val="13"/>
                    </w:rPr>
                    <w:t>4</w:t>
                  </w:r>
                </w:p>
              </w:tc>
              <w:tc>
                <w:tcPr>
                  <w:tcW w:w="349" w:type="pct"/>
                  <w:vAlign w:val="center"/>
                </w:tcPr>
                <w:p>
                  <w:pPr>
                    <w:jc w:val="center"/>
                    <w:rPr>
                      <w:bCs/>
                      <w:color w:val="auto"/>
                      <w:sz w:val="13"/>
                      <w:szCs w:val="13"/>
                    </w:rPr>
                  </w:pPr>
                  <w:r>
                    <w:rPr>
                      <w:rFonts w:hint="eastAsia"/>
                      <w:bCs/>
                      <w:color w:val="auto"/>
                      <w:sz w:val="13"/>
                      <w:szCs w:val="13"/>
                    </w:rPr>
                    <w:t>10</w:t>
                  </w:r>
                </w:p>
              </w:tc>
              <w:tc>
                <w:tcPr>
                  <w:tcW w:w="359" w:type="pct"/>
                  <w:vAlign w:val="center"/>
                </w:tcPr>
                <w:p>
                  <w:pPr>
                    <w:jc w:val="center"/>
                    <w:rPr>
                      <w:bCs/>
                      <w:color w:val="auto"/>
                      <w:sz w:val="13"/>
                      <w:szCs w:val="13"/>
                    </w:rPr>
                  </w:pPr>
                  <w:r>
                    <w:rPr>
                      <w:rFonts w:hint="eastAsia"/>
                      <w:bCs/>
                      <w:color w:val="auto"/>
                      <w:sz w:val="13"/>
                      <w:szCs w:val="13"/>
                    </w:rPr>
                    <w:t>60</w:t>
                  </w:r>
                </w:p>
              </w:tc>
              <w:tc>
                <w:tcPr>
                  <w:tcW w:w="326" w:type="pct"/>
                  <w:vMerge w:val="continue"/>
                  <w:vAlign w:val="center"/>
                </w:tcPr>
                <w:p>
                  <w:pPr>
                    <w:jc w:val="center"/>
                    <w:rPr>
                      <w:bCs/>
                      <w:color w:val="auto"/>
                      <w:sz w:val="13"/>
                      <w:szCs w:val="13"/>
                    </w:rPr>
                  </w:pPr>
                </w:p>
              </w:tc>
              <w:tc>
                <w:tcPr>
                  <w:tcW w:w="425" w:type="pct"/>
                  <w:vAlign w:val="center"/>
                </w:tcPr>
                <w:p>
                  <w:pPr>
                    <w:jc w:val="center"/>
                    <w:rPr>
                      <w:bCs/>
                      <w:color w:val="auto"/>
                      <w:sz w:val="13"/>
                      <w:szCs w:val="13"/>
                    </w:rPr>
                  </w:pPr>
                  <w:r>
                    <w:rPr>
                      <w:rFonts w:hint="eastAsia"/>
                      <w:bCs/>
                      <w:color w:val="auto"/>
                      <w:sz w:val="13"/>
                      <w:szCs w:val="13"/>
                    </w:rPr>
                    <w:t>10</w:t>
                  </w:r>
                </w:p>
              </w:tc>
              <w:tc>
                <w:tcPr>
                  <w:tcW w:w="373" w:type="pct"/>
                  <w:vAlign w:val="center"/>
                </w:tcPr>
                <w:p>
                  <w:pPr>
                    <w:jc w:val="center"/>
                    <w:rPr>
                      <w:bCs/>
                      <w:color w:val="auto"/>
                      <w:sz w:val="13"/>
                      <w:szCs w:val="13"/>
                    </w:rPr>
                  </w:pPr>
                  <w:r>
                    <w:rPr>
                      <w:rFonts w:hint="eastAsia"/>
                      <w:bCs/>
                      <w:color w:val="auto"/>
                      <w:sz w:val="13"/>
                      <w:szCs w:val="13"/>
                    </w:rPr>
                    <w:t>60</w:t>
                  </w:r>
                </w:p>
              </w:tc>
              <w:tc>
                <w:tcPr>
                  <w:tcW w:w="325" w:type="pct"/>
                  <w:vAlign w:val="center"/>
                </w:tcPr>
                <w:p>
                  <w:pPr>
                    <w:jc w:val="center"/>
                    <w:rPr>
                      <w:bCs/>
                      <w:color w:val="auto"/>
                      <w:sz w:val="13"/>
                      <w:szCs w:val="13"/>
                    </w:rPr>
                  </w:pPr>
                  <w:r>
                    <w:rPr>
                      <w:rFonts w:hint="eastAsia"/>
                      <w:bCs/>
                      <w:color w:val="auto"/>
                      <w:sz w:val="13"/>
                      <w:szCs w:val="13"/>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1" w:type="pct"/>
                  <w:vMerge w:val="continue"/>
                  <w:vAlign w:val="center"/>
                </w:tcPr>
                <w:p>
                  <w:pPr>
                    <w:jc w:val="center"/>
                    <w:rPr>
                      <w:bCs/>
                      <w:color w:val="auto"/>
                      <w:sz w:val="13"/>
                      <w:szCs w:val="13"/>
                    </w:rPr>
                  </w:pPr>
                </w:p>
              </w:tc>
              <w:tc>
                <w:tcPr>
                  <w:tcW w:w="385" w:type="pct"/>
                  <w:vAlign w:val="center"/>
                </w:tcPr>
                <w:p>
                  <w:pPr>
                    <w:jc w:val="center"/>
                    <w:rPr>
                      <w:color w:val="auto"/>
                      <w:sz w:val="13"/>
                      <w:szCs w:val="13"/>
                    </w:rPr>
                  </w:pPr>
                  <w:r>
                    <w:rPr>
                      <w:rFonts w:hint="eastAsia"/>
                      <w:color w:val="auto"/>
                      <w:sz w:val="13"/>
                      <w:szCs w:val="13"/>
                    </w:rPr>
                    <w:t>给料机</w:t>
                  </w:r>
                </w:p>
              </w:tc>
              <w:tc>
                <w:tcPr>
                  <w:tcW w:w="534" w:type="pct"/>
                  <w:vAlign w:val="center"/>
                </w:tcPr>
                <w:p>
                  <w:pPr>
                    <w:jc w:val="center"/>
                    <w:rPr>
                      <w:color w:val="auto"/>
                      <w:sz w:val="13"/>
                      <w:szCs w:val="13"/>
                    </w:rPr>
                  </w:pPr>
                  <w:r>
                    <w:rPr>
                      <w:rFonts w:hint="eastAsia"/>
                      <w:color w:val="auto"/>
                      <w:sz w:val="13"/>
                      <w:szCs w:val="13"/>
                    </w:rPr>
                    <w:t>WLS400-Z</w:t>
                  </w:r>
                </w:p>
              </w:tc>
              <w:tc>
                <w:tcPr>
                  <w:tcW w:w="359" w:type="pct"/>
                  <w:vAlign w:val="center"/>
                </w:tcPr>
                <w:p>
                  <w:pPr>
                    <w:jc w:val="center"/>
                    <w:rPr>
                      <w:color w:val="auto"/>
                      <w:sz w:val="13"/>
                      <w:szCs w:val="13"/>
                    </w:rPr>
                  </w:pPr>
                  <w:r>
                    <w:rPr>
                      <w:rFonts w:hint="eastAsia"/>
                      <w:color w:val="auto"/>
                      <w:sz w:val="13"/>
                      <w:szCs w:val="13"/>
                    </w:rPr>
                    <w:t>80</w:t>
                  </w:r>
                </w:p>
              </w:tc>
              <w:tc>
                <w:tcPr>
                  <w:tcW w:w="348" w:type="pct"/>
                  <w:vMerge w:val="continue"/>
                  <w:vAlign w:val="center"/>
                </w:tcPr>
                <w:p>
                  <w:pPr>
                    <w:jc w:val="center"/>
                    <w:rPr>
                      <w:bCs/>
                      <w:color w:val="auto"/>
                      <w:sz w:val="13"/>
                      <w:szCs w:val="13"/>
                    </w:rPr>
                  </w:pPr>
                </w:p>
              </w:tc>
              <w:tc>
                <w:tcPr>
                  <w:tcW w:w="357" w:type="pct"/>
                  <w:vAlign w:val="center"/>
                </w:tcPr>
                <w:p>
                  <w:pPr>
                    <w:pStyle w:val="47"/>
                    <w:spacing w:line="240" w:lineRule="auto"/>
                    <w:ind w:firstLine="0"/>
                    <w:jc w:val="center"/>
                    <w:outlineLvl w:val="2"/>
                    <w:rPr>
                      <w:color w:val="auto"/>
                      <w:sz w:val="13"/>
                      <w:szCs w:val="13"/>
                    </w:rPr>
                  </w:pPr>
                  <w:r>
                    <w:rPr>
                      <w:rFonts w:hint="eastAsia"/>
                      <w:color w:val="auto"/>
                      <w:sz w:val="13"/>
                      <w:szCs w:val="13"/>
                    </w:rPr>
                    <w:t>-6.02</w:t>
                  </w:r>
                </w:p>
              </w:tc>
              <w:tc>
                <w:tcPr>
                  <w:tcW w:w="357" w:type="pct"/>
                  <w:vAlign w:val="center"/>
                </w:tcPr>
                <w:p>
                  <w:pPr>
                    <w:pStyle w:val="47"/>
                    <w:spacing w:line="240" w:lineRule="auto"/>
                    <w:ind w:firstLine="0"/>
                    <w:jc w:val="center"/>
                    <w:outlineLvl w:val="2"/>
                    <w:rPr>
                      <w:color w:val="auto"/>
                      <w:sz w:val="13"/>
                      <w:szCs w:val="13"/>
                    </w:rPr>
                  </w:pPr>
                  <w:r>
                    <w:rPr>
                      <w:rFonts w:hint="eastAsia"/>
                      <w:color w:val="auto"/>
                      <w:sz w:val="13"/>
                      <w:szCs w:val="13"/>
                    </w:rPr>
                    <w:t>23.91</w:t>
                  </w:r>
                </w:p>
              </w:tc>
              <w:tc>
                <w:tcPr>
                  <w:tcW w:w="263" w:type="pct"/>
                  <w:vAlign w:val="center"/>
                </w:tcPr>
                <w:p>
                  <w:pPr>
                    <w:jc w:val="center"/>
                    <w:rPr>
                      <w:color w:val="auto"/>
                      <w:sz w:val="13"/>
                      <w:szCs w:val="13"/>
                    </w:rPr>
                  </w:pPr>
                  <w:r>
                    <w:rPr>
                      <w:rFonts w:hint="eastAsia"/>
                      <w:color w:val="auto"/>
                      <w:sz w:val="13"/>
                      <w:szCs w:val="13"/>
                    </w:rPr>
                    <w:t>4</w:t>
                  </w:r>
                </w:p>
              </w:tc>
              <w:tc>
                <w:tcPr>
                  <w:tcW w:w="349" w:type="pct"/>
                  <w:vAlign w:val="center"/>
                </w:tcPr>
                <w:p>
                  <w:pPr>
                    <w:jc w:val="center"/>
                    <w:rPr>
                      <w:bCs/>
                      <w:color w:val="auto"/>
                      <w:sz w:val="13"/>
                      <w:szCs w:val="13"/>
                    </w:rPr>
                  </w:pPr>
                  <w:r>
                    <w:rPr>
                      <w:rFonts w:hint="eastAsia"/>
                      <w:bCs/>
                      <w:color w:val="auto"/>
                      <w:sz w:val="13"/>
                      <w:szCs w:val="13"/>
                    </w:rPr>
                    <w:t>8</w:t>
                  </w:r>
                </w:p>
              </w:tc>
              <w:tc>
                <w:tcPr>
                  <w:tcW w:w="359" w:type="pct"/>
                  <w:vAlign w:val="center"/>
                </w:tcPr>
                <w:p>
                  <w:pPr>
                    <w:jc w:val="center"/>
                    <w:rPr>
                      <w:bCs/>
                      <w:color w:val="auto"/>
                      <w:sz w:val="13"/>
                      <w:szCs w:val="13"/>
                    </w:rPr>
                  </w:pPr>
                  <w:r>
                    <w:rPr>
                      <w:rFonts w:hint="eastAsia"/>
                      <w:bCs/>
                      <w:color w:val="auto"/>
                      <w:sz w:val="13"/>
                      <w:szCs w:val="13"/>
                    </w:rPr>
                    <w:t>61.93</w:t>
                  </w:r>
                </w:p>
              </w:tc>
              <w:tc>
                <w:tcPr>
                  <w:tcW w:w="326" w:type="pct"/>
                  <w:vMerge w:val="continue"/>
                  <w:vAlign w:val="center"/>
                </w:tcPr>
                <w:p>
                  <w:pPr>
                    <w:jc w:val="center"/>
                    <w:rPr>
                      <w:bCs/>
                      <w:color w:val="auto"/>
                      <w:sz w:val="13"/>
                      <w:szCs w:val="13"/>
                    </w:rPr>
                  </w:pPr>
                </w:p>
              </w:tc>
              <w:tc>
                <w:tcPr>
                  <w:tcW w:w="425" w:type="pct"/>
                  <w:vAlign w:val="center"/>
                </w:tcPr>
                <w:p>
                  <w:pPr>
                    <w:jc w:val="center"/>
                    <w:rPr>
                      <w:bCs/>
                      <w:color w:val="auto"/>
                      <w:sz w:val="13"/>
                      <w:szCs w:val="13"/>
                    </w:rPr>
                  </w:pPr>
                  <w:r>
                    <w:rPr>
                      <w:rFonts w:hint="eastAsia"/>
                      <w:bCs/>
                      <w:color w:val="auto"/>
                      <w:sz w:val="13"/>
                      <w:szCs w:val="13"/>
                    </w:rPr>
                    <w:t>10</w:t>
                  </w:r>
                </w:p>
              </w:tc>
              <w:tc>
                <w:tcPr>
                  <w:tcW w:w="373" w:type="pct"/>
                  <w:vAlign w:val="center"/>
                </w:tcPr>
                <w:p>
                  <w:pPr>
                    <w:jc w:val="center"/>
                    <w:rPr>
                      <w:bCs/>
                      <w:color w:val="auto"/>
                      <w:sz w:val="13"/>
                      <w:szCs w:val="13"/>
                    </w:rPr>
                  </w:pPr>
                  <w:r>
                    <w:rPr>
                      <w:rFonts w:hint="eastAsia"/>
                      <w:bCs/>
                      <w:color w:val="auto"/>
                      <w:sz w:val="13"/>
                      <w:szCs w:val="13"/>
                    </w:rPr>
                    <w:t>51.93</w:t>
                  </w:r>
                </w:p>
              </w:tc>
              <w:tc>
                <w:tcPr>
                  <w:tcW w:w="325" w:type="pct"/>
                  <w:vAlign w:val="center"/>
                </w:tcPr>
                <w:p>
                  <w:pPr>
                    <w:jc w:val="center"/>
                    <w:rPr>
                      <w:bCs/>
                      <w:color w:val="auto"/>
                      <w:sz w:val="13"/>
                      <w:szCs w:val="13"/>
                    </w:rPr>
                  </w:pPr>
                  <w:r>
                    <w:rPr>
                      <w:rFonts w:hint="eastAsia"/>
                      <w:bCs/>
                      <w:color w:val="auto"/>
                      <w:sz w:val="13"/>
                      <w:szCs w:val="13"/>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1" w:type="pct"/>
                  <w:vMerge w:val="continue"/>
                  <w:vAlign w:val="center"/>
                </w:tcPr>
                <w:p>
                  <w:pPr>
                    <w:jc w:val="center"/>
                    <w:rPr>
                      <w:bCs/>
                      <w:color w:val="auto"/>
                      <w:sz w:val="13"/>
                      <w:szCs w:val="13"/>
                    </w:rPr>
                  </w:pPr>
                </w:p>
              </w:tc>
              <w:tc>
                <w:tcPr>
                  <w:tcW w:w="385" w:type="pct"/>
                  <w:vAlign w:val="center"/>
                </w:tcPr>
                <w:p>
                  <w:pPr>
                    <w:jc w:val="center"/>
                    <w:rPr>
                      <w:color w:val="auto"/>
                      <w:sz w:val="13"/>
                      <w:szCs w:val="13"/>
                    </w:rPr>
                  </w:pPr>
                  <w:r>
                    <w:rPr>
                      <w:rFonts w:hint="eastAsia"/>
                      <w:color w:val="auto"/>
                      <w:sz w:val="13"/>
                      <w:szCs w:val="13"/>
                    </w:rPr>
                    <w:t>空压机</w:t>
                  </w:r>
                </w:p>
              </w:tc>
              <w:tc>
                <w:tcPr>
                  <w:tcW w:w="534" w:type="pct"/>
                  <w:vAlign w:val="center"/>
                </w:tcPr>
                <w:p>
                  <w:pPr>
                    <w:jc w:val="center"/>
                    <w:rPr>
                      <w:color w:val="auto"/>
                      <w:sz w:val="13"/>
                      <w:szCs w:val="13"/>
                    </w:rPr>
                  </w:pPr>
                  <w:r>
                    <w:rPr>
                      <w:rFonts w:hint="eastAsia"/>
                      <w:color w:val="auto"/>
                      <w:sz w:val="13"/>
                      <w:szCs w:val="13"/>
                    </w:rPr>
                    <w:t>SA55-200</w:t>
                  </w:r>
                </w:p>
              </w:tc>
              <w:tc>
                <w:tcPr>
                  <w:tcW w:w="359" w:type="pct"/>
                  <w:vAlign w:val="center"/>
                </w:tcPr>
                <w:p>
                  <w:pPr>
                    <w:jc w:val="center"/>
                    <w:rPr>
                      <w:color w:val="auto"/>
                      <w:sz w:val="13"/>
                      <w:szCs w:val="13"/>
                    </w:rPr>
                  </w:pPr>
                  <w:r>
                    <w:rPr>
                      <w:rFonts w:hint="eastAsia"/>
                      <w:color w:val="auto"/>
                      <w:sz w:val="13"/>
                      <w:szCs w:val="13"/>
                    </w:rPr>
                    <w:t>90</w:t>
                  </w:r>
                </w:p>
              </w:tc>
              <w:tc>
                <w:tcPr>
                  <w:tcW w:w="348" w:type="pct"/>
                  <w:vMerge w:val="continue"/>
                  <w:vAlign w:val="center"/>
                </w:tcPr>
                <w:p>
                  <w:pPr>
                    <w:jc w:val="center"/>
                    <w:rPr>
                      <w:bCs/>
                      <w:color w:val="auto"/>
                      <w:sz w:val="13"/>
                      <w:szCs w:val="13"/>
                    </w:rPr>
                  </w:pPr>
                </w:p>
              </w:tc>
              <w:tc>
                <w:tcPr>
                  <w:tcW w:w="357" w:type="pct"/>
                  <w:vAlign w:val="center"/>
                </w:tcPr>
                <w:p>
                  <w:pPr>
                    <w:pStyle w:val="47"/>
                    <w:spacing w:line="240" w:lineRule="auto"/>
                    <w:ind w:firstLine="0"/>
                    <w:jc w:val="center"/>
                    <w:outlineLvl w:val="2"/>
                    <w:rPr>
                      <w:color w:val="auto"/>
                      <w:sz w:val="13"/>
                      <w:szCs w:val="13"/>
                    </w:rPr>
                  </w:pPr>
                  <w:r>
                    <w:rPr>
                      <w:rFonts w:hint="eastAsia"/>
                      <w:color w:val="auto"/>
                      <w:sz w:val="13"/>
                      <w:szCs w:val="13"/>
                    </w:rPr>
                    <w:t>-5.37</w:t>
                  </w:r>
                </w:p>
              </w:tc>
              <w:tc>
                <w:tcPr>
                  <w:tcW w:w="357" w:type="pct"/>
                  <w:vAlign w:val="center"/>
                </w:tcPr>
                <w:p>
                  <w:pPr>
                    <w:pStyle w:val="47"/>
                    <w:spacing w:line="240" w:lineRule="auto"/>
                    <w:ind w:firstLine="0"/>
                    <w:jc w:val="center"/>
                    <w:outlineLvl w:val="2"/>
                    <w:rPr>
                      <w:color w:val="auto"/>
                      <w:sz w:val="13"/>
                      <w:szCs w:val="13"/>
                    </w:rPr>
                  </w:pPr>
                  <w:r>
                    <w:rPr>
                      <w:rFonts w:hint="eastAsia"/>
                      <w:color w:val="auto"/>
                      <w:sz w:val="13"/>
                      <w:szCs w:val="13"/>
                    </w:rPr>
                    <w:t>17.64</w:t>
                  </w:r>
                </w:p>
              </w:tc>
              <w:tc>
                <w:tcPr>
                  <w:tcW w:w="263" w:type="pct"/>
                  <w:vAlign w:val="center"/>
                </w:tcPr>
                <w:p>
                  <w:pPr>
                    <w:jc w:val="center"/>
                    <w:rPr>
                      <w:color w:val="auto"/>
                      <w:sz w:val="13"/>
                      <w:szCs w:val="13"/>
                    </w:rPr>
                  </w:pPr>
                  <w:r>
                    <w:rPr>
                      <w:rFonts w:hint="eastAsia"/>
                      <w:color w:val="auto"/>
                      <w:sz w:val="13"/>
                      <w:szCs w:val="13"/>
                    </w:rPr>
                    <w:t>2</w:t>
                  </w:r>
                </w:p>
              </w:tc>
              <w:tc>
                <w:tcPr>
                  <w:tcW w:w="349" w:type="pct"/>
                  <w:vAlign w:val="center"/>
                </w:tcPr>
                <w:p>
                  <w:pPr>
                    <w:jc w:val="center"/>
                    <w:rPr>
                      <w:bCs/>
                      <w:color w:val="auto"/>
                      <w:sz w:val="13"/>
                      <w:szCs w:val="13"/>
                    </w:rPr>
                  </w:pPr>
                  <w:r>
                    <w:rPr>
                      <w:rFonts w:hint="eastAsia"/>
                      <w:bCs/>
                      <w:color w:val="auto"/>
                      <w:sz w:val="13"/>
                      <w:szCs w:val="13"/>
                    </w:rPr>
                    <w:t>10</w:t>
                  </w:r>
                </w:p>
              </w:tc>
              <w:tc>
                <w:tcPr>
                  <w:tcW w:w="359" w:type="pct"/>
                  <w:vAlign w:val="center"/>
                </w:tcPr>
                <w:p>
                  <w:pPr>
                    <w:jc w:val="center"/>
                    <w:rPr>
                      <w:bCs/>
                      <w:color w:val="auto"/>
                      <w:sz w:val="13"/>
                      <w:szCs w:val="13"/>
                    </w:rPr>
                  </w:pPr>
                  <w:r>
                    <w:rPr>
                      <w:rFonts w:hint="eastAsia"/>
                      <w:bCs/>
                      <w:color w:val="auto"/>
                      <w:sz w:val="13"/>
                      <w:szCs w:val="13"/>
                    </w:rPr>
                    <w:t>70</w:t>
                  </w:r>
                </w:p>
              </w:tc>
              <w:tc>
                <w:tcPr>
                  <w:tcW w:w="326" w:type="pct"/>
                  <w:vMerge w:val="continue"/>
                  <w:vAlign w:val="center"/>
                </w:tcPr>
                <w:p>
                  <w:pPr>
                    <w:jc w:val="center"/>
                    <w:rPr>
                      <w:bCs/>
                      <w:color w:val="auto"/>
                      <w:sz w:val="13"/>
                      <w:szCs w:val="13"/>
                    </w:rPr>
                  </w:pPr>
                </w:p>
              </w:tc>
              <w:tc>
                <w:tcPr>
                  <w:tcW w:w="425" w:type="pct"/>
                  <w:vAlign w:val="center"/>
                </w:tcPr>
                <w:p>
                  <w:pPr>
                    <w:jc w:val="center"/>
                    <w:rPr>
                      <w:bCs/>
                      <w:color w:val="auto"/>
                      <w:sz w:val="13"/>
                      <w:szCs w:val="13"/>
                    </w:rPr>
                  </w:pPr>
                  <w:r>
                    <w:rPr>
                      <w:rFonts w:hint="eastAsia"/>
                      <w:bCs/>
                      <w:color w:val="auto"/>
                      <w:sz w:val="13"/>
                      <w:szCs w:val="13"/>
                    </w:rPr>
                    <w:t>10</w:t>
                  </w:r>
                </w:p>
              </w:tc>
              <w:tc>
                <w:tcPr>
                  <w:tcW w:w="373" w:type="pct"/>
                  <w:vAlign w:val="center"/>
                </w:tcPr>
                <w:p>
                  <w:pPr>
                    <w:jc w:val="center"/>
                    <w:rPr>
                      <w:bCs/>
                      <w:color w:val="auto"/>
                      <w:sz w:val="13"/>
                      <w:szCs w:val="13"/>
                    </w:rPr>
                  </w:pPr>
                  <w:r>
                    <w:rPr>
                      <w:rFonts w:hint="eastAsia"/>
                      <w:bCs/>
                      <w:color w:val="auto"/>
                      <w:sz w:val="13"/>
                      <w:szCs w:val="13"/>
                    </w:rPr>
                    <w:t>60</w:t>
                  </w:r>
                </w:p>
              </w:tc>
              <w:tc>
                <w:tcPr>
                  <w:tcW w:w="325" w:type="pct"/>
                  <w:vAlign w:val="center"/>
                </w:tcPr>
                <w:p>
                  <w:pPr>
                    <w:jc w:val="center"/>
                    <w:rPr>
                      <w:bCs/>
                      <w:color w:val="auto"/>
                      <w:sz w:val="13"/>
                      <w:szCs w:val="13"/>
                    </w:rPr>
                  </w:pPr>
                  <w:r>
                    <w:rPr>
                      <w:rFonts w:hint="eastAsia"/>
                      <w:bCs/>
                      <w:color w:val="auto"/>
                      <w:sz w:val="13"/>
                      <w:szCs w:val="13"/>
                    </w:rPr>
                    <w:t>17</w:t>
                  </w:r>
                </w:p>
              </w:tc>
            </w:tr>
          </w:tbl>
          <w:p>
            <w:pPr>
              <w:jc w:val="center"/>
              <w:rPr>
                <w:b/>
                <w:bCs/>
                <w:color w:val="auto"/>
                <w:szCs w:val="21"/>
              </w:rPr>
            </w:pPr>
          </w:p>
          <w:p>
            <w:pPr>
              <w:widowControl/>
              <w:spacing w:line="360" w:lineRule="auto"/>
              <w:ind w:firstLine="480" w:firstLineChars="200"/>
              <w:rPr>
                <w:color w:val="auto"/>
                <w:sz w:val="24"/>
              </w:rPr>
            </w:pPr>
            <w:r>
              <w:rPr>
                <w:rFonts w:hint="eastAsia"/>
                <w:color w:val="auto"/>
                <w:sz w:val="24"/>
              </w:rPr>
              <w:t>（2）预测模式</w:t>
            </w:r>
          </w:p>
          <w:p>
            <w:pPr>
              <w:spacing w:line="360" w:lineRule="auto"/>
              <w:ind w:firstLine="480" w:firstLineChars="200"/>
              <w:rPr>
                <w:rFonts w:ascii="宋体" w:hAnsi="宋体" w:cs="宋体"/>
                <w:color w:val="auto"/>
                <w:sz w:val="24"/>
              </w:rPr>
            </w:pPr>
            <w:r>
              <w:rPr>
                <w:rFonts w:hint="eastAsia" w:ascii="宋体" w:hAnsi="宋体" w:cs="宋体"/>
                <w:color w:val="auto"/>
                <w:sz w:val="24"/>
              </w:rPr>
              <w:t>经现场踏勘，本项目厂界外200m范围内无声环境保护目标分布，本次评价预测主要针对项目区厂界噪声。本次评价采用《环境影响评价技术导则 声环境》（HJ2.1-2021）推荐模型预测。</w:t>
            </w:r>
          </w:p>
          <w:p>
            <w:pPr>
              <w:spacing w:line="360" w:lineRule="auto"/>
              <w:ind w:firstLine="480" w:firstLineChars="200"/>
              <w:rPr>
                <w:rFonts w:ascii="宋体" w:hAnsi="宋体" w:cs="宋体"/>
                <w:color w:val="auto"/>
                <w:sz w:val="24"/>
              </w:rPr>
            </w:pPr>
            <w:r>
              <w:rPr>
                <w:rFonts w:hint="eastAsia" w:ascii="宋体" w:hAnsi="宋体" w:cs="宋体"/>
                <w:color w:val="auto"/>
                <w:sz w:val="24"/>
              </w:rPr>
              <w:t>如图4-2所示，声源位于室内，室内声源可采用等效室外声源声功率级法进行计算。设靠近开口处（或窗户）室内、室外某倍频带的声压级或A声级分别为Lp1和Lp2，若声源所在室内声场为近似扩散声场，则室外的倍频带声压级可按下式近似求出：</w:t>
            </w:r>
          </w:p>
          <w:p>
            <w:pPr>
              <w:spacing w:line="360" w:lineRule="auto"/>
              <w:rPr>
                <w:rFonts w:ascii="宋体" w:hAnsi="宋体" w:cs="宋体"/>
                <w:color w:val="auto"/>
                <w:sz w:val="24"/>
              </w:rPr>
            </w:pPr>
            <m:oMathPara>
              <m:oMath>
                <m:sSub>
                  <m:sSubPr>
                    <m:ctrlPr>
                      <w:rPr>
                        <w:rFonts w:ascii="Cambria Math" w:hAnsi="Cambria Math" w:cs="宋体"/>
                        <w:color w:val="auto"/>
                        <w:sz w:val="24"/>
                      </w:rPr>
                    </m:ctrlPr>
                  </m:sSubPr>
                  <m:e>
                    <m:r>
                      <m:rPr>
                        <m:sty m:val="p"/>
                      </m:rPr>
                      <w:rPr>
                        <w:rFonts w:hint="eastAsia" w:ascii="Cambria Math" w:hAnsi="Cambria Math" w:cs="宋体"/>
                        <w:color w:val="auto"/>
                        <w:sz w:val="24"/>
                      </w:rPr>
                      <m:t>L</m:t>
                    </m:r>
                    <m:ctrlPr>
                      <w:rPr>
                        <w:rFonts w:ascii="Cambria Math" w:hAnsi="Cambria Math" w:cs="宋体"/>
                        <w:color w:val="auto"/>
                        <w:sz w:val="24"/>
                      </w:rPr>
                    </m:ctrlPr>
                  </m:e>
                  <m:sub>
                    <m:r>
                      <m:rPr/>
                      <w:rPr>
                        <w:rFonts w:ascii="Cambria Math" w:hAnsi="Cambria Math" w:cs="宋体"/>
                        <w:color w:val="auto"/>
                        <w:sz w:val="24"/>
                      </w:rPr>
                      <m:t>p2</m:t>
                    </m:r>
                    <m:ctrlPr>
                      <w:rPr>
                        <w:rFonts w:ascii="Cambria Math" w:hAnsi="Cambria Math" w:cs="宋体"/>
                        <w:color w:val="auto"/>
                        <w:sz w:val="24"/>
                      </w:rPr>
                    </m:ctrlPr>
                  </m:sub>
                </m:sSub>
                <m:r>
                  <m:rPr/>
                  <w:rPr>
                    <w:rFonts w:hint="eastAsia" w:ascii="Cambria Math" w:hAnsi="Cambria Math" w:cs="宋体"/>
                    <w:color w:val="auto"/>
                    <w:sz w:val="24"/>
                  </w:rPr>
                  <m:t>=</m:t>
                </m:r>
                <m:sSub>
                  <m:sSubPr>
                    <m:ctrlPr>
                      <w:rPr>
                        <w:rFonts w:ascii="Cambria Math" w:hAnsi="Cambria Math" w:cs="宋体"/>
                        <w:i/>
                        <w:color w:val="auto"/>
                        <w:sz w:val="24"/>
                      </w:rPr>
                    </m:ctrlPr>
                  </m:sSubPr>
                  <m:e>
                    <m:r>
                      <m:rPr/>
                      <w:rPr>
                        <w:rFonts w:ascii="Cambria Math" w:hAnsi="Cambria Math" w:cs="宋体"/>
                        <w:color w:val="auto"/>
                        <w:sz w:val="24"/>
                      </w:rPr>
                      <m:t>L</m:t>
                    </m:r>
                    <m:ctrlPr>
                      <w:rPr>
                        <w:rFonts w:ascii="Cambria Math" w:hAnsi="Cambria Math" w:cs="宋体"/>
                        <w:i/>
                        <w:color w:val="auto"/>
                        <w:sz w:val="24"/>
                      </w:rPr>
                    </m:ctrlPr>
                  </m:e>
                  <m:sub>
                    <m:r>
                      <m:rPr/>
                      <w:rPr>
                        <w:rFonts w:ascii="Cambria Math" w:hAnsi="Cambria Math" w:cs="宋体"/>
                        <w:color w:val="auto"/>
                        <w:sz w:val="24"/>
                      </w:rPr>
                      <m:t>p1</m:t>
                    </m:r>
                    <m:ctrlPr>
                      <w:rPr>
                        <w:rFonts w:ascii="Cambria Math" w:hAnsi="Cambria Math" w:cs="宋体"/>
                        <w:i/>
                        <w:color w:val="auto"/>
                        <w:sz w:val="24"/>
                      </w:rPr>
                    </m:ctrlPr>
                  </m:sub>
                </m:sSub>
                <m:r>
                  <m:rPr/>
                  <w:rPr>
                    <w:rFonts w:ascii="Cambria Math" w:hAnsi="Cambria Math" w:cs="宋体"/>
                    <w:color w:val="auto"/>
                    <w:sz w:val="24"/>
                  </w:rPr>
                  <m:t>−</m:t>
                </m:r>
                <m:d>
                  <m:dPr>
                    <m:ctrlPr>
                      <w:rPr>
                        <w:rFonts w:ascii="Cambria Math" w:hAnsi="Cambria Math" w:cs="宋体"/>
                        <w:i/>
                        <w:color w:val="auto"/>
                        <w:sz w:val="24"/>
                      </w:rPr>
                    </m:ctrlPr>
                  </m:dPr>
                  <m:e>
                    <m:r>
                      <m:rPr/>
                      <w:rPr>
                        <w:rFonts w:ascii="Cambria Math" w:hAnsi="Cambria Math" w:cs="宋体"/>
                        <w:color w:val="auto"/>
                        <w:sz w:val="24"/>
                      </w:rPr>
                      <m:t>TL+6</m:t>
                    </m:r>
                    <m:ctrlPr>
                      <w:rPr>
                        <w:rFonts w:ascii="Cambria Math" w:hAnsi="Cambria Math" w:cs="宋体"/>
                        <w:i/>
                        <w:color w:val="auto"/>
                        <w:sz w:val="24"/>
                      </w:rPr>
                    </m:ctrlPr>
                  </m:e>
                </m:d>
              </m:oMath>
            </m:oMathPara>
          </w:p>
          <w:p>
            <w:pPr>
              <w:spacing w:line="360" w:lineRule="auto"/>
              <w:ind w:firstLine="480" w:firstLineChars="200"/>
              <w:rPr>
                <w:rFonts w:ascii="宋体" w:hAnsi="宋体" w:cs="宋体"/>
                <w:color w:val="auto"/>
                <w:sz w:val="24"/>
              </w:rPr>
            </w:pPr>
            <w:r>
              <w:rPr>
                <w:rFonts w:hint="eastAsia" w:ascii="宋体" w:hAnsi="宋体" w:cs="宋体"/>
                <w:color w:val="auto"/>
                <w:sz w:val="24"/>
              </w:rPr>
              <w:t>式中：L</w:t>
            </w:r>
            <w:r>
              <w:rPr>
                <w:rFonts w:hint="eastAsia" w:ascii="宋体" w:hAnsi="宋体" w:cs="宋体"/>
                <w:color w:val="auto"/>
                <w:sz w:val="24"/>
                <w:vertAlign w:val="subscript"/>
              </w:rPr>
              <w:t>p1</w:t>
            </w:r>
            <w:r>
              <w:rPr>
                <w:rFonts w:hint="eastAsia" w:ascii="宋体" w:hAnsi="宋体" w:cs="宋体"/>
                <w:color w:val="auto"/>
                <w:sz w:val="24"/>
              </w:rPr>
              <w:t>—靠近开口处（或窗户）室内某倍频带的声压级或A声级，dB；</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L</w:t>
            </w:r>
            <w:r>
              <w:rPr>
                <w:rFonts w:hint="eastAsia" w:ascii="宋体" w:hAnsi="宋体" w:cs="宋体"/>
                <w:color w:val="auto"/>
                <w:sz w:val="24"/>
                <w:vertAlign w:val="subscript"/>
              </w:rPr>
              <w:t>p2</w:t>
            </w:r>
            <w:r>
              <w:rPr>
                <w:rFonts w:hint="eastAsia" w:ascii="宋体" w:hAnsi="宋体" w:cs="宋体"/>
                <w:color w:val="auto"/>
                <w:sz w:val="24"/>
              </w:rPr>
              <w:t>—靠近开口处（或窗户）室外某倍频带的声压级或A声级，dB；</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TL—隔墙（或窗户）倍频带或A声级的隔声量，dB。</w:t>
            </w:r>
          </w:p>
          <w:p>
            <w:pPr>
              <w:spacing w:line="360" w:lineRule="auto"/>
              <w:rPr>
                <w:rFonts w:ascii="宋体" w:hAnsi="宋体" w:cs="宋体"/>
                <w:color w:val="auto"/>
                <w:sz w:val="24"/>
              </w:rPr>
            </w:pPr>
            <w:r>
              <w:rPr>
                <w:rFonts w:hint="eastAsia" w:ascii="宋体" w:hAnsi="宋体" w:cs="宋体"/>
                <w:color w:val="auto"/>
                <w:sz w:val="24"/>
              </w:rPr>
              <mc:AlternateContent>
                <mc:Choice Requires="wpc">
                  <w:drawing>
                    <wp:inline distT="0" distB="0" distL="0" distR="0">
                      <wp:extent cx="5486400" cy="1228725"/>
                      <wp:effectExtent l="0" t="0" r="0" b="0"/>
                      <wp:docPr id="6" name="画布 6"/>
                      <wp:cNvGraphicFramePr>
                        <a:graphicFrameLocks xmlns:a="http://schemas.openxmlformats.org/drawingml/2006/main" noChangeAspect="true"/>
                      </wp:cNvGraphicFramePr>
                      <a:graphic xmlns:a="http://schemas.openxmlformats.org/drawingml/2006/main">
                        <a:graphicData uri="http://schemas.microsoft.com/office/word/2010/wordprocessingCanvas">
                          <wpc:wpc>
                            <wpc:bg/>
                            <wpc:whole/>
                            <wps:wsp>
                              <wps:cNvPr id="187" name="文本框 38"/>
                              <wps:cNvSpPr txBox="true"/>
                              <wps:spPr>
                                <a:xfrm>
                                  <a:off x="3321580" y="336499"/>
                                  <a:ext cx="460375" cy="295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9"/>
                                      <w:spacing w:before="0" w:beforeAutospacing="0" w:after="0" w:afterAutospacing="0"/>
                                      <w:jc w:val="both"/>
                                    </w:pPr>
                                    <w:r>
                                      <w:rPr>
                                        <w:rFonts w:hint="eastAsia" w:ascii="Times New Roman"/>
                                        <w:kern w:val="2"/>
                                        <w:sz w:val="21"/>
                                        <w:szCs w:val="21"/>
                                      </w:rPr>
                                      <w:t>L</w:t>
                                    </w:r>
                                    <w:r>
                                      <w:rPr>
                                        <w:rFonts w:hint="eastAsia" w:ascii="Times New Roman"/>
                                        <w:kern w:val="2"/>
                                        <w:sz w:val="21"/>
                                        <w:szCs w:val="21"/>
                                        <w:vertAlign w:val="subscript"/>
                                      </w:rPr>
                                      <w:t>p1</w:t>
                                    </w:r>
                                  </w:p>
                                </w:txbxContent>
                              </wps:txbx>
                              <wps:bodyPr rot="0" spcFirstLastPara="0" vert="horz" wrap="square" lIns="91440" tIns="45720" rIns="91440" bIns="45720" numCol="1" spcCol="0" rtlCol="0" fromWordArt="false" anchor="t" anchorCtr="false" forceAA="false" compatLnSpc="true">
                                <a:noAutofit/>
                              </wps:bodyPr>
                            </wps:wsp>
                            <wps:wsp>
                              <wps:cNvPr id="38" name="文本框 38"/>
                              <wps:cNvSpPr txBox="true"/>
                              <wps:spPr>
                                <a:xfrm>
                                  <a:off x="1689818" y="468166"/>
                                  <a:ext cx="460858" cy="2267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声源</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 name="矩形 11"/>
                              <wps:cNvSpPr/>
                              <wps:spPr>
                                <a:xfrm>
                                  <a:off x="1719071" y="80468"/>
                                  <a:ext cx="2062886" cy="10899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wps:wsp>
                              <wps:cNvPr id="14" name="矩形 14"/>
                              <wps:cNvSpPr/>
                              <wps:spPr>
                                <a:xfrm>
                                  <a:off x="3650284" y="285292"/>
                                  <a:ext cx="263347" cy="65105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wps:wsp>
                              <wps:cNvPr id="20" name="椭圆 20"/>
                              <wps:cNvSpPr/>
                              <wps:spPr>
                                <a:xfrm>
                                  <a:off x="2092147" y="468172"/>
                                  <a:ext cx="124359" cy="24140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wps:wsp>
                              <wps:cNvPr id="34" name="直接连接符 34"/>
                              <wps:cNvCnPr>
                                <a:stCxn id="20" idx="6"/>
                              </wps:cNvCnPr>
                              <wps:spPr>
                                <a:xfrm>
                                  <a:off x="2216506" y="588873"/>
                                  <a:ext cx="1272845" cy="3658"/>
                                </a:xfrm>
                                <a:prstGeom prst="line">
                                  <a:avLst/>
                                </a:prstGeom>
                              </wps:spPr>
                              <wps:style>
                                <a:lnRef idx="1">
                                  <a:schemeClr val="dk1"/>
                                </a:lnRef>
                                <a:fillRef idx="0">
                                  <a:schemeClr val="dk1"/>
                                </a:fillRef>
                                <a:effectRef idx="0">
                                  <a:schemeClr val="dk1"/>
                                </a:effectRef>
                                <a:fontRef idx="minor">
                                  <a:schemeClr val="tx1"/>
                                </a:fontRef>
                              </wps:style>
                              <wps:bodyPr/>
                            </wps:wsp>
                            <wps:wsp>
                              <wps:cNvPr id="36" name="流程图: 联系 36"/>
                              <wps:cNvSpPr/>
                              <wps:spPr>
                                <a:xfrm>
                                  <a:off x="3489353" y="561442"/>
                                  <a:ext cx="45719" cy="45719"/>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wps:wsp>
                              <wps:cNvPr id="188" name="流程图: 联系 188"/>
                              <wps:cNvSpPr/>
                              <wps:spPr>
                                <a:xfrm>
                                  <a:off x="4013165" y="560391"/>
                                  <a:ext cx="45085" cy="45085"/>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false" anchor="ctr" anchorCtr="false" forceAA="false" compatLnSpc="true">
                                <a:noAutofit/>
                              </wps:bodyPr>
                            </wps:wsp>
                            <wps:wsp>
                              <wps:cNvPr id="189" name="文本框 38"/>
                              <wps:cNvSpPr txBox="true"/>
                              <wps:spPr>
                                <a:xfrm>
                                  <a:off x="3884367" y="322369"/>
                                  <a:ext cx="460375"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9"/>
                                      <w:spacing w:before="0" w:beforeAutospacing="0" w:after="0" w:afterAutospacing="0"/>
                                      <w:jc w:val="both"/>
                                    </w:pPr>
                                    <w:r>
                                      <w:rPr>
                                        <w:rFonts w:ascii="Times New Roman" w:hAnsi="Times New Roman"/>
                                        <w:kern w:val="2"/>
                                        <w:sz w:val="21"/>
                                        <w:szCs w:val="21"/>
                                      </w:rPr>
                                      <w:t>L</w:t>
                                    </w:r>
                                    <w:r>
                                      <w:rPr>
                                        <w:rFonts w:ascii="Times New Roman" w:hAnsi="Times New Roman"/>
                                        <w:kern w:val="2"/>
                                        <w:position w:val="-5"/>
                                        <w:sz w:val="21"/>
                                        <w:szCs w:val="21"/>
                                        <w:vertAlign w:val="subscript"/>
                                      </w:rPr>
                                      <w:t>p</w:t>
                                    </w:r>
                                    <w:r>
                                      <w:rPr>
                                        <w:rFonts w:hint="eastAsia" w:ascii="Times New Roman" w:hAnsi="Times New Roman"/>
                                        <w:kern w:val="2"/>
                                        <w:position w:val="-5"/>
                                        <w:sz w:val="21"/>
                                        <w:szCs w:val="21"/>
                                        <w:vertAlign w:val="subscript"/>
                                      </w:rPr>
                                      <w:t>2</w:t>
                                    </w:r>
                                  </w:p>
                                </w:txbxContent>
                              </wps:txbx>
                              <wps:bodyPr rot="0" spcFirstLastPara="0" vert="horz" wrap="square" lIns="91440" tIns="45720" rIns="91440" bIns="45720" numCol="1" spcCol="0" rtlCol="0" fromWordArt="false" anchor="t" anchorCtr="false" forceAA="false" compatLnSpc="true">
                                <a:noAutofit/>
                              </wps:bodyPr>
                            </wps:wsp>
                          </wpc:wpc>
                        </a:graphicData>
                      </a:graphic>
                    </wp:inline>
                  </w:drawing>
                </mc:Choice>
                <mc:Fallback>
                  <w:pict>
                    <v:group id="_x0000_s1026" o:spid="_x0000_s1026" o:spt="203" style="height:96.75pt;width:432pt;" coordsize="5486400,1228725" editas="canvas" o:gfxdata="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">
                      <o:lock v:ext="edit" aspectratio="f"/>
                      <v:shape id="_x0000_s1026" o:spid="_x0000_s1026" style="position:absolute;left:0;top:0;height:1228725;width:5486400;" filled="f" stroked="f" coordsize="21600,21600" o:gfxdata="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">
                        <v:fill on="f" focussize="0,0"/>
                        <v:stroke on="f"/>
                        <v:imagedata o:title=""/>
                        <o:lock v:ext="edit" aspectratio="t"/>
                      </v:shape>
                      <v:shape id="文本框 38" o:spid="_x0000_s1026" o:spt="202" type="#_x0000_t202" style="position:absolute;left:3321580;top:336499;height:295140;width:460375;" filled="f" stroked="f" coordsize="21600,21600" o:gfxdata="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Ms0JgLWAAAABQEAAA8AAAAAAAAAAQAgAAAAOAAAAGRycy9k&#10;b3ducmV2LnhtbFBLAQIUABQAAAAIAIdO4kCTb5tkJwIAABUEAAAOAAAAAAAAAAEAIAAAADsBAABk&#10;cnMvZTJvRG9jLnhtbFBLBQYAAAAABgAGAFkBAADUBQAAAAA=&#10;">
                        <v:fill on="f" focussize="0,0"/>
                        <v:stroke on="f" weight="0.5pt"/>
                        <v:imagedata o:title=""/>
                        <o:lock v:ext="edit" aspectratio="f"/>
                        <v:textbox>
                          <w:txbxContent>
                            <w:p>
                              <w:pPr>
                                <w:pStyle w:val="19"/>
                                <w:spacing w:before="0" w:beforeAutospacing="0" w:after="0" w:afterAutospacing="0"/>
                                <w:jc w:val="both"/>
                              </w:pPr>
                              <w:r>
                                <w:rPr>
                                  <w:rFonts w:hint="eastAsia" w:ascii="Times New Roman"/>
                                  <w:kern w:val="2"/>
                                  <w:sz w:val="21"/>
                                  <w:szCs w:val="21"/>
                                </w:rPr>
                                <w:t>L</w:t>
                              </w:r>
                              <w:r>
                                <w:rPr>
                                  <w:rFonts w:hint="eastAsia" w:ascii="Times New Roman"/>
                                  <w:kern w:val="2"/>
                                  <w:sz w:val="21"/>
                                  <w:szCs w:val="21"/>
                                  <w:vertAlign w:val="subscript"/>
                                </w:rPr>
                                <w:t>p1</w:t>
                              </w:r>
                            </w:p>
                          </w:txbxContent>
                        </v:textbox>
                      </v:shape>
                      <v:shape id="_x0000_s1026" o:spid="_x0000_s1026" o:spt="202" type="#_x0000_t202" style="position:absolute;left:1689818;top:468166;height:226771;width:460858;" filled="f" stroked="f" coordsize="21600,21600" o:gfxdata="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Ms0JgLWAAAABQEAAA8AAAAAAAAA&#10;AQAgAAAAOAAAAGRycy9kb3ducmV2LnhtbFBLAQIUABQAAAAIAIdO4kB5bPrGNgIAAEQEAAAOAAAA&#10;AAAAAAEAIAAAADsBAABkcnMvZTJvRG9jLnhtbFBLBQYAAAAABgAGAFkBAADjBQAAAAA=&#10;">
                        <v:fill on="f" focussize="0,0"/>
                        <v:stroke on="f" weight="0.5pt"/>
                        <v:imagedata o:title=""/>
                        <o:lock v:ext="edit" aspectratio="f"/>
                        <v:textbox>
                          <w:txbxContent>
                            <w:p>
                              <w:r>
                                <w:rPr>
                                  <w:rFonts w:hint="eastAsia"/>
                                </w:rPr>
                                <w:t>声源</w:t>
                              </w:r>
                            </w:p>
                          </w:txbxContent>
                        </v:textbox>
                      </v:shape>
                      <v:rect id="_x0000_s1026" o:spid="_x0000_s1026" o:spt="1" style="position:absolute;left:1719071;top:80468;height:1089964;width:2062886;v-text-anchor:middle;" filled="f" stroked="t" coordsize="21600,21600" o:gfxdata="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C3HE9zWAAAABQEAAA8AAAAAAAAAAQAgAAAAOAAAAGRycy9kb3ducmV2LnhtbFBL&#10;AQIUABQAAAAIAIdO4kCvCN3jVAIAAIIEAAAOAAAAAAAAAAEAIAAAADsBAABkcnMvZTJvRG9jLnht&#10;bFBLBQYAAAAABgAGAFkBAAABBgAAAAA=&#10;">
                        <v:fill on="f" focussize="0,0"/>
                        <v:stroke weight="2pt" color="#000000 [3213]" joinstyle="round"/>
                        <v:imagedata o:title=""/>
                        <o:lock v:ext="edit" aspectratio="f"/>
                      </v:rect>
                      <v:rect id="_x0000_s1026" o:spid="_x0000_s1026" o:spt="1" style="position:absolute;left:3650284;top:285292;height:651052;width:263347;v-text-anchor:middle;" fillcolor="#FFFFFF [3212]" filled="t" stroked="t" coordsize="21600,21600" o:gfxdata="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JaNp+LUAAAABQEAAA8AAAAAAAAAAQAgAAAAOAAAAGRycy9kb3ducmV2&#10;LnhtbFBLAQIUABQAAAAIAIdO4kBqqQ9yXAIAAKoEAAAOAAAAAAAAAAEAIAAAADkBAABkcnMvZTJv&#10;RG9jLnhtbFBLBQYAAAAABgAGAFkBAAAHBgAAAAA=&#10;">
                        <v:fill on="t" focussize="0,0"/>
                        <v:stroke weight="2pt" color="#000000 [3213]" joinstyle="round"/>
                        <v:imagedata o:title=""/>
                        <o:lock v:ext="edit" aspectratio="f"/>
                      </v:rect>
                      <v:shape id="_x0000_s1026" o:spid="_x0000_s1026" o:spt="3" type="#_x0000_t3" style="position:absolute;left:2092147;top:468172;height:241402;width:124359;v-text-anchor:middle;" filled="f" stroked="t" coordsize="21600,21600" o:gfxdata="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C4gc321QAAAAUBAAAPAAAAAAAAAAEAIAAAADgAAABkcnMvZG93bnJldi54bWxQ&#10;SwECFAAUAAAACACHTuJAn/KyRVYCAACEBAAADgAAAAAAAAABACAAAAA6AQAAZHJzL2Uyb0RvYy54&#10;bWxQSwUGAAAAAAYABgBZAQAAAgYAAAAA&#10;">
                        <v:fill on="f" focussize="0,0"/>
                        <v:stroke weight="2pt" color="#000000 [3213]" joinstyle="round"/>
                        <v:imagedata o:title=""/>
                        <o:lock v:ext="edit" aspectratio="f"/>
                      </v:shape>
                      <v:line id="_x0000_s1026" o:spid="_x0000_s1026" o:spt="20" style="position:absolute;left:2216506;top:588873;height:3658;width:1272845;" filled="f" stroked="t" coordsize="21600,21600" o:gfxdata="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Ep7d89QAAAAFAQAADwAAAAAAAAABACAAAAA4&#10;AAAAZHJzL2Rvd25yZXYueG1sUEsBAhQAFAAAAAgAh07iQCSlhaj4AQAAvAMAAA4AAAAAAAAAAQAg&#10;AAAAOQEAAGRycy9lMm9Eb2MueG1sUEsFBgAAAAAGAAYAWQEAAKMFAAAAAA==&#10;">
                        <v:fill on="f" focussize="0,0"/>
                        <v:stroke color="#000000 [3200]" joinstyle="round"/>
                        <v:imagedata o:title=""/>
                        <o:lock v:ext="edit" aspectratio="f"/>
                      </v:line>
                      <v:shape id="_x0000_s1026" o:spid="_x0000_s1026" o:spt="120" type="#_x0000_t120" style="position:absolute;left:3489353;top:561442;height:45719;width:45719;v-text-anchor:middle;" fillcolor="#000000 [3213]" filled="t" stroked="t" coordsize="21600,21600" o:gfxdata="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gXfb6dMAAAAFAQAADwAAAAAAAAABACAA&#10;AAA4AAAAZHJzL2Rvd25yZXYueG1sUEsBAhQAFAAAAAgAh07iQBUGCXduAgAAwQQAAA4AAAAAAAAA&#10;AQAgAAAAOAEAAGRycy9lMm9Eb2MueG1sUEsFBgAAAAAGAAYAWQEAABgGAAAAAA==&#10;">
                        <v:fill on="t" focussize="0,0"/>
                        <v:stroke weight="2pt" color="#000000 [3213]" joinstyle="round"/>
                        <v:imagedata o:title=""/>
                        <o:lock v:ext="edit" aspectratio="f"/>
                      </v:shape>
                      <v:shape id="_x0000_s1026" o:spid="_x0000_s1026" o:spt="120" type="#_x0000_t120" style="position:absolute;left:4013165;top:560391;height:45085;width:45085;v-text-anchor:middle;" fillcolor="#000000 [3213]" filled="t" stroked="t" coordsize="21600,21600" o:gfxdata="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Bd9vp0wAAAAUBAAAPAAAAAAAAAAEAIAAAADgAAABkcnMvZG93bnJl&#10;di54bWxQSwECFAAUAAAACACHTuJAYxJxJF4CAACTBAAADgAAAAAAAAABACAAAAA4AQAAZHJzL2Uy&#10;b0RvYy54bWxQSwUGAAAAAAYABgBZAQAACAYAAAAA&#10;">
                        <v:fill on="t" focussize="0,0"/>
                        <v:stroke weight="2pt" color="#000000 [3213]" joinstyle="round"/>
                        <v:imagedata o:title=""/>
                        <o:lock v:ext="edit" aspectratio="f"/>
                      </v:shape>
                      <v:shape id="文本框 38" o:spid="_x0000_s1026" o:spt="202" type="#_x0000_t202" style="position:absolute;left:3884367;top:322369;height:294640;width:460375;" filled="f" stroked="f" coordsize="21600,21600" o:gfxdata="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yzQmAtYAAAAFAQAADwAAAAAAAAABACAAAAA4AAAAZHJz&#10;L2Rvd25yZXYueG1sUEsBAhQAFAAAAAgAh07iQL6QeBApAgAAFQQAAA4AAAAAAAAAAQAgAAAAOwEA&#10;AGRycy9lMm9Eb2MueG1sUEsFBgAAAAAGAAYAWQEAANYFAAAAAA==&#10;">
                        <v:fill on="f" focussize="0,0"/>
                        <v:stroke on="f" weight="0.5pt"/>
                        <v:imagedata o:title=""/>
                        <o:lock v:ext="edit" aspectratio="f"/>
                        <v:textbox>
                          <w:txbxContent>
                            <w:p>
                              <w:pPr>
                                <w:pStyle w:val="19"/>
                                <w:spacing w:before="0" w:beforeAutospacing="0" w:after="0" w:afterAutospacing="0"/>
                                <w:jc w:val="both"/>
                              </w:pPr>
                              <w:r>
                                <w:rPr>
                                  <w:rFonts w:ascii="Times New Roman" w:hAnsi="Times New Roman"/>
                                  <w:kern w:val="2"/>
                                  <w:sz w:val="21"/>
                                  <w:szCs w:val="21"/>
                                </w:rPr>
                                <w:t>L</w:t>
                              </w:r>
                              <w:r>
                                <w:rPr>
                                  <w:rFonts w:ascii="Times New Roman" w:hAnsi="Times New Roman"/>
                                  <w:kern w:val="2"/>
                                  <w:position w:val="-5"/>
                                  <w:sz w:val="21"/>
                                  <w:szCs w:val="21"/>
                                  <w:vertAlign w:val="subscript"/>
                                </w:rPr>
                                <w:t>p</w:t>
                              </w:r>
                              <w:r>
                                <w:rPr>
                                  <w:rFonts w:hint="eastAsia" w:ascii="Times New Roman" w:hAnsi="Times New Roman"/>
                                  <w:kern w:val="2"/>
                                  <w:position w:val="-5"/>
                                  <w:sz w:val="21"/>
                                  <w:szCs w:val="21"/>
                                  <w:vertAlign w:val="subscript"/>
                                </w:rPr>
                                <w:t>2</w:t>
                              </w:r>
                            </w:p>
                          </w:txbxContent>
                        </v:textbox>
                      </v:shape>
                      <w10:wrap type="none"/>
                      <w10:anchorlock/>
                    </v:group>
                  </w:pict>
                </mc:Fallback>
              </mc:AlternateContent>
            </w:r>
          </w:p>
          <w:p>
            <w:pPr>
              <w:jc w:val="center"/>
              <w:rPr>
                <w:rFonts w:ascii="宋体" w:hAnsi="宋体" w:cs="宋体"/>
                <w:b/>
                <w:color w:val="auto"/>
              </w:rPr>
            </w:pPr>
            <w:r>
              <w:rPr>
                <w:rFonts w:hint="eastAsia" w:ascii="宋体" w:hAnsi="宋体" w:cs="宋体"/>
                <w:b/>
                <w:color w:val="auto"/>
              </w:rPr>
              <w:t>图4-2  室内声源等效为室外声源图例</w:t>
            </w:r>
          </w:p>
          <w:p>
            <w:pPr>
              <w:ind w:firstLine="420" w:firstLineChars="200"/>
              <w:rPr>
                <w:rFonts w:ascii="宋体" w:hAnsi="宋体" w:cs="宋体"/>
                <w:color w:val="auto"/>
              </w:rPr>
            </w:pPr>
          </w:p>
          <w:p>
            <w:pPr>
              <w:spacing w:line="360" w:lineRule="auto"/>
              <w:ind w:firstLine="480" w:firstLineChars="200"/>
              <w:rPr>
                <w:rFonts w:ascii="宋体" w:hAnsi="宋体" w:cs="宋体"/>
                <w:color w:val="auto"/>
                <w:sz w:val="24"/>
              </w:rPr>
            </w:pPr>
            <w:r>
              <w:rPr>
                <w:rFonts w:hint="eastAsia" w:ascii="宋体" w:hAnsi="宋体" w:cs="宋体"/>
                <w:color w:val="auto"/>
                <w:sz w:val="24"/>
              </w:rPr>
              <w:t>然后按下式计算出所有室内声源在围护结构处产生的i倍频带声压级，dB：</w:t>
            </w:r>
          </w:p>
          <w:p>
            <w:pPr>
              <w:spacing w:line="360" w:lineRule="auto"/>
              <w:rPr>
                <w:rFonts w:ascii="宋体" w:hAnsi="宋体" w:cs="宋体"/>
                <w:color w:val="auto"/>
                <w:sz w:val="24"/>
              </w:rPr>
            </w:pPr>
            <m:oMathPara>
              <m:oMath>
                <m:sSub>
                  <m:sSubPr>
                    <m:ctrlPr>
                      <w:rPr>
                        <w:rFonts w:ascii="Cambria Math" w:hAnsi="Cambria Math" w:cs="宋体"/>
                        <w:color w:val="auto"/>
                        <w:sz w:val="24"/>
                      </w:rPr>
                    </m:ctrlPr>
                  </m:sSubPr>
                  <m:e>
                    <m:r>
                      <m:rPr/>
                      <w:rPr>
                        <w:rFonts w:ascii="Cambria Math" w:hAnsi="Cambria Math" w:cs="宋体"/>
                        <w:color w:val="auto"/>
                        <w:sz w:val="24"/>
                      </w:rPr>
                      <m:t>L</m:t>
                    </m:r>
                    <m:ctrlPr>
                      <w:rPr>
                        <w:rFonts w:ascii="Cambria Math" w:hAnsi="Cambria Math" w:cs="宋体"/>
                        <w:color w:val="auto"/>
                        <w:sz w:val="24"/>
                      </w:rPr>
                    </m:ctrlPr>
                  </m:e>
                  <m:sub>
                    <m:r>
                      <m:rPr/>
                      <w:rPr>
                        <w:rFonts w:ascii="Cambria Math" w:hAnsi="Cambria Math" w:cs="宋体"/>
                        <w:color w:val="auto"/>
                        <w:sz w:val="24"/>
                      </w:rPr>
                      <m:t>p1i</m:t>
                    </m:r>
                    <m:ctrlPr>
                      <w:rPr>
                        <w:rFonts w:ascii="Cambria Math" w:hAnsi="Cambria Math" w:cs="宋体"/>
                        <w:color w:val="auto"/>
                        <w:sz w:val="24"/>
                      </w:rPr>
                    </m:ctrlPr>
                  </m:sub>
                </m:sSub>
                <m:d>
                  <m:dPr>
                    <m:ctrlPr>
                      <w:rPr>
                        <w:rFonts w:ascii="Cambria Math" w:hAnsi="Cambria Math" w:cs="宋体"/>
                        <w:i/>
                        <w:color w:val="auto"/>
                        <w:sz w:val="24"/>
                      </w:rPr>
                    </m:ctrlPr>
                  </m:dPr>
                  <m:e>
                    <m:r>
                      <m:rPr/>
                      <w:rPr>
                        <w:rFonts w:ascii="Cambria Math" w:hAnsi="Cambria Math" w:cs="宋体"/>
                        <w:color w:val="auto"/>
                        <w:sz w:val="24"/>
                      </w:rPr>
                      <m:t>T</m:t>
                    </m:r>
                    <m:ctrlPr>
                      <w:rPr>
                        <w:rFonts w:ascii="Cambria Math" w:hAnsi="Cambria Math" w:cs="宋体"/>
                        <w:i/>
                        <w:color w:val="auto"/>
                        <w:sz w:val="24"/>
                      </w:rPr>
                    </m:ctrlPr>
                  </m:e>
                </m:d>
                <m:r>
                  <m:rPr/>
                  <w:rPr>
                    <w:rFonts w:hint="eastAsia" w:ascii="Cambria Math" w:hAnsi="Cambria Math" w:cs="宋体"/>
                    <w:color w:val="auto"/>
                    <w:sz w:val="24"/>
                  </w:rPr>
                  <m:t>=</m:t>
                </m:r>
                <m:r>
                  <m:rPr/>
                  <w:rPr>
                    <w:rFonts w:ascii="Cambria Math" w:hAnsi="Cambria Math" w:cs="宋体"/>
                    <w:color w:val="auto"/>
                    <w:sz w:val="24"/>
                  </w:rPr>
                  <m:t>10</m:t>
                </m:r>
                <m:d>
                  <m:dPr>
                    <m:begChr m:val="["/>
                    <m:endChr m:val="]"/>
                    <m:ctrlPr>
                      <w:rPr>
                        <w:rFonts w:ascii="Cambria Math" w:hAnsi="Cambria Math" w:cs="宋体"/>
                        <w:i/>
                        <w:color w:val="auto"/>
                        <w:sz w:val="24"/>
                      </w:rPr>
                    </m:ctrlPr>
                  </m:dPr>
                  <m:e>
                    <m:nary>
                      <m:naryPr>
                        <m:chr m:val="∑"/>
                        <m:limLoc m:val="undOvr"/>
                        <m:ctrlPr>
                          <w:rPr>
                            <w:rFonts w:ascii="Cambria Math" w:hAnsi="Cambria Math" w:cs="宋体"/>
                            <w:i/>
                            <w:color w:val="auto"/>
                            <w:sz w:val="24"/>
                          </w:rPr>
                        </m:ctrlPr>
                      </m:naryPr>
                      <m:sub>
                        <m:r>
                          <m:rPr/>
                          <w:rPr>
                            <w:rFonts w:ascii="Cambria Math" w:hAnsi="Cambria Math" w:cs="宋体"/>
                            <w:color w:val="auto"/>
                            <w:sz w:val="24"/>
                          </w:rPr>
                          <m:t>j</m:t>
                        </m:r>
                        <m:r>
                          <m:rPr/>
                          <w:rPr>
                            <w:rFonts w:hint="eastAsia" w:ascii="Cambria Math" w:hAnsi="Cambria Math" w:cs="宋体"/>
                            <w:color w:val="auto"/>
                            <w:sz w:val="24"/>
                          </w:rPr>
                          <m:t>=</m:t>
                        </m:r>
                        <m:r>
                          <m:rPr/>
                          <w:rPr>
                            <w:rFonts w:ascii="Cambria Math" w:hAnsi="Cambria Math" w:cs="宋体"/>
                            <w:color w:val="auto"/>
                            <w:sz w:val="24"/>
                          </w:rPr>
                          <m:t>i</m:t>
                        </m:r>
                        <m:ctrlPr>
                          <w:rPr>
                            <w:rFonts w:ascii="Cambria Math" w:hAnsi="Cambria Math" w:cs="宋体"/>
                            <w:i/>
                            <w:color w:val="auto"/>
                            <w:sz w:val="24"/>
                          </w:rPr>
                        </m:ctrlPr>
                      </m:sub>
                      <m:sup>
                        <m:r>
                          <m:rPr/>
                          <w:rPr>
                            <w:rFonts w:ascii="Cambria Math" w:hAnsi="Cambria Math" w:cs="宋体"/>
                            <w:color w:val="auto"/>
                            <w:sz w:val="24"/>
                          </w:rPr>
                          <m:t>N</m:t>
                        </m:r>
                        <m:ctrlPr>
                          <w:rPr>
                            <w:rFonts w:ascii="Cambria Math" w:hAnsi="Cambria Math" w:cs="宋体"/>
                            <w:i/>
                            <w:color w:val="auto"/>
                            <w:sz w:val="24"/>
                          </w:rPr>
                        </m:ctrlPr>
                      </m:sup>
                      <m:e>
                        <m:sSup>
                          <m:sSupPr>
                            <m:ctrlPr>
                              <w:rPr>
                                <w:rFonts w:ascii="Cambria Math" w:hAnsi="Cambria Math" w:cs="宋体"/>
                                <w:i/>
                                <w:color w:val="auto"/>
                                <w:sz w:val="24"/>
                              </w:rPr>
                            </m:ctrlPr>
                          </m:sSupPr>
                          <m:e>
                            <m:r>
                              <m:rPr/>
                              <w:rPr>
                                <w:rFonts w:ascii="Cambria Math" w:hAnsi="Cambria Math" w:cs="宋体"/>
                                <w:color w:val="auto"/>
                                <w:sz w:val="24"/>
                              </w:rPr>
                              <m:t>10</m:t>
                            </m:r>
                            <m:ctrlPr>
                              <w:rPr>
                                <w:rFonts w:ascii="Cambria Math" w:hAnsi="Cambria Math" w:cs="宋体"/>
                                <w:i/>
                                <w:color w:val="auto"/>
                                <w:sz w:val="24"/>
                              </w:rPr>
                            </m:ctrlPr>
                          </m:e>
                          <m:sup>
                            <m:r>
                              <m:rPr/>
                              <w:rPr>
                                <w:rFonts w:ascii="Cambria Math" w:hAnsi="Cambria Math" w:cs="宋体"/>
                                <w:color w:val="auto"/>
                                <w:sz w:val="24"/>
                              </w:rPr>
                              <m:t>0.1</m:t>
                            </m:r>
                            <m:sSub>
                              <m:sSubPr>
                                <m:ctrlPr>
                                  <w:rPr>
                                    <w:rFonts w:ascii="Cambria Math" w:hAnsi="Cambria Math" w:cs="宋体"/>
                                    <w:i/>
                                    <w:color w:val="auto"/>
                                    <w:sz w:val="24"/>
                                  </w:rPr>
                                </m:ctrlPr>
                              </m:sSubPr>
                              <m:e>
                                <m:r>
                                  <m:rPr/>
                                  <w:rPr>
                                    <w:rFonts w:ascii="Cambria Math" w:hAnsi="Cambria Math" w:cs="宋体"/>
                                    <w:color w:val="auto"/>
                                    <w:sz w:val="24"/>
                                  </w:rPr>
                                  <m:t>L</m:t>
                                </m:r>
                                <m:ctrlPr>
                                  <w:rPr>
                                    <w:rFonts w:ascii="Cambria Math" w:hAnsi="Cambria Math" w:cs="宋体"/>
                                    <w:i/>
                                    <w:color w:val="auto"/>
                                    <w:sz w:val="24"/>
                                  </w:rPr>
                                </m:ctrlPr>
                              </m:e>
                              <m:sub>
                                <m:r>
                                  <m:rPr/>
                                  <w:rPr>
                                    <w:rFonts w:ascii="Cambria Math" w:hAnsi="Cambria Math" w:cs="宋体"/>
                                    <w:color w:val="auto"/>
                                    <w:sz w:val="24"/>
                                  </w:rPr>
                                  <m:t>p1ij</m:t>
                                </m:r>
                                <m:ctrlPr>
                                  <w:rPr>
                                    <w:rFonts w:ascii="Cambria Math" w:hAnsi="Cambria Math" w:cs="宋体"/>
                                    <w:i/>
                                    <w:color w:val="auto"/>
                                    <w:sz w:val="24"/>
                                  </w:rPr>
                                </m:ctrlPr>
                              </m:sub>
                            </m:sSub>
                            <m:ctrlPr>
                              <w:rPr>
                                <w:rFonts w:ascii="Cambria Math" w:hAnsi="Cambria Math" w:cs="宋体"/>
                                <w:i/>
                                <w:color w:val="auto"/>
                                <w:sz w:val="24"/>
                              </w:rPr>
                            </m:ctrlPr>
                          </m:sup>
                        </m:sSup>
                        <m:ctrlPr>
                          <w:rPr>
                            <w:rFonts w:ascii="Cambria Math" w:hAnsi="Cambria Math" w:cs="宋体"/>
                            <w:i/>
                            <w:color w:val="auto"/>
                            <w:sz w:val="24"/>
                          </w:rPr>
                        </m:ctrlPr>
                      </m:e>
                    </m:nary>
                    <m:ctrlPr>
                      <w:rPr>
                        <w:rFonts w:ascii="Cambria Math" w:hAnsi="Cambria Math" w:cs="宋体"/>
                        <w:i/>
                        <w:color w:val="auto"/>
                        <w:sz w:val="24"/>
                      </w:rPr>
                    </m:ctrlPr>
                  </m:e>
                </m:d>
              </m:oMath>
            </m:oMathPara>
          </w:p>
          <w:p>
            <w:pPr>
              <w:spacing w:line="360" w:lineRule="auto"/>
              <w:ind w:firstLine="480" w:firstLineChars="200"/>
              <w:rPr>
                <w:rFonts w:ascii="宋体" w:hAnsi="宋体" w:cs="宋体"/>
                <w:color w:val="auto"/>
                <w:sz w:val="24"/>
              </w:rPr>
            </w:pPr>
            <w:r>
              <w:rPr>
                <w:rFonts w:hint="eastAsia" w:ascii="宋体" w:hAnsi="宋体" w:cs="宋体"/>
                <w:color w:val="auto"/>
                <w:sz w:val="24"/>
              </w:rPr>
              <w:t>式中：L</w:t>
            </w:r>
            <w:r>
              <w:rPr>
                <w:rFonts w:hint="eastAsia" w:ascii="宋体" w:hAnsi="宋体" w:cs="宋体"/>
                <w:color w:val="auto"/>
                <w:sz w:val="24"/>
                <w:vertAlign w:val="subscript"/>
              </w:rPr>
              <w:t>p1i</w:t>
            </w:r>
            <w:r>
              <w:rPr>
                <w:rFonts w:hint="eastAsia" w:ascii="宋体" w:hAnsi="宋体" w:cs="宋体"/>
                <w:color w:val="auto"/>
                <w:sz w:val="24"/>
              </w:rPr>
              <w:t>（T）—靠近围护结构处室内N个声源i倍频带的叠加声压级，dB；</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L</w:t>
            </w:r>
            <w:r>
              <w:rPr>
                <w:rFonts w:hint="eastAsia" w:ascii="宋体" w:hAnsi="宋体" w:cs="宋体"/>
                <w:color w:val="auto"/>
                <w:sz w:val="24"/>
                <w:vertAlign w:val="subscript"/>
              </w:rPr>
              <w:t>p1ij</w:t>
            </w:r>
            <w:r>
              <w:rPr>
                <w:rFonts w:hint="eastAsia" w:ascii="宋体" w:hAnsi="宋体" w:cs="宋体"/>
                <w:color w:val="auto"/>
                <w:sz w:val="24"/>
              </w:rPr>
              <w:t>—室内j声源i倍频带的声压级，dB；</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N—室内声源总数。</w:t>
            </w:r>
          </w:p>
          <w:p>
            <w:pPr>
              <w:spacing w:line="360" w:lineRule="auto"/>
              <w:ind w:firstLine="480" w:firstLineChars="200"/>
              <w:rPr>
                <w:rFonts w:ascii="宋体" w:hAnsi="宋体" w:cs="宋体"/>
                <w:color w:val="auto"/>
                <w:sz w:val="24"/>
              </w:rPr>
            </w:pPr>
            <w:r>
              <w:rPr>
                <w:rFonts w:hint="eastAsia" w:ascii="宋体" w:hAnsi="宋体" w:cs="宋体"/>
                <w:color w:val="auto"/>
                <w:sz w:val="24"/>
              </w:rPr>
              <w:t>在室内近似为扩散声场时，按下式计算出靠近室外围护结构处的声压级：</w:t>
            </w:r>
          </w:p>
          <w:p>
            <w:pPr>
              <w:spacing w:line="360" w:lineRule="auto"/>
              <w:rPr>
                <w:rFonts w:ascii="宋体" w:hAnsi="宋体" w:cs="宋体"/>
                <w:color w:val="auto"/>
                <w:sz w:val="24"/>
              </w:rPr>
            </w:pPr>
            <m:oMathPara>
              <m:oMath>
                <m:sSub>
                  <m:sSubPr>
                    <m:ctrlPr>
                      <w:rPr>
                        <w:rFonts w:ascii="Cambria Math" w:hAnsi="Cambria Math" w:cs="宋体"/>
                        <w:color w:val="auto"/>
                        <w:sz w:val="24"/>
                      </w:rPr>
                    </m:ctrlPr>
                  </m:sSubPr>
                  <m:e>
                    <m:r>
                      <m:rPr/>
                      <w:rPr>
                        <w:rFonts w:ascii="Cambria Math" w:hAnsi="Cambria Math" w:cs="宋体"/>
                        <w:color w:val="auto"/>
                        <w:sz w:val="24"/>
                      </w:rPr>
                      <m:t>L</m:t>
                    </m:r>
                    <m:ctrlPr>
                      <w:rPr>
                        <w:rFonts w:ascii="Cambria Math" w:hAnsi="Cambria Math" w:cs="宋体"/>
                        <w:color w:val="auto"/>
                        <w:sz w:val="24"/>
                      </w:rPr>
                    </m:ctrlPr>
                  </m:e>
                  <m:sub>
                    <m:r>
                      <m:rPr/>
                      <w:rPr>
                        <w:rFonts w:ascii="Cambria Math" w:hAnsi="Cambria Math" w:cs="宋体"/>
                        <w:color w:val="auto"/>
                        <w:sz w:val="24"/>
                      </w:rPr>
                      <m:t>p2i</m:t>
                    </m:r>
                    <m:ctrlPr>
                      <w:rPr>
                        <w:rFonts w:ascii="Cambria Math" w:hAnsi="Cambria Math" w:cs="宋体"/>
                        <w:color w:val="auto"/>
                        <w:sz w:val="24"/>
                      </w:rPr>
                    </m:ctrlPr>
                  </m:sub>
                </m:sSub>
                <m:d>
                  <m:dPr>
                    <m:ctrlPr>
                      <w:rPr>
                        <w:rFonts w:ascii="Cambria Math" w:hAnsi="Cambria Math" w:cs="宋体"/>
                        <w:i/>
                        <w:color w:val="auto"/>
                        <w:sz w:val="24"/>
                      </w:rPr>
                    </m:ctrlPr>
                  </m:dPr>
                  <m:e>
                    <m:r>
                      <m:rPr/>
                      <w:rPr>
                        <w:rFonts w:ascii="Cambria Math" w:hAnsi="Cambria Math" w:cs="宋体"/>
                        <w:color w:val="auto"/>
                        <w:sz w:val="24"/>
                      </w:rPr>
                      <m:t>T</m:t>
                    </m:r>
                    <m:ctrlPr>
                      <w:rPr>
                        <w:rFonts w:ascii="Cambria Math" w:hAnsi="Cambria Math" w:cs="宋体"/>
                        <w:i/>
                        <w:color w:val="auto"/>
                        <w:sz w:val="24"/>
                      </w:rPr>
                    </m:ctrlPr>
                  </m:e>
                </m:d>
                <m:r>
                  <m:rPr/>
                  <w:rPr>
                    <w:rFonts w:hint="eastAsia" w:ascii="Cambria Math" w:hAnsi="Cambria Math" w:cs="宋体"/>
                    <w:color w:val="auto"/>
                    <w:sz w:val="24"/>
                  </w:rPr>
                  <m:t>=</m:t>
                </m:r>
                <m:sSub>
                  <m:sSubPr>
                    <m:ctrlPr>
                      <w:rPr>
                        <w:rFonts w:ascii="Cambria Math" w:hAnsi="Cambria Math" w:cs="宋体"/>
                        <w:i/>
                        <w:color w:val="auto"/>
                        <w:sz w:val="24"/>
                      </w:rPr>
                    </m:ctrlPr>
                  </m:sSubPr>
                  <m:e>
                    <m:r>
                      <m:rPr/>
                      <w:rPr>
                        <w:rFonts w:ascii="Cambria Math" w:hAnsi="Cambria Math" w:cs="宋体"/>
                        <w:color w:val="auto"/>
                        <w:sz w:val="24"/>
                      </w:rPr>
                      <m:t>L</m:t>
                    </m:r>
                    <m:ctrlPr>
                      <w:rPr>
                        <w:rFonts w:ascii="Cambria Math" w:hAnsi="Cambria Math" w:cs="宋体"/>
                        <w:i/>
                        <w:color w:val="auto"/>
                        <w:sz w:val="24"/>
                      </w:rPr>
                    </m:ctrlPr>
                  </m:e>
                  <m:sub>
                    <m:r>
                      <m:rPr/>
                      <w:rPr>
                        <w:rFonts w:ascii="Cambria Math" w:hAnsi="Cambria Math" w:cs="宋体"/>
                        <w:color w:val="auto"/>
                        <w:sz w:val="24"/>
                      </w:rPr>
                      <m:t>p1i</m:t>
                    </m:r>
                    <m:ctrlPr>
                      <w:rPr>
                        <w:rFonts w:ascii="Cambria Math" w:hAnsi="Cambria Math" w:cs="宋体"/>
                        <w:i/>
                        <w:color w:val="auto"/>
                        <w:sz w:val="24"/>
                      </w:rPr>
                    </m:ctrlPr>
                  </m:sub>
                </m:sSub>
                <m:d>
                  <m:dPr>
                    <m:ctrlPr>
                      <w:rPr>
                        <w:rFonts w:ascii="Cambria Math" w:hAnsi="Cambria Math" w:cs="宋体"/>
                        <w:i/>
                        <w:color w:val="auto"/>
                        <w:sz w:val="24"/>
                      </w:rPr>
                    </m:ctrlPr>
                  </m:dPr>
                  <m:e>
                    <m:r>
                      <m:rPr/>
                      <w:rPr>
                        <w:rFonts w:ascii="Cambria Math" w:hAnsi="Cambria Math" w:cs="宋体"/>
                        <w:color w:val="auto"/>
                        <w:sz w:val="24"/>
                      </w:rPr>
                      <m:t>T</m:t>
                    </m:r>
                    <m:ctrlPr>
                      <w:rPr>
                        <w:rFonts w:ascii="Cambria Math" w:hAnsi="Cambria Math" w:cs="宋体"/>
                        <w:i/>
                        <w:color w:val="auto"/>
                        <w:sz w:val="24"/>
                      </w:rPr>
                    </m:ctrlPr>
                  </m:e>
                </m:d>
                <m:r>
                  <m:rPr/>
                  <w:rPr>
                    <w:rFonts w:ascii="Cambria Math" w:hAnsi="Cambria Math" w:cs="宋体"/>
                    <w:color w:val="auto"/>
                    <w:sz w:val="24"/>
                  </w:rPr>
                  <m:t>−</m:t>
                </m:r>
                <m:d>
                  <m:dPr>
                    <m:ctrlPr>
                      <w:rPr>
                        <w:rFonts w:ascii="Cambria Math" w:hAnsi="Cambria Math" w:cs="宋体"/>
                        <w:i/>
                        <w:color w:val="auto"/>
                        <w:sz w:val="24"/>
                      </w:rPr>
                    </m:ctrlPr>
                  </m:dPr>
                  <m:e>
                    <m:r>
                      <m:rPr/>
                      <w:rPr>
                        <w:rFonts w:ascii="Cambria Math" w:hAnsi="Cambria Math" w:cs="宋体"/>
                        <w:color w:val="auto"/>
                        <w:sz w:val="24"/>
                      </w:rPr>
                      <m:t>T</m:t>
                    </m:r>
                    <m:sSub>
                      <m:sSubPr>
                        <m:ctrlPr>
                          <w:rPr>
                            <w:rFonts w:ascii="Cambria Math" w:hAnsi="Cambria Math" w:cs="宋体"/>
                            <w:i/>
                            <w:color w:val="auto"/>
                            <w:sz w:val="24"/>
                          </w:rPr>
                        </m:ctrlPr>
                      </m:sSubPr>
                      <m:e>
                        <m:r>
                          <m:rPr/>
                          <w:rPr>
                            <w:rFonts w:ascii="Cambria Math" w:hAnsi="Cambria Math" w:cs="宋体"/>
                            <w:color w:val="auto"/>
                            <w:sz w:val="24"/>
                          </w:rPr>
                          <m:t>L</m:t>
                        </m:r>
                        <m:ctrlPr>
                          <w:rPr>
                            <w:rFonts w:ascii="Cambria Math" w:hAnsi="Cambria Math" w:cs="宋体"/>
                            <w:i/>
                            <w:color w:val="auto"/>
                            <w:sz w:val="24"/>
                          </w:rPr>
                        </m:ctrlPr>
                      </m:e>
                      <m:sub>
                        <m:r>
                          <m:rPr/>
                          <w:rPr>
                            <w:rFonts w:ascii="Cambria Math" w:hAnsi="Cambria Math" w:cs="宋体"/>
                            <w:color w:val="auto"/>
                            <w:sz w:val="24"/>
                          </w:rPr>
                          <m:t>i</m:t>
                        </m:r>
                        <m:ctrlPr>
                          <w:rPr>
                            <w:rFonts w:ascii="Cambria Math" w:hAnsi="Cambria Math" w:cs="宋体"/>
                            <w:i/>
                            <w:color w:val="auto"/>
                            <w:sz w:val="24"/>
                          </w:rPr>
                        </m:ctrlPr>
                      </m:sub>
                    </m:sSub>
                    <m:r>
                      <m:rPr/>
                      <w:rPr>
                        <w:rFonts w:ascii="Cambria Math" w:hAnsi="Cambria Math" w:cs="宋体"/>
                        <w:color w:val="auto"/>
                        <w:sz w:val="24"/>
                      </w:rPr>
                      <m:t>+6</m:t>
                    </m:r>
                    <m:ctrlPr>
                      <w:rPr>
                        <w:rFonts w:ascii="Cambria Math" w:hAnsi="Cambria Math" w:cs="宋体"/>
                        <w:i/>
                        <w:color w:val="auto"/>
                        <w:sz w:val="24"/>
                      </w:rPr>
                    </m:ctrlPr>
                  </m:e>
                </m:d>
              </m:oMath>
            </m:oMathPara>
          </w:p>
          <w:p>
            <w:pPr>
              <w:spacing w:line="360" w:lineRule="auto"/>
              <w:ind w:firstLine="480" w:firstLineChars="200"/>
              <w:rPr>
                <w:rFonts w:ascii="宋体" w:hAnsi="宋体" w:cs="宋体"/>
                <w:color w:val="auto"/>
                <w:sz w:val="24"/>
              </w:rPr>
            </w:pPr>
            <w:r>
              <w:rPr>
                <w:rFonts w:hint="eastAsia" w:ascii="宋体" w:hAnsi="宋体" w:cs="宋体"/>
                <w:color w:val="auto"/>
                <w:sz w:val="24"/>
              </w:rPr>
              <w:t>式中：L</w:t>
            </w:r>
            <w:r>
              <w:rPr>
                <w:rFonts w:hint="eastAsia" w:ascii="宋体" w:hAnsi="宋体" w:cs="宋体"/>
                <w:color w:val="auto"/>
                <w:sz w:val="24"/>
                <w:vertAlign w:val="subscript"/>
              </w:rPr>
              <w:t>p2i</w:t>
            </w:r>
            <w:r>
              <w:rPr>
                <w:rFonts w:hint="eastAsia" w:ascii="宋体" w:hAnsi="宋体" w:cs="宋体"/>
                <w:color w:val="auto"/>
                <w:sz w:val="24"/>
              </w:rPr>
              <w:t>（T）—靠近围护结构处室外N个声源i倍频带的叠加声压级，dB；</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L</w:t>
            </w:r>
            <w:r>
              <w:rPr>
                <w:rFonts w:hint="eastAsia" w:ascii="宋体" w:hAnsi="宋体" w:cs="宋体"/>
                <w:color w:val="auto"/>
                <w:sz w:val="24"/>
                <w:vertAlign w:val="subscript"/>
              </w:rPr>
              <w:t>p1i</w:t>
            </w:r>
            <w:r>
              <w:rPr>
                <w:rFonts w:hint="eastAsia" w:ascii="宋体" w:hAnsi="宋体" w:cs="宋体"/>
                <w:color w:val="auto"/>
                <w:sz w:val="24"/>
              </w:rPr>
              <w:t>（T）—靠近围护结构处室内N个声源i倍频带的叠加声压级，dB；</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TLi—围护结构i倍频带的隔声量，dB。</w:t>
            </w:r>
          </w:p>
          <w:p>
            <w:pPr>
              <w:spacing w:line="360" w:lineRule="auto"/>
              <w:ind w:firstLine="480" w:firstLineChars="200"/>
              <w:rPr>
                <w:rFonts w:ascii="宋体" w:hAnsi="宋体" w:cs="宋体"/>
                <w:color w:val="auto"/>
                <w:sz w:val="24"/>
              </w:rPr>
            </w:pPr>
            <w:r>
              <w:rPr>
                <w:rFonts w:hint="eastAsia" w:ascii="宋体" w:hAnsi="宋体" w:cs="宋体"/>
                <w:color w:val="auto"/>
                <w:sz w:val="24"/>
              </w:rPr>
              <w:t>然后再按下式将室外声源的声压级和透过面积换算成等效的室外声源，计算出中心位置位于透声面积（S）处的等效声源的倍频带声功率级。</w:t>
            </w:r>
          </w:p>
          <w:p>
            <w:pPr>
              <w:spacing w:line="360" w:lineRule="auto"/>
              <w:rPr>
                <w:rFonts w:ascii="宋体" w:hAnsi="宋体" w:cs="宋体"/>
                <w:color w:val="auto"/>
                <w:sz w:val="24"/>
              </w:rPr>
            </w:pPr>
            <m:oMathPara>
              <m:oMath>
                <m:sSub>
                  <m:sSubPr>
                    <m:ctrlPr>
                      <w:rPr>
                        <w:rFonts w:ascii="Cambria Math" w:hAnsi="Cambria Math" w:cs="宋体"/>
                        <w:color w:val="auto"/>
                        <w:sz w:val="24"/>
                      </w:rPr>
                    </m:ctrlPr>
                  </m:sSubPr>
                  <m:e>
                    <m:r>
                      <m:rPr/>
                      <w:rPr>
                        <w:rFonts w:ascii="Cambria Math" w:hAnsi="Cambria Math" w:cs="宋体"/>
                        <w:color w:val="auto"/>
                        <w:sz w:val="24"/>
                      </w:rPr>
                      <m:t>L</m:t>
                    </m:r>
                    <m:ctrlPr>
                      <w:rPr>
                        <w:rFonts w:ascii="Cambria Math" w:hAnsi="Cambria Math" w:cs="宋体"/>
                        <w:color w:val="auto"/>
                        <w:sz w:val="24"/>
                      </w:rPr>
                    </m:ctrlPr>
                  </m:e>
                  <m:sub>
                    <m:r>
                      <m:rPr/>
                      <w:rPr>
                        <w:rFonts w:ascii="Cambria Math" w:hAnsi="Cambria Math" w:cs="宋体"/>
                        <w:color w:val="auto"/>
                        <w:sz w:val="24"/>
                      </w:rPr>
                      <m:t>w</m:t>
                    </m:r>
                    <m:ctrlPr>
                      <w:rPr>
                        <w:rFonts w:ascii="Cambria Math" w:hAnsi="Cambria Math" w:cs="宋体"/>
                        <w:color w:val="auto"/>
                        <w:sz w:val="24"/>
                      </w:rPr>
                    </m:ctrlPr>
                  </m:sub>
                </m:sSub>
                <m:r>
                  <m:rPr/>
                  <w:rPr>
                    <w:rFonts w:hint="eastAsia" w:ascii="Cambria Math" w:hAnsi="Cambria Math" w:cs="宋体"/>
                    <w:color w:val="auto"/>
                    <w:sz w:val="24"/>
                  </w:rPr>
                  <m:t>=</m:t>
                </m:r>
                <m:sSub>
                  <m:sSubPr>
                    <m:ctrlPr>
                      <w:rPr>
                        <w:rFonts w:ascii="Cambria Math" w:hAnsi="Cambria Math" w:cs="宋体"/>
                        <w:i/>
                        <w:color w:val="auto"/>
                        <w:sz w:val="24"/>
                      </w:rPr>
                    </m:ctrlPr>
                  </m:sSubPr>
                  <m:e>
                    <m:r>
                      <m:rPr/>
                      <w:rPr>
                        <w:rFonts w:ascii="Cambria Math" w:hAnsi="Cambria Math" w:cs="宋体"/>
                        <w:color w:val="auto"/>
                        <w:sz w:val="24"/>
                      </w:rPr>
                      <m:t>L</m:t>
                    </m:r>
                    <m:ctrlPr>
                      <w:rPr>
                        <w:rFonts w:ascii="Cambria Math" w:hAnsi="Cambria Math" w:cs="宋体"/>
                        <w:i/>
                        <w:color w:val="auto"/>
                        <w:sz w:val="24"/>
                      </w:rPr>
                    </m:ctrlPr>
                  </m:e>
                  <m:sub>
                    <m:r>
                      <m:rPr/>
                      <w:rPr>
                        <w:rFonts w:ascii="Cambria Math" w:hAnsi="Cambria Math" w:cs="宋体"/>
                        <w:color w:val="auto"/>
                        <w:sz w:val="24"/>
                      </w:rPr>
                      <m:t>p2</m:t>
                    </m:r>
                    <m:ctrlPr>
                      <w:rPr>
                        <w:rFonts w:ascii="Cambria Math" w:hAnsi="Cambria Math" w:cs="宋体"/>
                        <w:i/>
                        <w:color w:val="auto"/>
                        <w:sz w:val="24"/>
                      </w:rPr>
                    </m:ctrlPr>
                  </m:sub>
                </m:sSub>
                <m:d>
                  <m:dPr>
                    <m:ctrlPr>
                      <w:rPr>
                        <w:rFonts w:ascii="Cambria Math" w:hAnsi="Cambria Math" w:cs="宋体"/>
                        <w:i/>
                        <w:color w:val="auto"/>
                        <w:sz w:val="24"/>
                      </w:rPr>
                    </m:ctrlPr>
                  </m:dPr>
                  <m:e>
                    <m:r>
                      <m:rPr/>
                      <w:rPr>
                        <w:rFonts w:ascii="Cambria Math" w:hAnsi="Cambria Math" w:cs="宋体"/>
                        <w:color w:val="auto"/>
                        <w:sz w:val="24"/>
                      </w:rPr>
                      <m:t>T</m:t>
                    </m:r>
                    <m:ctrlPr>
                      <w:rPr>
                        <w:rFonts w:ascii="Cambria Math" w:hAnsi="Cambria Math" w:cs="宋体"/>
                        <w:i/>
                        <w:color w:val="auto"/>
                        <w:sz w:val="24"/>
                      </w:rPr>
                    </m:ctrlPr>
                  </m:e>
                </m:d>
                <m:r>
                  <m:rPr/>
                  <w:rPr>
                    <w:rFonts w:ascii="Cambria Math" w:hAnsi="Cambria Math" w:cs="宋体"/>
                    <w:color w:val="auto"/>
                    <w:sz w:val="24"/>
                  </w:rPr>
                  <m:t>+10lgS</m:t>
                </m:r>
              </m:oMath>
            </m:oMathPara>
          </w:p>
          <w:p>
            <w:pPr>
              <w:spacing w:line="360" w:lineRule="auto"/>
              <w:ind w:firstLine="480" w:firstLineChars="200"/>
              <w:rPr>
                <w:color w:val="auto"/>
                <w:sz w:val="24"/>
              </w:rPr>
            </w:pPr>
            <w:r>
              <w:rPr>
                <w:rFonts w:hint="eastAsia" w:ascii="宋体" w:hAnsi="宋体" w:cs="宋体"/>
                <w:color w:val="auto"/>
                <w:sz w:val="24"/>
              </w:rPr>
              <w:t>式中：</w:t>
            </w:r>
            <w:r>
              <w:rPr>
                <w:color w:val="auto"/>
                <w:sz w:val="24"/>
              </w:rPr>
              <w:t>L</w:t>
            </w:r>
            <w:r>
              <w:rPr>
                <w:color w:val="auto"/>
                <w:sz w:val="24"/>
                <w:vertAlign w:val="subscript"/>
              </w:rPr>
              <w:t>w</w:t>
            </w:r>
            <w:r>
              <w:rPr>
                <w:color w:val="auto"/>
                <w:sz w:val="24"/>
              </w:rPr>
              <w:t>—中心位置位于透声面积（S）处的等效声源的倍频带声功率级，dB；</w:t>
            </w:r>
          </w:p>
          <w:p>
            <w:pPr>
              <w:spacing w:line="360" w:lineRule="auto"/>
              <w:ind w:firstLine="480" w:firstLineChars="200"/>
              <w:rPr>
                <w:color w:val="auto"/>
                <w:sz w:val="24"/>
              </w:rPr>
            </w:pPr>
            <w:r>
              <w:rPr>
                <w:color w:val="auto"/>
                <w:sz w:val="24"/>
              </w:rPr>
              <w:t xml:space="preserve">      L</w:t>
            </w:r>
            <w:r>
              <w:rPr>
                <w:color w:val="auto"/>
                <w:sz w:val="24"/>
                <w:vertAlign w:val="subscript"/>
              </w:rPr>
              <w:t>p2</w:t>
            </w:r>
            <w:r>
              <w:rPr>
                <w:color w:val="auto"/>
                <w:sz w:val="24"/>
              </w:rPr>
              <w:t>（T）—靠近围护结构处室外声源的声压级，dB；</w:t>
            </w:r>
          </w:p>
          <w:p>
            <w:pPr>
              <w:spacing w:line="360" w:lineRule="auto"/>
              <w:ind w:firstLine="480" w:firstLineChars="200"/>
              <w:rPr>
                <w:color w:val="auto"/>
                <w:sz w:val="24"/>
              </w:rPr>
            </w:pPr>
            <w:r>
              <w:rPr>
                <w:color w:val="auto"/>
                <w:sz w:val="24"/>
              </w:rPr>
              <w:t xml:space="preserve">      S—透声面积，m</w:t>
            </w:r>
            <w:r>
              <w:rPr>
                <w:color w:val="auto"/>
                <w:sz w:val="24"/>
                <w:vertAlign w:val="superscript"/>
              </w:rPr>
              <w:t>2</w:t>
            </w:r>
            <w:r>
              <w:rPr>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然后按室外声源预测方法计算预测点处的A声级，设第i个室外声源在预测点产生的A声级为L</w:t>
            </w:r>
            <w:r>
              <w:rPr>
                <w:rFonts w:hint="eastAsia" w:ascii="宋体" w:hAnsi="宋体" w:cs="宋体"/>
                <w:color w:val="auto"/>
                <w:sz w:val="24"/>
                <w:vertAlign w:val="subscript"/>
              </w:rPr>
              <w:t>Aj</w:t>
            </w:r>
            <w:r>
              <w:rPr>
                <w:rFonts w:hint="eastAsia" w:ascii="宋体" w:hAnsi="宋体" w:cs="宋体"/>
                <w:color w:val="auto"/>
                <w:sz w:val="24"/>
              </w:rPr>
              <w:t>，在T时间内盖生缘工作时间为t</w:t>
            </w:r>
            <w:r>
              <w:rPr>
                <w:rFonts w:hint="eastAsia" w:ascii="宋体" w:hAnsi="宋体" w:cs="宋体"/>
                <w:color w:val="auto"/>
                <w:sz w:val="24"/>
                <w:vertAlign w:val="subscript"/>
              </w:rPr>
              <w:t>i</w:t>
            </w:r>
            <w:r>
              <w:rPr>
                <w:rFonts w:hint="eastAsia" w:ascii="宋体" w:hAnsi="宋体" w:cs="宋体"/>
                <w:color w:val="auto"/>
                <w:sz w:val="24"/>
              </w:rPr>
              <w:t>；第j个等效室外声源在预测点产生的A声级为L</w:t>
            </w:r>
            <w:r>
              <w:rPr>
                <w:rFonts w:hint="eastAsia" w:ascii="宋体" w:hAnsi="宋体" w:cs="宋体"/>
                <w:color w:val="auto"/>
                <w:sz w:val="24"/>
                <w:vertAlign w:val="subscript"/>
              </w:rPr>
              <w:t>Aj</w:t>
            </w:r>
            <w:r>
              <w:rPr>
                <w:rFonts w:hint="eastAsia" w:ascii="宋体" w:hAnsi="宋体" w:cs="宋体"/>
                <w:color w:val="auto"/>
                <w:sz w:val="24"/>
              </w:rPr>
              <w:t>，在T时间内该声源工作时间为t</w:t>
            </w:r>
            <w:r>
              <w:rPr>
                <w:rFonts w:hint="eastAsia" w:ascii="宋体" w:hAnsi="宋体" w:cs="宋体"/>
                <w:color w:val="auto"/>
                <w:sz w:val="24"/>
                <w:vertAlign w:val="subscript"/>
              </w:rPr>
              <w:t>j</w:t>
            </w:r>
            <w:r>
              <w:rPr>
                <w:rFonts w:hint="eastAsia" w:ascii="宋体" w:hAnsi="宋体" w:cs="宋体"/>
                <w:color w:val="auto"/>
                <w:sz w:val="24"/>
              </w:rPr>
              <w:t>，则拟建设工程声源对预测点的贡献值（L</w:t>
            </w:r>
            <w:r>
              <w:rPr>
                <w:rFonts w:hint="eastAsia" w:ascii="宋体" w:hAnsi="宋体" w:cs="宋体"/>
                <w:color w:val="auto"/>
                <w:sz w:val="24"/>
                <w:vertAlign w:val="subscript"/>
              </w:rPr>
              <w:t>eqg</w:t>
            </w:r>
            <w:r>
              <w:rPr>
                <w:rFonts w:hint="eastAsia" w:ascii="宋体" w:hAnsi="宋体" w:cs="宋体"/>
                <w:color w:val="auto"/>
                <w:sz w:val="24"/>
              </w:rPr>
              <w:t>）为：</w:t>
            </w:r>
          </w:p>
          <w:p>
            <w:pPr>
              <w:spacing w:line="360" w:lineRule="auto"/>
              <w:jc w:val="center"/>
              <w:rPr>
                <w:color w:val="auto"/>
                <w:sz w:val="13"/>
              </w:rPr>
            </w:pPr>
            <m:oMathPara>
              <m:oMath>
                <m:sSub>
                  <m:sSubPr>
                    <m:ctrlPr>
                      <w:rPr>
                        <w:rFonts w:ascii="Cambria Math" w:hAnsi="Cambria Math"/>
                        <w:color w:val="auto"/>
                        <w:sz w:val="13"/>
                      </w:rPr>
                    </m:ctrlPr>
                  </m:sSubPr>
                  <m:e>
                    <m:r>
                      <m:rPr/>
                      <w:rPr>
                        <w:rFonts w:ascii="Cambria Math" w:hAnsi="Cambria Math"/>
                        <w:color w:val="auto"/>
                        <w:sz w:val="13"/>
                      </w:rPr>
                      <m:t>L</m:t>
                    </m:r>
                    <m:ctrlPr>
                      <w:rPr>
                        <w:rFonts w:ascii="Cambria Math" w:hAnsi="Cambria Math"/>
                        <w:color w:val="auto"/>
                        <w:sz w:val="13"/>
                      </w:rPr>
                    </m:ctrlPr>
                  </m:e>
                  <m:sub>
                    <m:r>
                      <m:rPr/>
                      <w:rPr>
                        <w:rFonts w:ascii="Cambria Math" w:hAnsi="Cambria Math"/>
                        <w:color w:val="auto"/>
                        <w:sz w:val="13"/>
                      </w:rPr>
                      <m:t>eqg</m:t>
                    </m:r>
                    <m:ctrlPr>
                      <w:rPr>
                        <w:rFonts w:ascii="Cambria Math" w:hAnsi="Cambria Math"/>
                        <w:color w:val="auto"/>
                        <w:sz w:val="13"/>
                      </w:rPr>
                    </m:ctrlPr>
                  </m:sub>
                </m:sSub>
                <m:r>
                  <m:rPr/>
                  <w:rPr>
                    <w:rFonts w:hint="eastAsia" w:ascii="Cambria Math" w:hAnsi="Cambria Math"/>
                    <w:color w:val="auto"/>
                    <w:sz w:val="13"/>
                  </w:rPr>
                  <m:t>=</m:t>
                </m:r>
                <m:r>
                  <m:rPr/>
                  <w:rPr>
                    <w:rFonts w:ascii="Cambria Math" w:hAnsi="Cambria Math"/>
                    <w:color w:val="auto"/>
                    <w:sz w:val="13"/>
                  </w:rPr>
                  <m:t>10lg</m:t>
                </m:r>
                <m:d>
                  <m:dPr>
                    <m:ctrlPr>
                      <w:rPr>
                        <w:rFonts w:ascii="Cambria Math" w:hAnsi="Cambria Math"/>
                        <w:i/>
                        <w:color w:val="auto"/>
                        <w:sz w:val="13"/>
                      </w:rPr>
                    </m:ctrlPr>
                  </m:dPr>
                  <m:e>
                    <m:f>
                      <m:fPr>
                        <m:ctrlPr>
                          <w:rPr>
                            <w:rFonts w:ascii="Cambria Math" w:hAnsi="Cambria Math"/>
                            <w:i/>
                            <w:color w:val="auto"/>
                            <w:sz w:val="13"/>
                          </w:rPr>
                        </m:ctrlPr>
                      </m:fPr>
                      <m:num>
                        <m:r>
                          <m:rPr/>
                          <w:rPr>
                            <w:rFonts w:ascii="Cambria Math" w:hAnsi="Cambria Math"/>
                            <w:color w:val="auto"/>
                            <w:sz w:val="13"/>
                          </w:rPr>
                          <m:t>1</m:t>
                        </m:r>
                        <m:ctrlPr>
                          <w:rPr>
                            <w:rFonts w:ascii="Cambria Math" w:hAnsi="Cambria Math"/>
                            <w:i/>
                            <w:color w:val="auto"/>
                            <w:sz w:val="13"/>
                          </w:rPr>
                        </m:ctrlPr>
                      </m:num>
                      <m:den>
                        <m:r>
                          <m:rPr/>
                          <w:rPr>
                            <w:rFonts w:ascii="Cambria Math" w:hAnsi="Cambria Math"/>
                            <w:color w:val="auto"/>
                            <w:sz w:val="13"/>
                          </w:rPr>
                          <m:t>T</m:t>
                        </m:r>
                        <m:ctrlPr>
                          <w:rPr>
                            <w:rFonts w:ascii="Cambria Math" w:hAnsi="Cambria Math"/>
                            <w:i/>
                            <w:color w:val="auto"/>
                            <w:sz w:val="13"/>
                          </w:rPr>
                        </m:ctrlPr>
                      </m:den>
                    </m:f>
                    <m:nary>
                      <m:naryPr>
                        <m:chr m:val="∑"/>
                        <m:limLoc m:val="undOvr"/>
                        <m:ctrlPr>
                          <w:rPr>
                            <w:rFonts w:ascii="Cambria Math" w:hAnsi="Cambria Math"/>
                            <w:i/>
                            <w:color w:val="auto"/>
                            <w:sz w:val="13"/>
                          </w:rPr>
                        </m:ctrlPr>
                      </m:naryPr>
                      <m:sub>
                        <m:r>
                          <m:rPr/>
                          <w:rPr>
                            <w:rFonts w:ascii="Cambria Math" w:hAnsi="Cambria Math"/>
                            <w:color w:val="auto"/>
                            <w:sz w:val="13"/>
                          </w:rPr>
                          <m:t>i</m:t>
                        </m:r>
                        <m:r>
                          <m:rPr/>
                          <w:rPr>
                            <w:rFonts w:hint="eastAsia" w:ascii="Cambria Math" w:hAnsi="Cambria Math"/>
                            <w:color w:val="auto"/>
                            <w:sz w:val="13"/>
                          </w:rPr>
                          <m:t>=</m:t>
                        </m:r>
                        <m:r>
                          <m:rPr/>
                          <w:rPr>
                            <w:rFonts w:ascii="Cambria Math" w:hAnsi="Cambria Math"/>
                            <w:color w:val="auto"/>
                            <w:sz w:val="13"/>
                          </w:rPr>
                          <m:t>1</m:t>
                        </m:r>
                        <m:ctrlPr>
                          <w:rPr>
                            <w:rFonts w:ascii="Cambria Math" w:hAnsi="Cambria Math"/>
                            <w:i/>
                            <w:color w:val="auto"/>
                            <w:sz w:val="13"/>
                          </w:rPr>
                        </m:ctrlPr>
                      </m:sub>
                      <m:sup>
                        <m:r>
                          <m:rPr/>
                          <w:rPr>
                            <w:rFonts w:ascii="Cambria Math" w:hAnsi="Cambria Math"/>
                            <w:color w:val="auto"/>
                            <w:sz w:val="13"/>
                          </w:rPr>
                          <m:t>N</m:t>
                        </m:r>
                        <m:ctrlPr>
                          <w:rPr>
                            <w:rFonts w:ascii="Cambria Math" w:hAnsi="Cambria Math"/>
                            <w:i/>
                            <w:color w:val="auto"/>
                            <w:sz w:val="13"/>
                          </w:rPr>
                        </m:ctrlPr>
                      </m:sup>
                      <m:e>
                        <m:sSub>
                          <m:sSubPr>
                            <m:ctrlPr>
                              <w:rPr>
                                <w:rFonts w:ascii="Cambria Math" w:hAnsi="Cambria Math"/>
                                <w:i/>
                                <w:color w:val="auto"/>
                                <w:sz w:val="13"/>
                              </w:rPr>
                            </m:ctrlPr>
                          </m:sSubPr>
                          <m:e>
                            <m:r>
                              <m:rPr/>
                              <w:rPr>
                                <w:rFonts w:ascii="Cambria Math" w:hAnsi="Cambria Math"/>
                                <w:color w:val="auto"/>
                                <w:sz w:val="13"/>
                              </w:rPr>
                              <m:t>t</m:t>
                            </m:r>
                            <m:ctrlPr>
                              <w:rPr>
                                <w:rFonts w:ascii="Cambria Math" w:hAnsi="Cambria Math"/>
                                <w:i/>
                                <w:color w:val="auto"/>
                                <w:sz w:val="13"/>
                              </w:rPr>
                            </m:ctrlPr>
                          </m:e>
                          <m:sub>
                            <m:r>
                              <m:rPr/>
                              <w:rPr>
                                <w:rFonts w:ascii="Cambria Math" w:hAnsi="Cambria Math"/>
                                <w:color w:val="auto"/>
                                <w:sz w:val="13"/>
                              </w:rPr>
                              <m:t>i</m:t>
                            </m:r>
                            <m:ctrlPr>
                              <w:rPr>
                                <w:rFonts w:ascii="Cambria Math" w:hAnsi="Cambria Math"/>
                                <w:i/>
                                <w:color w:val="auto"/>
                                <w:sz w:val="13"/>
                              </w:rPr>
                            </m:ctrlPr>
                          </m:sub>
                        </m:sSub>
                        <m:sSup>
                          <m:sSupPr>
                            <m:ctrlPr>
                              <w:rPr>
                                <w:rFonts w:ascii="Cambria Math" w:hAnsi="Cambria Math"/>
                                <w:i/>
                                <w:color w:val="auto"/>
                                <w:sz w:val="13"/>
                              </w:rPr>
                            </m:ctrlPr>
                          </m:sSupPr>
                          <m:e>
                            <m:r>
                              <m:rPr/>
                              <w:rPr>
                                <w:rFonts w:ascii="Cambria Math" w:hAnsi="Cambria Math"/>
                                <w:color w:val="auto"/>
                                <w:sz w:val="13"/>
                              </w:rPr>
                              <m:t>10</m:t>
                            </m:r>
                            <m:ctrlPr>
                              <w:rPr>
                                <w:rFonts w:ascii="Cambria Math" w:hAnsi="Cambria Math"/>
                                <w:i/>
                                <w:color w:val="auto"/>
                                <w:sz w:val="13"/>
                              </w:rPr>
                            </m:ctrlPr>
                          </m:e>
                          <m:sup>
                            <m:r>
                              <m:rPr/>
                              <w:rPr>
                                <w:rFonts w:ascii="Cambria Math" w:hAnsi="Cambria Math"/>
                                <w:color w:val="auto"/>
                                <w:sz w:val="13"/>
                              </w:rPr>
                              <m:t>0.1</m:t>
                            </m:r>
                            <m:sSub>
                              <m:sSubPr>
                                <m:ctrlPr>
                                  <w:rPr>
                                    <w:rFonts w:ascii="Cambria Math" w:hAnsi="Cambria Math"/>
                                    <w:i/>
                                    <w:color w:val="auto"/>
                                    <w:sz w:val="13"/>
                                  </w:rPr>
                                </m:ctrlPr>
                              </m:sSubPr>
                              <m:e>
                                <m:r>
                                  <m:rPr/>
                                  <w:rPr>
                                    <w:rFonts w:ascii="Cambria Math" w:hAnsi="Cambria Math"/>
                                    <w:color w:val="auto"/>
                                    <w:sz w:val="13"/>
                                  </w:rPr>
                                  <m:t>L</m:t>
                                </m:r>
                                <m:ctrlPr>
                                  <w:rPr>
                                    <w:rFonts w:ascii="Cambria Math" w:hAnsi="Cambria Math"/>
                                    <w:i/>
                                    <w:color w:val="auto"/>
                                    <w:sz w:val="13"/>
                                  </w:rPr>
                                </m:ctrlPr>
                              </m:e>
                              <m:sub>
                                <m:sSub>
                                  <m:sSubPr>
                                    <m:ctrlPr>
                                      <w:rPr>
                                        <w:rFonts w:ascii="Cambria Math" w:hAnsi="Cambria Math"/>
                                        <w:i/>
                                        <w:color w:val="auto"/>
                                        <w:sz w:val="13"/>
                                      </w:rPr>
                                    </m:ctrlPr>
                                  </m:sSubPr>
                                  <m:e>
                                    <m:r>
                                      <m:rPr/>
                                      <w:rPr>
                                        <w:rFonts w:ascii="Cambria Math" w:hAnsi="Cambria Math"/>
                                        <w:color w:val="auto"/>
                                        <w:sz w:val="13"/>
                                      </w:rPr>
                                      <m:t>A</m:t>
                                    </m:r>
                                    <m:ctrlPr>
                                      <w:rPr>
                                        <w:rFonts w:ascii="Cambria Math" w:hAnsi="Cambria Math"/>
                                        <w:i/>
                                        <w:color w:val="auto"/>
                                        <w:sz w:val="13"/>
                                      </w:rPr>
                                    </m:ctrlPr>
                                  </m:e>
                                  <m:sub>
                                    <m:r>
                                      <m:rPr/>
                                      <w:rPr>
                                        <w:rFonts w:ascii="Cambria Math" w:hAnsi="Cambria Math"/>
                                        <w:color w:val="auto"/>
                                        <w:sz w:val="13"/>
                                      </w:rPr>
                                      <m:t>i</m:t>
                                    </m:r>
                                    <m:ctrlPr>
                                      <w:rPr>
                                        <w:rFonts w:ascii="Cambria Math" w:hAnsi="Cambria Math"/>
                                        <w:i/>
                                        <w:color w:val="auto"/>
                                        <w:sz w:val="13"/>
                                      </w:rPr>
                                    </m:ctrlPr>
                                  </m:sub>
                                </m:sSub>
                                <m:ctrlPr>
                                  <w:rPr>
                                    <w:rFonts w:ascii="Cambria Math" w:hAnsi="Cambria Math"/>
                                    <w:i/>
                                    <w:color w:val="auto"/>
                                    <w:sz w:val="13"/>
                                  </w:rPr>
                                </m:ctrlPr>
                              </m:sub>
                            </m:sSub>
                            <m:ctrlPr>
                              <w:rPr>
                                <w:rFonts w:ascii="Cambria Math" w:hAnsi="Cambria Math"/>
                                <w:i/>
                                <w:color w:val="auto"/>
                                <w:sz w:val="13"/>
                              </w:rPr>
                            </m:ctrlPr>
                          </m:sup>
                        </m:sSup>
                        <m:ctrlPr>
                          <w:rPr>
                            <w:rFonts w:ascii="Cambria Math" w:hAnsi="Cambria Math"/>
                            <w:i/>
                            <w:color w:val="auto"/>
                            <w:sz w:val="13"/>
                          </w:rPr>
                        </m:ctrlPr>
                      </m:e>
                    </m:nary>
                    <m:r>
                      <m:rPr/>
                      <w:rPr>
                        <w:rFonts w:ascii="Cambria Math" w:hAnsi="Cambria Math"/>
                        <w:color w:val="auto"/>
                        <w:sz w:val="13"/>
                      </w:rPr>
                      <m:t>+</m:t>
                    </m:r>
                    <m:f>
                      <m:fPr>
                        <m:ctrlPr>
                          <w:rPr>
                            <w:rFonts w:ascii="Cambria Math" w:hAnsi="Cambria Math"/>
                            <w:i/>
                            <w:color w:val="auto"/>
                            <w:sz w:val="13"/>
                          </w:rPr>
                        </m:ctrlPr>
                      </m:fPr>
                      <m:num>
                        <m:r>
                          <m:rPr/>
                          <w:rPr>
                            <w:rFonts w:ascii="Cambria Math" w:hAnsi="Cambria Math"/>
                            <w:color w:val="auto"/>
                            <w:sz w:val="13"/>
                          </w:rPr>
                          <m:t>1</m:t>
                        </m:r>
                        <m:ctrlPr>
                          <w:rPr>
                            <w:rFonts w:ascii="Cambria Math" w:hAnsi="Cambria Math"/>
                            <w:i/>
                            <w:color w:val="auto"/>
                            <w:sz w:val="13"/>
                          </w:rPr>
                        </m:ctrlPr>
                      </m:num>
                      <m:den>
                        <m:r>
                          <m:rPr/>
                          <w:rPr>
                            <w:rFonts w:ascii="Cambria Math" w:hAnsi="Cambria Math"/>
                            <w:color w:val="auto"/>
                            <w:sz w:val="13"/>
                          </w:rPr>
                          <m:t>T</m:t>
                        </m:r>
                        <m:ctrlPr>
                          <w:rPr>
                            <w:rFonts w:ascii="Cambria Math" w:hAnsi="Cambria Math"/>
                            <w:i/>
                            <w:color w:val="auto"/>
                            <w:sz w:val="13"/>
                          </w:rPr>
                        </m:ctrlPr>
                      </m:den>
                    </m:f>
                    <m:nary>
                      <m:naryPr>
                        <m:chr m:val="∑"/>
                        <m:limLoc m:val="undOvr"/>
                        <m:ctrlPr>
                          <w:rPr>
                            <w:rFonts w:ascii="Cambria Math" w:hAnsi="Cambria Math"/>
                            <w:i/>
                            <w:color w:val="auto"/>
                            <w:sz w:val="13"/>
                          </w:rPr>
                        </m:ctrlPr>
                      </m:naryPr>
                      <m:sub>
                        <m:r>
                          <m:rPr/>
                          <w:rPr>
                            <w:rFonts w:ascii="Cambria Math" w:hAnsi="Cambria Math"/>
                            <w:color w:val="auto"/>
                            <w:sz w:val="13"/>
                          </w:rPr>
                          <m:t>j</m:t>
                        </m:r>
                        <m:r>
                          <m:rPr/>
                          <w:rPr>
                            <w:rFonts w:hint="eastAsia" w:ascii="Cambria Math" w:hAnsi="Cambria Math"/>
                            <w:color w:val="auto"/>
                            <w:sz w:val="13"/>
                          </w:rPr>
                          <m:t>=</m:t>
                        </m:r>
                        <m:r>
                          <m:rPr/>
                          <w:rPr>
                            <w:rFonts w:ascii="Cambria Math" w:hAnsi="Cambria Math"/>
                            <w:color w:val="auto"/>
                            <w:sz w:val="13"/>
                          </w:rPr>
                          <m:t>1</m:t>
                        </m:r>
                        <m:ctrlPr>
                          <w:rPr>
                            <w:rFonts w:ascii="Cambria Math" w:hAnsi="Cambria Math"/>
                            <w:i/>
                            <w:color w:val="auto"/>
                            <w:sz w:val="13"/>
                          </w:rPr>
                        </m:ctrlPr>
                      </m:sub>
                      <m:sup>
                        <m:r>
                          <m:rPr/>
                          <w:rPr>
                            <w:rFonts w:ascii="Cambria Math" w:hAnsi="Cambria Math"/>
                            <w:color w:val="auto"/>
                            <w:sz w:val="13"/>
                          </w:rPr>
                          <m:t>M</m:t>
                        </m:r>
                        <m:ctrlPr>
                          <w:rPr>
                            <w:rFonts w:ascii="Cambria Math" w:hAnsi="Cambria Math"/>
                            <w:i/>
                            <w:color w:val="auto"/>
                            <w:sz w:val="13"/>
                          </w:rPr>
                        </m:ctrlPr>
                      </m:sup>
                      <m:e>
                        <m:sSub>
                          <m:sSubPr>
                            <m:ctrlPr>
                              <w:rPr>
                                <w:rFonts w:ascii="Cambria Math" w:hAnsi="Cambria Math"/>
                                <w:i/>
                                <w:color w:val="auto"/>
                                <w:sz w:val="13"/>
                              </w:rPr>
                            </m:ctrlPr>
                          </m:sSubPr>
                          <m:e>
                            <m:r>
                              <m:rPr/>
                              <w:rPr>
                                <w:rFonts w:ascii="Cambria Math" w:hAnsi="Cambria Math"/>
                                <w:color w:val="auto"/>
                                <w:sz w:val="13"/>
                              </w:rPr>
                              <m:t>t</m:t>
                            </m:r>
                            <m:ctrlPr>
                              <w:rPr>
                                <w:rFonts w:ascii="Cambria Math" w:hAnsi="Cambria Math"/>
                                <w:i/>
                                <w:color w:val="auto"/>
                                <w:sz w:val="13"/>
                              </w:rPr>
                            </m:ctrlPr>
                          </m:e>
                          <m:sub>
                            <m:r>
                              <m:rPr/>
                              <w:rPr>
                                <w:rFonts w:ascii="Cambria Math" w:hAnsi="Cambria Math"/>
                                <w:color w:val="auto"/>
                                <w:sz w:val="13"/>
                              </w:rPr>
                              <m:t>j</m:t>
                            </m:r>
                            <m:ctrlPr>
                              <w:rPr>
                                <w:rFonts w:ascii="Cambria Math" w:hAnsi="Cambria Math"/>
                                <w:i/>
                                <w:color w:val="auto"/>
                                <w:sz w:val="13"/>
                              </w:rPr>
                            </m:ctrlPr>
                          </m:sub>
                        </m:sSub>
                        <m:sSup>
                          <m:sSupPr>
                            <m:ctrlPr>
                              <w:rPr>
                                <w:rFonts w:ascii="Cambria Math" w:hAnsi="Cambria Math"/>
                                <w:i/>
                                <w:color w:val="auto"/>
                                <w:sz w:val="13"/>
                              </w:rPr>
                            </m:ctrlPr>
                          </m:sSupPr>
                          <m:e>
                            <m:r>
                              <m:rPr/>
                              <w:rPr>
                                <w:rFonts w:ascii="Cambria Math" w:hAnsi="Cambria Math"/>
                                <w:color w:val="auto"/>
                                <w:sz w:val="13"/>
                              </w:rPr>
                              <m:t>10</m:t>
                            </m:r>
                            <m:ctrlPr>
                              <w:rPr>
                                <w:rFonts w:ascii="Cambria Math" w:hAnsi="Cambria Math"/>
                                <w:i/>
                                <w:color w:val="auto"/>
                                <w:sz w:val="13"/>
                              </w:rPr>
                            </m:ctrlPr>
                          </m:e>
                          <m:sup>
                            <m:r>
                              <m:rPr/>
                              <w:rPr>
                                <w:rFonts w:ascii="Cambria Math" w:hAnsi="Cambria Math"/>
                                <w:color w:val="auto"/>
                                <w:sz w:val="13"/>
                              </w:rPr>
                              <m:t>0.1</m:t>
                            </m:r>
                            <m:sSub>
                              <m:sSubPr>
                                <m:ctrlPr>
                                  <w:rPr>
                                    <w:rFonts w:ascii="Cambria Math" w:hAnsi="Cambria Math"/>
                                    <w:i/>
                                    <w:color w:val="auto"/>
                                    <w:sz w:val="13"/>
                                  </w:rPr>
                                </m:ctrlPr>
                              </m:sSubPr>
                              <m:e>
                                <m:r>
                                  <m:rPr/>
                                  <w:rPr>
                                    <w:rFonts w:ascii="Cambria Math" w:hAnsi="Cambria Math"/>
                                    <w:color w:val="auto"/>
                                    <w:sz w:val="13"/>
                                  </w:rPr>
                                  <m:t>L</m:t>
                                </m:r>
                                <m:ctrlPr>
                                  <w:rPr>
                                    <w:rFonts w:ascii="Cambria Math" w:hAnsi="Cambria Math"/>
                                    <w:i/>
                                    <w:color w:val="auto"/>
                                    <w:sz w:val="13"/>
                                  </w:rPr>
                                </m:ctrlPr>
                              </m:e>
                              <m:sub>
                                <m:sSub>
                                  <m:sSubPr>
                                    <m:ctrlPr>
                                      <w:rPr>
                                        <w:rFonts w:ascii="Cambria Math" w:hAnsi="Cambria Math"/>
                                        <w:i/>
                                        <w:color w:val="auto"/>
                                        <w:sz w:val="13"/>
                                      </w:rPr>
                                    </m:ctrlPr>
                                  </m:sSubPr>
                                  <m:e>
                                    <m:r>
                                      <m:rPr/>
                                      <w:rPr>
                                        <w:rFonts w:ascii="Cambria Math" w:hAnsi="Cambria Math"/>
                                        <w:color w:val="auto"/>
                                        <w:sz w:val="13"/>
                                      </w:rPr>
                                      <m:t>A</m:t>
                                    </m:r>
                                    <m:ctrlPr>
                                      <w:rPr>
                                        <w:rFonts w:ascii="Cambria Math" w:hAnsi="Cambria Math"/>
                                        <w:i/>
                                        <w:color w:val="auto"/>
                                        <w:sz w:val="13"/>
                                      </w:rPr>
                                    </m:ctrlPr>
                                  </m:e>
                                  <m:sub>
                                    <m:r>
                                      <m:rPr/>
                                      <w:rPr>
                                        <w:rFonts w:ascii="Cambria Math" w:hAnsi="Cambria Math"/>
                                        <w:color w:val="auto"/>
                                        <w:sz w:val="13"/>
                                      </w:rPr>
                                      <m:t>j</m:t>
                                    </m:r>
                                    <m:ctrlPr>
                                      <w:rPr>
                                        <w:rFonts w:ascii="Cambria Math" w:hAnsi="Cambria Math"/>
                                        <w:i/>
                                        <w:color w:val="auto"/>
                                        <w:sz w:val="13"/>
                                      </w:rPr>
                                    </m:ctrlPr>
                                  </m:sub>
                                </m:sSub>
                                <m:ctrlPr>
                                  <w:rPr>
                                    <w:rFonts w:ascii="Cambria Math" w:hAnsi="Cambria Math"/>
                                    <w:i/>
                                    <w:color w:val="auto"/>
                                    <w:sz w:val="13"/>
                                  </w:rPr>
                                </m:ctrlPr>
                              </m:sub>
                            </m:sSub>
                            <m:ctrlPr>
                              <w:rPr>
                                <w:rFonts w:ascii="Cambria Math" w:hAnsi="Cambria Math"/>
                                <w:i/>
                                <w:color w:val="auto"/>
                                <w:sz w:val="13"/>
                              </w:rPr>
                            </m:ctrlPr>
                          </m:sup>
                        </m:sSup>
                        <m:ctrlPr>
                          <w:rPr>
                            <w:rFonts w:ascii="Cambria Math" w:hAnsi="Cambria Math"/>
                            <w:i/>
                            <w:color w:val="auto"/>
                            <w:sz w:val="13"/>
                          </w:rPr>
                        </m:ctrlPr>
                      </m:e>
                    </m:nary>
                    <m:ctrlPr>
                      <w:rPr>
                        <w:rFonts w:ascii="Cambria Math" w:hAnsi="Cambria Math"/>
                        <w:i/>
                        <w:color w:val="auto"/>
                        <w:sz w:val="13"/>
                      </w:rPr>
                    </m:ctrlPr>
                  </m:e>
                </m:d>
              </m:oMath>
            </m:oMathPara>
          </w:p>
          <w:p>
            <w:pPr>
              <w:spacing w:line="360" w:lineRule="auto"/>
              <w:ind w:firstLine="480" w:firstLineChars="200"/>
              <w:rPr>
                <w:color w:val="auto"/>
                <w:sz w:val="24"/>
              </w:rPr>
            </w:pPr>
            <w:r>
              <w:rPr>
                <w:rFonts w:hint="eastAsia"/>
                <w:color w:val="auto"/>
                <w:sz w:val="24"/>
              </w:rPr>
              <w:t>式中：Leqg—建设项目在预测点产生的噪声贡献值；</w:t>
            </w:r>
            <w:r>
              <w:rPr>
                <w:color w:val="auto"/>
                <w:sz w:val="24"/>
              </w:rPr>
              <w:t xml:space="preserve"> </w:t>
            </w:r>
          </w:p>
          <w:p>
            <w:pPr>
              <w:spacing w:line="360" w:lineRule="auto"/>
              <w:ind w:firstLine="480" w:firstLineChars="200"/>
              <w:rPr>
                <w:color w:val="auto"/>
                <w:sz w:val="24"/>
              </w:rPr>
            </w:pPr>
            <w:r>
              <w:rPr>
                <w:rFonts w:hint="eastAsia"/>
                <w:color w:val="auto"/>
                <w:sz w:val="24"/>
              </w:rPr>
              <w:t xml:space="preserve">      T—用于计算等效声级的时间，S；</w:t>
            </w:r>
          </w:p>
          <w:p>
            <w:pPr>
              <w:spacing w:line="360" w:lineRule="auto"/>
              <w:ind w:firstLine="480" w:firstLineChars="200"/>
              <w:rPr>
                <w:color w:val="auto"/>
                <w:sz w:val="24"/>
              </w:rPr>
            </w:pPr>
            <w:r>
              <w:rPr>
                <w:rFonts w:hint="eastAsia"/>
                <w:color w:val="auto"/>
                <w:sz w:val="24"/>
              </w:rPr>
              <w:t xml:space="preserve">      N—室外声源个数；</w:t>
            </w:r>
          </w:p>
          <w:p>
            <w:pPr>
              <w:spacing w:line="360" w:lineRule="auto"/>
              <w:ind w:firstLine="480" w:firstLineChars="200"/>
              <w:rPr>
                <w:color w:val="auto"/>
                <w:sz w:val="24"/>
              </w:rPr>
            </w:pPr>
            <w:r>
              <w:rPr>
                <w:rFonts w:hint="eastAsia"/>
                <w:color w:val="auto"/>
                <w:sz w:val="24"/>
              </w:rPr>
              <w:t xml:space="preserve">      ti—在T时间内i声源工作时间，S；</w:t>
            </w:r>
          </w:p>
          <w:p>
            <w:pPr>
              <w:spacing w:line="360" w:lineRule="auto"/>
              <w:ind w:firstLine="480" w:firstLineChars="200"/>
              <w:rPr>
                <w:color w:val="auto"/>
                <w:sz w:val="24"/>
              </w:rPr>
            </w:pPr>
            <w:r>
              <w:rPr>
                <w:rFonts w:hint="eastAsia"/>
                <w:color w:val="auto"/>
                <w:sz w:val="24"/>
              </w:rPr>
              <w:t xml:space="preserve">      M—等效室外声源个数；</w:t>
            </w:r>
          </w:p>
          <w:p>
            <w:pPr>
              <w:spacing w:line="360" w:lineRule="auto"/>
              <w:ind w:firstLine="480" w:firstLineChars="200"/>
              <w:rPr>
                <w:color w:val="auto"/>
                <w:sz w:val="24"/>
              </w:rPr>
            </w:pPr>
            <w:r>
              <w:rPr>
                <w:rFonts w:hint="eastAsia"/>
                <w:color w:val="auto"/>
                <w:sz w:val="24"/>
              </w:rPr>
              <w:t xml:space="preserve">      tj—在T时间内j声源工作时间，S。</w:t>
            </w:r>
          </w:p>
          <w:p>
            <w:pPr>
              <w:widowControl/>
              <w:spacing w:line="360" w:lineRule="auto"/>
              <w:ind w:firstLine="480" w:firstLineChars="200"/>
              <w:rPr>
                <w:color w:val="auto"/>
                <w:sz w:val="24"/>
              </w:rPr>
            </w:pPr>
            <w:r>
              <w:rPr>
                <w:rFonts w:hint="eastAsia"/>
                <w:color w:val="auto"/>
                <w:sz w:val="24"/>
              </w:rPr>
              <w:t>（3）预测结果</w:t>
            </w:r>
          </w:p>
          <w:p>
            <w:pPr>
              <w:widowControl/>
              <w:spacing w:line="360" w:lineRule="auto"/>
              <w:ind w:firstLine="480" w:firstLineChars="200"/>
              <w:rPr>
                <w:color w:val="auto"/>
                <w:sz w:val="24"/>
              </w:rPr>
            </w:pPr>
            <w:r>
              <w:rPr>
                <w:rFonts w:hint="eastAsia" w:ascii="宋体" w:hAnsi="宋体" w:cs="宋体"/>
                <w:color w:val="auto"/>
                <w:sz w:val="24"/>
              </w:rPr>
              <w:t>本次噪声预测采用环安科技有限公司根据《环境影响评价技术导则 声环境》（HJ2.1-2021）构建的在线预测软件Online V4，</w:t>
            </w:r>
            <w:r>
              <w:rPr>
                <w:rFonts w:ascii="宋体" w:hAnsi="宋体" w:cs="宋体"/>
                <w:color w:val="auto"/>
                <w:sz w:val="24"/>
              </w:rPr>
              <w:t>厂界噪声的预测按照间距10m进行设置，共设置厂界预测点</w:t>
            </w:r>
            <w:r>
              <w:rPr>
                <w:rFonts w:hint="eastAsia" w:ascii="宋体" w:hAnsi="宋体" w:cs="宋体"/>
                <w:color w:val="auto"/>
                <w:sz w:val="24"/>
              </w:rPr>
              <w:t>77</w:t>
            </w:r>
            <w:r>
              <w:rPr>
                <w:rFonts w:ascii="宋体" w:hAnsi="宋体" w:cs="宋体"/>
                <w:color w:val="auto"/>
                <w:sz w:val="24"/>
              </w:rPr>
              <w:t>个。</w:t>
            </w:r>
            <w:r>
              <w:rPr>
                <w:rFonts w:hint="eastAsia" w:ascii="宋体" w:hAnsi="宋体" w:cs="宋体"/>
                <w:color w:val="auto"/>
                <w:sz w:val="24"/>
              </w:rPr>
              <w:t>预测</w:t>
            </w:r>
            <w:r>
              <w:rPr>
                <w:rFonts w:ascii="宋体" w:hAnsi="宋体" w:cs="宋体"/>
                <w:color w:val="auto"/>
                <w:sz w:val="24"/>
              </w:rPr>
              <w:t>结果如下</w:t>
            </w:r>
            <w:r>
              <w:rPr>
                <w:rFonts w:hint="eastAsia" w:ascii="宋体" w:hAnsi="宋体" w:cs="宋体"/>
                <w:color w:val="auto"/>
                <w:sz w:val="24"/>
              </w:rPr>
              <w:t>：</w:t>
            </w:r>
          </w:p>
          <w:p>
            <w:pPr>
              <w:pStyle w:val="19"/>
              <w:spacing w:before="0" w:beforeAutospacing="0" w:after="0" w:afterAutospacing="0"/>
              <w:jc w:val="center"/>
              <w:rPr>
                <w:rFonts w:ascii="Times New Roman" w:hAnsi="Times New Roman"/>
                <w:b/>
                <w:color w:val="auto"/>
                <w:kern w:val="2"/>
                <w:sz w:val="21"/>
                <w:szCs w:val="21"/>
                <w:lang w:bidi="ar"/>
              </w:rPr>
            </w:pPr>
            <w:r>
              <w:rPr>
                <w:rFonts w:hint="eastAsia" w:ascii="Times New Roman" w:hAnsi="Times New Roman"/>
                <w:b/>
                <w:color w:val="auto"/>
                <w:kern w:val="2"/>
                <w:sz w:val="21"/>
                <w:szCs w:val="21"/>
                <w:lang w:bidi="ar"/>
              </w:rPr>
              <w:t>表4-13  项目建成后厂界噪声预测结果表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908"/>
              <w:gridCol w:w="927"/>
              <w:gridCol w:w="838"/>
              <w:gridCol w:w="779"/>
              <w:gridCol w:w="822"/>
              <w:gridCol w:w="803"/>
              <w:gridCol w:w="822"/>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Merge w:val="restart"/>
                  <w:vAlign w:val="center"/>
                </w:tcPr>
                <w:p>
                  <w:pPr>
                    <w:widowControl/>
                    <w:jc w:val="center"/>
                    <w:rPr>
                      <w:color w:val="auto"/>
                      <w:kern w:val="0"/>
                      <w:sz w:val="13"/>
                      <w:szCs w:val="13"/>
                      <w:lang w:bidi="ar"/>
                    </w:rPr>
                  </w:pPr>
                  <w:r>
                    <w:rPr>
                      <w:color w:val="auto"/>
                      <w:sz w:val="13"/>
                      <w:szCs w:val="13"/>
                    </w:rPr>
                    <w:t>预测点</w:t>
                  </w:r>
                </w:p>
              </w:tc>
              <w:tc>
                <w:tcPr>
                  <w:tcW w:w="1156" w:type="pct"/>
                  <w:gridSpan w:val="2"/>
                  <w:vAlign w:val="center"/>
                </w:tcPr>
                <w:p>
                  <w:pPr>
                    <w:widowControl/>
                    <w:jc w:val="center"/>
                    <w:rPr>
                      <w:color w:val="auto"/>
                      <w:sz w:val="13"/>
                      <w:szCs w:val="13"/>
                    </w:rPr>
                  </w:pPr>
                  <w:r>
                    <w:rPr>
                      <w:color w:val="auto"/>
                      <w:sz w:val="13"/>
                      <w:szCs w:val="13"/>
                    </w:rPr>
                    <w:t>相对坐标</w:t>
                  </w:r>
                </w:p>
              </w:tc>
              <w:tc>
                <w:tcPr>
                  <w:tcW w:w="528" w:type="pct"/>
                  <w:vAlign w:val="center"/>
                </w:tcPr>
                <w:p>
                  <w:pPr>
                    <w:widowControl/>
                    <w:jc w:val="center"/>
                    <w:rPr>
                      <w:color w:val="auto"/>
                      <w:sz w:val="13"/>
                      <w:szCs w:val="13"/>
                    </w:rPr>
                  </w:pPr>
                  <w:r>
                    <w:rPr>
                      <w:color w:val="auto"/>
                      <w:sz w:val="13"/>
                      <w:szCs w:val="13"/>
                    </w:rPr>
                    <w:t>昼间</w:t>
                  </w:r>
                  <w:r>
                    <w:rPr>
                      <w:rFonts w:hint="eastAsia"/>
                      <w:color w:val="auto"/>
                      <w:sz w:val="13"/>
                      <w:szCs w:val="13"/>
                    </w:rPr>
                    <w:t>dB</w:t>
                  </w:r>
                </w:p>
              </w:tc>
              <w:tc>
                <w:tcPr>
                  <w:tcW w:w="491" w:type="pct"/>
                  <w:vMerge w:val="restart"/>
                  <w:vAlign w:val="center"/>
                </w:tcPr>
                <w:p>
                  <w:pPr>
                    <w:widowControl/>
                    <w:jc w:val="center"/>
                    <w:rPr>
                      <w:color w:val="auto"/>
                      <w:sz w:val="13"/>
                      <w:szCs w:val="13"/>
                    </w:rPr>
                  </w:pPr>
                  <w:r>
                    <w:rPr>
                      <w:color w:val="auto"/>
                      <w:sz w:val="13"/>
                      <w:szCs w:val="13"/>
                    </w:rPr>
                    <w:t>标准值</w:t>
                  </w:r>
                </w:p>
              </w:tc>
              <w:tc>
                <w:tcPr>
                  <w:tcW w:w="518" w:type="pct"/>
                  <w:vMerge w:val="restart"/>
                  <w:vAlign w:val="center"/>
                </w:tcPr>
                <w:p>
                  <w:pPr>
                    <w:widowControl/>
                    <w:jc w:val="center"/>
                    <w:rPr>
                      <w:color w:val="auto"/>
                      <w:sz w:val="13"/>
                      <w:szCs w:val="13"/>
                    </w:rPr>
                  </w:pPr>
                  <w:r>
                    <w:rPr>
                      <w:color w:val="auto"/>
                      <w:sz w:val="13"/>
                      <w:szCs w:val="13"/>
                    </w:rPr>
                    <w:t>达标情况</w:t>
                  </w:r>
                </w:p>
              </w:tc>
              <w:tc>
                <w:tcPr>
                  <w:tcW w:w="506" w:type="pct"/>
                  <w:vAlign w:val="center"/>
                </w:tcPr>
                <w:p>
                  <w:pPr>
                    <w:widowControl/>
                    <w:jc w:val="center"/>
                    <w:rPr>
                      <w:color w:val="auto"/>
                      <w:sz w:val="13"/>
                      <w:szCs w:val="13"/>
                    </w:rPr>
                  </w:pPr>
                  <w:r>
                    <w:rPr>
                      <w:rFonts w:hint="eastAsia"/>
                      <w:color w:val="auto"/>
                      <w:sz w:val="13"/>
                      <w:szCs w:val="13"/>
                    </w:rPr>
                    <w:t>夜</w:t>
                  </w:r>
                  <w:r>
                    <w:rPr>
                      <w:color w:val="auto"/>
                      <w:sz w:val="13"/>
                      <w:szCs w:val="13"/>
                    </w:rPr>
                    <w:t>间</w:t>
                  </w:r>
                  <w:r>
                    <w:rPr>
                      <w:rFonts w:hint="eastAsia"/>
                      <w:color w:val="auto"/>
                      <w:sz w:val="13"/>
                      <w:szCs w:val="13"/>
                    </w:rPr>
                    <w:t>dB</w:t>
                  </w:r>
                </w:p>
              </w:tc>
              <w:tc>
                <w:tcPr>
                  <w:tcW w:w="518" w:type="pct"/>
                  <w:vMerge w:val="restart"/>
                  <w:vAlign w:val="center"/>
                </w:tcPr>
                <w:p>
                  <w:pPr>
                    <w:widowControl/>
                    <w:jc w:val="center"/>
                    <w:rPr>
                      <w:color w:val="auto"/>
                      <w:sz w:val="13"/>
                      <w:szCs w:val="13"/>
                    </w:rPr>
                  </w:pPr>
                  <w:r>
                    <w:rPr>
                      <w:color w:val="auto"/>
                      <w:sz w:val="13"/>
                      <w:szCs w:val="13"/>
                    </w:rPr>
                    <w:t>标准值</w:t>
                  </w:r>
                </w:p>
              </w:tc>
              <w:tc>
                <w:tcPr>
                  <w:tcW w:w="528" w:type="pct"/>
                  <w:vMerge w:val="restart"/>
                  <w:vAlign w:val="center"/>
                </w:tcPr>
                <w:p>
                  <w:pPr>
                    <w:widowControl/>
                    <w:jc w:val="center"/>
                    <w:rPr>
                      <w:color w:val="auto"/>
                      <w:sz w:val="13"/>
                      <w:szCs w:val="13"/>
                    </w:rPr>
                  </w:pPr>
                  <w:r>
                    <w:rPr>
                      <w:color w:val="auto"/>
                      <w:sz w:val="13"/>
                      <w:szCs w:val="13"/>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Merge w:val="continue"/>
                  <w:vAlign w:val="center"/>
                </w:tcPr>
                <w:p>
                  <w:pPr>
                    <w:widowControl/>
                    <w:jc w:val="center"/>
                    <w:textAlignment w:val="center"/>
                    <w:rPr>
                      <w:color w:val="auto"/>
                      <w:kern w:val="0"/>
                      <w:sz w:val="13"/>
                      <w:szCs w:val="13"/>
                      <w:lang w:bidi="ar"/>
                    </w:rPr>
                  </w:pPr>
                </w:p>
              </w:tc>
              <w:tc>
                <w:tcPr>
                  <w:tcW w:w="572" w:type="pct"/>
                  <w:vAlign w:val="center"/>
                </w:tcPr>
                <w:p>
                  <w:pPr>
                    <w:widowControl/>
                    <w:jc w:val="center"/>
                    <w:rPr>
                      <w:color w:val="auto"/>
                      <w:sz w:val="13"/>
                      <w:szCs w:val="13"/>
                    </w:rPr>
                  </w:pPr>
                  <w:r>
                    <w:rPr>
                      <w:color w:val="auto"/>
                      <w:sz w:val="13"/>
                      <w:szCs w:val="13"/>
                    </w:rPr>
                    <w:t>X</w:t>
                  </w:r>
                </w:p>
              </w:tc>
              <w:tc>
                <w:tcPr>
                  <w:tcW w:w="583" w:type="pct"/>
                  <w:vAlign w:val="center"/>
                </w:tcPr>
                <w:p>
                  <w:pPr>
                    <w:widowControl/>
                    <w:jc w:val="center"/>
                    <w:rPr>
                      <w:color w:val="auto"/>
                      <w:sz w:val="13"/>
                      <w:szCs w:val="13"/>
                    </w:rPr>
                  </w:pPr>
                  <w:r>
                    <w:rPr>
                      <w:color w:val="auto"/>
                      <w:sz w:val="13"/>
                      <w:szCs w:val="13"/>
                    </w:rPr>
                    <w:t>Y</w:t>
                  </w:r>
                </w:p>
              </w:tc>
              <w:tc>
                <w:tcPr>
                  <w:tcW w:w="528" w:type="pct"/>
                  <w:vAlign w:val="center"/>
                </w:tcPr>
                <w:p>
                  <w:pPr>
                    <w:widowControl/>
                    <w:jc w:val="center"/>
                    <w:rPr>
                      <w:color w:val="auto"/>
                      <w:sz w:val="13"/>
                      <w:szCs w:val="13"/>
                    </w:rPr>
                  </w:pPr>
                  <w:r>
                    <w:rPr>
                      <w:color w:val="auto"/>
                      <w:sz w:val="13"/>
                      <w:szCs w:val="13"/>
                    </w:rPr>
                    <w:t>贡献值</w:t>
                  </w:r>
                </w:p>
              </w:tc>
              <w:tc>
                <w:tcPr>
                  <w:tcW w:w="491" w:type="pct"/>
                  <w:vMerge w:val="continue"/>
                  <w:vAlign w:val="center"/>
                </w:tcPr>
                <w:p>
                  <w:pPr>
                    <w:widowControl/>
                    <w:jc w:val="center"/>
                    <w:textAlignment w:val="center"/>
                    <w:rPr>
                      <w:color w:val="auto"/>
                      <w:kern w:val="0"/>
                      <w:sz w:val="13"/>
                      <w:szCs w:val="13"/>
                      <w:lang w:bidi="ar"/>
                    </w:rPr>
                  </w:pPr>
                </w:p>
              </w:tc>
              <w:tc>
                <w:tcPr>
                  <w:tcW w:w="518" w:type="pct"/>
                  <w:vMerge w:val="continue"/>
                  <w:vAlign w:val="center"/>
                </w:tcPr>
                <w:p>
                  <w:pPr>
                    <w:widowControl/>
                    <w:jc w:val="center"/>
                    <w:textAlignment w:val="center"/>
                    <w:rPr>
                      <w:color w:val="auto"/>
                      <w:kern w:val="0"/>
                      <w:sz w:val="13"/>
                      <w:szCs w:val="13"/>
                      <w:lang w:bidi="ar"/>
                    </w:rPr>
                  </w:pPr>
                </w:p>
              </w:tc>
              <w:tc>
                <w:tcPr>
                  <w:tcW w:w="506" w:type="pct"/>
                  <w:vAlign w:val="center"/>
                </w:tcPr>
                <w:p>
                  <w:pPr>
                    <w:widowControl/>
                    <w:jc w:val="center"/>
                    <w:rPr>
                      <w:color w:val="auto"/>
                      <w:kern w:val="0"/>
                      <w:sz w:val="13"/>
                      <w:szCs w:val="13"/>
                      <w:lang w:bidi="ar"/>
                    </w:rPr>
                  </w:pPr>
                  <w:r>
                    <w:rPr>
                      <w:color w:val="auto"/>
                      <w:sz w:val="13"/>
                      <w:szCs w:val="13"/>
                    </w:rPr>
                    <w:t>贡献值</w:t>
                  </w:r>
                </w:p>
              </w:tc>
              <w:tc>
                <w:tcPr>
                  <w:tcW w:w="518" w:type="pct"/>
                  <w:vMerge w:val="continue"/>
                  <w:vAlign w:val="center"/>
                </w:tcPr>
                <w:p>
                  <w:pPr>
                    <w:widowControl/>
                    <w:jc w:val="center"/>
                    <w:textAlignment w:val="center"/>
                    <w:rPr>
                      <w:color w:val="auto"/>
                      <w:kern w:val="0"/>
                      <w:sz w:val="13"/>
                      <w:szCs w:val="13"/>
                      <w:lang w:bidi="ar"/>
                    </w:rPr>
                  </w:pPr>
                </w:p>
              </w:tc>
              <w:tc>
                <w:tcPr>
                  <w:tcW w:w="528" w:type="pct"/>
                  <w:vMerge w:val="continue"/>
                  <w:vAlign w:val="center"/>
                </w:tcPr>
                <w:p>
                  <w:pPr>
                    <w:widowControl/>
                    <w:jc w:val="center"/>
                    <w:textAlignment w:val="center"/>
                    <w:rPr>
                      <w:color w:val="auto"/>
                      <w:kern w:val="0"/>
                      <w:sz w:val="13"/>
                      <w:szCs w:val="13"/>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1</w:t>
                  </w:r>
                </w:p>
              </w:tc>
              <w:tc>
                <w:tcPr>
                  <w:tcW w:w="572" w:type="pct"/>
                  <w:vAlign w:val="center"/>
                </w:tcPr>
                <w:p>
                  <w:pPr>
                    <w:widowControl/>
                    <w:jc w:val="center"/>
                    <w:textAlignment w:val="center"/>
                    <w:rPr>
                      <w:color w:val="auto"/>
                      <w:sz w:val="13"/>
                      <w:szCs w:val="13"/>
                    </w:rPr>
                  </w:pPr>
                  <w:r>
                    <w:rPr>
                      <w:color w:val="auto"/>
                      <w:kern w:val="0"/>
                      <w:sz w:val="13"/>
                      <w:szCs w:val="13"/>
                      <w:lang w:bidi="ar"/>
                    </w:rPr>
                    <w:t>45.22</w:t>
                  </w:r>
                </w:p>
              </w:tc>
              <w:tc>
                <w:tcPr>
                  <w:tcW w:w="583" w:type="pct"/>
                  <w:vAlign w:val="center"/>
                </w:tcPr>
                <w:p>
                  <w:pPr>
                    <w:widowControl/>
                    <w:jc w:val="center"/>
                    <w:textAlignment w:val="center"/>
                    <w:rPr>
                      <w:color w:val="auto"/>
                      <w:sz w:val="13"/>
                      <w:szCs w:val="13"/>
                    </w:rPr>
                  </w:pPr>
                  <w:r>
                    <w:rPr>
                      <w:color w:val="auto"/>
                      <w:kern w:val="0"/>
                      <w:sz w:val="13"/>
                      <w:szCs w:val="13"/>
                      <w:lang w:bidi="ar"/>
                    </w:rPr>
                    <w:t>139.73</w:t>
                  </w:r>
                </w:p>
              </w:tc>
              <w:tc>
                <w:tcPr>
                  <w:tcW w:w="528" w:type="pct"/>
                  <w:vAlign w:val="center"/>
                </w:tcPr>
                <w:p>
                  <w:pPr>
                    <w:widowControl/>
                    <w:jc w:val="center"/>
                    <w:textAlignment w:val="center"/>
                    <w:rPr>
                      <w:color w:val="auto"/>
                      <w:sz w:val="13"/>
                      <w:szCs w:val="13"/>
                    </w:rPr>
                  </w:pPr>
                  <w:r>
                    <w:rPr>
                      <w:color w:val="auto"/>
                      <w:kern w:val="0"/>
                      <w:sz w:val="13"/>
                      <w:szCs w:val="13"/>
                      <w:lang w:bidi="ar"/>
                    </w:rPr>
                    <w:t>37.16</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37.16</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2</w:t>
                  </w:r>
                </w:p>
              </w:tc>
              <w:tc>
                <w:tcPr>
                  <w:tcW w:w="572" w:type="pct"/>
                  <w:vAlign w:val="center"/>
                </w:tcPr>
                <w:p>
                  <w:pPr>
                    <w:widowControl/>
                    <w:jc w:val="center"/>
                    <w:textAlignment w:val="center"/>
                    <w:rPr>
                      <w:color w:val="auto"/>
                      <w:sz w:val="13"/>
                      <w:szCs w:val="13"/>
                    </w:rPr>
                  </w:pPr>
                  <w:r>
                    <w:rPr>
                      <w:color w:val="auto"/>
                      <w:kern w:val="0"/>
                      <w:sz w:val="13"/>
                      <w:szCs w:val="13"/>
                      <w:lang w:bidi="ar"/>
                    </w:rPr>
                    <w:t>37.8</w:t>
                  </w:r>
                </w:p>
              </w:tc>
              <w:tc>
                <w:tcPr>
                  <w:tcW w:w="583" w:type="pct"/>
                  <w:vAlign w:val="center"/>
                </w:tcPr>
                <w:p>
                  <w:pPr>
                    <w:widowControl/>
                    <w:jc w:val="center"/>
                    <w:textAlignment w:val="center"/>
                    <w:rPr>
                      <w:color w:val="auto"/>
                      <w:sz w:val="13"/>
                      <w:szCs w:val="13"/>
                    </w:rPr>
                  </w:pPr>
                  <w:r>
                    <w:rPr>
                      <w:color w:val="auto"/>
                      <w:kern w:val="0"/>
                      <w:sz w:val="13"/>
                      <w:szCs w:val="13"/>
                      <w:lang w:bidi="ar"/>
                    </w:rPr>
                    <w:t>133.03</w:t>
                  </w:r>
                </w:p>
              </w:tc>
              <w:tc>
                <w:tcPr>
                  <w:tcW w:w="528" w:type="pct"/>
                  <w:vAlign w:val="center"/>
                </w:tcPr>
                <w:p>
                  <w:pPr>
                    <w:widowControl/>
                    <w:jc w:val="center"/>
                    <w:textAlignment w:val="center"/>
                    <w:rPr>
                      <w:color w:val="auto"/>
                      <w:sz w:val="13"/>
                      <w:szCs w:val="13"/>
                    </w:rPr>
                  </w:pPr>
                  <w:r>
                    <w:rPr>
                      <w:color w:val="auto"/>
                      <w:kern w:val="0"/>
                      <w:sz w:val="13"/>
                      <w:szCs w:val="13"/>
                      <w:lang w:bidi="ar"/>
                    </w:rPr>
                    <w:t>37.43</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37.43</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3</w:t>
                  </w:r>
                </w:p>
              </w:tc>
              <w:tc>
                <w:tcPr>
                  <w:tcW w:w="572" w:type="pct"/>
                  <w:vAlign w:val="center"/>
                </w:tcPr>
                <w:p>
                  <w:pPr>
                    <w:widowControl/>
                    <w:jc w:val="center"/>
                    <w:textAlignment w:val="center"/>
                    <w:rPr>
                      <w:color w:val="auto"/>
                      <w:sz w:val="13"/>
                      <w:szCs w:val="13"/>
                    </w:rPr>
                  </w:pPr>
                  <w:r>
                    <w:rPr>
                      <w:color w:val="auto"/>
                      <w:kern w:val="0"/>
                      <w:sz w:val="13"/>
                      <w:szCs w:val="13"/>
                      <w:lang w:bidi="ar"/>
                    </w:rPr>
                    <w:t>45.22</w:t>
                  </w:r>
                </w:p>
              </w:tc>
              <w:tc>
                <w:tcPr>
                  <w:tcW w:w="583" w:type="pct"/>
                  <w:vAlign w:val="center"/>
                </w:tcPr>
                <w:p>
                  <w:pPr>
                    <w:widowControl/>
                    <w:jc w:val="center"/>
                    <w:textAlignment w:val="center"/>
                    <w:rPr>
                      <w:color w:val="auto"/>
                      <w:sz w:val="13"/>
                      <w:szCs w:val="13"/>
                    </w:rPr>
                  </w:pPr>
                  <w:r>
                    <w:rPr>
                      <w:color w:val="auto"/>
                      <w:kern w:val="0"/>
                      <w:sz w:val="13"/>
                      <w:szCs w:val="13"/>
                      <w:lang w:bidi="ar"/>
                    </w:rPr>
                    <w:t>126.33</w:t>
                  </w:r>
                </w:p>
              </w:tc>
              <w:tc>
                <w:tcPr>
                  <w:tcW w:w="528" w:type="pct"/>
                  <w:vAlign w:val="center"/>
                </w:tcPr>
                <w:p>
                  <w:pPr>
                    <w:widowControl/>
                    <w:jc w:val="center"/>
                    <w:textAlignment w:val="center"/>
                    <w:rPr>
                      <w:color w:val="auto"/>
                      <w:sz w:val="13"/>
                      <w:szCs w:val="13"/>
                    </w:rPr>
                  </w:pPr>
                  <w:r>
                    <w:rPr>
                      <w:color w:val="auto"/>
                      <w:kern w:val="0"/>
                      <w:sz w:val="13"/>
                      <w:szCs w:val="13"/>
                      <w:lang w:bidi="ar"/>
                    </w:rPr>
                    <w:t>37.65</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37.65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4</w:t>
                  </w:r>
                </w:p>
              </w:tc>
              <w:tc>
                <w:tcPr>
                  <w:tcW w:w="572" w:type="pct"/>
                  <w:vAlign w:val="center"/>
                </w:tcPr>
                <w:p>
                  <w:pPr>
                    <w:widowControl/>
                    <w:jc w:val="center"/>
                    <w:textAlignment w:val="center"/>
                    <w:rPr>
                      <w:color w:val="auto"/>
                      <w:sz w:val="13"/>
                      <w:szCs w:val="13"/>
                    </w:rPr>
                  </w:pPr>
                  <w:r>
                    <w:rPr>
                      <w:color w:val="auto"/>
                      <w:kern w:val="0"/>
                      <w:sz w:val="13"/>
                      <w:szCs w:val="13"/>
                      <w:lang w:bidi="ar"/>
                    </w:rPr>
                    <w:t>52.65</w:t>
                  </w:r>
                </w:p>
              </w:tc>
              <w:tc>
                <w:tcPr>
                  <w:tcW w:w="583" w:type="pct"/>
                  <w:vAlign w:val="center"/>
                </w:tcPr>
                <w:p>
                  <w:pPr>
                    <w:widowControl/>
                    <w:jc w:val="center"/>
                    <w:textAlignment w:val="center"/>
                    <w:rPr>
                      <w:color w:val="auto"/>
                      <w:sz w:val="13"/>
                      <w:szCs w:val="13"/>
                    </w:rPr>
                  </w:pPr>
                  <w:r>
                    <w:rPr>
                      <w:color w:val="auto"/>
                      <w:kern w:val="0"/>
                      <w:sz w:val="13"/>
                      <w:szCs w:val="13"/>
                      <w:lang w:bidi="ar"/>
                    </w:rPr>
                    <w:t>119.64</w:t>
                  </w:r>
                </w:p>
              </w:tc>
              <w:tc>
                <w:tcPr>
                  <w:tcW w:w="528" w:type="pct"/>
                  <w:vAlign w:val="center"/>
                </w:tcPr>
                <w:p>
                  <w:pPr>
                    <w:widowControl/>
                    <w:jc w:val="center"/>
                    <w:textAlignment w:val="center"/>
                    <w:rPr>
                      <w:color w:val="auto"/>
                      <w:sz w:val="13"/>
                      <w:szCs w:val="13"/>
                    </w:rPr>
                  </w:pPr>
                  <w:r>
                    <w:rPr>
                      <w:color w:val="auto"/>
                      <w:kern w:val="0"/>
                      <w:sz w:val="13"/>
                      <w:szCs w:val="13"/>
                      <w:lang w:bidi="ar"/>
                    </w:rPr>
                    <w:t>37.81</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37.81</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w:t>
                  </w:r>
                </w:p>
              </w:tc>
              <w:tc>
                <w:tcPr>
                  <w:tcW w:w="572" w:type="pct"/>
                  <w:vAlign w:val="center"/>
                </w:tcPr>
                <w:p>
                  <w:pPr>
                    <w:widowControl/>
                    <w:jc w:val="center"/>
                    <w:textAlignment w:val="center"/>
                    <w:rPr>
                      <w:color w:val="auto"/>
                      <w:sz w:val="13"/>
                      <w:szCs w:val="13"/>
                    </w:rPr>
                  </w:pPr>
                  <w:r>
                    <w:rPr>
                      <w:color w:val="auto"/>
                      <w:kern w:val="0"/>
                      <w:sz w:val="13"/>
                      <w:szCs w:val="13"/>
                      <w:lang w:bidi="ar"/>
                    </w:rPr>
                    <w:t>60.07</w:t>
                  </w:r>
                </w:p>
              </w:tc>
              <w:tc>
                <w:tcPr>
                  <w:tcW w:w="583" w:type="pct"/>
                  <w:vAlign w:val="center"/>
                </w:tcPr>
                <w:p>
                  <w:pPr>
                    <w:widowControl/>
                    <w:jc w:val="center"/>
                    <w:textAlignment w:val="center"/>
                    <w:rPr>
                      <w:color w:val="auto"/>
                      <w:sz w:val="13"/>
                      <w:szCs w:val="13"/>
                    </w:rPr>
                  </w:pPr>
                  <w:r>
                    <w:rPr>
                      <w:color w:val="auto"/>
                      <w:kern w:val="0"/>
                      <w:sz w:val="13"/>
                      <w:szCs w:val="13"/>
                      <w:lang w:bidi="ar"/>
                    </w:rPr>
                    <w:t>112.94</w:t>
                  </w:r>
                </w:p>
              </w:tc>
              <w:tc>
                <w:tcPr>
                  <w:tcW w:w="528" w:type="pct"/>
                  <w:vAlign w:val="center"/>
                </w:tcPr>
                <w:p>
                  <w:pPr>
                    <w:widowControl/>
                    <w:jc w:val="center"/>
                    <w:textAlignment w:val="center"/>
                    <w:rPr>
                      <w:color w:val="auto"/>
                      <w:sz w:val="13"/>
                      <w:szCs w:val="13"/>
                    </w:rPr>
                  </w:pPr>
                  <w:r>
                    <w:rPr>
                      <w:color w:val="auto"/>
                      <w:kern w:val="0"/>
                      <w:sz w:val="13"/>
                      <w:szCs w:val="13"/>
                      <w:lang w:bidi="ar"/>
                    </w:rPr>
                    <w:t>37.88</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37.88</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w:t>
                  </w:r>
                </w:p>
              </w:tc>
              <w:tc>
                <w:tcPr>
                  <w:tcW w:w="572" w:type="pct"/>
                  <w:vAlign w:val="center"/>
                </w:tcPr>
                <w:p>
                  <w:pPr>
                    <w:widowControl/>
                    <w:jc w:val="center"/>
                    <w:textAlignment w:val="center"/>
                    <w:rPr>
                      <w:color w:val="auto"/>
                      <w:sz w:val="13"/>
                      <w:szCs w:val="13"/>
                    </w:rPr>
                  </w:pPr>
                  <w:r>
                    <w:rPr>
                      <w:color w:val="auto"/>
                      <w:kern w:val="0"/>
                      <w:sz w:val="13"/>
                      <w:szCs w:val="13"/>
                      <w:lang w:bidi="ar"/>
                    </w:rPr>
                    <w:t>67.5</w:t>
                  </w:r>
                </w:p>
              </w:tc>
              <w:tc>
                <w:tcPr>
                  <w:tcW w:w="583" w:type="pct"/>
                  <w:vAlign w:val="center"/>
                </w:tcPr>
                <w:p>
                  <w:pPr>
                    <w:widowControl/>
                    <w:jc w:val="center"/>
                    <w:textAlignment w:val="center"/>
                    <w:rPr>
                      <w:color w:val="auto"/>
                      <w:sz w:val="13"/>
                      <w:szCs w:val="13"/>
                    </w:rPr>
                  </w:pPr>
                  <w:r>
                    <w:rPr>
                      <w:color w:val="auto"/>
                      <w:kern w:val="0"/>
                      <w:sz w:val="13"/>
                      <w:szCs w:val="13"/>
                      <w:lang w:bidi="ar"/>
                    </w:rPr>
                    <w:t>106.24</w:t>
                  </w:r>
                </w:p>
              </w:tc>
              <w:tc>
                <w:tcPr>
                  <w:tcW w:w="528" w:type="pct"/>
                  <w:vAlign w:val="center"/>
                </w:tcPr>
                <w:p>
                  <w:pPr>
                    <w:widowControl/>
                    <w:jc w:val="center"/>
                    <w:textAlignment w:val="center"/>
                    <w:rPr>
                      <w:color w:val="auto"/>
                      <w:sz w:val="13"/>
                      <w:szCs w:val="13"/>
                    </w:rPr>
                  </w:pPr>
                  <w:r>
                    <w:rPr>
                      <w:color w:val="auto"/>
                      <w:kern w:val="0"/>
                      <w:sz w:val="13"/>
                      <w:szCs w:val="13"/>
                      <w:lang w:bidi="ar"/>
                    </w:rPr>
                    <w:t>37.88</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37.88</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7</w:t>
                  </w:r>
                </w:p>
              </w:tc>
              <w:tc>
                <w:tcPr>
                  <w:tcW w:w="572" w:type="pct"/>
                  <w:vAlign w:val="center"/>
                </w:tcPr>
                <w:p>
                  <w:pPr>
                    <w:widowControl/>
                    <w:jc w:val="center"/>
                    <w:textAlignment w:val="center"/>
                    <w:rPr>
                      <w:color w:val="auto"/>
                      <w:sz w:val="13"/>
                      <w:szCs w:val="13"/>
                    </w:rPr>
                  </w:pPr>
                  <w:r>
                    <w:rPr>
                      <w:color w:val="auto"/>
                      <w:kern w:val="0"/>
                      <w:sz w:val="13"/>
                      <w:szCs w:val="13"/>
                      <w:lang w:bidi="ar"/>
                    </w:rPr>
                    <w:t>74.92</w:t>
                  </w:r>
                </w:p>
              </w:tc>
              <w:tc>
                <w:tcPr>
                  <w:tcW w:w="583" w:type="pct"/>
                  <w:vAlign w:val="center"/>
                </w:tcPr>
                <w:p>
                  <w:pPr>
                    <w:widowControl/>
                    <w:jc w:val="center"/>
                    <w:textAlignment w:val="center"/>
                    <w:rPr>
                      <w:color w:val="auto"/>
                      <w:sz w:val="13"/>
                      <w:szCs w:val="13"/>
                    </w:rPr>
                  </w:pPr>
                  <w:r>
                    <w:rPr>
                      <w:color w:val="auto"/>
                      <w:kern w:val="0"/>
                      <w:sz w:val="13"/>
                      <w:szCs w:val="13"/>
                      <w:lang w:bidi="ar"/>
                    </w:rPr>
                    <w:t>99.54</w:t>
                  </w:r>
                </w:p>
              </w:tc>
              <w:tc>
                <w:tcPr>
                  <w:tcW w:w="528" w:type="pct"/>
                  <w:vAlign w:val="center"/>
                </w:tcPr>
                <w:p>
                  <w:pPr>
                    <w:widowControl/>
                    <w:jc w:val="center"/>
                    <w:textAlignment w:val="center"/>
                    <w:rPr>
                      <w:color w:val="auto"/>
                      <w:sz w:val="13"/>
                      <w:szCs w:val="13"/>
                    </w:rPr>
                  </w:pPr>
                  <w:r>
                    <w:rPr>
                      <w:color w:val="auto"/>
                      <w:kern w:val="0"/>
                      <w:sz w:val="13"/>
                      <w:szCs w:val="13"/>
                      <w:lang w:bidi="ar"/>
                    </w:rPr>
                    <w:t>37.81</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37.81</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8</w:t>
                  </w:r>
                </w:p>
              </w:tc>
              <w:tc>
                <w:tcPr>
                  <w:tcW w:w="572" w:type="pct"/>
                  <w:vAlign w:val="center"/>
                </w:tcPr>
                <w:p>
                  <w:pPr>
                    <w:widowControl/>
                    <w:jc w:val="center"/>
                    <w:textAlignment w:val="center"/>
                    <w:rPr>
                      <w:color w:val="auto"/>
                      <w:sz w:val="13"/>
                      <w:szCs w:val="13"/>
                    </w:rPr>
                  </w:pPr>
                  <w:r>
                    <w:rPr>
                      <w:color w:val="auto"/>
                      <w:kern w:val="0"/>
                      <w:sz w:val="13"/>
                      <w:szCs w:val="13"/>
                      <w:lang w:bidi="ar"/>
                    </w:rPr>
                    <w:t>82.35</w:t>
                  </w:r>
                </w:p>
              </w:tc>
              <w:tc>
                <w:tcPr>
                  <w:tcW w:w="583" w:type="pct"/>
                  <w:vAlign w:val="center"/>
                </w:tcPr>
                <w:p>
                  <w:pPr>
                    <w:widowControl/>
                    <w:jc w:val="center"/>
                    <w:textAlignment w:val="center"/>
                    <w:rPr>
                      <w:color w:val="auto"/>
                      <w:sz w:val="13"/>
                      <w:szCs w:val="13"/>
                    </w:rPr>
                  </w:pPr>
                  <w:r>
                    <w:rPr>
                      <w:color w:val="auto"/>
                      <w:kern w:val="0"/>
                      <w:sz w:val="13"/>
                      <w:szCs w:val="13"/>
                      <w:lang w:bidi="ar"/>
                    </w:rPr>
                    <w:t>92.84</w:t>
                  </w:r>
                </w:p>
              </w:tc>
              <w:tc>
                <w:tcPr>
                  <w:tcW w:w="528" w:type="pct"/>
                  <w:vAlign w:val="center"/>
                </w:tcPr>
                <w:p>
                  <w:pPr>
                    <w:widowControl/>
                    <w:jc w:val="center"/>
                    <w:textAlignment w:val="center"/>
                    <w:rPr>
                      <w:color w:val="auto"/>
                      <w:sz w:val="13"/>
                      <w:szCs w:val="13"/>
                    </w:rPr>
                  </w:pPr>
                  <w:r>
                    <w:rPr>
                      <w:color w:val="auto"/>
                      <w:kern w:val="0"/>
                      <w:sz w:val="13"/>
                      <w:szCs w:val="13"/>
                      <w:lang w:bidi="ar"/>
                    </w:rPr>
                    <w:t>37.66</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37.66</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9</w:t>
                  </w:r>
                </w:p>
              </w:tc>
              <w:tc>
                <w:tcPr>
                  <w:tcW w:w="572" w:type="pct"/>
                  <w:vAlign w:val="center"/>
                </w:tcPr>
                <w:p>
                  <w:pPr>
                    <w:widowControl/>
                    <w:jc w:val="center"/>
                    <w:textAlignment w:val="center"/>
                    <w:rPr>
                      <w:color w:val="auto"/>
                      <w:sz w:val="13"/>
                      <w:szCs w:val="13"/>
                    </w:rPr>
                  </w:pPr>
                  <w:r>
                    <w:rPr>
                      <w:color w:val="auto"/>
                      <w:kern w:val="0"/>
                      <w:sz w:val="13"/>
                      <w:szCs w:val="13"/>
                      <w:lang w:bidi="ar"/>
                    </w:rPr>
                    <w:t>89.77</w:t>
                  </w:r>
                </w:p>
              </w:tc>
              <w:tc>
                <w:tcPr>
                  <w:tcW w:w="583" w:type="pct"/>
                  <w:vAlign w:val="center"/>
                </w:tcPr>
                <w:p>
                  <w:pPr>
                    <w:widowControl/>
                    <w:jc w:val="center"/>
                    <w:textAlignment w:val="center"/>
                    <w:rPr>
                      <w:color w:val="auto"/>
                      <w:sz w:val="13"/>
                      <w:szCs w:val="13"/>
                    </w:rPr>
                  </w:pPr>
                  <w:r>
                    <w:rPr>
                      <w:color w:val="auto"/>
                      <w:kern w:val="0"/>
                      <w:sz w:val="13"/>
                      <w:szCs w:val="13"/>
                      <w:lang w:bidi="ar"/>
                    </w:rPr>
                    <w:t>86.15</w:t>
                  </w:r>
                </w:p>
              </w:tc>
              <w:tc>
                <w:tcPr>
                  <w:tcW w:w="528" w:type="pct"/>
                  <w:vAlign w:val="center"/>
                </w:tcPr>
                <w:p>
                  <w:pPr>
                    <w:widowControl/>
                    <w:jc w:val="center"/>
                    <w:textAlignment w:val="center"/>
                    <w:rPr>
                      <w:color w:val="auto"/>
                      <w:sz w:val="13"/>
                      <w:szCs w:val="13"/>
                    </w:rPr>
                  </w:pPr>
                  <w:r>
                    <w:rPr>
                      <w:color w:val="auto"/>
                      <w:kern w:val="0"/>
                      <w:sz w:val="13"/>
                      <w:szCs w:val="13"/>
                      <w:lang w:bidi="ar"/>
                    </w:rPr>
                    <w:t>37.45</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37.45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10</w:t>
                  </w:r>
                </w:p>
              </w:tc>
              <w:tc>
                <w:tcPr>
                  <w:tcW w:w="572" w:type="pct"/>
                  <w:vAlign w:val="center"/>
                </w:tcPr>
                <w:p>
                  <w:pPr>
                    <w:widowControl/>
                    <w:jc w:val="center"/>
                    <w:textAlignment w:val="center"/>
                    <w:rPr>
                      <w:color w:val="auto"/>
                      <w:sz w:val="13"/>
                      <w:szCs w:val="13"/>
                    </w:rPr>
                  </w:pPr>
                  <w:r>
                    <w:rPr>
                      <w:color w:val="auto"/>
                      <w:kern w:val="0"/>
                      <w:sz w:val="13"/>
                      <w:szCs w:val="13"/>
                      <w:lang w:bidi="ar"/>
                    </w:rPr>
                    <w:t>97.2</w:t>
                  </w:r>
                </w:p>
              </w:tc>
              <w:tc>
                <w:tcPr>
                  <w:tcW w:w="583" w:type="pct"/>
                  <w:vAlign w:val="center"/>
                </w:tcPr>
                <w:p>
                  <w:pPr>
                    <w:widowControl/>
                    <w:jc w:val="center"/>
                    <w:textAlignment w:val="center"/>
                    <w:rPr>
                      <w:color w:val="auto"/>
                      <w:sz w:val="13"/>
                      <w:szCs w:val="13"/>
                    </w:rPr>
                  </w:pPr>
                  <w:r>
                    <w:rPr>
                      <w:color w:val="auto"/>
                      <w:kern w:val="0"/>
                      <w:sz w:val="13"/>
                      <w:szCs w:val="13"/>
                      <w:lang w:bidi="ar"/>
                    </w:rPr>
                    <w:t>79.45</w:t>
                  </w:r>
                </w:p>
              </w:tc>
              <w:tc>
                <w:tcPr>
                  <w:tcW w:w="528" w:type="pct"/>
                  <w:vAlign w:val="center"/>
                </w:tcPr>
                <w:p>
                  <w:pPr>
                    <w:widowControl/>
                    <w:jc w:val="center"/>
                    <w:textAlignment w:val="center"/>
                    <w:rPr>
                      <w:color w:val="auto"/>
                      <w:sz w:val="13"/>
                      <w:szCs w:val="13"/>
                    </w:rPr>
                  </w:pPr>
                  <w:r>
                    <w:rPr>
                      <w:color w:val="auto"/>
                      <w:kern w:val="0"/>
                      <w:sz w:val="13"/>
                      <w:szCs w:val="13"/>
                      <w:lang w:bidi="ar"/>
                    </w:rPr>
                    <w:t>37.18</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37.18</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11</w:t>
                  </w:r>
                </w:p>
              </w:tc>
              <w:tc>
                <w:tcPr>
                  <w:tcW w:w="572" w:type="pct"/>
                  <w:vAlign w:val="center"/>
                </w:tcPr>
                <w:p>
                  <w:pPr>
                    <w:widowControl/>
                    <w:jc w:val="center"/>
                    <w:textAlignment w:val="center"/>
                    <w:rPr>
                      <w:color w:val="auto"/>
                      <w:sz w:val="13"/>
                      <w:szCs w:val="13"/>
                    </w:rPr>
                  </w:pPr>
                  <w:r>
                    <w:rPr>
                      <w:color w:val="auto"/>
                      <w:kern w:val="0"/>
                      <w:sz w:val="13"/>
                      <w:szCs w:val="13"/>
                      <w:lang w:bidi="ar"/>
                    </w:rPr>
                    <w:t>104.63</w:t>
                  </w:r>
                </w:p>
              </w:tc>
              <w:tc>
                <w:tcPr>
                  <w:tcW w:w="583" w:type="pct"/>
                  <w:vAlign w:val="center"/>
                </w:tcPr>
                <w:p>
                  <w:pPr>
                    <w:widowControl/>
                    <w:jc w:val="center"/>
                    <w:textAlignment w:val="center"/>
                    <w:rPr>
                      <w:color w:val="auto"/>
                      <w:sz w:val="13"/>
                      <w:szCs w:val="13"/>
                    </w:rPr>
                  </w:pPr>
                  <w:r>
                    <w:rPr>
                      <w:color w:val="auto"/>
                      <w:kern w:val="0"/>
                      <w:sz w:val="13"/>
                      <w:szCs w:val="13"/>
                      <w:lang w:bidi="ar"/>
                    </w:rPr>
                    <w:t>72.75</w:t>
                  </w:r>
                </w:p>
              </w:tc>
              <w:tc>
                <w:tcPr>
                  <w:tcW w:w="528" w:type="pct"/>
                  <w:vAlign w:val="center"/>
                </w:tcPr>
                <w:p>
                  <w:pPr>
                    <w:widowControl/>
                    <w:jc w:val="center"/>
                    <w:textAlignment w:val="center"/>
                    <w:rPr>
                      <w:color w:val="auto"/>
                      <w:sz w:val="13"/>
                      <w:szCs w:val="13"/>
                    </w:rPr>
                  </w:pPr>
                  <w:r>
                    <w:rPr>
                      <w:color w:val="auto"/>
                      <w:kern w:val="0"/>
                      <w:sz w:val="13"/>
                      <w:szCs w:val="13"/>
                      <w:lang w:bidi="ar"/>
                    </w:rPr>
                    <w:t>36.86</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36.86</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12</w:t>
                  </w:r>
                </w:p>
              </w:tc>
              <w:tc>
                <w:tcPr>
                  <w:tcW w:w="572" w:type="pct"/>
                  <w:vAlign w:val="center"/>
                </w:tcPr>
                <w:p>
                  <w:pPr>
                    <w:widowControl/>
                    <w:jc w:val="center"/>
                    <w:textAlignment w:val="center"/>
                    <w:rPr>
                      <w:color w:val="auto"/>
                      <w:sz w:val="13"/>
                      <w:szCs w:val="13"/>
                    </w:rPr>
                  </w:pPr>
                  <w:r>
                    <w:rPr>
                      <w:color w:val="auto"/>
                      <w:kern w:val="0"/>
                      <w:sz w:val="13"/>
                      <w:szCs w:val="13"/>
                      <w:lang w:bidi="ar"/>
                    </w:rPr>
                    <w:t>112.05</w:t>
                  </w:r>
                </w:p>
              </w:tc>
              <w:tc>
                <w:tcPr>
                  <w:tcW w:w="583" w:type="pct"/>
                  <w:vAlign w:val="center"/>
                </w:tcPr>
                <w:p>
                  <w:pPr>
                    <w:widowControl/>
                    <w:jc w:val="center"/>
                    <w:textAlignment w:val="center"/>
                    <w:rPr>
                      <w:color w:val="auto"/>
                      <w:sz w:val="13"/>
                      <w:szCs w:val="13"/>
                    </w:rPr>
                  </w:pPr>
                  <w:r>
                    <w:rPr>
                      <w:color w:val="auto"/>
                      <w:kern w:val="0"/>
                      <w:sz w:val="13"/>
                      <w:szCs w:val="13"/>
                      <w:lang w:bidi="ar"/>
                    </w:rPr>
                    <w:t>66.05</w:t>
                  </w:r>
                </w:p>
              </w:tc>
              <w:tc>
                <w:tcPr>
                  <w:tcW w:w="528" w:type="pct"/>
                  <w:vAlign w:val="center"/>
                </w:tcPr>
                <w:p>
                  <w:pPr>
                    <w:widowControl/>
                    <w:jc w:val="center"/>
                    <w:textAlignment w:val="center"/>
                    <w:rPr>
                      <w:color w:val="auto"/>
                      <w:sz w:val="13"/>
                      <w:szCs w:val="13"/>
                    </w:rPr>
                  </w:pPr>
                  <w:r>
                    <w:rPr>
                      <w:color w:val="auto"/>
                      <w:kern w:val="0"/>
                      <w:sz w:val="13"/>
                      <w:szCs w:val="13"/>
                      <w:lang w:bidi="ar"/>
                    </w:rPr>
                    <w:t>36.51</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36.51</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13</w:t>
                  </w:r>
                </w:p>
              </w:tc>
              <w:tc>
                <w:tcPr>
                  <w:tcW w:w="572" w:type="pct"/>
                  <w:vAlign w:val="center"/>
                </w:tcPr>
                <w:p>
                  <w:pPr>
                    <w:widowControl/>
                    <w:jc w:val="center"/>
                    <w:textAlignment w:val="center"/>
                    <w:rPr>
                      <w:color w:val="auto"/>
                      <w:sz w:val="13"/>
                      <w:szCs w:val="13"/>
                    </w:rPr>
                  </w:pPr>
                  <w:r>
                    <w:rPr>
                      <w:color w:val="auto"/>
                      <w:kern w:val="0"/>
                      <w:sz w:val="13"/>
                      <w:szCs w:val="13"/>
                      <w:lang w:bidi="ar"/>
                    </w:rPr>
                    <w:t>119.48</w:t>
                  </w:r>
                </w:p>
              </w:tc>
              <w:tc>
                <w:tcPr>
                  <w:tcW w:w="583" w:type="pct"/>
                  <w:vAlign w:val="center"/>
                </w:tcPr>
                <w:p>
                  <w:pPr>
                    <w:widowControl/>
                    <w:jc w:val="center"/>
                    <w:textAlignment w:val="center"/>
                    <w:rPr>
                      <w:color w:val="auto"/>
                      <w:sz w:val="13"/>
                      <w:szCs w:val="13"/>
                    </w:rPr>
                  </w:pPr>
                  <w:r>
                    <w:rPr>
                      <w:color w:val="auto"/>
                      <w:kern w:val="0"/>
                      <w:sz w:val="13"/>
                      <w:szCs w:val="13"/>
                      <w:lang w:bidi="ar"/>
                    </w:rPr>
                    <w:t>59.36</w:t>
                  </w:r>
                </w:p>
              </w:tc>
              <w:tc>
                <w:tcPr>
                  <w:tcW w:w="528" w:type="pct"/>
                  <w:vAlign w:val="center"/>
                </w:tcPr>
                <w:p>
                  <w:pPr>
                    <w:widowControl/>
                    <w:jc w:val="center"/>
                    <w:textAlignment w:val="center"/>
                    <w:rPr>
                      <w:color w:val="auto"/>
                      <w:sz w:val="13"/>
                      <w:szCs w:val="13"/>
                    </w:rPr>
                  </w:pPr>
                  <w:r>
                    <w:rPr>
                      <w:color w:val="auto"/>
                      <w:kern w:val="0"/>
                      <w:sz w:val="13"/>
                      <w:szCs w:val="13"/>
                      <w:lang w:bidi="ar"/>
                    </w:rPr>
                    <w:t>36.13</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36.13</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14</w:t>
                  </w:r>
                </w:p>
              </w:tc>
              <w:tc>
                <w:tcPr>
                  <w:tcW w:w="572" w:type="pct"/>
                  <w:vAlign w:val="center"/>
                </w:tcPr>
                <w:p>
                  <w:pPr>
                    <w:widowControl/>
                    <w:jc w:val="center"/>
                    <w:textAlignment w:val="center"/>
                    <w:rPr>
                      <w:color w:val="auto"/>
                      <w:sz w:val="13"/>
                      <w:szCs w:val="13"/>
                    </w:rPr>
                  </w:pPr>
                  <w:r>
                    <w:rPr>
                      <w:color w:val="auto"/>
                      <w:kern w:val="0"/>
                      <w:sz w:val="13"/>
                      <w:szCs w:val="13"/>
                      <w:lang w:bidi="ar"/>
                    </w:rPr>
                    <w:t>126.9</w:t>
                  </w:r>
                </w:p>
              </w:tc>
              <w:tc>
                <w:tcPr>
                  <w:tcW w:w="583" w:type="pct"/>
                  <w:vAlign w:val="center"/>
                </w:tcPr>
                <w:p>
                  <w:pPr>
                    <w:widowControl/>
                    <w:jc w:val="center"/>
                    <w:textAlignment w:val="center"/>
                    <w:rPr>
                      <w:color w:val="auto"/>
                      <w:sz w:val="13"/>
                      <w:szCs w:val="13"/>
                    </w:rPr>
                  </w:pPr>
                  <w:r>
                    <w:rPr>
                      <w:color w:val="auto"/>
                      <w:kern w:val="0"/>
                      <w:sz w:val="13"/>
                      <w:szCs w:val="13"/>
                      <w:lang w:bidi="ar"/>
                    </w:rPr>
                    <w:t>52.66</w:t>
                  </w:r>
                </w:p>
              </w:tc>
              <w:tc>
                <w:tcPr>
                  <w:tcW w:w="528" w:type="pct"/>
                  <w:vAlign w:val="center"/>
                </w:tcPr>
                <w:p>
                  <w:pPr>
                    <w:widowControl/>
                    <w:jc w:val="center"/>
                    <w:textAlignment w:val="center"/>
                    <w:rPr>
                      <w:color w:val="auto"/>
                      <w:sz w:val="13"/>
                      <w:szCs w:val="13"/>
                    </w:rPr>
                  </w:pPr>
                  <w:r>
                    <w:rPr>
                      <w:color w:val="auto"/>
                      <w:kern w:val="0"/>
                      <w:sz w:val="13"/>
                      <w:szCs w:val="13"/>
                      <w:lang w:bidi="ar"/>
                    </w:rPr>
                    <w:t>35.73</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35.73</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15</w:t>
                  </w:r>
                </w:p>
              </w:tc>
              <w:tc>
                <w:tcPr>
                  <w:tcW w:w="572" w:type="pct"/>
                  <w:vAlign w:val="center"/>
                </w:tcPr>
                <w:p>
                  <w:pPr>
                    <w:widowControl/>
                    <w:jc w:val="center"/>
                    <w:textAlignment w:val="center"/>
                    <w:rPr>
                      <w:color w:val="auto"/>
                      <w:sz w:val="13"/>
                      <w:szCs w:val="13"/>
                    </w:rPr>
                  </w:pPr>
                  <w:r>
                    <w:rPr>
                      <w:color w:val="auto"/>
                      <w:kern w:val="0"/>
                      <w:sz w:val="13"/>
                      <w:szCs w:val="13"/>
                      <w:lang w:bidi="ar"/>
                    </w:rPr>
                    <w:t>134.33</w:t>
                  </w:r>
                </w:p>
              </w:tc>
              <w:tc>
                <w:tcPr>
                  <w:tcW w:w="583" w:type="pct"/>
                  <w:vAlign w:val="center"/>
                </w:tcPr>
                <w:p>
                  <w:pPr>
                    <w:widowControl/>
                    <w:jc w:val="center"/>
                    <w:textAlignment w:val="center"/>
                    <w:rPr>
                      <w:color w:val="auto"/>
                      <w:sz w:val="13"/>
                      <w:szCs w:val="13"/>
                    </w:rPr>
                  </w:pPr>
                  <w:r>
                    <w:rPr>
                      <w:color w:val="auto"/>
                      <w:kern w:val="0"/>
                      <w:sz w:val="13"/>
                      <w:szCs w:val="13"/>
                      <w:lang w:bidi="ar"/>
                    </w:rPr>
                    <w:t>45.96</w:t>
                  </w:r>
                </w:p>
              </w:tc>
              <w:tc>
                <w:tcPr>
                  <w:tcW w:w="528" w:type="pct"/>
                  <w:vAlign w:val="center"/>
                </w:tcPr>
                <w:p>
                  <w:pPr>
                    <w:widowControl/>
                    <w:jc w:val="center"/>
                    <w:textAlignment w:val="center"/>
                    <w:rPr>
                      <w:color w:val="auto"/>
                      <w:sz w:val="13"/>
                      <w:szCs w:val="13"/>
                    </w:rPr>
                  </w:pPr>
                  <w:r>
                    <w:rPr>
                      <w:color w:val="auto"/>
                      <w:kern w:val="0"/>
                      <w:sz w:val="13"/>
                      <w:szCs w:val="13"/>
                      <w:lang w:bidi="ar"/>
                    </w:rPr>
                    <w:t>35.31</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35.31</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16</w:t>
                  </w:r>
                </w:p>
              </w:tc>
              <w:tc>
                <w:tcPr>
                  <w:tcW w:w="572" w:type="pct"/>
                  <w:vAlign w:val="center"/>
                </w:tcPr>
                <w:p>
                  <w:pPr>
                    <w:widowControl/>
                    <w:jc w:val="center"/>
                    <w:textAlignment w:val="center"/>
                    <w:rPr>
                      <w:color w:val="auto"/>
                      <w:sz w:val="13"/>
                      <w:szCs w:val="13"/>
                    </w:rPr>
                  </w:pPr>
                  <w:r>
                    <w:rPr>
                      <w:color w:val="auto"/>
                      <w:kern w:val="0"/>
                      <w:sz w:val="13"/>
                      <w:szCs w:val="13"/>
                      <w:lang w:bidi="ar"/>
                    </w:rPr>
                    <w:t>138.75</w:t>
                  </w:r>
                </w:p>
              </w:tc>
              <w:tc>
                <w:tcPr>
                  <w:tcW w:w="583" w:type="pct"/>
                  <w:vAlign w:val="center"/>
                </w:tcPr>
                <w:p>
                  <w:pPr>
                    <w:widowControl/>
                    <w:jc w:val="center"/>
                    <w:textAlignment w:val="center"/>
                    <w:rPr>
                      <w:color w:val="auto"/>
                      <w:sz w:val="13"/>
                      <w:szCs w:val="13"/>
                    </w:rPr>
                  </w:pPr>
                  <w:r>
                    <w:rPr>
                      <w:color w:val="auto"/>
                      <w:kern w:val="0"/>
                      <w:sz w:val="13"/>
                      <w:szCs w:val="13"/>
                      <w:lang w:bidi="ar"/>
                    </w:rPr>
                    <w:t>41.97</w:t>
                  </w:r>
                </w:p>
              </w:tc>
              <w:tc>
                <w:tcPr>
                  <w:tcW w:w="528" w:type="pct"/>
                  <w:vAlign w:val="center"/>
                </w:tcPr>
                <w:p>
                  <w:pPr>
                    <w:widowControl/>
                    <w:jc w:val="center"/>
                    <w:textAlignment w:val="center"/>
                    <w:rPr>
                      <w:color w:val="auto"/>
                      <w:sz w:val="13"/>
                      <w:szCs w:val="13"/>
                    </w:rPr>
                  </w:pPr>
                  <w:r>
                    <w:rPr>
                      <w:color w:val="auto"/>
                      <w:kern w:val="0"/>
                      <w:sz w:val="13"/>
                      <w:szCs w:val="13"/>
                      <w:lang w:bidi="ar"/>
                    </w:rPr>
                    <w:t>35.06</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35.06</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17</w:t>
                  </w:r>
                </w:p>
              </w:tc>
              <w:tc>
                <w:tcPr>
                  <w:tcW w:w="572" w:type="pct"/>
                  <w:vAlign w:val="center"/>
                </w:tcPr>
                <w:p>
                  <w:pPr>
                    <w:widowControl/>
                    <w:jc w:val="center"/>
                    <w:textAlignment w:val="center"/>
                    <w:rPr>
                      <w:color w:val="auto"/>
                      <w:sz w:val="13"/>
                      <w:szCs w:val="13"/>
                    </w:rPr>
                  </w:pPr>
                  <w:r>
                    <w:rPr>
                      <w:color w:val="auto"/>
                      <w:kern w:val="0"/>
                      <w:sz w:val="13"/>
                      <w:szCs w:val="13"/>
                      <w:lang w:bidi="ar"/>
                    </w:rPr>
                    <w:t>132.18</w:t>
                  </w:r>
                </w:p>
              </w:tc>
              <w:tc>
                <w:tcPr>
                  <w:tcW w:w="583" w:type="pct"/>
                  <w:vAlign w:val="center"/>
                </w:tcPr>
                <w:p>
                  <w:pPr>
                    <w:widowControl/>
                    <w:jc w:val="center"/>
                    <w:textAlignment w:val="center"/>
                    <w:rPr>
                      <w:color w:val="auto"/>
                      <w:sz w:val="13"/>
                      <w:szCs w:val="13"/>
                    </w:rPr>
                  </w:pPr>
                  <w:r>
                    <w:rPr>
                      <w:color w:val="auto"/>
                      <w:kern w:val="0"/>
                      <w:sz w:val="13"/>
                      <w:szCs w:val="13"/>
                      <w:lang w:bidi="ar"/>
                    </w:rPr>
                    <w:t>34.43</w:t>
                  </w:r>
                </w:p>
              </w:tc>
              <w:tc>
                <w:tcPr>
                  <w:tcW w:w="528" w:type="pct"/>
                  <w:vAlign w:val="center"/>
                </w:tcPr>
                <w:p>
                  <w:pPr>
                    <w:widowControl/>
                    <w:jc w:val="center"/>
                    <w:textAlignment w:val="center"/>
                    <w:rPr>
                      <w:color w:val="auto"/>
                      <w:sz w:val="13"/>
                      <w:szCs w:val="13"/>
                    </w:rPr>
                  </w:pPr>
                  <w:r>
                    <w:rPr>
                      <w:color w:val="auto"/>
                      <w:kern w:val="0"/>
                      <w:sz w:val="13"/>
                      <w:szCs w:val="13"/>
                      <w:lang w:bidi="ar"/>
                    </w:rPr>
                    <w:t>35.52</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35.52</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18</w:t>
                  </w:r>
                </w:p>
              </w:tc>
              <w:tc>
                <w:tcPr>
                  <w:tcW w:w="572" w:type="pct"/>
                  <w:vAlign w:val="center"/>
                </w:tcPr>
                <w:p>
                  <w:pPr>
                    <w:widowControl/>
                    <w:jc w:val="center"/>
                    <w:textAlignment w:val="center"/>
                    <w:rPr>
                      <w:color w:val="auto"/>
                      <w:sz w:val="13"/>
                      <w:szCs w:val="13"/>
                    </w:rPr>
                  </w:pPr>
                  <w:r>
                    <w:rPr>
                      <w:color w:val="auto"/>
                      <w:kern w:val="0"/>
                      <w:sz w:val="13"/>
                      <w:szCs w:val="13"/>
                      <w:lang w:bidi="ar"/>
                    </w:rPr>
                    <w:t>125.62</w:t>
                  </w:r>
                </w:p>
              </w:tc>
              <w:tc>
                <w:tcPr>
                  <w:tcW w:w="583" w:type="pct"/>
                  <w:vAlign w:val="center"/>
                </w:tcPr>
                <w:p>
                  <w:pPr>
                    <w:widowControl/>
                    <w:jc w:val="center"/>
                    <w:textAlignment w:val="center"/>
                    <w:rPr>
                      <w:color w:val="auto"/>
                      <w:sz w:val="13"/>
                      <w:szCs w:val="13"/>
                    </w:rPr>
                  </w:pPr>
                  <w:r>
                    <w:rPr>
                      <w:color w:val="auto"/>
                      <w:kern w:val="0"/>
                      <w:sz w:val="13"/>
                      <w:szCs w:val="13"/>
                      <w:lang w:bidi="ar"/>
                    </w:rPr>
                    <w:t>26.88</w:t>
                  </w:r>
                </w:p>
              </w:tc>
              <w:tc>
                <w:tcPr>
                  <w:tcW w:w="528" w:type="pct"/>
                  <w:vAlign w:val="center"/>
                </w:tcPr>
                <w:p>
                  <w:pPr>
                    <w:widowControl/>
                    <w:jc w:val="center"/>
                    <w:textAlignment w:val="center"/>
                    <w:rPr>
                      <w:color w:val="auto"/>
                      <w:sz w:val="13"/>
                      <w:szCs w:val="13"/>
                    </w:rPr>
                  </w:pPr>
                  <w:r>
                    <w:rPr>
                      <w:color w:val="auto"/>
                      <w:kern w:val="0"/>
                      <w:sz w:val="13"/>
                      <w:szCs w:val="13"/>
                      <w:lang w:bidi="ar"/>
                    </w:rPr>
                    <w:t>35.98</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35.98</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19</w:t>
                  </w:r>
                </w:p>
              </w:tc>
              <w:tc>
                <w:tcPr>
                  <w:tcW w:w="572" w:type="pct"/>
                  <w:vAlign w:val="center"/>
                </w:tcPr>
                <w:p>
                  <w:pPr>
                    <w:widowControl/>
                    <w:jc w:val="center"/>
                    <w:textAlignment w:val="center"/>
                    <w:rPr>
                      <w:color w:val="auto"/>
                      <w:sz w:val="13"/>
                      <w:szCs w:val="13"/>
                    </w:rPr>
                  </w:pPr>
                  <w:r>
                    <w:rPr>
                      <w:color w:val="auto"/>
                      <w:kern w:val="0"/>
                      <w:sz w:val="13"/>
                      <w:szCs w:val="13"/>
                      <w:lang w:bidi="ar"/>
                    </w:rPr>
                    <w:t>119.05</w:t>
                  </w:r>
                </w:p>
              </w:tc>
              <w:tc>
                <w:tcPr>
                  <w:tcW w:w="583" w:type="pct"/>
                  <w:vAlign w:val="center"/>
                </w:tcPr>
                <w:p>
                  <w:pPr>
                    <w:widowControl/>
                    <w:jc w:val="center"/>
                    <w:textAlignment w:val="center"/>
                    <w:rPr>
                      <w:color w:val="auto"/>
                      <w:sz w:val="13"/>
                      <w:szCs w:val="13"/>
                    </w:rPr>
                  </w:pPr>
                  <w:r>
                    <w:rPr>
                      <w:color w:val="auto"/>
                      <w:kern w:val="0"/>
                      <w:sz w:val="13"/>
                      <w:szCs w:val="13"/>
                      <w:lang w:bidi="ar"/>
                    </w:rPr>
                    <w:t>19.34</w:t>
                  </w:r>
                </w:p>
              </w:tc>
              <w:tc>
                <w:tcPr>
                  <w:tcW w:w="528" w:type="pct"/>
                  <w:vAlign w:val="center"/>
                </w:tcPr>
                <w:p>
                  <w:pPr>
                    <w:widowControl/>
                    <w:jc w:val="center"/>
                    <w:textAlignment w:val="center"/>
                    <w:rPr>
                      <w:color w:val="auto"/>
                      <w:sz w:val="13"/>
                      <w:szCs w:val="13"/>
                    </w:rPr>
                  </w:pPr>
                  <w:r>
                    <w:rPr>
                      <w:color w:val="auto"/>
                      <w:kern w:val="0"/>
                      <w:sz w:val="13"/>
                      <w:szCs w:val="13"/>
                      <w:lang w:bidi="ar"/>
                    </w:rPr>
                    <w:t>36.44</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36.44</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20</w:t>
                  </w:r>
                </w:p>
              </w:tc>
              <w:tc>
                <w:tcPr>
                  <w:tcW w:w="572" w:type="pct"/>
                  <w:vAlign w:val="center"/>
                </w:tcPr>
                <w:p>
                  <w:pPr>
                    <w:widowControl/>
                    <w:jc w:val="center"/>
                    <w:textAlignment w:val="center"/>
                    <w:rPr>
                      <w:color w:val="auto"/>
                      <w:sz w:val="13"/>
                      <w:szCs w:val="13"/>
                    </w:rPr>
                  </w:pPr>
                  <w:r>
                    <w:rPr>
                      <w:color w:val="auto"/>
                      <w:kern w:val="0"/>
                      <w:sz w:val="13"/>
                      <w:szCs w:val="13"/>
                      <w:lang w:bidi="ar"/>
                    </w:rPr>
                    <w:t>112.49</w:t>
                  </w:r>
                </w:p>
              </w:tc>
              <w:tc>
                <w:tcPr>
                  <w:tcW w:w="583" w:type="pct"/>
                  <w:vAlign w:val="center"/>
                </w:tcPr>
                <w:p>
                  <w:pPr>
                    <w:widowControl/>
                    <w:jc w:val="center"/>
                    <w:textAlignment w:val="center"/>
                    <w:rPr>
                      <w:color w:val="auto"/>
                      <w:sz w:val="13"/>
                      <w:szCs w:val="13"/>
                    </w:rPr>
                  </w:pPr>
                  <w:r>
                    <w:rPr>
                      <w:color w:val="auto"/>
                      <w:kern w:val="0"/>
                      <w:sz w:val="13"/>
                      <w:szCs w:val="13"/>
                      <w:lang w:bidi="ar"/>
                    </w:rPr>
                    <w:t>11.8</w:t>
                  </w:r>
                </w:p>
              </w:tc>
              <w:tc>
                <w:tcPr>
                  <w:tcW w:w="528" w:type="pct"/>
                  <w:vAlign w:val="center"/>
                </w:tcPr>
                <w:p>
                  <w:pPr>
                    <w:widowControl/>
                    <w:jc w:val="center"/>
                    <w:textAlignment w:val="center"/>
                    <w:rPr>
                      <w:color w:val="auto"/>
                      <w:sz w:val="13"/>
                      <w:szCs w:val="13"/>
                    </w:rPr>
                  </w:pPr>
                  <w:r>
                    <w:rPr>
                      <w:color w:val="auto"/>
                      <w:kern w:val="0"/>
                      <w:sz w:val="13"/>
                      <w:szCs w:val="13"/>
                      <w:lang w:bidi="ar"/>
                    </w:rPr>
                    <w:t>36.88</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36.88</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21</w:t>
                  </w:r>
                </w:p>
              </w:tc>
              <w:tc>
                <w:tcPr>
                  <w:tcW w:w="572" w:type="pct"/>
                  <w:vAlign w:val="center"/>
                </w:tcPr>
                <w:p>
                  <w:pPr>
                    <w:widowControl/>
                    <w:jc w:val="center"/>
                    <w:textAlignment w:val="center"/>
                    <w:rPr>
                      <w:color w:val="auto"/>
                      <w:sz w:val="13"/>
                      <w:szCs w:val="13"/>
                    </w:rPr>
                  </w:pPr>
                  <w:r>
                    <w:rPr>
                      <w:color w:val="auto"/>
                      <w:kern w:val="0"/>
                      <w:sz w:val="13"/>
                      <w:szCs w:val="13"/>
                      <w:lang w:bidi="ar"/>
                    </w:rPr>
                    <w:t>105.92</w:t>
                  </w:r>
                </w:p>
              </w:tc>
              <w:tc>
                <w:tcPr>
                  <w:tcW w:w="583" w:type="pct"/>
                  <w:vAlign w:val="center"/>
                </w:tcPr>
                <w:p>
                  <w:pPr>
                    <w:widowControl/>
                    <w:jc w:val="center"/>
                    <w:textAlignment w:val="center"/>
                    <w:rPr>
                      <w:color w:val="auto"/>
                      <w:sz w:val="13"/>
                      <w:szCs w:val="13"/>
                    </w:rPr>
                  </w:pPr>
                  <w:r>
                    <w:rPr>
                      <w:color w:val="auto"/>
                      <w:kern w:val="0"/>
                      <w:sz w:val="13"/>
                      <w:szCs w:val="13"/>
                      <w:lang w:bidi="ar"/>
                    </w:rPr>
                    <w:t>4.25</w:t>
                  </w:r>
                </w:p>
              </w:tc>
              <w:tc>
                <w:tcPr>
                  <w:tcW w:w="528" w:type="pct"/>
                  <w:vAlign w:val="center"/>
                </w:tcPr>
                <w:p>
                  <w:pPr>
                    <w:widowControl/>
                    <w:jc w:val="center"/>
                    <w:textAlignment w:val="center"/>
                    <w:rPr>
                      <w:color w:val="auto"/>
                      <w:sz w:val="13"/>
                      <w:szCs w:val="13"/>
                    </w:rPr>
                  </w:pPr>
                  <w:r>
                    <w:rPr>
                      <w:color w:val="auto"/>
                      <w:kern w:val="0"/>
                      <w:sz w:val="13"/>
                      <w:szCs w:val="13"/>
                      <w:lang w:bidi="ar"/>
                    </w:rPr>
                    <w:t>37.3</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37.3</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22</w:t>
                  </w:r>
                </w:p>
              </w:tc>
              <w:tc>
                <w:tcPr>
                  <w:tcW w:w="572" w:type="pct"/>
                  <w:vAlign w:val="center"/>
                </w:tcPr>
                <w:p>
                  <w:pPr>
                    <w:widowControl/>
                    <w:jc w:val="center"/>
                    <w:textAlignment w:val="center"/>
                    <w:rPr>
                      <w:color w:val="auto"/>
                      <w:sz w:val="13"/>
                      <w:szCs w:val="13"/>
                    </w:rPr>
                  </w:pPr>
                  <w:r>
                    <w:rPr>
                      <w:color w:val="auto"/>
                      <w:kern w:val="0"/>
                      <w:sz w:val="13"/>
                      <w:szCs w:val="13"/>
                      <w:lang w:bidi="ar"/>
                    </w:rPr>
                    <w:t>99.36</w:t>
                  </w:r>
                </w:p>
              </w:tc>
              <w:tc>
                <w:tcPr>
                  <w:tcW w:w="583" w:type="pct"/>
                  <w:vAlign w:val="center"/>
                </w:tcPr>
                <w:p>
                  <w:pPr>
                    <w:widowControl/>
                    <w:jc w:val="center"/>
                    <w:textAlignment w:val="center"/>
                    <w:rPr>
                      <w:color w:val="auto"/>
                      <w:sz w:val="13"/>
                      <w:szCs w:val="13"/>
                    </w:rPr>
                  </w:pPr>
                  <w:r>
                    <w:rPr>
                      <w:color w:val="auto"/>
                      <w:kern w:val="0"/>
                      <w:sz w:val="13"/>
                      <w:szCs w:val="13"/>
                      <w:lang w:bidi="ar"/>
                    </w:rPr>
                    <w:t>-3.29</w:t>
                  </w:r>
                </w:p>
              </w:tc>
              <w:tc>
                <w:tcPr>
                  <w:tcW w:w="528" w:type="pct"/>
                  <w:vAlign w:val="center"/>
                </w:tcPr>
                <w:p>
                  <w:pPr>
                    <w:widowControl/>
                    <w:jc w:val="center"/>
                    <w:textAlignment w:val="center"/>
                    <w:rPr>
                      <w:color w:val="auto"/>
                      <w:sz w:val="13"/>
                      <w:szCs w:val="13"/>
                    </w:rPr>
                  </w:pPr>
                  <w:r>
                    <w:rPr>
                      <w:color w:val="auto"/>
                      <w:kern w:val="0"/>
                      <w:sz w:val="13"/>
                      <w:szCs w:val="13"/>
                      <w:lang w:bidi="ar"/>
                    </w:rPr>
                    <w:t>37.68</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37.68</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23</w:t>
                  </w:r>
                </w:p>
              </w:tc>
              <w:tc>
                <w:tcPr>
                  <w:tcW w:w="572" w:type="pct"/>
                  <w:vAlign w:val="center"/>
                </w:tcPr>
                <w:p>
                  <w:pPr>
                    <w:widowControl/>
                    <w:jc w:val="center"/>
                    <w:textAlignment w:val="center"/>
                    <w:rPr>
                      <w:color w:val="auto"/>
                      <w:sz w:val="13"/>
                      <w:szCs w:val="13"/>
                    </w:rPr>
                  </w:pPr>
                  <w:r>
                    <w:rPr>
                      <w:color w:val="auto"/>
                      <w:kern w:val="0"/>
                      <w:sz w:val="13"/>
                      <w:szCs w:val="13"/>
                      <w:lang w:bidi="ar"/>
                    </w:rPr>
                    <w:t>92.79</w:t>
                  </w:r>
                </w:p>
              </w:tc>
              <w:tc>
                <w:tcPr>
                  <w:tcW w:w="583" w:type="pct"/>
                  <w:vAlign w:val="center"/>
                </w:tcPr>
                <w:p>
                  <w:pPr>
                    <w:widowControl/>
                    <w:jc w:val="center"/>
                    <w:textAlignment w:val="center"/>
                    <w:rPr>
                      <w:color w:val="auto"/>
                      <w:sz w:val="13"/>
                      <w:szCs w:val="13"/>
                    </w:rPr>
                  </w:pPr>
                  <w:r>
                    <w:rPr>
                      <w:color w:val="auto"/>
                      <w:kern w:val="0"/>
                      <w:sz w:val="13"/>
                      <w:szCs w:val="13"/>
                      <w:lang w:bidi="ar"/>
                    </w:rPr>
                    <w:t>-10.83</w:t>
                  </w:r>
                </w:p>
              </w:tc>
              <w:tc>
                <w:tcPr>
                  <w:tcW w:w="528" w:type="pct"/>
                  <w:vAlign w:val="center"/>
                </w:tcPr>
                <w:p>
                  <w:pPr>
                    <w:widowControl/>
                    <w:jc w:val="center"/>
                    <w:textAlignment w:val="center"/>
                    <w:rPr>
                      <w:color w:val="auto"/>
                      <w:sz w:val="13"/>
                      <w:szCs w:val="13"/>
                    </w:rPr>
                  </w:pPr>
                  <w:r>
                    <w:rPr>
                      <w:color w:val="auto"/>
                      <w:kern w:val="0"/>
                      <w:sz w:val="13"/>
                      <w:szCs w:val="13"/>
                      <w:lang w:bidi="ar"/>
                    </w:rPr>
                    <w:t>38.03</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38.03</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24</w:t>
                  </w:r>
                </w:p>
              </w:tc>
              <w:tc>
                <w:tcPr>
                  <w:tcW w:w="572" w:type="pct"/>
                  <w:vAlign w:val="center"/>
                </w:tcPr>
                <w:p>
                  <w:pPr>
                    <w:widowControl/>
                    <w:jc w:val="center"/>
                    <w:textAlignment w:val="center"/>
                    <w:rPr>
                      <w:color w:val="auto"/>
                      <w:sz w:val="13"/>
                      <w:szCs w:val="13"/>
                    </w:rPr>
                  </w:pPr>
                  <w:r>
                    <w:rPr>
                      <w:color w:val="auto"/>
                      <w:kern w:val="0"/>
                      <w:sz w:val="13"/>
                      <w:szCs w:val="13"/>
                      <w:lang w:bidi="ar"/>
                    </w:rPr>
                    <w:t>86.23</w:t>
                  </w:r>
                </w:p>
              </w:tc>
              <w:tc>
                <w:tcPr>
                  <w:tcW w:w="583" w:type="pct"/>
                  <w:vAlign w:val="center"/>
                </w:tcPr>
                <w:p>
                  <w:pPr>
                    <w:widowControl/>
                    <w:jc w:val="center"/>
                    <w:textAlignment w:val="center"/>
                    <w:rPr>
                      <w:color w:val="auto"/>
                      <w:sz w:val="13"/>
                      <w:szCs w:val="13"/>
                    </w:rPr>
                  </w:pPr>
                  <w:r>
                    <w:rPr>
                      <w:color w:val="auto"/>
                      <w:kern w:val="0"/>
                      <w:sz w:val="13"/>
                      <w:szCs w:val="13"/>
                      <w:lang w:bidi="ar"/>
                    </w:rPr>
                    <w:t>-18.38</w:t>
                  </w:r>
                </w:p>
              </w:tc>
              <w:tc>
                <w:tcPr>
                  <w:tcW w:w="528" w:type="pct"/>
                  <w:vAlign w:val="center"/>
                </w:tcPr>
                <w:p>
                  <w:pPr>
                    <w:widowControl/>
                    <w:jc w:val="center"/>
                    <w:textAlignment w:val="center"/>
                    <w:rPr>
                      <w:color w:val="auto"/>
                      <w:sz w:val="13"/>
                      <w:szCs w:val="13"/>
                    </w:rPr>
                  </w:pPr>
                  <w:r>
                    <w:rPr>
                      <w:color w:val="auto"/>
                      <w:kern w:val="0"/>
                      <w:sz w:val="13"/>
                      <w:szCs w:val="13"/>
                      <w:lang w:bidi="ar"/>
                    </w:rPr>
                    <w:t>38.33</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38.33</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25</w:t>
                  </w:r>
                </w:p>
              </w:tc>
              <w:tc>
                <w:tcPr>
                  <w:tcW w:w="572" w:type="pct"/>
                  <w:vAlign w:val="center"/>
                </w:tcPr>
                <w:p>
                  <w:pPr>
                    <w:widowControl/>
                    <w:jc w:val="center"/>
                    <w:textAlignment w:val="center"/>
                    <w:rPr>
                      <w:color w:val="auto"/>
                      <w:sz w:val="13"/>
                      <w:szCs w:val="13"/>
                    </w:rPr>
                  </w:pPr>
                  <w:r>
                    <w:rPr>
                      <w:color w:val="auto"/>
                      <w:kern w:val="0"/>
                      <w:sz w:val="13"/>
                      <w:szCs w:val="13"/>
                      <w:lang w:bidi="ar"/>
                    </w:rPr>
                    <w:t>79.66</w:t>
                  </w:r>
                </w:p>
              </w:tc>
              <w:tc>
                <w:tcPr>
                  <w:tcW w:w="583" w:type="pct"/>
                  <w:vAlign w:val="center"/>
                </w:tcPr>
                <w:p>
                  <w:pPr>
                    <w:widowControl/>
                    <w:jc w:val="center"/>
                    <w:textAlignment w:val="center"/>
                    <w:rPr>
                      <w:color w:val="auto"/>
                      <w:sz w:val="13"/>
                      <w:szCs w:val="13"/>
                    </w:rPr>
                  </w:pPr>
                  <w:r>
                    <w:rPr>
                      <w:color w:val="auto"/>
                      <w:kern w:val="0"/>
                      <w:sz w:val="13"/>
                      <w:szCs w:val="13"/>
                      <w:lang w:bidi="ar"/>
                    </w:rPr>
                    <w:t>-25.92</w:t>
                  </w:r>
                </w:p>
              </w:tc>
              <w:tc>
                <w:tcPr>
                  <w:tcW w:w="528" w:type="pct"/>
                  <w:vAlign w:val="center"/>
                </w:tcPr>
                <w:p>
                  <w:pPr>
                    <w:widowControl/>
                    <w:jc w:val="center"/>
                    <w:textAlignment w:val="center"/>
                    <w:rPr>
                      <w:color w:val="auto"/>
                      <w:sz w:val="13"/>
                      <w:szCs w:val="13"/>
                    </w:rPr>
                  </w:pPr>
                  <w:r>
                    <w:rPr>
                      <w:color w:val="auto"/>
                      <w:kern w:val="0"/>
                      <w:sz w:val="13"/>
                      <w:szCs w:val="13"/>
                      <w:lang w:bidi="ar"/>
                    </w:rPr>
                    <w:t>38.59</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38.59</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26</w:t>
                  </w:r>
                </w:p>
              </w:tc>
              <w:tc>
                <w:tcPr>
                  <w:tcW w:w="572" w:type="pct"/>
                  <w:vAlign w:val="center"/>
                </w:tcPr>
                <w:p>
                  <w:pPr>
                    <w:widowControl/>
                    <w:jc w:val="center"/>
                    <w:textAlignment w:val="center"/>
                    <w:rPr>
                      <w:color w:val="auto"/>
                      <w:sz w:val="13"/>
                      <w:szCs w:val="13"/>
                    </w:rPr>
                  </w:pPr>
                  <w:r>
                    <w:rPr>
                      <w:color w:val="auto"/>
                      <w:kern w:val="0"/>
                      <w:sz w:val="13"/>
                      <w:szCs w:val="13"/>
                      <w:lang w:bidi="ar"/>
                    </w:rPr>
                    <w:t>73.1</w:t>
                  </w:r>
                </w:p>
              </w:tc>
              <w:tc>
                <w:tcPr>
                  <w:tcW w:w="583" w:type="pct"/>
                  <w:vAlign w:val="center"/>
                </w:tcPr>
                <w:p>
                  <w:pPr>
                    <w:widowControl/>
                    <w:jc w:val="center"/>
                    <w:textAlignment w:val="center"/>
                    <w:rPr>
                      <w:color w:val="auto"/>
                      <w:sz w:val="13"/>
                      <w:szCs w:val="13"/>
                    </w:rPr>
                  </w:pPr>
                  <w:r>
                    <w:rPr>
                      <w:color w:val="auto"/>
                      <w:kern w:val="0"/>
                      <w:sz w:val="13"/>
                      <w:szCs w:val="13"/>
                      <w:lang w:bidi="ar"/>
                    </w:rPr>
                    <w:t>-33.46</w:t>
                  </w:r>
                </w:p>
              </w:tc>
              <w:tc>
                <w:tcPr>
                  <w:tcW w:w="528" w:type="pct"/>
                  <w:vAlign w:val="center"/>
                </w:tcPr>
                <w:p>
                  <w:pPr>
                    <w:widowControl/>
                    <w:jc w:val="center"/>
                    <w:textAlignment w:val="center"/>
                    <w:rPr>
                      <w:color w:val="auto"/>
                      <w:sz w:val="13"/>
                      <w:szCs w:val="13"/>
                    </w:rPr>
                  </w:pPr>
                  <w:r>
                    <w:rPr>
                      <w:color w:val="auto"/>
                      <w:kern w:val="0"/>
                      <w:sz w:val="13"/>
                      <w:szCs w:val="13"/>
                      <w:lang w:bidi="ar"/>
                    </w:rPr>
                    <w:t>38.98</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38.98</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27</w:t>
                  </w:r>
                </w:p>
              </w:tc>
              <w:tc>
                <w:tcPr>
                  <w:tcW w:w="572" w:type="pct"/>
                  <w:vAlign w:val="center"/>
                </w:tcPr>
                <w:p>
                  <w:pPr>
                    <w:widowControl/>
                    <w:jc w:val="center"/>
                    <w:textAlignment w:val="center"/>
                    <w:rPr>
                      <w:color w:val="auto"/>
                      <w:sz w:val="13"/>
                      <w:szCs w:val="13"/>
                    </w:rPr>
                  </w:pPr>
                  <w:r>
                    <w:rPr>
                      <w:color w:val="auto"/>
                      <w:kern w:val="0"/>
                      <w:sz w:val="13"/>
                      <w:szCs w:val="13"/>
                      <w:lang w:bidi="ar"/>
                    </w:rPr>
                    <w:t>66.53</w:t>
                  </w:r>
                </w:p>
              </w:tc>
              <w:tc>
                <w:tcPr>
                  <w:tcW w:w="583" w:type="pct"/>
                  <w:vAlign w:val="center"/>
                </w:tcPr>
                <w:p>
                  <w:pPr>
                    <w:widowControl/>
                    <w:jc w:val="center"/>
                    <w:textAlignment w:val="center"/>
                    <w:rPr>
                      <w:color w:val="auto"/>
                      <w:sz w:val="13"/>
                      <w:szCs w:val="13"/>
                    </w:rPr>
                  </w:pPr>
                  <w:r>
                    <w:rPr>
                      <w:color w:val="auto"/>
                      <w:kern w:val="0"/>
                      <w:sz w:val="13"/>
                      <w:szCs w:val="13"/>
                      <w:lang w:bidi="ar"/>
                    </w:rPr>
                    <w:t>-41</w:t>
                  </w:r>
                </w:p>
              </w:tc>
              <w:tc>
                <w:tcPr>
                  <w:tcW w:w="528" w:type="pct"/>
                  <w:vAlign w:val="center"/>
                </w:tcPr>
                <w:p>
                  <w:pPr>
                    <w:widowControl/>
                    <w:jc w:val="center"/>
                    <w:textAlignment w:val="center"/>
                    <w:rPr>
                      <w:color w:val="auto"/>
                      <w:sz w:val="13"/>
                      <w:szCs w:val="13"/>
                    </w:rPr>
                  </w:pPr>
                  <w:r>
                    <w:rPr>
                      <w:color w:val="auto"/>
                      <w:kern w:val="0"/>
                      <w:sz w:val="13"/>
                      <w:szCs w:val="13"/>
                      <w:lang w:bidi="ar"/>
                    </w:rPr>
                    <w:t>39.59</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39.59</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28</w:t>
                  </w:r>
                </w:p>
              </w:tc>
              <w:tc>
                <w:tcPr>
                  <w:tcW w:w="572" w:type="pct"/>
                  <w:vAlign w:val="center"/>
                </w:tcPr>
                <w:p>
                  <w:pPr>
                    <w:widowControl/>
                    <w:jc w:val="center"/>
                    <w:textAlignment w:val="center"/>
                    <w:rPr>
                      <w:color w:val="auto"/>
                      <w:sz w:val="13"/>
                      <w:szCs w:val="13"/>
                    </w:rPr>
                  </w:pPr>
                  <w:r>
                    <w:rPr>
                      <w:color w:val="auto"/>
                      <w:kern w:val="0"/>
                      <w:sz w:val="13"/>
                      <w:szCs w:val="13"/>
                      <w:lang w:bidi="ar"/>
                    </w:rPr>
                    <w:t>59.97</w:t>
                  </w:r>
                </w:p>
              </w:tc>
              <w:tc>
                <w:tcPr>
                  <w:tcW w:w="583" w:type="pct"/>
                  <w:vAlign w:val="center"/>
                </w:tcPr>
                <w:p>
                  <w:pPr>
                    <w:widowControl/>
                    <w:jc w:val="center"/>
                    <w:textAlignment w:val="center"/>
                    <w:rPr>
                      <w:color w:val="auto"/>
                      <w:sz w:val="13"/>
                      <w:szCs w:val="13"/>
                    </w:rPr>
                  </w:pPr>
                  <w:r>
                    <w:rPr>
                      <w:color w:val="auto"/>
                      <w:kern w:val="0"/>
                      <w:sz w:val="13"/>
                      <w:szCs w:val="13"/>
                      <w:lang w:bidi="ar"/>
                    </w:rPr>
                    <w:t>-48.55</w:t>
                  </w:r>
                </w:p>
              </w:tc>
              <w:tc>
                <w:tcPr>
                  <w:tcW w:w="528" w:type="pct"/>
                  <w:vAlign w:val="center"/>
                </w:tcPr>
                <w:p>
                  <w:pPr>
                    <w:widowControl/>
                    <w:jc w:val="center"/>
                    <w:textAlignment w:val="center"/>
                    <w:rPr>
                      <w:color w:val="auto"/>
                      <w:sz w:val="13"/>
                      <w:szCs w:val="13"/>
                    </w:rPr>
                  </w:pPr>
                  <w:r>
                    <w:rPr>
                      <w:color w:val="auto"/>
                      <w:kern w:val="0"/>
                      <w:sz w:val="13"/>
                      <w:szCs w:val="13"/>
                      <w:lang w:bidi="ar"/>
                    </w:rPr>
                    <w:t>39.28</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39.28</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29</w:t>
                  </w:r>
                </w:p>
              </w:tc>
              <w:tc>
                <w:tcPr>
                  <w:tcW w:w="572" w:type="pct"/>
                  <w:vAlign w:val="center"/>
                </w:tcPr>
                <w:p>
                  <w:pPr>
                    <w:widowControl/>
                    <w:jc w:val="center"/>
                    <w:textAlignment w:val="center"/>
                    <w:rPr>
                      <w:color w:val="auto"/>
                      <w:sz w:val="13"/>
                      <w:szCs w:val="13"/>
                    </w:rPr>
                  </w:pPr>
                  <w:r>
                    <w:rPr>
                      <w:color w:val="auto"/>
                      <w:kern w:val="0"/>
                      <w:sz w:val="13"/>
                      <w:szCs w:val="13"/>
                      <w:lang w:bidi="ar"/>
                    </w:rPr>
                    <w:t>53.4</w:t>
                  </w:r>
                </w:p>
              </w:tc>
              <w:tc>
                <w:tcPr>
                  <w:tcW w:w="583" w:type="pct"/>
                  <w:vAlign w:val="center"/>
                </w:tcPr>
                <w:p>
                  <w:pPr>
                    <w:widowControl/>
                    <w:jc w:val="center"/>
                    <w:textAlignment w:val="center"/>
                    <w:rPr>
                      <w:color w:val="auto"/>
                      <w:sz w:val="13"/>
                      <w:szCs w:val="13"/>
                    </w:rPr>
                  </w:pPr>
                  <w:r>
                    <w:rPr>
                      <w:color w:val="auto"/>
                      <w:kern w:val="0"/>
                      <w:sz w:val="13"/>
                      <w:szCs w:val="13"/>
                      <w:lang w:bidi="ar"/>
                    </w:rPr>
                    <w:t>-56.09</w:t>
                  </w:r>
                </w:p>
              </w:tc>
              <w:tc>
                <w:tcPr>
                  <w:tcW w:w="528" w:type="pct"/>
                  <w:vAlign w:val="center"/>
                </w:tcPr>
                <w:p>
                  <w:pPr>
                    <w:widowControl/>
                    <w:jc w:val="center"/>
                    <w:textAlignment w:val="center"/>
                    <w:rPr>
                      <w:color w:val="auto"/>
                      <w:sz w:val="13"/>
                      <w:szCs w:val="13"/>
                    </w:rPr>
                  </w:pPr>
                  <w:r>
                    <w:rPr>
                      <w:color w:val="auto"/>
                      <w:kern w:val="0"/>
                      <w:sz w:val="13"/>
                      <w:szCs w:val="13"/>
                      <w:lang w:bidi="ar"/>
                    </w:rPr>
                    <w:t>38.66</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38.66</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30</w:t>
                  </w:r>
                </w:p>
              </w:tc>
              <w:tc>
                <w:tcPr>
                  <w:tcW w:w="572" w:type="pct"/>
                  <w:vAlign w:val="center"/>
                </w:tcPr>
                <w:p>
                  <w:pPr>
                    <w:widowControl/>
                    <w:jc w:val="center"/>
                    <w:textAlignment w:val="center"/>
                    <w:rPr>
                      <w:color w:val="auto"/>
                      <w:sz w:val="13"/>
                      <w:szCs w:val="13"/>
                    </w:rPr>
                  </w:pPr>
                  <w:r>
                    <w:rPr>
                      <w:color w:val="auto"/>
                      <w:kern w:val="0"/>
                      <w:sz w:val="13"/>
                      <w:szCs w:val="13"/>
                      <w:lang w:bidi="ar"/>
                    </w:rPr>
                    <w:t>46.84</w:t>
                  </w:r>
                </w:p>
              </w:tc>
              <w:tc>
                <w:tcPr>
                  <w:tcW w:w="583" w:type="pct"/>
                  <w:vAlign w:val="center"/>
                </w:tcPr>
                <w:p>
                  <w:pPr>
                    <w:widowControl/>
                    <w:jc w:val="center"/>
                    <w:textAlignment w:val="center"/>
                    <w:rPr>
                      <w:color w:val="auto"/>
                      <w:sz w:val="13"/>
                      <w:szCs w:val="13"/>
                    </w:rPr>
                  </w:pPr>
                  <w:r>
                    <w:rPr>
                      <w:color w:val="auto"/>
                      <w:kern w:val="0"/>
                      <w:sz w:val="13"/>
                      <w:szCs w:val="13"/>
                      <w:lang w:bidi="ar"/>
                    </w:rPr>
                    <w:t>-63.63</w:t>
                  </w:r>
                </w:p>
              </w:tc>
              <w:tc>
                <w:tcPr>
                  <w:tcW w:w="528" w:type="pct"/>
                  <w:vAlign w:val="center"/>
                </w:tcPr>
                <w:p>
                  <w:pPr>
                    <w:widowControl/>
                    <w:jc w:val="center"/>
                    <w:textAlignment w:val="center"/>
                    <w:rPr>
                      <w:color w:val="auto"/>
                      <w:sz w:val="13"/>
                      <w:szCs w:val="13"/>
                    </w:rPr>
                  </w:pPr>
                  <w:r>
                    <w:rPr>
                      <w:color w:val="auto"/>
                      <w:kern w:val="0"/>
                      <w:sz w:val="13"/>
                      <w:szCs w:val="13"/>
                      <w:lang w:bidi="ar"/>
                    </w:rPr>
                    <w:t>38.3</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38.3</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31</w:t>
                  </w:r>
                </w:p>
              </w:tc>
              <w:tc>
                <w:tcPr>
                  <w:tcW w:w="572" w:type="pct"/>
                  <w:vAlign w:val="center"/>
                </w:tcPr>
                <w:p>
                  <w:pPr>
                    <w:widowControl/>
                    <w:jc w:val="center"/>
                    <w:textAlignment w:val="center"/>
                    <w:rPr>
                      <w:color w:val="auto"/>
                      <w:sz w:val="13"/>
                      <w:szCs w:val="13"/>
                    </w:rPr>
                  </w:pPr>
                  <w:r>
                    <w:rPr>
                      <w:color w:val="auto"/>
                      <w:kern w:val="0"/>
                      <w:sz w:val="13"/>
                      <w:szCs w:val="13"/>
                      <w:lang w:bidi="ar"/>
                    </w:rPr>
                    <w:t>40.27</w:t>
                  </w:r>
                </w:p>
              </w:tc>
              <w:tc>
                <w:tcPr>
                  <w:tcW w:w="583" w:type="pct"/>
                  <w:vAlign w:val="center"/>
                </w:tcPr>
                <w:p>
                  <w:pPr>
                    <w:widowControl/>
                    <w:jc w:val="center"/>
                    <w:textAlignment w:val="center"/>
                    <w:rPr>
                      <w:color w:val="auto"/>
                      <w:sz w:val="13"/>
                      <w:szCs w:val="13"/>
                    </w:rPr>
                  </w:pPr>
                  <w:r>
                    <w:rPr>
                      <w:color w:val="auto"/>
                      <w:kern w:val="0"/>
                      <w:sz w:val="13"/>
                      <w:szCs w:val="13"/>
                      <w:lang w:bidi="ar"/>
                    </w:rPr>
                    <w:t>-71.18</w:t>
                  </w:r>
                </w:p>
              </w:tc>
              <w:tc>
                <w:tcPr>
                  <w:tcW w:w="528" w:type="pct"/>
                  <w:vAlign w:val="center"/>
                </w:tcPr>
                <w:p>
                  <w:pPr>
                    <w:widowControl/>
                    <w:jc w:val="center"/>
                    <w:textAlignment w:val="center"/>
                    <w:rPr>
                      <w:color w:val="auto"/>
                      <w:sz w:val="13"/>
                      <w:szCs w:val="13"/>
                    </w:rPr>
                  </w:pPr>
                  <w:r>
                    <w:rPr>
                      <w:color w:val="auto"/>
                      <w:kern w:val="0"/>
                      <w:sz w:val="13"/>
                      <w:szCs w:val="13"/>
                      <w:lang w:bidi="ar"/>
                    </w:rPr>
                    <w:t>37.97</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37.97</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32</w:t>
                  </w:r>
                </w:p>
              </w:tc>
              <w:tc>
                <w:tcPr>
                  <w:tcW w:w="572" w:type="pct"/>
                  <w:vAlign w:val="center"/>
                </w:tcPr>
                <w:p>
                  <w:pPr>
                    <w:widowControl/>
                    <w:jc w:val="center"/>
                    <w:textAlignment w:val="center"/>
                    <w:rPr>
                      <w:color w:val="auto"/>
                      <w:sz w:val="13"/>
                      <w:szCs w:val="13"/>
                    </w:rPr>
                  </w:pPr>
                  <w:r>
                    <w:rPr>
                      <w:color w:val="auto"/>
                      <w:kern w:val="0"/>
                      <w:sz w:val="13"/>
                      <w:szCs w:val="13"/>
                      <w:lang w:bidi="ar"/>
                    </w:rPr>
                    <w:t>33.71</w:t>
                  </w:r>
                </w:p>
              </w:tc>
              <w:tc>
                <w:tcPr>
                  <w:tcW w:w="583" w:type="pct"/>
                  <w:vAlign w:val="center"/>
                </w:tcPr>
                <w:p>
                  <w:pPr>
                    <w:widowControl/>
                    <w:jc w:val="center"/>
                    <w:textAlignment w:val="center"/>
                    <w:rPr>
                      <w:color w:val="auto"/>
                      <w:sz w:val="13"/>
                      <w:szCs w:val="13"/>
                    </w:rPr>
                  </w:pPr>
                  <w:r>
                    <w:rPr>
                      <w:color w:val="auto"/>
                      <w:kern w:val="0"/>
                      <w:sz w:val="13"/>
                      <w:szCs w:val="13"/>
                      <w:lang w:bidi="ar"/>
                    </w:rPr>
                    <w:t>-78.72</w:t>
                  </w:r>
                </w:p>
              </w:tc>
              <w:tc>
                <w:tcPr>
                  <w:tcW w:w="528" w:type="pct"/>
                  <w:vAlign w:val="center"/>
                </w:tcPr>
                <w:p>
                  <w:pPr>
                    <w:widowControl/>
                    <w:jc w:val="center"/>
                    <w:textAlignment w:val="center"/>
                    <w:rPr>
                      <w:color w:val="auto"/>
                      <w:sz w:val="13"/>
                      <w:szCs w:val="13"/>
                    </w:rPr>
                  </w:pPr>
                  <w:r>
                    <w:rPr>
                      <w:color w:val="auto"/>
                      <w:kern w:val="0"/>
                      <w:sz w:val="13"/>
                      <w:szCs w:val="13"/>
                      <w:lang w:bidi="ar"/>
                    </w:rPr>
                    <w:t>37.61</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37.61</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33</w:t>
                  </w:r>
                </w:p>
              </w:tc>
              <w:tc>
                <w:tcPr>
                  <w:tcW w:w="572" w:type="pct"/>
                  <w:vAlign w:val="center"/>
                </w:tcPr>
                <w:p>
                  <w:pPr>
                    <w:widowControl/>
                    <w:jc w:val="center"/>
                    <w:textAlignment w:val="center"/>
                    <w:rPr>
                      <w:color w:val="auto"/>
                      <w:sz w:val="13"/>
                      <w:szCs w:val="13"/>
                    </w:rPr>
                  </w:pPr>
                  <w:r>
                    <w:rPr>
                      <w:color w:val="auto"/>
                      <w:kern w:val="0"/>
                      <w:sz w:val="13"/>
                      <w:szCs w:val="13"/>
                      <w:lang w:bidi="ar"/>
                    </w:rPr>
                    <w:t>27.14</w:t>
                  </w:r>
                </w:p>
              </w:tc>
              <w:tc>
                <w:tcPr>
                  <w:tcW w:w="583" w:type="pct"/>
                  <w:vAlign w:val="center"/>
                </w:tcPr>
                <w:p>
                  <w:pPr>
                    <w:widowControl/>
                    <w:jc w:val="center"/>
                    <w:textAlignment w:val="center"/>
                    <w:rPr>
                      <w:color w:val="auto"/>
                      <w:sz w:val="13"/>
                      <w:szCs w:val="13"/>
                    </w:rPr>
                  </w:pPr>
                  <w:r>
                    <w:rPr>
                      <w:color w:val="auto"/>
                      <w:kern w:val="0"/>
                      <w:sz w:val="13"/>
                      <w:szCs w:val="13"/>
                      <w:lang w:bidi="ar"/>
                    </w:rPr>
                    <w:t>-86.26</w:t>
                  </w:r>
                </w:p>
              </w:tc>
              <w:tc>
                <w:tcPr>
                  <w:tcW w:w="528" w:type="pct"/>
                  <w:vAlign w:val="center"/>
                </w:tcPr>
                <w:p>
                  <w:pPr>
                    <w:widowControl/>
                    <w:jc w:val="center"/>
                    <w:textAlignment w:val="center"/>
                    <w:rPr>
                      <w:color w:val="auto"/>
                      <w:sz w:val="13"/>
                      <w:szCs w:val="13"/>
                    </w:rPr>
                  </w:pPr>
                  <w:r>
                    <w:rPr>
                      <w:color w:val="auto"/>
                      <w:kern w:val="0"/>
                      <w:sz w:val="13"/>
                      <w:szCs w:val="13"/>
                      <w:lang w:bidi="ar"/>
                    </w:rPr>
                    <w:t>37.21</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37.21</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34</w:t>
                  </w:r>
                </w:p>
              </w:tc>
              <w:tc>
                <w:tcPr>
                  <w:tcW w:w="572" w:type="pct"/>
                  <w:vAlign w:val="center"/>
                </w:tcPr>
                <w:p>
                  <w:pPr>
                    <w:widowControl/>
                    <w:jc w:val="center"/>
                    <w:textAlignment w:val="center"/>
                    <w:rPr>
                      <w:color w:val="auto"/>
                      <w:sz w:val="13"/>
                      <w:szCs w:val="13"/>
                    </w:rPr>
                  </w:pPr>
                  <w:r>
                    <w:rPr>
                      <w:color w:val="auto"/>
                      <w:kern w:val="0"/>
                      <w:sz w:val="13"/>
                      <w:szCs w:val="13"/>
                      <w:lang w:bidi="ar"/>
                    </w:rPr>
                    <w:t>20.58</w:t>
                  </w:r>
                </w:p>
              </w:tc>
              <w:tc>
                <w:tcPr>
                  <w:tcW w:w="583" w:type="pct"/>
                  <w:vAlign w:val="center"/>
                </w:tcPr>
                <w:p>
                  <w:pPr>
                    <w:widowControl/>
                    <w:jc w:val="center"/>
                    <w:textAlignment w:val="center"/>
                    <w:rPr>
                      <w:color w:val="auto"/>
                      <w:sz w:val="13"/>
                      <w:szCs w:val="13"/>
                    </w:rPr>
                  </w:pPr>
                  <w:r>
                    <w:rPr>
                      <w:color w:val="auto"/>
                      <w:kern w:val="0"/>
                      <w:sz w:val="13"/>
                      <w:szCs w:val="13"/>
                      <w:lang w:bidi="ar"/>
                    </w:rPr>
                    <w:t>-93.81</w:t>
                  </w:r>
                </w:p>
              </w:tc>
              <w:tc>
                <w:tcPr>
                  <w:tcW w:w="528" w:type="pct"/>
                  <w:vAlign w:val="center"/>
                </w:tcPr>
                <w:p>
                  <w:pPr>
                    <w:widowControl/>
                    <w:jc w:val="center"/>
                    <w:textAlignment w:val="center"/>
                    <w:rPr>
                      <w:color w:val="auto"/>
                      <w:sz w:val="13"/>
                      <w:szCs w:val="13"/>
                    </w:rPr>
                  </w:pPr>
                  <w:r>
                    <w:rPr>
                      <w:color w:val="auto"/>
                      <w:kern w:val="0"/>
                      <w:sz w:val="13"/>
                      <w:szCs w:val="13"/>
                      <w:lang w:bidi="ar"/>
                    </w:rPr>
                    <w:t>36.78</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36.78</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35</w:t>
                  </w:r>
                </w:p>
              </w:tc>
              <w:tc>
                <w:tcPr>
                  <w:tcW w:w="572" w:type="pct"/>
                  <w:vAlign w:val="center"/>
                </w:tcPr>
                <w:p>
                  <w:pPr>
                    <w:widowControl/>
                    <w:jc w:val="center"/>
                    <w:textAlignment w:val="center"/>
                    <w:rPr>
                      <w:color w:val="auto"/>
                      <w:sz w:val="13"/>
                      <w:szCs w:val="13"/>
                    </w:rPr>
                  </w:pPr>
                  <w:r>
                    <w:rPr>
                      <w:color w:val="auto"/>
                      <w:kern w:val="0"/>
                      <w:sz w:val="13"/>
                      <w:szCs w:val="13"/>
                      <w:lang w:bidi="ar"/>
                    </w:rPr>
                    <w:t>14.01</w:t>
                  </w:r>
                </w:p>
              </w:tc>
              <w:tc>
                <w:tcPr>
                  <w:tcW w:w="583" w:type="pct"/>
                  <w:vAlign w:val="center"/>
                </w:tcPr>
                <w:p>
                  <w:pPr>
                    <w:widowControl/>
                    <w:jc w:val="center"/>
                    <w:textAlignment w:val="center"/>
                    <w:rPr>
                      <w:color w:val="auto"/>
                      <w:sz w:val="13"/>
                      <w:szCs w:val="13"/>
                    </w:rPr>
                  </w:pPr>
                  <w:r>
                    <w:rPr>
                      <w:color w:val="auto"/>
                      <w:kern w:val="0"/>
                      <w:sz w:val="13"/>
                      <w:szCs w:val="13"/>
                      <w:lang w:bidi="ar"/>
                    </w:rPr>
                    <w:t>-101.35</w:t>
                  </w:r>
                </w:p>
              </w:tc>
              <w:tc>
                <w:tcPr>
                  <w:tcW w:w="528" w:type="pct"/>
                  <w:vAlign w:val="center"/>
                </w:tcPr>
                <w:p>
                  <w:pPr>
                    <w:widowControl/>
                    <w:jc w:val="center"/>
                    <w:textAlignment w:val="center"/>
                    <w:rPr>
                      <w:color w:val="auto"/>
                      <w:sz w:val="13"/>
                      <w:szCs w:val="13"/>
                    </w:rPr>
                  </w:pPr>
                  <w:r>
                    <w:rPr>
                      <w:color w:val="auto"/>
                      <w:kern w:val="0"/>
                      <w:sz w:val="13"/>
                      <w:szCs w:val="13"/>
                      <w:lang w:bidi="ar"/>
                    </w:rPr>
                    <w:t>36.33</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36.33</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36</w:t>
                  </w:r>
                </w:p>
              </w:tc>
              <w:tc>
                <w:tcPr>
                  <w:tcW w:w="572" w:type="pct"/>
                  <w:vAlign w:val="center"/>
                </w:tcPr>
                <w:p>
                  <w:pPr>
                    <w:widowControl/>
                    <w:jc w:val="center"/>
                    <w:textAlignment w:val="center"/>
                    <w:rPr>
                      <w:color w:val="auto"/>
                      <w:sz w:val="13"/>
                      <w:szCs w:val="13"/>
                    </w:rPr>
                  </w:pPr>
                  <w:r>
                    <w:rPr>
                      <w:color w:val="auto"/>
                      <w:kern w:val="0"/>
                      <w:sz w:val="13"/>
                      <w:szCs w:val="13"/>
                      <w:lang w:bidi="ar"/>
                    </w:rPr>
                    <w:t>7.45</w:t>
                  </w:r>
                </w:p>
              </w:tc>
              <w:tc>
                <w:tcPr>
                  <w:tcW w:w="583" w:type="pct"/>
                  <w:vAlign w:val="center"/>
                </w:tcPr>
                <w:p>
                  <w:pPr>
                    <w:widowControl/>
                    <w:jc w:val="center"/>
                    <w:textAlignment w:val="center"/>
                    <w:rPr>
                      <w:color w:val="auto"/>
                      <w:sz w:val="13"/>
                      <w:szCs w:val="13"/>
                    </w:rPr>
                  </w:pPr>
                  <w:r>
                    <w:rPr>
                      <w:color w:val="auto"/>
                      <w:kern w:val="0"/>
                      <w:sz w:val="13"/>
                      <w:szCs w:val="13"/>
                      <w:lang w:bidi="ar"/>
                    </w:rPr>
                    <w:t>-108.89</w:t>
                  </w:r>
                </w:p>
              </w:tc>
              <w:tc>
                <w:tcPr>
                  <w:tcW w:w="528" w:type="pct"/>
                  <w:vAlign w:val="center"/>
                </w:tcPr>
                <w:p>
                  <w:pPr>
                    <w:widowControl/>
                    <w:jc w:val="center"/>
                    <w:textAlignment w:val="center"/>
                    <w:rPr>
                      <w:color w:val="auto"/>
                      <w:sz w:val="13"/>
                      <w:szCs w:val="13"/>
                    </w:rPr>
                  </w:pPr>
                  <w:r>
                    <w:rPr>
                      <w:color w:val="auto"/>
                      <w:kern w:val="0"/>
                      <w:sz w:val="13"/>
                      <w:szCs w:val="13"/>
                      <w:lang w:bidi="ar"/>
                    </w:rPr>
                    <w:t>35.87</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35.87</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37</w:t>
                  </w:r>
                </w:p>
              </w:tc>
              <w:tc>
                <w:tcPr>
                  <w:tcW w:w="572" w:type="pct"/>
                  <w:vAlign w:val="center"/>
                </w:tcPr>
                <w:p>
                  <w:pPr>
                    <w:widowControl/>
                    <w:jc w:val="center"/>
                    <w:textAlignment w:val="center"/>
                    <w:rPr>
                      <w:color w:val="auto"/>
                      <w:sz w:val="13"/>
                      <w:szCs w:val="13"/>
                    </w:rPr>
                  </w:pPr>
                  <w:r>
                    <w:rPr>
                      <w:color w:val="auto"/>
                      <w:kern w:val="0"/>
                      <w:sz w:val="13"/>
                      <w:szCs w:val="13"/>
                      <w:lang w:bidi="ar"/>
                    </w:rPr>
                    <w:t>0.88</w:t>
                  </w:r>
                </w:p>
              </w:tc>
              <w:tc>
                <w:tcPr>
                  <w:tcW w:w="583" w:type="pct"/>
                  <w:vAlign w:val="center"/>
                </w:tcPr>
                <w:p>
                  <w:pPr>
                    <w:widowControl/>
                    <w:jc w:val="center"/>
                    <w:textAlignment w:val="center"/>
                    <w:rPr>
                      <w:color w:val="auto"/>
                      <w:sz w:val="13"/>
                      <w:szCs w:val="13"/>
                    </w:rPr>
                  </w:pPr>
                  <w:r>
                    <w:rPr>
                      <w:color w:val="auto"/>
                      <w:kern w:val="0"/>
                      <w:sz w:val="13"/>
                      <w:szCs w:val="13"/>
                      <w:lang w:bidi="ar"/>
                    </w:rPr>
                    <w:t>-116.44</w:t>
                  </w:r>
                </w:p>
              </w:tc>
              <w:tc>
                <w:tcPr>
                  <w:tcW w:w="528" w:type="pct"/>
                  <w:vAlign w:val="center"/>
                </w:tcPr>
                <w:p>
                  <w:pPr>
                    <w:widowControl/>
                    <w:jc w:val="center"/>
                    <w:textAlignment w:val="center"/>
                    <w:rPr>
                      <w:color w:val="auto"/>
                      <w:sz w:val="13"/>
                      <w:szCs w:val="13"/>
                    </w:rPr>
                  </w:pPr>
                  <w:r>
                    <w:rPr>
                      <w:color w:val="auto"/>
                      <w:kern w:val="0"/>
                      <w:sz w:val="13"/>
                      <w:szCs w:val="13"/>
                      <w:lang w:bidi="ar"/>
                    </w:rPr>
                    <w:t>35.41</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35.41</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38</w:t>
                  </w:r>
                </w:p>
              </w:tc>
              <w:tc>
                <w:tcPr>
                  <w:tcW w:w="572" w:type="pct"/>
                  <w:vAlign w:val="center"/>
                </w:tcPr>
                <w:p>
                  <w:pPr>
                    <w:widowControl/>
                    <w:jc w:val="center"/>
                    <w:textAlignment w:val="center"/>
                    <w:rPr>
                      <w:color w:val="auto"/>
                      <w:sz w:val="13"/>
                      <w:szCs w:val="13"/>
                    </w:rPr>
                  </w:pPr>
                  <w:r>
                    <w:rPr>
                      <w:color w:val="auto"/>
                      <w:kern w:val="0"/>
                      <w:sz w:val="13"/>
                      <w:szCs w:val="13"/>
                      <w:lang w:bidi="ar"/>
                    </w:rPr>
                    <w:t>-5.68</w:t>
                  </w:r>
                </w:p>
              </w:tc>
              <w:tc>
                <w:tcPr>
                  <w:tcW w:w="583" w:type="pct"/>
                  <w:vAlign w:val="center"/>
                </w:tcPr>
                <w:p>
                  <w:pPr>
                    <w:widowControl/>
                    <w:jc w:val="center"/>
                    <w:textAlignment w:val="center"/>
                    <w:rPr>
                      <w:color w:val="auto"/>
                      <w:sz w:val="13"/>
                      <w:szCs w:val="13"/>
                    </w:rPr>
                  </w:pPr>
                  <w:r>
                    <w:rPr>
                      <w:color w:val="auto"/>
                      <w:kern w:val="0"/>
                      <w:sz w:val="13"/>
                      <w:szCs w:val="13"/>
                      <w:lang w:bidi="ar"/>
                    </w:rPr>
                    <w:t>-123.98</w:t>
                  </w:r>
                </w:p>
              </w:tc>
              <w:tc>
                <w:tcPr>
                  <w:tcW w:w="528" w:type="pct"/>
                  <w:vAlign w:val="center"/>
                </w:tcPr>
                <w:p>
                  <w:pPr>
                    <w:widowControl/>
                    <w:jc w:val="center"/>
                    <w:textAlignment w:val="center"/>
                    <w:rPr>
                      <w:color w:val="auto"/>
                      <w:sz w:val="13"/>
                      <w:szCs w:val="13"/>
                    </w:rPr>
                  </w:pPr>
                  <w:r>
                    <w:rPr>
                      <w:color w:val="auto"/>
                      <w:kern w:val="0"/>
                      <w:sz w:val="13"/>
                      <w:szCs w:val="13"/>
                      <w:lang w:bidi="ar"/>
                    </w:rPr>
                    <w:t>34.95</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34.95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39</w:t>
                  </w:r>
                </w:p>
              </w:tc>
              <w:tc>
                <w:tcPr>
                  <w:tcW w:w="572" w:type="pct"/>
                  <w:vAlign w:val="center"/>
                </w:tcPr>
                <w:p>
                  <w:pPr>
                    <w:widowControl/>
                    <w:jc w:val="center"/>
                    <w:textAlignment w:val="center"/>
                    <w:rPr>
                      <w:color w:val="auto"/>
                      <w:sz w:val="13"/>
                      <w:szCs w:val="13"/>
                    </w:rPr>
                  </w:pPr>
                  <w:r>
                    <w:rPr>
                      <w:color w:val="auto"/>
                      <w:kern w:val="0"/>
                      <w:sz w:val="13"/>
                      <w:szCs w:val="13"/>
                      <w:lang w:bidi="ar"/>
                    </w:rPr>
                    <w:t>-8.59</w:t>
                  </w:r>
                </w:p>
              </w:tc>
              <w:tc>
                <w:tcPr>
                  <w:tcW w:w="583" w:type="pct"/>
                  <w:vAlign w:val="center"/>
                </w:tcPr>
                <w:p>
                  <w:pPr>
                    <w:widowControl/>
                    <w:jc w:val="center"/>
                    <w:textAlignment w:val="center"/>
                    <w:rPr>
                      <w:color w:val="auto"/>
                      <w:sz w:val="13"/>
                      <w:szCs w:val="13"/>
                    </w:rPr>
                  </w:pPr>
                  <w:r>
                    <w:rPr>
                      <w:color w:val="auto"/>
                      <w:kern w:val="0"/>
                      <w:sz w:val="13"/>
                      <w:szCs w:val="13"/>
                      <w:lang w:bidi="ar"/>
                    </w:rPr>
                    <w:t>-127.32</w:t>
                  </w:r>
                </w:p>
              </w:tc>
              <w:tc>
                <w:tcPr>
                  <w:tcW w:w="528" w:type="pct"/>
                  <w:vAlign w:val="center"/>
                </w:tcPr>
                <w:p>
                  <w:pPr>
                    <w:widowControl/>
                    <w:jc w:val="center"/>
                    <w:textAlignment w:val="center"/>
                    <w:rPr>
                      <w:color w:val="auto"/>
                      <w:sz w:val="13"/>
                      <w:szCs w:val="13"/>
                    </w:rPr>
                  </w:pPr>
                  <w:r>
                    <w:rPr>
                      <w:color w:val="auto"/>
                      <w:kern w:val="0"/>
                      <w:sz w:val="13"/>
                      <w:szCs w:val="13"/>
                      <w:lang w:bidi="ar"/>
                    </w:rPr>
                    <w:t>34.75</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34.75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40</w:t>
                  </w:r>
                </w:p>
              </w:tc>
              <w:tc>
                <w:tcPr>
                  <w:tcW w:w="572" w:type="pct"/>
                  <w:vAlign w:val="center"/>
                </w:tcPr>
                <w:p>
                  <w:pPr>
                    <w:widowControl/>
                    <w:jc w:val="center"/>
                    <w:textAlignment w:val="center"/>
                    <w:rPr>
                      <w:color w:val="auto"/>
                      <w:sz w:val="13"/>
                      <w:szCs w:val="13"/>
                    </w:rPr>
                  </w:pPr>
                  <w:r>
                    <w:rPr>
                      <w:color w:val="auto"/>
                      <w:kern w:val="0"/>
                      <w:sz w:val="13"/>
                      <w:szCs w:val="13"/>
                      <w:lang w:bidi="ar"/>
                    </w:rPr>
                    <w:t>-18.53</w:t>
                  </w:r>
                </w:p>
              </w:tc>
              <w:tc>
                <w:tcPr>
                  <w:tcW w:w="583" w:type="pct"/>
                  <w:vAlign w:val="center"/>
                </w:tcPr>
                <w:p>
                  <w:pPr>
                    <w:widowControl/>
                    <w:jc w:val="center"/>
                    <w:textAlignment w:val="center"/>
                    <w:rPr>
                      <w:color w:val="auto"/>
                      <w:sz w:val="13"/>
                      <w:szCs w:val="13"/>
                    </w:rPr>
                  </w:pPr>
                  <w:r>
                    <w:rPr>
                      <w:color w:val="auto"/>
                      <w:kern w:val="0"/>
                      <w:sz w:val="13"/>
                      <w:szCs w:val="13"/>
                      <w:lang w:bidi="ar"/>
                    </w:rPr>
                    <w:t>-128.43</w:t>
                  </w:r>
                </w:p>
              </w:tc>
              <w:tc>
                <w:tcPr>
                  <w:tcW w:w="528" w:type="pct"/>
                  <w:vAlign w:val="center"/>
                </w:tcPr>
                <w:p>
                  <w:pPr>
                    <w:widowControl/>
                    <w:jc w:val="center"/>
                    <w:textAlignment w:val="center"/>
                    <w:rPr>
                      <w:color w:val="auto"/>
                      <w:sz w:val="13"/>
                      <w:szCs w:val="13"/>
                    </w:rPr>
                  </w:pPr>
                  <w:r>
                    <w:rPr>
                      <w:color w:val="auto"/>
                      <w:kern w:val="0"/>
                      <w:sz w:val="13"/>
                      <w:szCs w:val="13"/>
                      <w:lang w:bidi="ar"/>
                    </w:rPr>
                    <w:t>34.66</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34.66</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41</w:t>
                  </w:r>
                </w:p>
              </w:tc>
              <w:tc>
                <w:tcPr>
                  <w:tcW w:w="572" w:type="pct"/>
                  <w:vAlign w:val="center"/>
                </w:tcPr>
                <w:p>
                  <w:pPr>
                    <w:widowControl/>
                    <w:jc w:val="center"/>
                    <w:textAlignment w:val="center"/>
                    <w:rPr>
                      <w:color w:val="auto"/>
                      <w:sz w:val="13"/>
                      <w:szCs w:val="13"/>
                    </w:rPr>
                  </w:pPr>
                  <w:r>
                    <w:rPr>
                      <w:color w:val="auto"/>
                      <w:kern w:val="0"/>
                      <w:sz w:val="13"/>
                      <w:szCs w:val="13"/>
                      <w:lang w:bidi="ar"/>
                    </w:rPr>
                    <w:t>-21.34</w:t>
                  </w:r>
                </w:p>
              </w:tc>
              <w:tc>
                <w:tcPr>
                  <w:tcW w:w="583" w:type="pct"/>
                  <w:vAlign w:val="center"/>
                </w:tcPr>
                <w:p>
                  <w:pPr>
                    <w:widowControl/>
                    <w:jc w:val="center"/>
                    <w:textAlignment w:val="center"/>
                    <w:rPr>
                      <w:color w:val="auto"/>
                      <w:sz w:val="13"/>
                      <w:szCs w:val="13"/>
                    </w:rPr>
                  </w:pPr>
                  <w:r>
                    <w:rPr>
                      <w:color w:val="auto"/>
                      <w:kern w:val="0"/>
                      <w:sz w:val="13"/>
                      <w:szCs w:val="13"/>
                      <w:lang w:bidi="ar"/>
                    </w:rPr>
                    <w:t>-128.74</w:t>
                  </w:r>
                </w:p>
              </w:tc>
              <w:tc>
                <w:tcPr>
                  <w:tcW w:w="528" w:type="pct"/>
                  <w:vAlign w:val="center"/>
                </w:tcPr>
                <w:p>
                  <w:pPr>
                    <w:widowControl/>
                    <w:jc w:val="center"/>
                    <w:textAlignment w:val="center"/>
                    <w:rPr>
                      <w:color w:val="auto"/>
                      <w:sz w:val="13"/>
                      <w:szCs w:val="13"/>
                    </w:rPr>
                  </w:pPr>
                  <w:r>
                    <w:rPr>
                      <w:color w:val="auto"/>
                      <w:kern w:val="0"/>
                      <w:sz w:val="13"/>
                      <w:szCs w:val="13"/>
                      <w:lang w:bidi="ar"/>
                    </w:rPr>
                    <w:t>34.63</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34.63</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42</w:t>
                  </w:r>
                </w:p>
              </w:tc>
              <w:tc>
                <w:tcPr>
                  <w:tcW w:w="572" w:type="pct"/>
                  <w:vAlign w:val="center"/>
                </w:tcPr>
                <w:p>
                  <w:pPr>
                    <w:widowControl/>
                    <w:jc w:val="center"/>
                    <w:textAlignment w:val="center"/>
                    <w:rPr>
                      <w:color w:val="auto"/>
                      <w:sz w:val="13"/>
                      <w:szCs w:val="13"/>
                    </w:rPr>
                  </w:pPr>
                  <w:r>
                    <w:rPr>
                      <w:color w:val="auto"/>
                      <w:kern w:val="0"/>
                      <w:sz w:val="13"/>
                      <w:szCs w:val="13"/>
                      <w:lang w:bidi="ar"/>
                    </w:rPr>
                    <w:t>-29.22</w:t>
                  </w:r>
                </w:p>
              </w:tc>
              <w:tc>
                <w:tcPr>
                  <w:tcW w:w="583" w:type="pct"/>
                  <w:vAlign w:val="center"/>
                </w:tcPr>
                <w:p>
                  <w:pPr>
                    <w:widowControl/>
                    <w:jc w:val="center"/>
                    <w:textAlignment w:val="center"/>
                    <w:rPr>
                      <w:color w:val="auto"/>
                      <w:sz w:val="13"/>
                      <w:szCs w:val="13"/>
                    </w:rPr>
                  </w:pPr>
                  <w:r>
                    <w:rPr>
                      <w:color w:val="auto"/>
                      <w:kern w:val="0"/>
                      <w:sz w:val="13"/>
                      <w:szCs w:val="13"/>
                      <w:lang w:bidi="ar"/>
                    </w:rPr>
                    <w:t>-122.58</w:t>
                  </w:r>
                </w:p>
              </w:tc>
              <w:tc>
                <w:tcPr>
                  <w:tcW w:w="528" w:type="pct"/>
                  <w:vAlign w:val="center"/>
                </w:tcPr>
                <w:p>
                  <w:pPr>
                    <w:widowControl/>
                    <w:jc w:val="center"/>
                    <w:textAlignment w:val="center"/>
                    <w:rPr>
                      <w:color w:val="auto"/>
                      <w:sz w:val="13"/>
                      <w:szCs w:val="13"/>
                    </w:rPr>
                  </w:pPr>
                  <w:r>
                    <w:rPr>
                      <w:color w:val="auto"/>
                      <w:kern w:val="0"/>
                      <w:sz w:val="13"/>
                      <w:szCs w:val="13"/>
                      <w:lang w:bidi="ar"/>
                    </w:rPr>
                    <w:t>34.95</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34.95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43</w:t>
                  </w:r>
                </w:p>
              </w:tc>
              <w:tc>
                <w:tcPr>
                  <w:tcW w:w="572" w:type="pct"/>
                  <w:vAlign w:val="center"/>
                </w:tcPr>
                <w:p>
                  <w:pPr>
                    <w:widowControl/>
                    <w:jc w:val="center"/>
                    <w:textAlignment w:val="center"/>
                    <w:rPr>
                      <w:color w:val="auto"/>
                      <w:sz w:val="13"/>
                      <w:szCs w:val="13"/>
                    </w:rPr>
                  </w:pPr>
                  <w:r>
                    <w:rPr>
                      <w:color w:val="auto"/>
                      <w:kern w:val="0"/>
                      <w:sz w:val="13"/>
                      <w:szCs w:val="13"/>
                      <w:lang w:bidi="ar"/>
                    </w:rPr>
                    <w:t>-37.1</w:t>
                  </w:r>
                </w:p>
              </w:tc>
              <w:tc>
                <w:tcPr>
                  <w:tcW w:w="583" w:type="pct"/>
                  <w:vAlign w:val="center"/>
                </w:tcPr>
                <w:p>
                  <w:pPr>
                    <w:widowControl/>
                    <w:jc w:val="center"/>
                    <w:textAlignment w:val="center"/>
                    <w:rPr>
                      <w:color w:val="auto"/>
                      <w:sz w:val="13"/>
                      <w:szCs w:val="13"/>
                    </w:rPr>
                  </w:pPr>
                  <w:r>
                    <w:rPr>
                      <w:color w:val="auto"/>
                      <w:kern w:val="0"/>
                      <w:sz w:val="13"/>
                      <w:szCs w:val="13"/>
                      <w:lang w:bidi="ar"/>
                    </w:rPr>
                    <w:t>-116.42</w:t>
                  </w:r>
                </w:p>
              </w:tc>
              <w:tc>
                <w:tcPr>
                  <w:tcW w:w="528" w:type="pct"/>
                  <w:vAlign w:val="center"/>
                </w:tcPr>
                <w:p>
                  <w:pPr>
                    <w:widowControl/>
                    <w:jc w:val="center"/>
                    <w:textAlignment w:val="center"/>
                    <w:rPr>
                      <w:color w:val="auto"/>
                      <w:sz w:val="13"/>
                      <w:szCs w:val="13"/>
                    </w:rPr>
                  </w:pPr>
                  <w:r>
                    <w:rPr>
                      <w:color w:val="auto"/>
                      <w:kern w:val="0"/>
                      <w:sz w:val="13"/>
                      <w:szCs w:val="13"/>
                      <w:lang w:bidi="ar"/>
                    </w:rPr>
                    <w:t>35.26</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35.26</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44</w:t>
                  </w:r>
                </w:p>
              </w:tc>
              <w:tc>
                <w:tcPr>
                  <w:tcW w:w="572" w:type="pct"/>
                  <w:vAlign w:val="center"/>
                </w:tcPr>
                <w:p>
                  <w:pPr>
                    <w:widowControl/>
                    <w:jc w:val="center"/>
                    <w:textAlignment w:val="center"/>
                    <w:rPr>
                      <w:color w:val="auto"/>
                      <w:sz w:val="13"/>
                      <w:szCs w:val="13"/>
                    </w:rPr>
                  </w:pPr>
                  <w:r>
                    <w:rPr>
                      <w:color w:val="auto"/>
                      <w:kern w:val="0"/>
                      <w:sz w:val="13"/>
                      <w:szCs w:val="13"/>
                      <w:lang w:bidi="ar"/>
                    </w:rPr>
                    <w:t>-44.97</w:t>
                  </w:r>
                </w:p>
              </w:tc>
              <w:tc>
                <w:tcPr>
                  <w:tcW w:w="583" w:type="pct"/>
                  <w:vAlign w:val="center"/>
                </w:tcPr>
                <w:p>
                  <w:pPr>
                    <w:widowControl/>
                    <w:jc w:val="center"/>
                    <w:textAlignment w:val="center"/>
                    <w:rPr>
                      <w:color w:val="auto"/>
                      <w:sz w:val="13"/>
                      <w:szCs w:val="13"/>
                    </w:rPr>
                  </w:pPr>
                  <w:r>
                    <w:rPr>
                      <w:color w:val="auto"/>
                      <w:kern w:val="0"/>
                      <w:sz w:val="13"/>
                      <w:szCs w:val="13"/>
                      <w:lang w:bidi="ar"/>
                    </w:rPr>
                    <w:t>-110.26</w:t>
                  </w:r>
                </w:p>
              </w:tc>
              <w:tc>
                <w:tcPr>
                  <w:tcW w:w="528" w:type="pct"/>
                  <w:vAlign w:val="center"/>
                </w:tcPr>
                <w:p>
                  <w:pPr>
                    <w:widowControl/>
                    <w:jc w:val="center"/>
                    <w:textAlignment w:val="center"/>
                    <w:rPr>
                      <w:color w:val="auto"/>
                      <w:sz w:val="13"/>
                      <w:szCs w:val="13"/>
                    </w:rPr>
                  </w:pPr>
                  <w:r>
                    <w:rPr>
                      <w:color w:val="auto"/>
                      <w:kern w:val="0"/>
                      <w:sz w:val="13"/>
                      <w:szCs w:val="13"/>
                      <w:lang w:bidi="ar"/>
                    </w:rPr>
                    <w:t>35.54</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35.54</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45</w:t>
                  </w:r>
                </w:p>
              </w:tc>
              <w:tc>
                <w:tcPr>
                  <w:tcW w:w="572" w:type="pct"/>
                  <w:vAlign w:val="center"/>
                </w:tcPr>
                <w:p>
                  <w:pPr>
                    <w:widowControl/>
                    <w:jc w:val="center"/>
                    <w:textAlignment w:val="center"/>
                    <w:rPr>
                      <w:color w:val="auto"/>
                      <w:sz w:val="13"/>
                      <w:szCs w:val="13"/>
                    </w:rPr>
                  </w:pPr>
                  <w:r>
                    <w:rPr>
                      <w:color w:val="auto"/>
                      <w:kern w:val="0"/>
                      <w:sz w:val="13"/>
                      <w:szCs w:val="13"/>
                      <w:lang w:bidi="ar"/>
                    </w:rPr>
                    <w:t>-52.85</w:t>
                  </w:r>
                </w:p>
              </w:tc>
              <w:tc>
                <w:tcPr>
                  <w:tcW w:w="583" w:type="pct"/>
                  <w:vAlign w:val="center"/>
                </w:tcPr>
                <w:p>
                  <w:pPr>
                    <w:widowControl/>
                    <w:jc w:val="center"/>
                    <w:textAlignment w:val="center"/>
                    <w:rPr>
                      <w:color w:val="auto"/>
                      <w:sz w:val="13"/>
                      <w:szCs w:val="13"/>
                    </w:rPr>
                  </w:pPr>
                  <w:r>
                    <w:rPr>
                      <w:color w:val="auto"/>
                      <w:kern w:val="0"/>
                      <w:sz w:val="13"/>
                      <w:szCs w:val="13"/>
                      <w:lang w:bidi="ar"/>
                    </w:rPr>
                    <w:t>-104.1</w:t>
                  </w:r>
                </w:p>
              </w:tc>
              <w:tc>
                <w:tcPr>
                  <w:tcW w:w="528" w:type="pct"/>
                  <w:vAlign w:val="center"/>
                </w:tcPr>
                <w:p>
                  <w:pPr>
                    <w:widowControl/>
                    <w:jc w:val="center"/>
                    <w:textAlignment w:val="center"/>
                    <w:rPr>
                      <w:color w:val="auto"/>
                      <w:sz w:val="13"/>
                      <w:szCs w:val="13"/>
                    </w:rPr>
                  </w:pPr>
                  <w:r>
                    <w:rPr>
                      <w:color w:val="auto"/>
                      <w:kern w:val="0"/>
                      <w:sz w:val="13"/>
                      <w:szCs w:val="13"/>
                      <w:lang w:bidi="ar"/>
                    </w:rPr>
                    <w:t>35.78</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35.78</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46</w:t>
                  </w:r>
                </w:p>
              </w:tc>
              <w:tc>
                <w:tcPr>
                  <w:tcW w:w="572" w:type="pct"/>
                  <w:vAlign w:val="center"/>
                </w:tcPr>
                <w:p>
                  <w:pPr>
                    <w:widowControl/>
                    <w:jc w:val="center"/>
                    <w:textAlignment w:val="center"/>
                    <w:rPr>
                      <w:color w:val="auto"/>
                      <w:sz w:val="13"/>
                      <w:szCs w:val="13"/>
                    </w:rPr>
                  </w:pPr>
                  <w:r>
                    <w:rPr>
                      <w:color w:val="auto"/>
                      <w:kern w:val="0"/>
                      <w:sz w:val="13"/>
                      <w:szCs w:val="13"/>
                      <w:lang w:bidi="ar"/>
                    </w:rPr>
                    <w:t>-60.3</w:t>
                  </w:r>
                </w:p>
              </w:tc>
              <w:tc>
                <w:tcPr>
                  <w:tcW w:w="583" w:type="pct"/>
                  <w:vAlign w:val="center"/>
                </w:tcPr>
                <w:p>
                  <w:pPr>
                    <w:widowControl/>
                    <w:jc w:val="center"/>
                    <w:textAlignment w:val="center"/>
                    <w:rPr>
                      <w:color w:val="auto"/>
                      <w:sz w:val="13"/>
                      <w:szCs w:val="13"/>
                    </w:rPr>
                  </w:pPr>
                  <w:r>
                    <w:rPr>
                      <w:color w:val="auto"/>
                      <w:kern w:val="0"/>
                      <w:sz w:val="13"/>
                      <w:szCs w:val="13"/>
                      <w:lang w:bidi="ar"/>
                    </w:rPr>
                    <w:t>-98.28</w:t>
                  </w:r>
                </w:p>
              </w:tc>
              <w:tc>
                <w:tcPr>
                  <w:tcW w:w="528" w:type="pct"/>
                  <w:vAlign w:val="center"/>
                </w:tcPr>
                <w:p>
                  <w:pPr>
                    <w:widowControl/>
                    <w:jc w:val="center"/>
                    <w:textAlignment w:val="center"/>
                    <w:rPr>
                      <w:color w:val="auto"/>
                      <w:sz w:val="13"/>
                      <w:szCs w:val="13"/>
                    </w:rPr>
                  </w:pPr>
                  <w:r>
                    <w:rPr>
                      <w:color w:val="auto"/>
                      <w:kern w:val="0"/>
                      <w:sz w:val="13"/>
                      <w:szCs w:val="13"/>
                      <w:lang w:bidi="ar"/>
                    </w:rPr>
                    <w:t>35.98</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35.98</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47</w:t>
                  </w:r>
                </w:p>
              </w:tc>
              <w:tc>
                <w:tcPr>
                  <w:tcW w:w="572" w:type="pct"/>
                  <w:vAlign w:val="center"/>
                </w:tcPr>
                <w:p>
                  <w:pPr>
                    <w:widowControl/>
                    <w:jc w:val="center"/>
                    <w:textAlignment w:val="center"/>
                    <w:rPr>
                      <w:color w:val="auto"/>
                      <w:sz w:val="13"/>
                      <w:szCs w:val="13"/>
                    </w:rPr>
                  </w:pPr>
                  <w:r>
                    <w:rPr>
                      <w:color w:val="auto"/>
                      <w:kern w:val="0"/>
                      <w:sz w:val="13"/>
                      <w:szCs w:val="13"/>
                      <w:lang w:bidi="ar"/>
                    </w:rPr>
                    <w:t>-68.94</w:t>
                  </w:r>
                </w:p>
              </w:tc>
              <w:tc>
                <w:tcPr>
                  <w:tcW w:w="583" w:type="pct"/>
                  <w:vAlign w:val="center"/>
                </w:tcPr>
                <w:p>
                  <w:pPr>
                    <w:widowControl/>
                    <w:jc w:val="center"/>
                    <w:textAlignment w:val="center"/>
                    <w:rPr>
                      <w:color w:val="auto"/>
                      <w:sz w:val="13"/>
                      <w:szCs w:val="13"/>
                    </w:rPr>
                  </w:pPr>
                  <w:r>
                    <w:rPr>
                      <w:color w:val="auto"/>
                      <w:kern w:val="0"/>
                      <w:sz w:val="13"/>
                      <w:szCs w:val="13"/>
                      <w:lang w:bidi="ar"/>
                    </w:rPr>
                    <w:t>-93.24</w:t>
                  </w:r>
                </w:p>
              </w:tc>
              <w:tc>
                <w:tcPr>
                  <w:tcW w:w="528" w:type="pct"/>
                  <w:vAlign w:val="center"/>
                </w:tcPr>
                <w:p>
                  <w:pPr>
                    <w:widowControl/>
                    <w:jc w:val="center"/>
                    <w:textAlignment w:val="center"/>
                    <w:rPr>
                      <w:color w:val="auto"/>
                      <w:sz w:val="13"/>
                      <w:szCs w:val="13"/>
                    </w:rPr>
                  </w:pPr>
                  <w:r>
                    <w:rPr>
                      <w:color w:val="auto"/>
                      <w:kern w:val="0"/>
                      <w:sz w:val="13"/>
                      <w:szCs w:val="13"/>
                      <w:lang w:bidi="ar"/>
                    </w:rPr>
                    <w:t>36.05</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36.05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48</w:t>
                  </w:r>
                </w:p>
              </w:tc>
              <w:tc>
                <w:tcPr>
                  <w:tcW w:w="572" w:type="pct"/>
                  <w:vAlign w:val="center"/>
                </w:tcPr>
                <w:p>
                  <w:pPr>
                    <w:widowControl/>
                    <w:jc w:val="center"/>
                    <w:textAlignment w:val="center"/>
                    <w:rPr>
                      <w:color w:val="auto"/>
                      <w:sz w:val="13"/>
                      <w:szCs w:val="13"/>
                    </w:rPr>
                  </w:pPr>
                  <w:r>
                    <w:rPr>
                      <w:color w:val="auto"/>
                      <w:kern w:val="0"/>
                      <w:sz w:val="13"/>
                      <w:szCs w:val="13"/>
                      <w:lang w:bidi="ar"/>
                    </w:rPr>
                    <w:t>-77.3</w:t>
                  </w:r>
                </w:p>
              </w:tc>
              <w:tc>
                <w:tcPr>
                  <w:tcW w:w="583" w:type="pct"/>
                  <w:vAlign w:val="center"/>
                </w:tcPr>
                <w:p>
                  <w:pPr>
                    <w:widowControl/>
                    <w:jc w:val="center"/>
                    <w:textAlignment w:val="center"/>
                    <w:rPr>
                      <w:color w:val="auto"/>
                      <w:sz w:val="13"/>
                      <w:szCs w:val="13"/>
                    </w:rPr>
                  </w:pPr>
                  <w:r>
                    <w:rPr>
                      <w:color w:val="auto"/>
                      <w:kern w:val="0"/>
                      <w:sz w:val="13"/>
                      <w:szCs w:val="13"/>
                      <w:lang w:bidi="ar"/>
                    </w:rPr>
                    <w:t>-88.36</w:t>
                  </w:r>
                </w:p>
              </w:tc>
              <w:tc>
                <w:tcPr>
                  <w:tcW w:w="528" w:type="pct"/>
                  <w:vAlign w:val="center"/>
                </w:tcPr>
                <w:p>
                  <w:pPr>
                    <w:widowControl/>
                    <w:jc w:val="center"/>
                    <w:textAlignment w:val="center"/>
                    <w:rPr>
                      <w:color w:val="auto"/>
                      <w:sz w:val="13"/>
                      <w:szCs w:val="13"/>
                    </w:rPr>
                  </w:pPr>
                  <w:r>
                    <w:rPr>
                      <w:color w:val="auto"/>
                      <w:kern w:val="0"/>
                      <w:sz w:val="13"/>
                      <w:szCs w:val="13"/>
                      <w:lang w:bidi="ar"/>
                    </w:rPr>
                    <w:t>36.07</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36.07</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49</w:t>
                  </w:r>
                </w:p>
              </w:tc>
              <w:tc>
                <w:tcPr>
                  <w:tcW w:w="572" w:type="pct"/>
                  <w:vAlign w:val="center"/>
                </w:tcPr>
                <w:p>
                  <w:pPr>
                    <w:widowControl/>
                    <w:jc w:val="center"/>
                    <w:textAlignment w:val="center"/>
                    <w:rPr>
                      <w:color w:val="auto"/>
                      <w:sz w:val="13"/>
                      <w:szCs w:val="13"/>
                    </w:rPr>
                  </w:pPr>
                  <w:r>
                    <w:rPr>
                      <w:color w:val="auto"/>
                      <w:kern w:val="0"/>
                      <w:sz w:val="13"/>
                      <w:szCs w:val="13"/>
                      <w:lang w:bidi="ar"/>
                    </w:rPr>
                    <w:t>-79.9</w:t>
                  </w:r>
                </w:p>
              </w:tc>
              <w:tc>
                <w:tcPr>
                  <w:tcW w:w="583" w:type="pct"/>
                  <w:vAlign w:val="center"/>
                </w:tcPr>
                <w:p>
                  <w:pPr>
                    <w:widowControl/>
                    <w:jc w:val="center"/>
                    <w:textAlignment w:val="center"/>
                    <w:rPr>
                      <w:color w:val="auto"/>
                      <w:sz w:val="13"/>
                      <w:szCs w:val="13"/>
                    </w:rPr>
                  </w:pPr>
                  <w:r>
                    <w:rPr>
                      <w:color w:val="auto"/>
                      <w:kern w:val="0"/>
                      <w:sz w:val="13"/>
                      <w:szCs w:val="13"/>
                      <w:lang w:bidi="ar"/>
                    </w:rPr>
                    <w:t>-78.7</w:t>
                  </w:r>
                </w:p>
              </w:tc>
              <w:tc>
                <w:tcPr>
                  <w:tcW w:w="528" w:type="pct"/>
                  <w:vAlign w:val="center"/>
                </w:tcPr>
                <w:p>
                  <w:pPr>
                    <w:widowControl/>
                    <w:jc w:val="center"/>
                    <w:textAlignment w:val="center"/>
                    <w:rPr>
                      <w:color w:val="auto"/>
                      <w:sz w:val="13"/>
                      <w:szCs w:val="13"/>
                    </w:rPr>
                  </w:pPr>
                  <w:r>
                    <w:rPr>
                      <w:color w:val="auto"/>
                      <w:kern w:val="0"/>
                      <w:sz w:val="13"/>
                      <w:szCs w:val="13"/>
                      <w:lang w:bidi="ar"/>
                    </w:rPr>
                    <w:t>36.56</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36.56</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50</w:t>
                  </w:r>
                </w:p>
              </w:tc>
              <w:tc>
                <w:tcPr>
                  <w:tcW w:w="572" w:type="pct"/>
                  <w:vAlign w:val="center"/>
                </w:tcPr>
                <w:p>
                  <w:pPr>
                    <w:widowControl/>
                    <w:jc w:val="center"/>
                    <w:textAlignment w:val="center"/>
                    <w:rPr>
                      <w:color w:val="auto"/>
                      <w:sz w:val="13"/>
                      <w:szCs w:val="13"/>
                    </w:rPr>
                  </w:pPr>
                  <w:r>
                    <w:rPr>
                      <w:color w:val="auto"/>
                      <w:kern w:val="0"/>
                      <w:sz w:val="13"/>
                      <w:szCs w:val="13"/>
                      <w:lang w:bidi="ar"/>
                    </w:rPr>
                    <w:t>-82.51</w:t>
                  </w:r>
                </w:p>
              </w:tc>
              <w:tc>
                <w:tcPr>
                  <w:tcW w:w="583" w:type="pct"/>
                  <w:vAlign w:val="center"/>
                </w:tcPr>
                <w:p>
                  <w:pPr>
                    <w:widowControl/>
                    <w:jc w:val="center"/>
                    <w:textAlignment w:val="center"/>
                    <w:rPr>
                      <w:color w:val="auto"/>
                      <w:sz w:val="13"/>
                      <w:szCs w:val="13"/>
                    </w:rPr>
                  </w:pPr>
                  <w:r>
                    <w:rPr>
                      <w:color w:val="auto"/>
                      <w:kern w:val="0"/>
                      <w:sz w:val="13"/>
                      <w:szCs w:val="13"/>
                      <w:lang w:bidi="ar"/>
                    </w:rPr>
                    <w:t>-69.05</w:t>
                  </w:r>
                </w:p>
              </w:tc>
              <w:tc>
                <w:tcPr>
                  <w:tcW w:w="528" w:type="pct"/>
                  <w:vAlign w:val="center"/>
                </w:tcPr>
                <w:p>
                  <w:pPr>
                    <w:widowControl/>
                    <w:jc w:val="center"/>
                    <w:textAlignment w:val="center"/>
                    <w:rPr>
                      <w:color w:val="auto"/>
                      <w:sz w:val="13"/>
                      <w:szCs w:val="13"/>
                    </w:rPr>
                  </w:pPr>
                  <w:r>
                    <w:rPr>
                      <w:color w:val="auto"/>
                      <w:kern w:val="0"/>
                      <w:sz w:val="13"/>
                      <w:szCs w:val="13"/>
                      <w:lang w:bidi="ar"/>
                    </w:rPr>
                    <w:t>37.05</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37.05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51</w:t>
                  </w:r>
                </w:p>
              </w:tc>
              <w:tc>
                <w:tcPr>
                  <w:tcW w:w="572" w:type="pct"/>
                  <w:vAlign w:val="center"/>
                </w:tcPr>
                <w:p>
                  <w:pPr>
                    <w:widowControl/>
                    <w:jc w:val="center"/>
                    <w:textAlignment w:val="center"/>
                    <w:rPr>
                      <w:color w:val="auto"/>
                      <w:sz w:val="13"/>
                      <w:szCs w:val="13"/>
                    </w:rPr>
                  </w:pPr>
                  <w:r>
                    <w:rPr>
                      <w:color w:val="auto"/>
                      <w:kern w:val="0"/>
                      <w:sz w:val="13"/>
                      <w:szCs w:val="13"/>
                      <w:lang w:bidi="ar"/>
                    </w:rPr>
                    <w:t>-85.11</w:t>
                  </w:r>
                </w:p>
              </w:tc>
              <w:tc>
                <w:tcPr>
                  <w:tcW w:w="583" w:type="pct"/>
                  <w:vAlign w:val="center"/>
                </w:tcPr>
                <w:p>
                  <w:pPr>
                    <w:widowControl/>
                    <w:jc w:val="center"/>
                    <w:textAlignment w:val="center"/>
                    <w:rPr>
                      <w:color w:val="auto"/>
                      <w:sz w:val="13"/>
                      <w:szCs w:val="13"/>
                    </w:rPr>
                  </w:pPr>
                  <w:r>
                    <w:rPr>
                      <w:color w:val="auto"/>
                      <w:kern w:val="0"/>
                      <w:sz w:val="13"/>
                      <w:szCs w:val="13"/>
                      <w:lang w:bidi="ar"/>
                    </w:rPr>
                    <w:t>-59.39</w:t>
                  </w:r>
                </w:p>
              </w:tc>
              <w:tc>
                <w:tcPr>
                  <w:tcW w:w="528" w:type="pct"/>
                  <w:vAlign w:val="center"/>
                </w:tcPr>
                <w:p>
                  <w:pPr>
                    <w:widowControl/>
                    <w:jc w:val="center"/>
                    <w:textAlignment w:val="center"/>
                    <w:rPr>
                      <w:color w:val="auto"/>
                      <w:sz w:val="13"/>
                      <w:szCs w:val="13"/>
                    </w:rPr>
                  </w:pPr>
                  <w:r>
                    <w:rPr>
                      <w:color w:val="auto"/>
                      <w:kern w:val="0"/>
                      <w:sz w:val="13"/>
                      <w:szCs w:val="13"/>
                      <w:lang w:bidi="ar"/>
                    </w:rPr>
                    <w:t>37.51</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37.51</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52</w:t>
                  </w:r>
                </w:p>
              </w:tc>
              <w:tc>
                <w:tcPr>
                  <w:tcW w:w="572" w:type="pct"/>
                  <w:vAlign w:val="center"/>
                </w:tcPr>
                <w:p>
                  <w:pPr>
                    <w:widowControl/>
                    <w:jc w:val="center"/>
                    <w:textAlignment w:val="center"/>
                    <w:rPr>
                      <w:color w:val="auto"/>
                      <w:sz w:val="13"/>
                      <w:szCs w:val="13"/>
                    </w:rPr>
                  </w:pPr>
                  <w:r>
                    <w:rPr>
                      <w:color w:val="auto"/>
                      <w:kern w:val="0"/>
                      <w:sz w:val="13"/>
                      <w:szCs w:val="13"/>
                      <w:lang w:bidi="ar"/>
                    </w:rPr>
                    <w:t>-87.71</w:t>
                  </w:r>
                </w:p>
              </w:tc>
              <w:tc>
                <w:tcPr>
                  <w:tcW w:w="583" w:type="pct"/>
                  <w:vAlign w:val="center"/>
                </w:tcPr>
                <w:p>
                  <w:pPr>
                    <w:widowControl/>
                    <w:jc w:val="center"/>
                    <w:textAlignment w:val="center"/>
                    <w:rPr>
                      <w:color w:val="auto"/>
                      <w:sz w:val="13"/>
                      <w:szCs w:val="13"/>
                    </w:rPr>
                  </w:pPr>
                  <w:r>
                    <w:rPr>
                      <w:color w:val="auto"/>
                      <w:kern w:val="0"/>
                      <w:sz w:val="13"/>
                      <w:szCs w:val="13"/>
                      <w:lang w:bidi="ar"/>
                    </w:rPr>
                    <w:t>-49.74</w:t>
                  </w:r>
                </w:p>
              </w:tc>
              <w:tc>
                <w:tcPr>
                  <w:tcW w:w="528" w:type="pct"/>
                  <w:vAlign w:val="center"/>
                </w:tcPr>
                <w:p>
                  <w:pPr>
                    <w:widowControl/>
                    <w:jc w:val="center"/>
                    <w:textAlignment w:val="center"/>
                    <w:rPr>
                      <w:color w:val="auto"/>
                      <w:sz w:val="13"/>
                      <w:szCs w:val="13"/>
                    </w:rPr>
                  </w:pPr>
                  <w:r>
                    <w:rPr>
                      <w:color w:val="auto"/>
                      <w:kern w:val="0"/>
                      <w:sz w:val="13"/>
                      <w:szCs w:val="13"/>
                      <w:lang w:bidi="ar"/>
                    </w:rPr>
                    <w:t>37.95</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37.95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53</w:t>
                  </w:r>
                </w:p>
              </w:tc>
              <w:tc>
                <w:tcPr>
                  <w:tcW w:w="572" w:type="pct"/>
                  <w:vAlign w:val="center"/>
                </w:tcPr>
                <w:p>
                  <w:pPr>
                    <w:widowControl/>
                    <w:jc w:val="center"/>
                    <w:textAlignment w:val="center"/>
                    <w:rPr>
                      <w:color w:val="auto"/>
                      <w:sz w:val="13"/>
                      <w:szCs w:val="13"/>
                    </w:rPr>
                  </w:pPr>
                  <w:r>
                    <w:rPr>
                      <w:color w:val="auto"/>
                      <w:kern w:val="0"/>
                      <w:sz w:val="13"/>
                      <w:szCs w:val="13"/>
                      <w:lang w:bidi="ar"/>
                    </w:rPr>
                    <w:t>-90.31</w:t>
                  </w:r>
                </w:p>
              </w:tc>
              <w:tc>
                <w:tcPr>
                  <w:tcW w:w="583" w:type="pct"/>
                  <w:vAlign w:val="center"/>
                </w:tcPr>
                <w:p>
                  <w:pPr>
                    <w:widowControl/>
                    <w:jc w:val="center"/>
                    <w:textAlignment w:val="center"/>
                    <w:rPr>
                      <w:color w:val="auto"/>
                      <w:sz w:val="13"/>
                      <w:szCs w:val="13"/>
                    </w:rPr>
                  </w:pPr>
                  <w:r>
                    <w:rPr>
                      <w:color w:val="auto"/>
                      <w:kern w:val="0"/>
                      <w:sz w:val="13"/>
                      <w:szCs w:val="13"/>
                      <w:lang w:bidi="ar"/>
                    </w:rPr>
                    <w:t>-40.08</w:t>
                  </w:r>
                </w:p>
              </w:tc>
              <w:tc>
                <w:tcPr>
                  <w:tcW w:w="528" w:type="pct"/>
                  <w:vAlign w:val="center"/>
                </w:tcPr>
                <w:p>
                  <w:pPr>
                    <w:widowControl/>
                    <w:jc w:val="center"/>
                    <w:textAlignment w:val="center"/>
                    <w:rPr>
                      <w:color w:val="auto"/>
                      <w:sz w:val="13"/>
                      <w:szCs w:val="13"/>
                    </w:rPr>
                  </w:pPr>
                  <w:r>
                    <w:rPr>
                      <w:color w:val="auto"/>
                      <w:kern w:val="0"/>
                      <w:sz w:val="13"/>
                      <w:szCs w:val="13"/>
                      <w:lang w:bidi="ar"/>
                    </w:rPr>
                    <w:t>38.35</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38.35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54</w:t>
                  </w:r>
                </w:p>
              </w:tc>
              <w:tc>
                <w:tcPr>
                  <w:tcW w:w="572" w:type="pct"/>
                  <w:vAlign w:val="center"/>
                </w:tcPr>
                <w:p>
                  <w:pPr>
                    <w:widowControl/>
                    <w:jc w:val="center"/>
                    <w:textAlignment w:val="center"/>
                    <w:rPr>
                      <w:color w:val="auto"/>
                      <w:sz w:val="13"/>
                      <w:szCs w:val="13"/>
                    </w:rPr>
                  </w:pPr>
                  <w:r>
                    <w:rPr>
                      <w:color w:val="auto"/>
                      <w:kern w:val="0"/>
                      <w:sz w:val="13"/>
                      <w:szCs w:val="13"/>
                      <w:lang w:bidi="ar"/>
                    </w:rPr>
                    <w:t>-92.92</w:t>
                  </w:r>
                </w:p>
              </w:tc>
              <w:tc>
                <w:tcPr>
                  <w:tcW w:w="583" w:type="pct"/>
                  <w:vAlign w:val="center"/>
                </w:tcPr>
                <w:p>
                  <w:pPr>
                    <w:widowControl/>
                    <w:jc w:val="center"/>
                    <w:textAlignment w:val="center"/>
                    <w:rPr>
                      <w:color w:val="auto"/>
                      <w:sz w:val="13"/>
                      <w:szCs w:val="13"/>
                    </w:rPr>
                  </w:pPr>
                  <w:r>
                    <w:rPr>
                      <w:color w:val="auto"/>
                      <w:kern w:val="0"/>
                      <w:sz w:val="13"/>
                      <w:szCs w:val="13"/>
                      <w:lang w:bidi="ar"/>
                    </w:rPr>
                    <w:t>-30.43</w:t>
                  </w:r>
                </w:p>
              </w:tc>
              <w:tc>
                <w:tcPr>
                  <w:tcW w:w="528" w:type="pct"/>
                  <w:vAlign w:val="center"/>
                </w:tcPr>
                <w:p>
                  <w:pPr>
                    <w:widowControl/>
                    <w:jc w:val="center"/>
                    <w:textAlignment w:val="center"/>
                    <w:rPr>
                      <w:color w:val="auto"/>
                      <w:sz w:val="13"/>
                      <w:szCs w:val="13"/>
                    </w:rPr>
                  </w:pPr>
                  <w:r>
                    <w:rPr>
                      <w:color w:val="auto"/>
                      <w:kern w:val="0"/>
                      <w:sz w:val="13"/>
                      <w:szCs w:val="13"/>
                      <w:lang w:bidi="ar"/>
                    </w:rPr>
                    <w:t>38.7</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38.7</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72" w:type="pct"/>
                  <w:vAlign w:val="center"/>
                </w:tcPr>
                <w:p>
                  <w:pPr>
                    <w:widowControl/>
                    <w:jc w:val="center"/>
                    <w:textAlignment w:val="center"/>
                    <w:rPr>
                      <w:color w:val="auto"/>
                      <w:sz w:val="13"/>
                      <w:szCs w:val="13"/>
                    </w:rPr>
                  </w:pPr>
                  <w:r>
                    <w:rPr>
                      <w:color w:val="auto"/>
                      <w:kern w:val="0"/>
                      <w:sz w:val="13"/>
                      <w:szCs w:val="13"/>
                      <w:lang w:bidi="ar"/>
                    </w:rPr>
                    <w:t>-95.52</w:t>
                  </w:r>
                </w:p>
              </w:tc>
              <w:tc>
                <w:tcPr>
                  <w:tcW w:w="583" w:type="pct"/>
                  <w:vAlign w:val="center"/>
                </w:tcPr>
                <w:p>
                  <w:pPr>
                    <w:widowControl/>
                    <w:jc w:val="center"/>
                    <w:textAlignment w:val="center"/>
                    <w:rPr>
                      <w:color w:val="auto"/>
                      <w:sz w:val="13"/>
                      <w:szCs w:val="13"/>
                    </w:rPr>
                  </w:pPr>
                  <w:r>
                    <w:rPr>
                      <w:color w:val="auto"/>
                      <w:kern w:val="0"/>
                      <w:sz w:val="13"/>
                      <w:szCs w:val="13"/>
                      <w:lang w:bidi="ar"/>
                    </w:rPr>
                    <w:t>-20.77</w:t>
                  </w:r>
                </w:p>
              </w:tc>
              <w:tc>
                <w:tcPr>
                  <w:tcW w:w="528" w:type="pct"/>
                  <w:vAlign w:val="center"/>
                </w:tcPr>
                <w:p>
                  <w:pPr>
                    <w:widowControl/>
                    <w:jc w:val="center"/>
                    <w:textAlignment w:val="center"/>
                    <w:rPr>
                      <w:color w:val="auto"/>
                      <w:sz w:val="13"/>
                      <w:szCs w:val="13"/>
                    </w:rPr>
                  </w:pPr>
                  <w:r>
                    <w:rPr>
                      <w:color w:val="auto"/>
                      <w:kern w:val="0"/>
                      <w:sz w:val="13"/>
                      <w:szCs w:val="13"/>
                      <w:lang w:bidi="ar"/>
                    </w:rPr>
                    <w:t>38.97</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38.97</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56</w:t>
                  </w:r>
                </w:p>
              </w:tc>
              <w:tc>
                <w:tcPr>
                  <w:tcW w:w="572" w:type="pct"/>
                  <w:vAlign w:val="center"/>
                </w:tcPr>
                <w:p>
                  <w:pPr>
                    <w:widowControl/>
                    <w:jc w:val="center"/>
                    <w:textAlignment w:val="center"/>
                    <w:rPr>
                      <w:color w:val="auto"/>
                      <w:sz w:val="13"/>
                      <w:szCs w:val="13"/>
                    </w:rPr>
                  </w:pPr>
                  <w:r>
                    <w:rPr>
                      <w:color w:val="auto"/>
                      <w:kern w:val="0"/>
                      <w:sz w:val="13"/>
                      <w:szCs w:val="13"/>
                      <w:lang w:bidi="ar"/>
                    </w:rPr>
                    <w:t>-98.12</w:t>
                  </w:r>
                </w:p>
              </w:tc>
              <w:tc>
                <w:tcPr>
                  <w:tcW w:w="583" w:type="pct"/>
                  <w:vAlign w:val="center"/>
                </w:tcPr>
                <w:p>
                  <w:pPr>
                    <w:widowControl/>
                    <w:jc w:val="center"/>
                    <w:textAlignment w:val="center"/>
                    <w:rPr>
                      <w:color w:val="auto"/>
                      <w:sz w:val="13"/>
                      <w:szCs w:val="13"/>
                    </w:rPr>
                  </w:pPr>
                  <w:r>
                    <w:rPr>
                      <w:color w:val="auto"/>
                      <w:kern w:val="0"/>
                      <w:sz w:val="13"/>
                      <w:szCs w:val="13"/>
                      <w:lang w:bidi="ar"/>
                    </w:rPr>
                    <w:t>-11.12</w:t>
                  </w:r>
                </w:p>
              </w:tc>
              <w:tc>
                <w:tcPr>
                  <w:tcW w:w="528" w:type="pct"/>
                  <w:vAlign w:val="center"/>
                </w:tcPr>
                <w:p>
                  <w:pPr>
                    <w:widowControl/>
                    <w:jc w:val="center"/>
                    <w:textAlignment w:val="center"/>
                    <w:rPr>
                      <w:color w:val="auto"/>
                      <w:sz w:val="13"/>
                      <w:szCs w:val="13"/>
                    </w:rPr>
                  </w:pPr>
                  <w:r>
                    <w:rPr>
                      <w:color w:val="auto"/>
                      <w:kern w:val="0"/>
                      <w:sz w:val="13"/>
                      <w:szCs w:val="13"/>
                      <w:lang w:bidi="ar"/>
                    </w:rPr>
                    <w:t>39.16</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39.16</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57</w:t>
                  </w:r>
                </w:p>
              </w:tc>
              <w:tc>
                <w:tcPr>
                  <w:tcW w:w="572" w:type="pct"/>
                  <w:vAlign w:val="center"/>
                </w:tcPr>
                <w:p>
                  <w:pPr>
                    <w:widowControl/>
                    <w:jc w:val="center"/>
                    <w:textAlignment w:val="center"/>
                    <w:rPr>
                      <w:color w:val="auto"/>
                      <w:sz w:val="13"/>
                      <w:szCs w:val="13"/>
                    </w:rPr>
                  </w:pPr>
                  <w:r>
                    <w:rPr>
                      <w:color w:val="auto"/>
                      <w:kern w:val="0"/>
                      <w:sz w:val="13"/>
                      <w:szCs w:val="13"/>
                      <w:lang w:bidi="ar"/>
                    </w:rPr>
                    <w:t>-99.26</w:t>
                  </w:r>
                </w:p>
              </w:tc>
              <w:tc>
                <w:tcPr>
                  <w:tcW w:w="583" w:type="pct"/>
                  <w:vAlign w:val="center"/>
                </w:tcPr>
                <w:p>
                  <w:pPr>
                    <w:widowControl/>
                    <w:jc w:val="center"/>
                    <w:textAlignment w:val="center"/>
                    <w:rPr>
                      <w:color w:val="auto"/>
                      <w:sz w:val="13"/>
                      <w:szCs w:val="13"/>
                    </w:rPr>
                  </w:pPr>
                  <w:r>
                    <w:rPr>
                      <w:color w:val="auto"/>
                      <w:kern w:val="0"/>
                      <w:sz w:val="13"/>
                      <w:szCs w:val="13"/>
                      <w:lang w:bidi="ar"/>
                    </w:rPr>
                    <w:t>-6.9</w:t>
                  </w:r>
                </w:p>
              </w:tc>
              <w:tc>
                <w:tcPr>
                  <w:tcW w:w="528" w:type="pct"/>
                  <w:vAlign w:val="center"/>
                </w:tcPr>
                <w:p>
                  <w:pPr>
                    <w:widowControl/>
                    <w:jc w:val="center"/>
                    <w:textAlignment w:val="center"/>
                    <w:rPr>
                      <w:color w:val="auto"/>
                      <w:sz w:val="13"/>
                      <w:szCs w:val="13"/>
                    </w:rPr>
                  </w:pPr>
                  <w:r>
                    <w:rPr>
                      <w:color w:val="auto"/>
                      <w:kern w:val="0"/>
                      <w:sz w:val="13"/>
                      <w:szCs w:val="13"/>
                      <w:lang w:bidi="ar"/>
                    </w:rPr>
                    <w:t>39.21</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39.21</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58</w:t>
                  </w:r>
                </w:p>
              </w:tc>
              <w:tc>
                <w:tcPr>
                  <w:tcW w:w="572" w:type="pct"/>
                  <w:vAlign w:val="center"/>
                </w:tcPr>
                <w:p>
                  <w:pPr>
                    <w:widowControl/>
                    <w:jc w:val="center"/>
                    <w:textAlignment w:val="center"/>
                    <w:rPr>
                      <w:color w:val="auto"/>
                      <w:sz w:val="13"/>
                      <w:szCs w:val="13"/>
                    </w:rPr>
                  </w:pPr>
                  <w:r>
                    <w:rPr>
                      <w:color w:val="auto"/>
                      <w:kern w:val="0"/>
                      <w:sz w:val="13"/>
                      <w:szCs w:val="13"/>
                      <w:lang w:bidi="ar"/>
                    </w:rPr>
                    <w:t>-92.63</w:t>
                  </w:r>
                </w:p>
              </w:tc>
              <w:tc>
                <w:tcPr>
                  <w:tcW w:w="583" w:type="pct"/>
                  <w:vAlign w:val="center"/>
                </w:tcPr>
                <w:p>
                  <w:pPr>
                    <w:widowControl/>
                    <w:jc w:val="center"/>
                    <w:textAlignment w:val="center"/>
                    <w:rPr>
                      <w:color w:val="auto"/>
                      <w:sz w:val="13"/>
                      <w:szCs w:val="13"/>
                    </w:rPr>
                  </w:pPr>
                  <w:r>
                    <w:rPr>
                      <w:color w:val="auto"/>
                      <w:kern w:val="0"/>
                      <w:sz w:val="13"/>
                      <w:szCs w:val="13"/>
                      <w:lang w:bidi="ar"/>
                    </w:rPr>
                    <w:t>0.59</w:t>
                  </w:r>
                </w:p>
              </w:tc>
              <w:tc>
                <w:tcPr>
                  <w:tcW w:w="528" w:type="pct"/>
                  <w:vAlign w:val="center"/>
                </w:tcPr>
                <w:p>
                  <w:pPr>
                    <w:widowControl/>
                    <w:jc w:val="center"/>
                    <w:textAlignment w:val="center"/>
                    <w:rPr>
                      <w:color w:val="auto"/>
                      <w:sz w:val="13"/>
                      <w:szCs w:val="13"/>
                    </w:rPr>
                  </w:pPr>
                  <w:r>
                    <w:rPr>
                      <w:color w:val="auto"/>
                      <w:kern w:val="0"/>
                      <w:sz w:val="13"/>
                      <w:szCs w:val="13"/>
                      <w:lang w:bidi="ar"/>
                    </w:rPr>
                    <w:t>40.12</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40.12</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59</w:t>
                  </w:r>
                </w:p>
              </w:tc>
              <w:tc>
                <w:tcPr>
                  <w:tcW w:w="572" w:type="pct"/>
                  <w:vAlign w:val="center"/>
                </w:tcPr>
                <w:p>
                  <w:pPr>
                    <w:widowControl/>
                    <w:jc w:val="center"/>
                    <w:textAlignment w:val="center"/>
                    <w:rPr>
                      <w:color w:val="auto"/>
                      <w:sz w:val="13"/>
                      <w:szCs w:val="13"/>
                    </w:rPr>
                  </w:pPr>
                  <w:r>
                    <w:rPr>
                      <w:color w:val="auto"/>
                      <w:kern w:val="0"/>
                      <w:sz w:val="13"/>
                      <w:szCs w:val="13"/>
                      <w:lang w:bidi="ar"/>
                    </w:rPr>
                    <w:t>-86.01</w:t>
                  </w:r>
                </w:p>
              </w:tc>
              <w:tc>
                <w:tcPr>
                  <w:tcW w:w="583" w:type="pct"/>
                  <w:vAlign w:val="center"/>
                </w:tcPr>
                <w:p>
                  <w:pPr>
                    <w:widowControl/>
                    <w:jc w:val="center"/>
                    <w:textAlignment w:val="center"/>
                    <w:rPr>
                      <w:color w:val="auto"/>
                      <w:sz w:val="13"/>
                      <w:szCs w:val="13"/>
                    </w:rPr>
                  </w:pPr>
                  <w:r>
                    <w:rPr>
                      <w:color w:val="auto"/>
                      <w:kern w:val="0"/>
                      <w:sz w:val="13"/>
                      <w:szCs w:val="13"/>
                      <w:lang w:bidi="ar"/>
                    </w:rPr>
                    <w:t>8.08</w:t>
                  </w:r>
                </w:p>
              </w:tc>
              <w:tc>
                <w:tcPr>
                  <w:tcW w:w="528" w:type="pct"/>
                  <w:vAlign w:val="center"/>
                </w:tcPr>
                <w:p>
                  <w:pPr>
                    <w:widowControl/>
                    <w:jc w:val="center"/>
                    <w:textAlignment w:val="center"/>
                    <w:rPr>
                      <w:color w:val="auto"/>
                      <w:sz w:val="13"/>
                      <w:szCs w:val="13"/>
                    </w:rPr>
                  </w:pPr>
                  <w:r>
                    <w:rPr>
                      <w:color w:val="auto"/>
                      <w:kern w:val="0"/>
                      <w:sz w:val="13"/>
                      <w:szCs w:val="13"/>
                      <w:lang w:bidi="ar"/>
                    </w:rPr>
                    <w:t>41.11</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41.11</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60</w:t>
                  </w:r>
                </w:p>
              </w:tc>
              <w:tc>
                <w:tcPr>
                  <w:tcW w:w="572" w:type="pct"/>
                  <w:vAlign w:val="center"/>
                </w:tcPr>
                <w:p>
                  <w:pPr>
                    <w:widowControl/>
                    <w:jc w:val="center"/>
                    <w:textAlignment w:val="center"/>
                    <w:rPr>
                      <w:color w:val="auto"/>
                      <w:sz w:val="13"/>
                      <w:szCs w:val="13"/>
                    </w:rPr>
                  </w:pPr>
                  <w:r>
                    <w:rPr>
                      <w:color w:val="auto"/>
                      <w:kern w:val="0"/>
                      <w:sz w:val="13"/>
                      <w:szCs w:val="13"/>
                      <w:lang w:bidi="ar"/>
                    </w:rPr>
                    <w:t>-79.38</w:t>
                  </w:r>
                </w:p>
              </w:tc>
              <w:tc>
                <w:tcPr>
                  <w:tcW w:w="583" w:type="pct"/>
                  <w:vAlign w:val="center"/>
                </w:tcPr>
                <w:p>
                  <w:pPr>
                    <w:widowControl/>
                    <w:jc w:val="center"/>
                    <w:textAlignment w:val="center"/>
                    <w:rPr>
                      <w:color w:val="auto"/>
                      <w:sz w:val="13"/>
                      <w:szCs w:val="13"/>
                    </w:rPr>
                  </w:pPr>
                  <w:r>
                    <w:rPr>
                      <w:color w:val="auto"/>
                      <w:kern w:val="0"/>
                      <w:sz w:val="13"/>
                      <w:szCs w:val="13"/>
                      <w:lang w:bidi="ar"/>
                    </w:rPr>
                    <w:t>15.57</w:t>
                  </w:r>
                </w:p>
              </w:tc>
              <w:tc>
                <w:tcPr>
                  <w:tcW w:w="528" w:type="pct"/>
                  <w:vAlign w:val="center"/>
                </w:tcPr>
                <w:p>
                  <w:pPr>
                    <w:widowControl/>
                    <w:jc w:val="center"/>
                    <w:textAlignment w:val="center"/>
                    <w:rPr>
                      <w:color w:val="auto"/>
                      <w:sz w:val="13"/>
                      <w:szCs w:val="13"/>
                    </w:rPr>
                  </w:pPr>
                  <w:r>
                    <w:rPr>
                      <w:color w:val="auto"/>
                      <w:kern w:val="0"/>
                      <w:sz w:val="13"/>
                      <w:szCs w:val="13"/>
                      <w:lang w:bidi="ar"/>
                    </w:rPr>
                    <w:t>42.16</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42.16</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61</w:t>
                  </w:r>
                </w:p>
              </w:tc>
              <w:tc>
                <w:tcPr>
                  <w:tcW w:w="572" w:type="pct"/>
                  <w:vAlign w:val="center"/>
                </w:tcPr>
                <w:p>
                  <w:pPr>
                    <w:widowControl/>
                    <w:jc w:val="center"/>
                    <w:textAlignment w:val="center"/>
                    <w:rPr>
                      <w:color w:val="auto"/>
                      <w:sz w:val="13"/>
                      <w:szCs w:val="13"/>
                    </w:rPr>
                  </w:pPr>
                  <w:r>
                    <w:rPr>
                      <w:color w:val="auto"/>
                      <w:kern w:val="0"/>
                      <w:sz w:val="13"/>
                      <w:szCs w:val="13"/>
                      <w:lang w:bidi="ar"/>
                    </w:rPr>
                    <w:t>-72.76</w:t>
                  </w:r>
                </w:p>
              </w:tc>
              <w:tc>
                <w:tcPr>
                  <w:tcW w:w="583" w:type="pct"/>
                  <w:vAlign w:val="center"/>
                </w:tcPr>
                <w:p>
                  <w:pPr>
                    <w:widowControl/>
                    <w:jc w:val="center"/>
                    <w:textAlignment w:val="center"/>
                    <w:rPr>
                      <w:color w:val="auto"/>
                      <w:sz w:val="13"/>
                      <w:szCs w:val="13"/>
                    </w:rPr>
                  </w:pPr>
                  <w:r>
                    <w:rPr>
                      <w:color w:val="auto"/>
                      <w:kern w:val="0"/>
                      <w:sz w:val="13"/>
                      <w:szCs w:val="13"/>
                      <w:lang w:bidi="ar"/>
                    </w:rPr>
                    <w:t>23.06</w:t>
                  </w:r>
                </w:p>
              </w:tc>
              <w:tc>
                <w:tcPr>
                  <w:tcW w:w="528" w:type="pct"/>
                  <w:vAlign w:val="center"/>
                </w:tcPr>
                <w:p>
                  <w:pPr>
                    <w:widowControl/>
                    <w:jc w:val="center"/>
                    <w:textAlignment w:val="center"/>
                    <w:rPr>
                      <w:color w:val="auto"/>
                      <w:sz w:val="13"/>
                      <w:szCs w:val="13"/>
                    </w:rPr>
                  </w:pPr>
                  <w:r>
                    <w:rPr>
                      <w:color w:val="auto"/>
                      <w:kern w:val="0"/>
                      <w:sz w:val="13"/>
                      <w:szCs w:val="13"/>
                      <w:lang w:bidi="ar"/>
                    </w:rPr>
                    <w:t>43.27</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43.27</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62</w:t>
                  </w:r>
                </w:p>
              </w:tc>
              <w:tc>
                <w:tcPr>
                  <w:tcW w:w="572" w:type="pct"/>
                  <w:vAlign w:val="center"/>
                </w:tcPr>
                <w:p>
                  <w:pPr>
                    <w:widowControl/>
                    <w:jc w:val="center"/>
                    <w:textAlignment w:val="center"/>
                    <w:rPr>
                      <w:color w:val="auto"/>
                      <w:sz w:val="13"/>
                      <w:szCs w:val="13"/>
                    </w:rPr>
                  </w:pPr>
                  <w:r>
                    <w:rPr>
                      <w:color w:val="auto"/>
                      <w:kern w:val="0"/>
                      <w:sz w:val="13"/>
                      <w:szCs w:val="13"/>
                      <w:lang w:bidi="ar"/>
                    </w:rPr>
                    <w:t>-66.13</w:t>
                  </w:r>
                </w:p>
              </w:tc>
              <w:tc>
                <w:tcPr>
                  <w:tcW w:w="583" w:type="pct"/>
                  <w:vAlign w:val="center"/>
                </w:tcPr>
                <w:p>
                  <w:pPr>
                    <w:widowControl/>
                    <w:jc w:val="center"/>
                    <w:textAlignment w:val="center"/>
                    <w:rPr>
                      <w:color w:val="auto"/>
                      <w:sz w:val="13"/>
                      <w:szCs w:val="13"/>
                    </w:rPr>
                  </w:pPr>
                  <w:r>
                    <w:rPr>
                      <w:color w:val="auto"/>
                      <w:kern w:val="0"/>
                      <w:sz w:val="13"/>
                      <w:szCs w:val="13"/>
                      <w:lang w:bidi="ar"/>
                    </w:rPr>
                    <w:t>30.55</w:t>
                  </w:r>
                </w:p>
              </w:tc>
              <w:tc>
                <w:tcPr>
                  <w:tcW w:w="528" w:type="pct"/>
                  <w:vAlign w:val="center"/>
                </w:tcPr>
                <w:p>
                  <w:pPr>
                    <w:widowControl/>
                    <w:jc w:val="center"/>
                    <w:textAlignment w:val="center"/>
                    <w:rPr>
                      <w:color w:val="auto"/>
                      <w:sz w:val="13"/>
                      <w:szCs w:val="13"/>
                    </w:rPr>
                  </w:pPr>
                  <w:r>
                    <w:rPr>
                      <w:color w:val="auto"/>
                      <w:kern w:val="0"/>
                      <w:sz w:val="13"/>
                      <w:szCs w:val="13"/>
                      <w:lang w:bidi="ar"/>
                    </w:rPr>
                    <w:t>44.41</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44.41</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63</w:t>
                  </w:r>
                </w:p>
              </w:tc>
              <w:tc>
                <w:tcPr>
                  <w:tcW w:w="572" w:type="pct"/>
                  <w:vAlign w:val="center"/>
                </w:tcPr>
                <w:p>
                  <w:pPr>
                    <w:widowControl/>
                    <w:jc w:val="center"/>
                    <w:textAlignment w:val="center"/>
                    <w:rPr>
                      <w:color w:val="auto"/>
                      <w:sz w:val="13"/>
                      <w:szCs w:val="13"/>
                    </w:rPr>
                  </w:pPr>
                  <w:r>
                    <w:rPr>
                      <w:color w:val="auto"/>
                      <w:kern w:val="0"/>
                      <w:sz w:val="13"/>
                      <w:szCs w:val="13"/>
                      <w:lang w:bidi="ar"/>
                    </w:rPr>
                    <w:t>-59.5</w:t>
                  </w:r>
                </w:p>
              </w:tc>
              <w:tc>
                <w:tcPr>
                  <w:tcW w:w="583" w:type="pct"/>
                  <w:vAlign w:val="center"/>
                </w:tcPr>
                <w:p>
                  <w:pPr>
                    <w:widowControl/>
                    <w:jc w:val="center"/>
                    <w:textAlignment w:val="center"/>
                    <w:rPr>
                      <w:color w:val="auto"/>
                      <w:sz w:val="13"/>
                      <w:szCs w:val="13"/>
                    </w:rPr>
                  </w:pPr>
                  <w:r>
                    <w:rPr>
                      <w:color w:val="auto"/>
                      <w:kern w:val="0"/>
                      <w:sz w:val="13"/>
                      <w:szCs w:val="13"/>
                      <w:lang w:bidi="ar"/>
                    </w:rPr>
                    <w:t>38.04</w:t>
                  </w:r>
                </w:p>
              </w:tc>
              <w:tc>
                <w:tcPr>
                  <w:tcW w:w="528" w:type="pct"/>
                  <w:vAlign w:val="center"/>
                </w:tcPr>
                <w:p>
                  <w:pPr>
                    <w:widowControl/>
                    <w:jc w:val="center"/>
                    <w:textAlignment w:val="center"/>
                    <w:rPr>
                      <w:color w:val="auto"/>
                      <w:sz w:val="13"/>
                      <w:szCs w:val="13"/>
                    </w:rPr>
                  </w:pPr>
                  <w:r>
                    <w:rPr>
                      <w:color w:val="auto"/>
                      <w:kern w:val="0"/>
                      <w:sz w:val="13"/>
                      <w:szCs w:val="13"/>
                      <w:lang w:bidi="ar"/>
                    </w:rPr>
                    <w:t>45.51</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45.51</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64</w:t>
                  </w:r>
                </w:p>
              </w:tc>
              <w:tc>
                <w:tcPr>
                  <w:tcW w:w="572" w:type="pct"/>
                  <w:vAlign w:val="center"/>
                </w:tcPr>
                <w:p>
                  <w:pPr>
                    <w:widowControl/>
                    <w:jc w:val="center"/>
                    <w:textAlignment w:val="center"/>
                    <w:rPr>
                      <w:color w:val="auto"/>
                      <w:sz w:val="13"/>
                      <w:szCs w:val="13"/>
                    </w:rPr>
                  </w:pPr>
                  <w:r>
                    <w:rPr>
                      <w:color w:val="auto"/>
                      <w:kern w:val="0"/>
                      <w:sz w:val="13"/>
                      <w:szCs w:val="13"/>
                      <w:lang w:bidi="ar"/>
                    </w:rPr>
                    <w:t>-52.88</w:t>
                  </w:r>
                </w:p>
              </w:tc>
              <w:tc>
                <w:tcPr>
                  <w:tcW w:w="583" w:type="pct"/>
                  <w:vAlign w:val="center"/>
                </w:tcPr>
                <w:p>
                  <w:pPr>
                    <w:widowControl/>
                    <w:jc w:val="center"/>
                    <w:textAlignment w:val="center"/>
                    <w:rPr>
                      <w:color w:val="auto"/>
                      <w:sz w:val="13"/>
                      <w:szCs w:val="13"/>
                    </w:rPr>
                  </w:pPr>
                  <w:r>
                    <w:rPr>
                      <w:color w:val="auto"/>
                      <w:kern w:val="0"/>
                      <w:sz w:val="13"/>
                      <w:szCs w:val="13"/>
                      <w:lang w:bidi="ar"/>
                    </w:rPr>
                    <w:t>45.53</w:t>
                  </w:r>
                </w:p>
              </w:tc>
              <w:tc>
                <w:tcPr>
                  <w:tcW w:w="528" w:type="pct"/>
                  <w:vAlign w:val="center"/>
                </w:tcPr>
                <w:p>
                  <w:pPr>
                    <w:widowControl/>
                    <w:jc w:val="center"/>
                    <w:textAlignment w:val="center"/>
                    <w:rPr>
                      <w:color w:val="auto"/>
                      <w:sz w:val="13"/>
                      <w:szCs w:val="13"/>
                    </w:rPr>
                  </w:pPr>
                  <w:r>
                    <w:rPr>
                      <w:color w:val="auto"/>
                      <w:kern w:val="0"/>
                      <w:sz w:val="13"/>
                      <w:szCs w:val="13"/>
                      <w:lang w:bidi="ar"/>
                    </w:rPr>
                    <w:t>46.44</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46.44</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72" w:type="pct"/>
                  <w:vAlign w:val="center"/>
                </w:tcPr>
                <w:p>
                  <w:pPr>
                    <w:widowControl/>
                    <w:jc w:val="center"/>
                    <w:textAlignment w:val="center"/>
                    <w:rPr>
                      <w:color w:val="auto"/>
                      <w:sz w:val="13"/>
                      <w:szCs w:val="13"/>
                    </w:rPr>
                  </w:pPr>
                  <w:r>
                    <w:rPr>
                      <w:color w:val="auto"/>
                      <w:kern w:val="0"/>
                      <w:sz w:val="13"/>
                      <w:szCs w:val="13"/>
                      <w:lang w:bidi="ar"/>
                    </w:rPr>
                    <w:t>-46.25</w:t>
                  </w:r>
                </w:p>
              </w:tc>
              <w:tc>
                <w:tcPr>
                  <w:tcW w:w="583" w:type="pct"/>
                  <w:vAlign w:val="center"/>
                </w:tcPr>
                <w:p>
                  <w:pPr>
                    <w:widowControl/>
                    <w:jc w:val="center"/>
                    <w:textAlignment w:val="center"/>
                    <w:rPr>
                      <w:color w:val="auto"/>
                      <w:sz w:val="13"/>
                      <w:szCs w:val="13"/>
                    </w:rPr>
                  </w:pPr>
                  <w:r>
                    <w:rPr>
                      <w:color w:val="auto"/>
                      <w:kern w:val="0"/>
                      <w:sz w:val="13"/>
                      <w:szCs w:val="13"/>
                      <w:lang w:bidi="ar"/>
                    </w:rPr>
                    <w:t>53.02</w:t>
                  </w:r>
                </w:p>
              </w:tc>
              <w:tc>
                <w:tcPr>
                  <w:tcW w:w="528" w:type="pct"/>
                  <w:vAlign w:val="center"/>
                </w:tcPr>
                <w:p>
                  <w:pPr>
                    <w:widowControl/>
                    <w:jc w:val="center"/>
                    <w:textAlignment w:val="center"/>
                    <w:rPr>
                      <w:color w:val="auto"/>
                      <w:sz w:val="13"/>
                      <w:szCs w:val="13"/>
                    </w:rPr>
                  </w:pPr>
                  <w:r>
                    <w:rPr>
                      <w:color w:val="auto"/>
                      <w:kern w:val="0"/>
                      <w:sz w:val="13"/>
                      <w:szCs w:val="13"/>
                      <w:lang w:bidi="ar"/>
                    </w:rPr>
                    <w:t>47.02</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47.02</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66</w:t>
                  </w:r>
                </w:p>
              </w:tc>
              <w:tc>
                <w:tcPr>
                  <w:tcW w:w="572" w:type="pct"/>
                  <w:vAlign w:val="center"/>
                </w:tcPr>
                <w:p>
                  <w:pPr>
                    <w:widowControl/>
                    <w:jc w:val="center"/>
                    <w:textAlignment w:val="center"/>
                    <w:rPr>
                      <w:color w:val="auto"/>
                      <w:sz w:val="13"/>
                      <w:szCs w:val="13"/>
                    </w:rPr>
                  </w:pPr>
                  <w:r>
                    <w:rPr>
                      <w:color w:val="auto"/>
                      <w:kern w:val="0"/>
                      <w:sz w:val="13"/>
                      <w:szCs w:val="13"/>
                      <w:lang w:bidi="ar"/>
                    </w:rPr>
                    <w:t>-39.63</w:t>
                  </w:r>
                </w:p>
              </w:tc>
              <w:tc>
                <w:tcPr>
                  <w:tcW w:w="583" w:type="pct"/>
                  <w:vAlign w:val="center"/>
                </w:tcPr>
                <w:p>
                  <w:pPr>
                    <w:widowControl/>
                    <w:jc w:val="center"/>
                    <w:textAlignment w:val="center"/>
                    <w:rPr>
                      <w:color w:val="auto"/>
                      <w:sz w:val="13"/>
                      <w:szCs w:val="13"/>
                    </w:rPr>
                  </w:pPr>
                  <w:r>
                    <w:rPr>
                      <w:color w:val="auto"/>
                      <w:kern w:val="0"/>
                      <w:sz w:val="13"/>
                      <w:szCs w:val="13"/>
                      <w:lang w:bidi="ar"/>
                    </w:rPr>
                    <w:t>60.51</w:t>
                  </w:r>
                </w:p>
              </w:tc>
              <w:tc>
                <w:tcPr>
                  <w:tcW w:w="528" w:type="pct"/>
                  <w:vAlign w:val="center"/>
                </w:tcPr>
                <w:p>
                  <w:pPr>
                    <w:widowControl/>
                    <w:jc w:val="center"/>
                    <w:textAlignment w:val="center"/>
                    <w:rPr>
                      <w:color w:val="auto"/>
                      <w:sz w:val="13"/>
                      <w:szCs w:val="13"/>
                    </w:rPr>
                  </w:pPr>
                  <w:r>
                    <w:rPr>
                      <w:color w:val="auto"/>
                      <w:kern w:val="0"/>
                      <w:sz w:val="13"/>
                      <w:szCs w:val="13"/>
                      <w:lang w:bidi="ar"/>
                    </w:rPr>
                    <w:t>47.1</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47.1</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67</w:t>
                  </w:r>
                </w:p>
              </w:tc>
              <w:tc>
                <w:tcPr>
                  <w:tcW w:w="572" w:type="pct"/>
                  <w:vAlign w:val="center"/>
                </w:tcPr>
                <w:p>
                  <w:pPr>
                    <w:widowControl/>
                    <w:jc w:val="center"/>
                    <w:textAlignment w:val="center"/>
                    <w:rPr>
                      <w:color w:val="auto"/>
                      <w:sz w:val="13"/>
                      <w:szCs w:val="13"/>
                    </w:rPr>
                  </w:pPr>
                  <w:r>
                    <w:rPr>
                      <w:color w:val="auto"/>
                      <w:kern w:val="0"/>
                      <w:sz w:val="13"/>
                      <w:szCs w:val="13"/>
                      <w:lang w:bidi="ar"/>
                    </w:rPr>
                    <w:t>-33</w:t>
                  </w:r>
                </w:p>
              </w:tc>
              <w:tc>
                <w:tcPr>
                  <w:tcW w:w="583" w:type="pct"/>
                  <w:vAlign w:val="center"/>
                </w:tcPr>
                <w:p>
                  <w:pPr>
                    <w:widowControl/>
                    <w:jc w:val="center"/>
                    <w:textAlignment w:val="center"/>
                    <w:rPr>
                      <w:color w:val="auto"/>
                      <w:sz w:val="13"/>
                      <w:szCs w:val="13"/>
                    </w:rPr>
                  </w:pPr>
                  <w:r>
                    <w:rPr>
                      <w:color w:val="auto"/>
                      <w:kern w:val="0"/>
                      <w:sz w:val="13"/>
                      <w:szCs w:val="13"/>
                      <w:lang w:bidi="ar"/>
                    </w:rPr>
                    <w:t>68</w:t>
                  </w:r>
                </w:p>
              </w:tc>
              <w:tc>
                <w:tcPr>
                  <w:tcW w:w="528" w:type="pct"/>
                  <w:vAlign w:val="center"/>
                </w:tcPr>
                <w:p>
                  <w:pPr>
                    <w:widowControl/>
                    <w:jc w:val="center"/>
                    <w:textAlignment w:val="center"/>
                    <w:rPr>
                      <w:color w:val="auto"/>
                      <w:sz w:val="13"/>
                      <w:szCs w:val="13"/>
                    </w:rPr>
                  </w:pPr>
                  <w:r>
                    <w:rPr>
                      <w:color w:val="auto"/>
                      <w:kern w:val="0"/>
                      <w:sz w:val="13"/>
                      <w:szCs w:val="13"/>
                      <w:lang w:bidi="ar"/>
                    </w:rPr>
                    <w:t>46.61</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46.61</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68</w:t>
                  </w:r>
                </w:p>
              </w:tc>
              <w:tc>
                <w:tcPr>
                  <w:tcW w:w="572" w:type="pct"/>
                  <w:vAlign w:val="center"/>
                </w:tcPr>
                <w:p>
                  <w:pPr>
                    <w:widowControl/>
                    <w:jc w:val="center"/>
                    <w:textAlignment w:val="center"/>
                    <w:rPr>
                      <w:color w:val="auto"/>
                      <w:sz w:val="13"/>
                      <w:szCs w:val="13"/>
                    </w:rPr>
                  </w:pPr>
                  <w:r>
                    <w:rPr>
                      <w:color w:val="auto"/>
                      <w:kern w:val="0"/>
                      <w:sz w:val="13"/>
                      <w:szCs w:val="13"/>
                      <w:lang w:bidi="ar"/>
                    </w:rPr>
                    <w:t>-26.37</w:t>
                  </w:r>
                </w:p>
              </w:tc>
              <w:tc>
                <w:tcPr>
                  <w:tcW w:w="583" w:type="pct"/>
                  <w:vAlign w:val="center"/>
                </w:tcPr>
                <w:p>
                  <w:pPr>
                    <w:widowControl/>
                    <w:jc w:val="center"/>
                    <w:textAlignment w:val="center"/>
                    <w:rPr>
                      <w:color w:val="auto"/>
                      <w:sz w:val="13"/>
                      <w:szCs w:val="13"/>
                    </w:rPr>
                  </w:pPr>
                  <w:r>
                    <w:rPr>
                      <w:color w:val="auto"/>
                      <w:kern w:val="0"/>
                      <w:sz w:val="13"/>
                      <w:szCs w:val="13"/>
                      <w:lang w:bidi="ar"/>
                    </w:rPr>
                    <w:t>75.49</w:t>
                  </w:r>
                </w:p>
              </w:tc>
              <w:tc>
                <w:tcPr>
                  <w:tcW w:w="528" w:type="pct"/>
                  <w:vAlign w:val="center"/>
                </w:tcPr>
                <w:p>
                  <w:pPr>
                    <w:widowControl/>
                    <w:jc w:val="center"/>
                    <w:textAlignment w:val="center"/>
                    <w:rPr>
                      <w:color w:val="auto"/>
                      <w:sz w:val="13"/>
                      <w:szCs w:val="13"/>
                    </w:rPr>
                  </w:pPr>
                  <w:r>
                    <w:rPr>
                      <w:color w:val="auto"/>
                      <w:kern w:val="0"/>
                      <w:sz w:val="13"/>
                      <w:szCs w:val="13"/>
                      <w:lang w:bidi="ar"/>
                    </w:rPr>
                    <w:t>45.69</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45.69</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69</w:t>
                  </w:r>
                </w:p>
              </w:tc>
              <w:tc>
                <w:tcPr>
                  <w:tcW w:w="572" w:type="pct"/>
                  <w:vAlign w:val="center"/>
                </w:tcPr>
                <w:p>
                  <w:pPr>
                    <w:widowControl/>
                    <w:jc w:val="center"/>
                    <w:textAlignment w:val="center"/>
                    <w:rPr>
                      <w:color w:val="auto"/>
                      <w:sz w:val="13"/>
                      <w:szCs w:val="13"/>
                    </w:rPr>
                  </w:pPr>
                  <w:r>
                    <w:rPr>
                      <w:color w:val="auto"/>
                      <w:kern w:val="0"/>
                      <w:sz w:val="13"/>
                      <w:szCs w:val="13"/>
                      <w:lang w:bidi="ar"/>
                    </w:rPr>
                    <w:t>-19.75</w:t>
                  </w:r>
                </w:p>
              </w:tc>
              <w:tc>
                <w:tcPr>
                  <w:tcW w:w="583" w:type="pct"/>
                  <w:vAlign w:val="center"/>
                </w:tcPr>
                <w:p>
                  <w:pPr>
                    <w:widowControl/>
                    <w:jc w:val="center"/>
                    <w:textAlignment w:val="center"/>
                    <w:rPr>
                      <w:color w:val="auto"/>
                      <w:sz w:val="13"/>
                      <w:szCs w:val="13"/>
                    </w:rPr>
                  </w:pPr>
                  <w:r>
                    <w:rPr>
                      <w:color w:val="auto"/>
                      <w:kern w:val="0"/>
                      <w:sz w:val="13"/>
                      <w:szCs w:val="13"/>
                      <w:lang w:bidi="ar"/>
                    </w:rPr>
                    <w:t>82.98</w:t>
                  </w:r>
                </w:p>
              </w:tc>
              <w:tc>
                <w:tcPr>
                  <w:tcW w:w="528" w:type="pct"/>
                  <w:vAlign w:val="center"/>
                </w:tcPr>
                <w:p>
                  <w:pPr>
                    <w:widowControl/>
                    <w:jc w:val="center"/>
                    <w:textAlignment w:val="center"/>
                    <w:rPr>
                      <w:color w:val="auto"/>
                      <w:sz w:val="13"/>
                      <w:szCs w:val="13"/>
                    </w:rPr>
                  </w:pPr>
                  <w:r>
                    <w:rPr>
                      <w:color w:val="auto"/>
                      <w:kern w:val="0"/>
                      <w:sz w:val="13"/>
                      <w:szCs w:val="13"/>
                      <w:lang w:bidi="ar"/>
                    </w:rPr>
                    <w:t>44.55</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44.55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70</w:t>
                  </w:r>
                </w:p>
              </w:tc>
              <w:tc>
                <w:tcPr>
                  <w:tcW w:w="572" w:type="pct"/>
                  <w:vAlign w:val="center"/>
                </w:tcPr>
                <w:p>
                  <w:pPr>
                    <w:widowControl/>
                    <w:jc w:val="center"/>
                    <w:textAlignment w:val="center"/>
                    <w:rPr>
                      <w:color w:val="auto"/>
                      <w:sz w:val="13"/>
                      <w:szCs w:val="13"/>
                    </w:rPr>
                  </w:pPr>
                  <w:r>
                    <w:rPr>
                      <w:color w:val="auto"/>
                      <w:kern w:val="0"/>
                      <w:sz w:val="13"/>
                      <w:szCs w:val="13"/>
                      <w:lang w:bidi="ar"/>
                    </w:rPr>
                    <w:t>-13.12</w:t>
                  </w:r>
                </w:p>
              </w:tc>
              <w:tc>
                <w:tcPr>
                  <w:tcW w:w="583" w:type="pct"/>
                  <w:vAlign w:val="center"/>
                </w:tcPr>
                <w:p>
                  <w:pPr>
                    <w:widowControl/>
                    <w:jc w:val="center"/>
                    <w:textAlignment w:val="center"/>
                    <w:rPr>
                      <w:color w:val="auto"/>
                      <w:sz w:val="13"/>
                      <w:szCs w:val="13"/>
                    </w:rPr>
                  </w:pPr>
                  <w:r>
                    <w:rPr>
                      <w:color w:val="auto"/>
                      <w:kern w:val="0"/>
                      <w:sz w:val="13"/>
                      <w:szCs w:val="13"/>
                      <w:lang w:bidi="ar"/>
                    </w:rPr>
                    <w:t>90.47</w:t>
                  </w:r>
                </w:p>
              </w:tc>
              <w:tc>
                <w:tcPr>
                  <w:tcW w:w="528" w:type="pct"/>
                  <w:vAlign w:val="center"/>
                </w:tcPr>
                <w:p>
                  <w:pPr>
                    <w:widowControl/>
                    <w:jc w:val="center"/>
                    <w:textAlignment w:val="center"/>
                    <w:rPr>
                      <w:color w:val="auto"/>
                      <w:sz w:val="13"/>
                      <w:szCs w:val="13"/>
                    </w:rPr>
                  </w:pPr>
                  <w:r>
                    <w:rPr>
                      <w:color w:val="auto"/>
                      <w:kern w:val="0"/>
                      <w:sz w:val="13"/>
                      <w:szCs w:val="13"/>
                      <w:lang w:bidi="ar"/>
                    </w:rPr>
                    <w:t>43.37</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43.37</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71</w:t>
                  </w:r>
                </w:p>
              </w:tc>
              <w:tc>
                <w:tcPr>
                  <w:tcW w:w="572" w:type="pct"/>
                  <w:vAlign w:val="center"/>
                </w:tcPr>
                <w:p>
                  <w:pPr>
                    <w:widowControl/>
                    <w:jc w:val="center"/>
                    <w:textAlignment w:val="center"/>
                    <w:rPr>
                      <w:color w:val="auto"/>
                      <w:sz w:val="13"/>
                      <w:szCs w:val="13"/>
                    </w:rPr>
                  </w:pPr>
                  <w:r>
                    <w:rPr>
                      <w:color w:val="auto"/>
                      <w:kern w:val="0"/>
                      <w:sz w:val="13"/>
                      <w:szCs w:val="13"/>
                      <w:lang w:bidi="ar"/>
                    </w:rPr>
                    <w:t>-6.5</w:t>
                  </w:r>
                </w:p>
              </w:tc>
              <w:tc>
                <w:tcPr>
                  <w:tcW w:w="583" w:type="pct"/>
                  <w:vAlign w:val="center"/>
                </w:tcPr>
                <w:p>
                  <w:pPr>
                    <w:widowControl/>
                    <w:jc w:val="center"/>
                    <w:textAlignment w:val="center"/>
                    <w:rPr>
                      <w:color w:val="auto"/>
                      <w:sz w:val="13"/>
                      <w:szCs w:val="13"/>
                    </w:rPr>
                  </w:pPr>
                  <w:r>
                    <w:rPr>
                      <w:color w:val="auto"/>
                      <w:kern w:val="0"/>
                      <w:sz w:val="13"/>
                      <w:szCs w:val="13"/>
                      <w:lang w:bidi="ar"/>
                    </w:rPr>
                    <w:t>97.96</w:t>
                  </w:r>
                </w:p>
              </w:tc>
              <w:tc>
                <w:tcPr>
                  <w:tcW w:w="528" w:type="pct"/>
                  <w:vAlign w:val="center"/>
                </w:tcPr>
                <w:p>
                  <w:pPr>
                    <w:widowControl/>
                    <w:jc w:val="center"/>
                    <w:textAlignment w:val="center"/>
                    <w:rPr>
                      <w:color w:val="auto"/>
                      <w:sz w:val="13"/>
                      <w:szCs w:val="13"/>
                    </w:rPr>
                  </w:pPr>
                  <w:r>
                    <w:rPr>
                      <w:color w:val="auto"/>
                      <w:kern w:val="0"/>
                      <w:sz w:val="13"/>
                      <w:szCs w:val="13"/>
                      <w:lang w:bidi="ar"/>
                    </w:rPr>
                    <w:t>42.23</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42.23</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72</w:t>
                  </w:r>
                </w:p>
              </w:tc>
              <w:tc>
                <w:tcPr>
                  <w:tcW w:w="572" w:type="pct"/>
                  <w:vAlign w:val="center"/>
                </w:tcPr>
                <w:p>
                  <w:pPr>
                    <w:widowControl/>
                    <w:jc w:val="center"/>
                    <w:textAlignment w:val="center"/>
                    <w:rPr>
                      <w:color w:val="auto"/>
                      <w:sz w:val="13"/>
                      <w:szCs w:val="13"/>
                    </w:rPr>
                  </w:pPr>
                  <w:r>
                    <w:rPr>
                      <w:color w:val="auto"/>
                      <w:kern w:val="0"/>
                      <w:sz w:val="13"/>
                      <w:szCs w:val="13"/>
                      <w:lang w:bidi="ar"/>
                    </w:rPr>
                    <w:t>0.13</w:t>
                  </w:r>
                </w:p>
              </w:tc>
              <w:tc>
                <w:tcPr>
                  <w:tcW w:w="583" w:type="pct"/>
                  <w:vAlign w:val="center"/>
                </w:tcPr>
                <w:p>
                  <w:pPr>
                    <w:widowControl/>
                    <w:jc w:val="center"/>
                    <w:textAlignment w:val="center"/>
                    <w:rPr>
                      <w:color w:val="auto"/>
                      <w:sz w:val="13"/>
                      <w:szCs w:val="13"/>
                    </w:rPr>
                  </w:pPr>
                  <w:r>
                    <w:rPr>
                      <w:color w:val="auto"/>
                      <w:kern w:val="0"/>
                      <w:sz w:val="13"/>
                      <w:szCs w:val="13"/>
                      <w:lang w:bidi="ar"/>
                    </w:rPr>
                    <w:t>105.45</w:t>
                  </w:r>
                </w:p>
              </w:tc>
              <w:tc>
                <w:tcPr>
                  <w:tcW w:w="528" w:type="pct"/>
                  <w:vAlign w:val="center"/>
                </w:tcPr>
                <w:p>
                  <w:pPr>
                    <w:widowControl/>
                    <w:jc w:val="center"/>
                    <w:textAlignment w:val="center"/>
                    <w:rPr>
                      <w:color w:val="auto"/>
                      <w:sz w:val="13"/>
                      <w:szCs w:val="13"/>
                    </w:rPr>
                  </w:pPr>
                  <w:r>
                    <w:rPr>
                      <w:color w:val="auto"/>
                      <w:kern w:val="0"/>
                      <w:sz w:val="13"/>
                      <w:szCs w:val="13"/>
                      <w:lang w:bidi="ar"/>
                    </w:rPr>
                    <w:t>41.17</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41.17</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73</w:t>
                  </w:r>
                </w:p>
              </w:tc>
              <w:tc>
                <w:tcPr>
                  <w:tcW w:w="572" w:type="pct"/>
                  <w:vAlign w:val="center"/>
                </w:tcPr>
                <w:p>
                  <w:pPr>
                    <w:widowControl/>
                    <w:jc w:val="center"/>
                    <w:textAlignment w:val="center"/>
                    <w:rPr>
                      <w:color w:val="auto"/>
                      <w:sz w:val="13"/>
                      <w:szCs w:val="13"/>
                    </w:rPr>
                  </w:pPr>
                  <w:r>
                    <w:rPr>
                      <w:color w:val="auto"/>
                      <w:kern w:val="0"/>
                      <w:sz w:val="13"/>
                      <w:szCs w:val="13"/>
                      <w:lang w:bidi="ar"/>
                    </w:rPr>
                    <w:t>6.76</w:t>
                  </w:r>
                </w:p>
              </w:tc>
              <w:tc>
                <w:tcPr>
                  <w:tcW w:w="583" w:type="pct"/>
                  <w:vAlign w:val="center"/>
                </w:tcPr>
                <w:p>
                  <w:pPr>
                    <w:widowControl/>
                    <w:jc w:val="center"/>
                    <w:textAlignment w:val="center"/>
                    <w:rPr>
                      <w:color w:val="auto"/>
                      <w:sz w:val="13"/>
                      <w:szCs w:val="13"/>
                    </w:rPr>
                  </w:pPr>
                  <w:r>
                    <w:rPr>
                      <w:color w:val="auto"/>
                      <w:kern w:val="0"/>
                      <w:sz w:val="13"/>
                      <w:szCs w:val="13"/>
                      <w:lang w:bidi="ar"/>
                    </w:rPr>
                    <w:t>112.94</w:t>
                  </w:r>
                </w:p>
              </w:tc>
              <w:tc>
                <w:tcPr>
                  <w:tcW w:w="528" w:type="pct"/>
                  <w:vAlign w:val="center"/>
                </w:tcPr>
                <w:p>
                  <w:pPr>
                    <w:widowControl/>
                    <w:jc w:val="center"/>
                    <w:textAlignment w:val="center"/>
                    <w:rPr>
                      <w:color w:val="auto"/>
                      <w:sz w:val="13"/>
                      <w:szCs w:val="13"/>
                    </w:rPr>
                  </w:pPr>
                  <w:r>
                    <w:rPr>
                      <w:color w:val="auto"/>
                      <w:kern w:val="0"/>
                      <w:sz w:val="13"/>
                      <w:szCs w:val="13"/>
                      <w:lang w:bidi="ar"/>
                    </w:rPr>
                    <w:t>40.17</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40.17</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74</w:t>
                  </w:r>
                </w:p>
              </w:tc>
              <w:tc>
                <w:tcPr>
                  <w:tcW w:w="572" w:type="pct"/>
                  <w:vAlign w:val="center"/>
                </w:tcPr>
                <w:p>
                  <w:pPr>
                    <w:widowControl/>
                    <w:jc w:val="center"/>
                    <w:textAlignment w:val="center"/>
                    <w:rPr>
                      <w:color w:val="auto"/>
                      <w:sz w:val="13"/>
                      <w:szCs w:val="13"/>
                    </w:rPr>
                  </w:pPr>
                  <w:r>
                    <w:rPr>
                      <w:color w:val="auto"/>
                      <w:kern w:val="0"/>
                      <w:sz w:val="13"/>
                      <w:szCs w:val="13"/>
                      <w:lang w:bidi="ar"/>
                    </w:rPr>
                    <w:t>13.38</w:t>
                  </w:r>
                </w:p>
              </w:tc>
              <w:tc>
                <w:tcPr>
                  <w:tcW w:w="583" w:type="pct"/>
                  <w:vAlign w:val="center"/>
                </w:tcPr>
                <w:p>
                  <w:pPr>
                    <w:widowControl/>
                    <w:jc w:val="center"/>
                    <w:textAlignment w:val="center"/>
                    <w:rPr>
                      <w:color w:val="auto"/>
                      <w:sz w:val="13"/>
                      <w:szCs w:val="13"/>
                    </w:rPr>
                  </w:pPr>
                  <w:r>
                    <w:rPr>
                      <w:color w:val="auto"/>
                      <w:kern w:val="0"/>
                      <w:sz w:val="13"/>
                      <w:szCs w:val="13"/>
                      <w:lang w:bidi="ar"/>
                    </w:rPr>
                    <w:t>120.43</w:t>
                  </w:r>
                </w:p>
              </w:tc>
              <w:tc>
                <w:tcPr>
                  <w:tcW w:w="528" w:type="pct"/>
                  <w:vAlign w:val="center"/>
                </w:tcPr>
                <w:p>
                  <w:pPr>
                    <w:widowControl/>
                    <w:jc w:val="center"/>
                    <w:textAlignment w:val="center"/>
                    <w:rPr>
                      <w:color w:val="auto"/>
                      <w:sz w:val="13"/>
                      <w:szCs w:val="13"/>
                    </w:rPr>
                  </w:pPr>
                  <w:r>
                    <w:rPr>
                      <w:color w:val="auto"/>
                      <w:kern w:val="0"/>
                      <w:sz w:val="13"/>
                      <w:szCs w:val="13"/>
                      <w:lang w:bidi="ar"/>
                    </w:rPr>
                    <w:t>39.25</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39.25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75</w:t>
                  </w:r>
                </w:p>
              </w:tc>
              <w:tc>
                <w:tcPr>
                  <w:tcW w:w="572" w:type="pct"/>
                  <w:vAlign w:val="center"/>
                </w:tcPr>
                <w:p>
                  <w:pPr>
                    <w:widowControl/>
                    <w:jc w:val="center"/>
                    <w:textAlignment w:val="center"/>
                    <w:rPr>
                      <w:color w:val="auto"/>
                      <w:sz w:val="13"/>
                      <w:szCs w:val="13"/>
                    </w:rPr>
                  </w:pPr>
                  <w:r>
                    <w:rPr>
                      <w:color w:val="auto"/>
                      <w:kern w:val="0"/>
                      <w:sz w:val="13"/>
                      <w:szCs w:val="13"/>
                      <w:lang w:bidi="ar"/>
                    </w:rPr>
                    <w:t>20.01</w:t>
                  </w:r>
                </w:p>
              </w:tc>
              <w:tc>
                <w:tcPr>
                  <w:tcW w:w="583" w:type="pct"/>
                  <w:vAlign w:val="center"/>
                </w:tcPr>
                <w:p>
                  <w:pPr>
                    <w:widowControl/>
                    <w:jc w:val="center"/>
                    <w:textAlignment w:val="center"/>
                    <w:rPr>
                      <w:color w:val="auto"/>
                      <w:sz w:val="13"/>
                      <w:szCs w:val="13"/>
                    </w:rPr>
                  </w:pPr>
                  <w:r>
                    <w:rPr>
                      <w:color w:val="auto"/>
                      <w:kern w:val="0"/>
                      <w:sz w:val="13"/>
                      <w:szCs w:val="13"/>
                      <w:lang w:bidi="ar"/>
                    </w:rPr>
                    <w:t>127.92</w:t>
                  </w:r>
                </w:p>
              </w:tc>
              <w:tc>
                <w:tcPr>
                  <w:tcW w:w="528" w:type="pct"/>
                  <w:vAlign w:val="center"/>
                </w:tcPr>
                <w:p>
                  <w:pPr>
                    <w:widowControl/>
                    <w:jc w:val="center"/>
                    <w:textAlignment w:val="center"/>
                    <w:rPr>
                      <w:color w:val="auto"/>
                      <w:sz w:val="13"/>
                      <w:szCs w:val="13"/>
                    </w:rPr>
                  </w:pPr>
                  <w:r>
                    <w:rPr>
                      <w:color w:val="auto"/>
                      <w:kern w:val="0"/>
                      <w:sz w:val="13"/>
                      <w:szCs w:val="13"/>
                      <w:lang w:bidi="ar"/>
                    </w:rPr>
                    <w:t>38.39</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38.39</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76</w:t>
                  </w:r>
                </w:p>
              </w:tc>
              <w:tc>
                <w:tcPr>
                  <w:tcW w:w="572" w:type="pct"/>
                  <w:vAlign w:val="center"/>
                </w:tcPr>
                <w:p>
                  <w:pPr>
                    <w:widowControl/>
                    <w:jc w:val="center"/>
                    <w:textAlignment w:val="center"/>
                    <w:rPr>
                      <w:color w:val="auto"/>
                      <w:sz w:val="13"/>
                      <w:szCs w:val="13"/>
                    </w:rPr>
                  </w:pPr>
                  <w:r>
                    <w:rPr>
                      <w:color w:val="auto"/>
                      <w:kern w:val="0"/>
                      <w:sz w:val="13"/>
                      <w:szCs w:val="13"/>
                      <w:lang w:bidi="ar"/>
                    </w:rPr>
                    <w:t>26.63</w:t>
                  </w:r>
                </w:p>
              </w:tc>
              <w:tc>
                <w:tcPr>
                  <w:tcW w:w="583" w:type="pct"/>
                  <w:vAlign w:val="center"/>
                </w:tcPr>
                <w:p>
                  <w:pPr>
                    <w:widowControl/>
                    <w:jc w:val="center"/>
                    <w:textAlignment w:val="center"/>
                    <w:rPr>
                      <w:color w:val="auto"/>
                      <w:sz w:val="13"/>
                      <w:szCs w:val="13"/>
                    </w:rPr>
                  </w:pPr>
                  <w:r>
                    <w:rPr>
                      <w:color w:val="auto"/>
                      <w:kern w:val="0"/>
                      <w:sz w:val="13"/>
                      <w:szCs w:val="13"/>
                      <w:lang w:bidi="ar"/>
                    </w:rPr>
                    <w:t>135.4</w:t>
                  </w:r>
                </w:p>
              </w:tc>
              <w:tc>
                <w:tcPr>
                  <w:tcW w:w="528" w:type="pct"/>
                  <w:vAlign w:val="center"/>
                </w:tcPr>
                <w:p>
                  <w:pPr>
                    <w:widowControl/>
                    <w:jc w:val="center"/>
                    <w:textAlignment w:val="center"/>
                    <w:rPr>
                      <w:color w:val="auto"/>
                      <w:sz w:val="13"/>
                      <w:szCs w:val="13"/>
                    </w:rPr>
                  </w:pPr>
                  <w:r>
                    <w:rPr>
                      <w:color w:val="auto"/>
                      <w:kern w:val="0"/>
                      <w:sz w:val="13"/>
                      <w:szCs w:val="13"/>
                      <w:lang w:bidi="ar"/>
                    </w:rPr>
                    <w:t>37.59</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37.59</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7"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77</w:t>
                  </w:r>
                </w:p>
              </w:tc>
              <w:tc>
                <w:tcPr>
                  <w:tcW w:w="572" w:type="pct"/>
                  <w:vAlign w:val="center"/>
                </w:tcPr>
                <w:p>
                  <w:pPr>
                    <w:widowControl/>
                    <w:jc w:val="center"/>
                    <w:textAlignment w:val="center"/>
                    <w:rPr>
                      <w:color w:val="auto"/>
                      <w:sz w:val="13"/>
                      <w:szCs w:val="13"/>
                    </w:rPr>
                  </w:pPr>
                  <w:r>
                    <w:rPr>
                      <w:color w:val="auto"/>
                      <w:kern w:val="0"/>
                      <w:sz w:val="13"/>
                      <w:szCs w:val="13"/>
                      <w:lang w:bidi="ar"/>
                    </w:rPr>
                    <w:t>31.08</w:t>
                  </w:r>
                </w:p>
              </w:tc>
              <w:tc>
                <w:tcPr>
                  <w:tcW w:w="583" w:type="pct"/>
                  <w:vAlign w:val="center"/>
                </w:tcPr>
                <w:p>
                  <w:pPr>
                    <w:widowControl/>
                    <w:jc w:val="center"/>
                    <w:textAlignment w:val="center"/>
                    <w:rPr>
                      <w:color w:val="auto"/>
                      <w:sz w:val="13"/>
                      <w:szCs w:val="13"/>
                    </w:rPr>
                  </w:pPr>
                  <w:r>
                    <w:rPr>
                      <w:color w:val="auto"/>
                      <w:kern w:val="0"/>
                      <w:sz w:val="13"/>
                      <w:szCs w:val="13"/>
                      <w:lang w:bidi="ar"/>
                    </w:rPr>
                    <w:t>140.43</w:t>
                  </w:r>
                </w:p>
              </w:tc>
              <w:tc>
                <w:tcPr>
                  <w:tcW w:w="528" w:type="pct"/>
                  <w:vAlign w:val="center"/>
                </w:tcPr>
                <w:p>
                  <w:pPr>
                    <w:widowControl/>
                    <w:jc w:val="center"/>
                    <w:textAlignment w:val="center"/>
                    <w:rPr>
                      <w:color w:val="auto"/>
                      <w:sz w:val="13"/>
                      <w:szCs w:val="13"/>
                    </w:rPr>
                  </w:pPr>
                  <w:r>
                    <w:rPr>
                      <w:color w:val="auto"/>
                      <w:kern w:val="0"/>
                      <w:sz w:val="13"/>
                      <w:szCs w:val="13"/>
                      <w:lang w:bidi="ar"/>
                    </w:rPr>
                    <w:t>37.09</w:t>
                  </w:r>
                </w:p>
              </w:tc>
              <w:tc>
                <w:tcPr>
                  <w:tcW w:w="491"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65</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c>
                <w:tcPr>
                  <w:tcW w:w="506" w:type="pct"/>
                  <w:vAlign w:val="center"/>
                </w:tcPr>
                <w:p>
                  <w:pPr>
                    <w:widowControl/>
                    <w:jc w:val="center"/>
                    <w:textAlignment w:val="center"/>
                    <w:rPr>
                      <w:color w:val="auto"/>
                      <w:sz w:val="13"/>
                      <w:szCs w:val="13"/>
                    </w:rPr>
                  </w:pPr>
                  <w:r>
                    <w:rPr>
                      <w:color w:val="auto"/>
                      <w:kern w:val="0"/>
                      <w:sz w:val="13"/>
                      <w:szCs w:val="13"/>
                      <w:lang w:bidi="ar"/>
                    </w:rPr>
                    <w:t>37.09</w:t>
                  </w:r>
                </w:p>
              </w:tc>
              <w:tc>
                <w:tcPr>
                  <w:tcW w:w="51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55</w:t>
                  </w:r>
                </w:p>
              </w:tc>
              <w:tc>
                <w:tcPr>
                  <w:tcW w:w="528" w:type="pct"/>
                  <w:vAlign w:val="center"/>
                </w:tcPr>
                <w:p>
                  <w:pPr>
                    <w:widowControl/>
                    <w:jc w:val="center"/>
                    <w:textAlignment w:val="center"/>
                    <w:rPr>
                      <w:color w:val="auto"/>
                      <w:kern w:val="0"/>
                      <w:sz w:val="13"/>
                      <w:szCs w:val="13"/>
                      <w:lang w:bidi="ar"/>
                    </w:rPr>
                  </w:pPr>
                  <w:r>
                    <w:rPr>
                      <w:rFonts w:hint="eastAsia"/>
                      <w:color w:val="auto"/>
                      <w:kern w:val="0"/>
                      <w:sz w:val="13"/>
                      <w:szCs w:val="13"/>
                      <w:lang w:bidi="ar"/>
                    </w:rPr>
                    <w:t>达标</w:t>
                  </w:r>
                </w:p>
              </w:tc>
            </w:tr>
          </w:tbl>
          <w:p>
            <w:pPr>
              <w:widowControl/>
              <w:ind w:firstLine="480" w:firstLineChars="200"/>
              <w:rPr>
                <w:color w:val="auto"/>
                <w:sz w:val="24"/>
              </w:rPr>
            </w:pPr>
          </w:p>
          <w:p>
            <w:pPr>
              <w:widowControl/>
              <w:spacing w:line="360" w:lineRule="auto"/>
              <w:ind w:firstLine="480" w:firstLineChars="200"/>
              <w:rPr>
                <w:color w:val="auto"/>
                <w:sz w:val="24"/>
              </w:rPr>
            </w:pPr>
            <w:r>
              <w:rPr>
                <w:rFonts w:hint="eastAsia"/>
                <w:color w:val="auto"/>
                <w:sz w:val="24"/>
              </w:rPr>
              <w:t>根据上述预测结果，本项目厂界噪声贡献值满足《工业企业厂界环境噪声排放标准》（</w:t>
            </w:r>
            <w:r>
              <w:rPr>
                <w:color w:val="auto"/>
                <w:sz w:val="24"/>
              </w:rPr>
              <w:t>GB12348-2008</w:t>
            </w:r>
            <w:r>
              <w:rPr>
                <w:rFonts w:hint="eastAsia"/>
                <w:color w:val="auto"/>
                <w:sz w:val="24"/>
              </w:rPr>
              <w:t>）3类标准。对周边声环境影响较小。</w:t>
            </w:r>
          </w:p>
          <w:p>
            <w:pPr>
              <w:widowControl/>
              <w:spacing w:line="360" w:lineRule="auto"/>
              <w:ind w:firstLine="480" w:firstLineChars="200"/>
              <w:rPr>
                <w:color w:val="auto"/>
                <w:sz w:val="24"/>
              </w:rPr>
            </w:pPr>
            <w:r>
              <w:rPr>
                <w:rFonts w:hint="eastAsia"/>
                <w:color w:val="auto"/>
                <w:sz w:val="24"/>
              </w:rPr>
              <w:t>（3）噪声治理措施</w:t>
            </w:r>
          </w:p>
          <w:p>
            <w:pPr>
              <w:widowControl/>
              <w:spacing w:line="360" w:lineRule="auto"/>
              <w:ind w:firstLine="480" w:firstLineChars="200"/>
              <w:rPr>
                <w:color w:val="auto"/>
                <w:sz w:val="24"/>
              </w:rPr>
            </w:pPr>
            <w:r>
              <w:rPr>
                <w:rFonts w:hint="eastAsia"/>
                <w:color w:val="auto"/>
                <w:sz w:val="24"/>
              </w:rPr>
              <w:t>①选用低噪声设备；</w:t>
            </w:r>
          </w:p>
          <w:p>
            <w:pPr>
              <w:widowControl/>
              <w:spacing w:line="360" w:lineRule="auto"/>
              <w:ind w:firstLine="480" w:firstLineChars="200"/>
              <w:rPr>
                <w:color w:val="auto"/>
                <w:sz w:val="24"/>
              </w:rPr>
            </w:pPr>
            <w:r>
              <w:rPr>
                <w:rFonts w:hint="eastAsia"/>
                <w:color w:val="auto"/>
                <w:sz w:val="24"/>
              </w:rPr>
              <w:t>②优化布局，合理布设机械设备位置；</w:t>
            </w:r>
          </w:p>
          <w:p>
            <w:pPr>
              <w:widowControl/>
              <w:spacing w:line="360" w:lineRule="auto"/>
              <w:ind w:firstLine="480" w:firstLineChars="200"/>
              <w:rPr>
                <w:color w:val="auto"/>
                <w:sz w:val="24"/>
              </w:rPr>
            </w:pPr>
            <w:r>
              <w:rPr>
                <w:rFonts w:hint="eastAsia"/>
                <w:color w:val="auto"/>
                <w:sz w:val="24"/>
              </w:rPr>
              <w:t>③减振降噪，机械设备安装减振垫，降低噪声源强。</w:t>
            </w:r>
          </w:p>
          <w:p>
            <w:pPr>
              <w:widowControl/>
              <w:spacing w:line="360" w:lineRule="auto"/>
              <w:ind w:firstLine="480" w:firstLineChars="200"/>
              <w:rPr>
                <w:color w:val="auto"/>
                <w:sz w:val="24"/>
              </w:rPr>
            </w:pPr>
            <w:r>
              <w:rPr>
                <w:rFonts w:hint="eastAsia"/>
                <w:color w:val="auto"/>
                <w:sz w:val="24"/>
              </w:rPr>
              <w:t>（4）声环境监测计划</w:t>
            </w:r>
          </w:p>
          <w:p>
            <w:pPr>
              <w:spacing w:line="360" w:lineRule="auto"/>
              <w:ind w:firstLine="480" w:firstLineChars="200"/>
              <w:rPr>
                <w:color w:val="auto"/>
                <w:sz w:val="24"/>
                <w:lang w:bidi="ar"/>
              </w:rPr>
            </w:pPr>
            <w:r>
              <w:rPr>
                <w:rFonts w:hint="eastAsia"/>
                <w:color w:val="auto"/>
                <w:sz w:val="24"/>
                <w:lang w:bidi="ar"/>
              </w:rPr>
              <w:t>本项目为耐火材料生产项目，无对应行业监测技术指南和排污许可核发技术指南，</w:t>
            </w:r>
            <w:r>
              <w:rPr>
                <w:rFonts w:hint="eastAsia"/>
                <w:color w:val="auto"/>
                <w:sz w:val="24"/>
              </w:rPr>
              <w:t>本次参照执行《</w:t>
            </w:r>
            <w:r>
              <w:rPr>
                <w:color w:val="auto"/>
              </w:rPr>
              <w:fldChar w:fldCharType="begin"/>
            </w:r>
            <w:r>
              <w:rPr>
                <w:color w:val="auto"/>
              </w:rPr>
              <w:instrText xml:space="preserve"> HYPERLINK "https://www.eiacloud.com/hpyzs/lawsRegulations/searchDetail?modelName=%E6%8E%92%E6%B1%A1%E5%90%8D%E5%BD%95&amp;id=2590" \t "https://www.eiacloud.com/hpyzs/category/_blank" </w:instrText>
            </w:r>
            <w:r>
              <w:rPr>
                <w:color w:val="auto"/>
              </w:rPr>
              <w:fldChar w:fldCharType="separate"/>
            </w:r>
            <w:r>
              <w:rPr>
                <w:rStyle w:val="26"/>
                <w:rFonts w:ascii="Helvetica" w:hAnsi="Helvetica" w:eastAsia="Helvetica" w:cs="Helvetica"/>
                <w:color w:val="auto"/>
                <w:sz w:val="24"/>
                <w:u w:val="none"/>
                <w:shd w:val="clear" w:color="auto" w:fill="FFFFFF"/>
              </w:rPr>
              <w:t>排污单位自行监测技术指南 总则</w:t>
            </w:r>
            <w:r>
              <w:rPr>
                <w:rStyle w:val="26"/>
                <w:rFonts w:hint="eastAsia" w:ascii="Helvetica" w:hAnsi="Helvetica" w:cs="Helvetica"/>
                <w:color w:val="auto"/>
                <w:sz w:val="24"/>
                <w:u w:val="none"/>
                <w:shd w:val="clear" w:color="auto" w:fill="FFFFFF"/>
              </w:rPr>
              <w:t>》（</w:t>
            </w:r>
            <w:r>
              <w:rPr>
                <w:rStyle w:val="26"/>
                <w:rFonts w:ascii="Helvetica" w:hAnsi="Helvetica" w:eastAsia="Helvetica" w:cs="Helvetica"/>
                <w:color w:val="auto"/>
                <w:sz w:val="24"/>
                <w:u w:val="none"/>
                <w:shd w:val="clear" w:color="auto" w:fill="FFFFFF"/>
              </w:rPr>
              <w:t>HJ819-2017</w:t>
            </w:r>
            <w:r>
              <w:rPr>
                <w:rStyle w:val="26"/>
                <w:rFonts w:ascii="Helvetica" w:hAnsi="Helvetica" w:eastAsia="Helvetica" w:cs="Helvetica"/>
                <w:color w:val="auto"/>
                <w:sz w:val="24"/>
                <w:u w:val="none"/>
                <w:shd w:val="clear" w:color="auto" w:fill="FFFFFF"/>
              </w:rPr>
              <w:fldChar w:fldCharType="end"/>
            </w:r>
            <w:r>
              <w:rPr>
                <w:rFonts w:hint="eastAsia" w:ascii="Helvetica" w:hAnsi="Helvetica" w:cs="Helvetica"/>
                <w:color w:val="auto"/>
                <w:sz w:val="24"/>
                <w:shd w:val="clear" w:color="auto" w:fill="FFFFFF"/>
              </w:rPr>
              <w:t>）要求</w:t>
            </w:r>
            <w:r>
              <w:rPr>
                <w:rFonts w:hint="eastAsia"/>
                <w:color w:val="auto"/>
                <w:sz w:val="24"/>
                <w:lang w:bidi="ar"/>
              </w:rPr>
              <w:t>，监测计划详见下表。</w:t>
            </w:r>
          </w:p>
          <w:p>
            <w:pPr>
              <w:pStyle w:val="19"/>
              <w:spacing w:before="0" w:beforeAutospacing="0" w:after="0" w:afterAutospacing="0"/>
              <w:jc w:val="center"/>
              <w:rPr>
                <w:rFonts w:ascii="Times New Roman" w:hAnsi="Times New Roman"/>
                <w:b/>
                <w:color w:val="auto"/>
                <w:kern w:val="2"/>
                <w:sz w:val="21"/>
                <w:szCs w:val="21"/>
                <w:lang w:bidi="ar"/>
              </w:rPr>
            </w:pPr>
            <w:r>
              <w:rPr>
                <w:rFonts w:ascii="Times New Roman" w:hAnsi="Times New Roman"/>
                <w:b/>
                <w:color w:val="auto"/>
                <w:kern w:val="2"/>
                <w:sz w:val="21"/>
                <w:szCs w:val="21"/>
                <w:lang w:bidi="ar"/>
              </w:rPr>
              <w:t>表</w:t>
            </w:r>
            <w:r>
              <w:rPr>
                <w:rFonts w:hint="eastAsia" w:ascii="Times New Roman" w:hAnsi="Times New Roman"/>
                <w:b/>
                <w:color w:val="auto"/>
                <w:kern w:val="2"/>
                <w:sz w:val="21"/>
                <w:szCs w:val="21"/>
                <w:lang w:bidi="ar"/>
              </w:rPr>
              <w:t>4-14  声</w:t>
            </w:r>
            <w:r>
              <w:rPr>
                <w:rFonts w:ascii="Times New Roman" w:hAnsi="Times New Roman"/>
                <w:b/>
                <w:color w:val="auto"/>
                <w:kern w:val="2"/>
                <w:sz w:val="21"/>
                <w:szCs w:val="21"/>
                <w:lang w:bidi="ar"/>
              </w:rPr>
              <w:t>环境监测计划一览表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149"/>
              <w:gridCol w:w="1746"/>
              <w:gridCol w:w="1308"/>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5" w:type="pct"/>
                  <w:vAlign w:val="center"/>
                </w:tcPr>
                <w:p>
                  <w:pPr>
                    <w:pStyle w:val="19"/>
                    <w:spacing w:before="0" w:beforeAutospacing="0" w:after="0" w:afterAutospacing="0" w:line="360" w:lineRule="exact"/>
                    <w:jc w:val="center"/>
                    <w:rPr>
                      <w:rFonts w:ascii="Times New Roman" w:hAnsi="Times New Roman"/>
                      <w:bCs/>
                      <w:color w:val="auto"/>
                      <w:kern w:val="2"/>
                      <w:sz w:val="21"/>
                      <w:szCs w:val="21"/>
                      <w:lang w:bidi="ar"/>
                    </w:rPr>
                  </w:pPr>
                  <w:r>
                    <w:rPr>
                      <w:rFonts w:hint="eastAsia" w:ascii="Times New Roman" w:hAnsi="Times New Roman"/>
                      <w:bCs/>
                      <w:color w:val="auto"/>
                      <w:kern w:val="2"/>
                      <w:sz w:val="21"/>
                      <w:szCs w:val="21"/>
                      <w:lang w:bidi="ar"/>
                    </w:rPr>
                    <w:t>监测期</w:t>
                  </w:r>
                </w:p>
              </w:tc>
              <w:tc>
                <w:tcPr>
                  <w:tcW w:w="724" w:type="pct"/>
                  <w:vAlign w:val="center"/>
                </w:tcPr>
                <w:p>
                  <w:pPr>
                    <w:pStyle w:val="19"/>
                    <w:spacing w:before="0" w:beforeAutospacing="0" w:after="0" w:afterAutospacing="0" w:line="360" w:lineRule="exact"/>
                    <w:jc w:val="center"/>
                    <w:rPr>
                      <w:rFonts w:ascii="Times New Roman" w:hAnsi="Times New Roman"/>
                      <w:bCs/>
                      <w:color w:val="auto"/>
                      <w:kern w:val="2"/>
                      <w:sz w:val="21"/>
                      <w:szCs w:val="21"/>
                      <w:lang w:bidi="ar"/>
                    </w:rPr>
                  </w:pPr>
                  <w:r>
                    <w:rPr>
                      <w:rFonts w:hint="eastAsia" w:ascii="Times New Roman" w:hAnsi="Times New Roman"/>
                      <w:bCs/>
                      <w:color w:val="auto"/>
                      <w:kern w:val="2"/>
                      <w:sz w:val="21"/>
                      <w:szCs w:val="21"/>
                      <w:lang w:bidi="ar"/>
                    </w:rPr>
                    <w:t>监测对象</w:t>
                  </w:r>
                </w:p>
              </w:tc>
              <w:tc>
                <w:tcPr>
                  <w:tcW w:w="1100" w:type="pct"/>
                  <w:vAlign w:val="center"/>
                </w:tcPr>
                <w:p>
                  <w:pPr>
                    <w:pStyle w:val="19"/>
                    <w:spacing w:before="0" w:beforeAutospacing="0" w:after="0" w:afterAutospacing="0" w:line="360" w:lineRule="exact"/>
                    <w:jc w:val="center"/>
                    <w:rPr>
                      <w:rFonts w:ascii="Times New Roman" w:hAnsi="Times New Roman"/>
                      <w:bCs/>
                      <w:color w:val="auto"/>
                      <w:kern w:val="2"/>
                      <w:sz w:val="21"/>
                      <w:szCs w:val="21"/>
                      <w:lang w:bidi="ar"/>
                    </w:rPr>
                  </w:pPr>
                  <w:r>
                    <w:rPr>
                      <w:rFonts w:hint="eastAsia" w:ascii="Times New Roman" w:hAnsi="Times New Roman"/>
                      <w:bCs/>
                      <w:color w:val="auto"/>
                      <w:kern w:val="2"/>
                      <w:sz w:val="21"/>
                      <w:szCs w:val="21"/>
                      <w:lang w:bidi="ar"/>
                    </w:rPr>
                    <w:t>监测点</w:t>
                  </w:r>
                </w:p>
              </w:tc>
              <w:tc>
                <w:tcPr>
                  <w:tcW w:w="824" w:type="pct"/>
                  <w:vAlign w:val="center"/>
                </w:tcPr>
                <w:p>
                  <w:pPr>
                    <w:pStyle w:val="19"/>
                    <w:spacing w:before="0" w:beforeAutospacing="0" w:after="0" w:afterAutospacing="0" w:line="360" w:lineRule="exact"/>
                    <w:jc w:val="center"/>
                    <w:rPr>
                      <w:rFonts w:ascii="Times New Roman" w:hAnsi="Times New Roman"/>
                      <w:bCs/>
                      <w:color w:val="auto"/>
                      <w:kern w:val="2"/>
                      <w:sz w:val="21"/>
                      <w:szCs w:val="21"/>
                      <w:lang w:bidi="ar"/>
                    </w:rPr>
                  </w:pPr>
                  <w:r>
                    <w:rPr>
                      <w:rFonts w:hint="eastAsia" w:ascii="Times New Roman" w:hAnsi="Times New Roman"/>
                      <w:bCs/>
                      <w:color w:val="auto"/>
                      <w:kern w:val="2"/>
                      <w:sz w:val="21"/>
                      <w:szCs w:val="21"/>
                      <w:lang w:bidi="ar"/>
                    </w:rPr>
                    <w:t>监测内容</w:t>
                  </w:r>
                </w:p>
              </w:tc>
              <w:tc>
                <w:tcPr>
                  <w:tcW w:w="1645" w:type="pct"/>
                  <w:vAlign w:val="center"/>
                </w:tcPr>
                <w:p>
                  <w:pPr>
                    <w:pStyle w:val="19"/>
                    <w:spacing w:before="0" w:beforeAutospacing="0" w:after="0" w:afterAutospacing="0" w:line="360" w:lineRule="exact"/>
                    <w:jc w:val="center"/>
                    <w:rPr>
                      <w:rFonts w:ascii="Times New Roman" w:hAnsi="Times New Roman"/>
                      <w:bCs/>
                      <w:color w:val="auto"/>
                      <w:kern w:val="2"/>
                      <w:sz w:val="21"/>
                      <w:szCs w:val="21"/>
                      <w:lang w:bidi="ar"/>
                    </w:rPr>
                  </w:pPr>
                  <w:r>
                    <w:rPr>
                      <w:rFonts w:hint="eastAsia" w:ascii="Times New Roman" w:hAnsi="Times New Roman"/>
                      <w:bCs/>
                      <w:color w:val="auto"/>
                      <w:kern w:val="2"/>
                      <w:sz w:val="21"/>
                      <w:szCs w:val="21"/>
                      <w:lang w:bidi="ar"/>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5" w:type="pct"/>
                  <w:vAlign w:val="center"/>
                </w:tcPr>
                <w:p>
                  <w:pPr>
                    <w:pStyle w:val="19"/>
                    <w:spacing w:before="0" w:beforeAutospacing="0" w:after="0" w:afterAutospacing="0" w:line="360" w:lineRule="exact"/>
                    <w:jc w:val="center"/>
                    <w:rPr>
                      <w:rFonts w:ascii="Times New Roman" w:hAnsi="Times New Roman"/>
                      <w:bCs/>
                      <w:color w:val="auto"/>
                      <w:kern w:val="2"/>
                      <w:sz w:val="21"/>
                      <w:szCs w:val="21"/>
                      <w:lang w:bidi="ar"/>
                    </w:rPr>
                  </w:pPr>
                  <w:r>
                    <w:rPr>
                      <w:rFonts w:hint="eastAsia" w:ascii="Times New Roman" w:hAnsi="Times New Roman"/>
                      <w:bCs/>
                      <w:color w:val="auto"/>
                      <w:kern w:val="2"/>
                      <w:sz w:val="21"/>
                      <w:szCs w:val="21"/>
                      <w:lang w:bidi="ar"/>
                    </w:rPr>
                    <w:t>运营期</w:t>
                  </w:r>
                </w:p>
              </w:tc>
              <w:tc>
                <w:tcPr>
                  <w:tcW w:w="724" w:type="pct"/>
                  <w:vAlign w:val="center"/>
                </w:tcPr>
                <w:p>
                  <w:pPr>
                    <w:pStyle w:val="19"/>
                    <w:spacing w:before="0" w:beforeAutospacing="0" w:after="0" w:afterAutospacing="0" w:line="360" w:lineRule="exact"/>
                    <w:jc w:val="center"/>
                    <w:rPr>
                      <w:rFonts w:ascii="Times New Roman" w:hAnsi="Times New Roman"/>
                      <w:bCs/>
                      <w:color w:val="auto"/>
                      <w:kern w:val="2"/>
                      <w:sz w:val="21"/>
                      <w:szCs w:val="21"/>
                      <w:lang w:bidi="ar"/>
                    </w:rPr>
                  </w:pPr>
                  <w:r>
                    <w:rPr>
                      <w:rFonts w:hint="eastAsia" w:ascii="Times New Roman" w:hAnsi="Times New Roman"/>
                      <w:bCs/>
                      <w:color w:val="auto"/>
                      <w:kern w:val="2"/>
                      <w:sz w:val="21"/>
                      <w:szCs w:val="21"/>
                      <w:lang w:bidi="ar"/>
                    </w:rPr>
                    <w:t>噪声</w:t>
                  </w:r>
                </w:p>
              </w:tc>
              <w:tc>
                <w:tcPr>
                  <w:tcW w:w="1100" w:type="pct"/>
                  <w:vAlign w:val="center"/>
                </w:tcPr>
                <w:p>
                  <w:pPr>
                    <w:pStyle w:val="19"/>
                    <w:spacing w:before="0" w:beforeAutospacing="0" w:after="0" w:afterAutospacing="0" w:line="360" w:lineRule="exact"/>
                    <w:jc w:val="center"/>
                    <w:rPr>
                      <w:rFonts w:ascii="Times New Roman" w:hAnsi="Times New Roman"/>
                      <w:bCs/>
                      <w:color w:val="auto"/>
                      <w:kern w:val="2"/>
                      <w:sz w:val="21"/>
                      <w:szCs w:val="21"/>
                      <w:lang w:bidi="ar"/>
                    </w:rPr>
                  </w:pPr>
                  <w:r>
                    <w:rPr>
                      <w:rFonts w:hint="eastAsia" w:ascii="Times New Roman" w:hAnsi="Times New Roman"/>
                      <w:bCs/>
                      <w:color w:val="auto"/>
                      <w:kern w:val="2"/>
                      <w:sz w:val="21"/>
                      <w:szCs w:val="21"/>
                      <w:lang w:bidi="ar"/>
                    </w:rPr>
                    <w:t>厂界外1m处</w:t>
                  </w:r>
                </w:p>
              </w:tc>
              <w:tc>
                <w:tcPr>
                  <w:tcW w:w="824" w:type="pct"/>
                  <w:vAlign w:val="center"/>
                </w:tcPr>
                <w:p>
                  <w:pPr>
                    <w:pStyle w:val="19"/>
                    <w:spacing w:before="0" w:beforeAutospacing="0" w:after="0" w:afterAutospacing="0" w:line="360" w:lineRule="exact"/>
                    <w:jc w:val="center"/>
                    <w:rPr>
                      <w:rFonts w:ascii="Times New Roman" w:hAnsi="Times New Roman"/>
                      <w:bCs/>
                      <w:color w:val="auto"/>
                      <w:kern w:val="2"/>
                      <w:sz w:val="21"/>
                      <w:szCs w:val="21"/>
                      <w:lang w:bidi="ar"/>
                    </w:rPr>
                  </w:pPr>
                  <w:r>
                    <w:rPr>
                      <w:rFonts w:hint="eastAsia" w:ascii="Times New Roman" w:hAnsi="Times New Roman"/>
                      <w:bCs/>
                      <w:color w:val="auto"/>
                      <w:kern w:val="2"/>
                      <w:sz w:val="21"/>
                      <w:szCs w:val="21"/>
                      <w:lang w:bidi="ar"/>
                    </w:rPr>
                    <w:t>Leq（A）</w:t>
                  </w:r>
                </w:p>
              </w:tc>
              <w:tc>
                <w:tcPr>
                  <w:tcW w:w="1645" w:type="pct"/>
                  <w:vAlign w:val="center"/>
                </w:tcPr>
                <w:p>
                  <w:pPr>
                    <w:pStyle w:val="19"/>
                    <w:spacing w:before="0" w:beforeAutospacing="0" w:after="0" w:afterAutospacing="0" w:line="360" w:lineRule="exact"/>
                    <w:jc w:val="center"/>
                    <w:rPr>
                      <w:rFonts w:ascii="Times New Roman" w:hAnsi="Times New Roman"/>
                      <w:bCs/>
                      <w:color w:val="auto"/>
                      <w:kern w:val="2"/>
                      <w:sz w:val="21"/>
                      <w:szCs w:val="21"/>
                      <w:lang w:bidi="ar"/>
                    </w:rPr>
                  </w:pPr>
                  <w:r>
                    <w:rPr>
                      <w:rFonts w:ascii="Times New Roman" w:hAnsi="Times New Roman"/>
                      <w:bCs/>
                      <w:color w:val="auto"/>
                      <w:kern w:val="2"/>
                      <w:sz w:val="21"/>
                      <w:szCs w:val="21"/>
                      <w:lang w:bidi="ar"/>
                    </w:rPr>
                    <w:t>1次</w:t>
                  </w:r>
                  <w:r>
                    <w:rPr>
                      <w:rFonts w:hint="eastAsia" w:ascii="Times New Roman" w:hAnsi="Times New Roman"/>
                      <w:bCs/>
                      <w:color w:val="auto"/>
                      <w:kern w:val="2"/>
                      <w:sz w:val="21"/>
                      <w:szCs w:val="21"/>
                      <w:lang w:bidi="ar"/>
                    </w:rPr>
                    <w:t>/季度</w:t>
                  </w:r>
                </w:p>
              </w:tc>
            </w:tr>
          </w:tbl>
          <w:p>
            <w:pPr>
              <w:pStyle w:val="47"/>
              <w:adjustRightInd w:val="0"/>
              <w:snapToGrid w:val="0"/>
              <w:ind w:firstLine="0"/>
              <w:outlineLvl w:val="2"/>
              <w:rPr>
                <w:b/>
                <w:color w:val="auto"/>
                <w:szCs w:val="24"/>
              </w:rPr>
            </w:pPr>
            <w:r>
              <w:rPr>
                <w:rFonts w:hint="eastAsia"/>
                <w:b/>
                <w:color w:val="auto"/>
                <w:szCs w:val="24"/>
              </w:rPr>
              <w:t>4.2.4固体废物</w:t>
            </w:r>
          </w:p>
          <w:p>
            <w:pPr>
              <w:pStyle w:val="47"/>
              <w:adjustRightInd w:val="0"/>
              <w:snapToGrid w:val="0"/>
              <w:ind w:firstLine="480" w:firstLineChars="200"/>
              <w:outlineLvl w:val="2"/>
              <w:rPr>
                <w:color w:val="auto"/>
                <w:szCs w:val="24"/>
              </w:rPr>
            </w:pPr>
            <w:r>
              <w:rPr>
                <w:rFonts w:hint="eastAsia"/>
                <w:color w:val="auto"/>
                <w:szCs w:val="24"/>
              </w:rPr>
              <w:t>（1）旋风布袋除尘器收集粉尘</w:t>
            </w:r>
          </w:p>
          <w:p>
            <w:pPr>
              <w:pStyle w:val="47"/>
              <w:adjustRightInd w:val="0"/>
              <w:snapToGrid w:val="0"/>
              <w:ind w:firstLine="480" w:firstLineChars="200"/>
              <w:outlineLvl w:val="2"/>
              <w:rPr>
                <w:color w:val="auto"/>
                <w:szCs w:val="24"/>
              </w:rPr>
            </w:pPr>
            <w:r>
              <w:rPr>
                <w:rFonts w:hint="eastAsia"/>
                <w:bCs/>
                <w:color w:val="auto"/>
              </w:rPr>
              <w:t>破碎研磨车间产生的粉尘由脉冲袋式除尘器（收集效率90%，处理效率9</w:t>
            </w:r>
            <w:r>
              <w:rPr>
                <w:rFonts w:hint="eastAsia"/>
                <w:bCs/>
                <w:color w:val="auto"/>
                <w:lang w:val="en-US" w:eastAsia="zh-CN"/>
              </w:rPr>
              <w:t>8</w:t>
            </w:r>
            <w:r>
              <w:rPr>
                <w:rFonts w:hint="eastAsia"/>
                <w:bCs/>
                <w:color w:val="auto"/>
              </w:rPr>
              <w:t>%）收集处理，粉尘收集量为</w:t>
            </w:r>
            <w:r>
              <w:rPr>
                <w:rFonts w:hint="eastAsia"/>
                <w:bCs/>
                <w:color w:val="auto"/>
                <w:lang w:val="en-US" w:eastAsia="zh-CN"/>
              </w:rPr>
              <w:t>66.15t</w:t>
            </w:r>
            <w:r>
              <w:rPr>
                <w:rFonts w:hint="eastAsia"/>
                <w:bCs/>
                <w:color w:val="auto"/>
              </w:rPr>
              <w:t>/a，作为原料投入搅拌器中。</w:t>
            </w:r>
          </w:p>
          <w:p>
            <w:pPr>
              <w:pStyle w:val="47"/>
              <w:adjustRightInd w:val="0"/>
              <w:snapToGrid w:val="0"/>
              <w:ind w:firstLine="480" w:firstLineChars="200"/>
              <w:outlineLvl w:val="2"/>
              <w:rPr>
                <w:color w:val="auto"/>
                <w:szCs w:val="24"/>
              </w:rPr>
            </w:pPr>
            <w:r>
              <w:rPr>
                <w:rFonts w:hint="eastAsia"/>
                <w:color w:val="auto"/>
                <w:szCs w:val="24"/>
              </w:rPr>
              <w:t>（2）不合格产品</w:t>
            </w:r>
          </w:p>
          <w:p>
            <w:pPr>
              <w:pStyle w:val="47"/>
              <w:adjustRightInd w:val="0"/>
              <w:snapToGrid w:val="0"/>
              <w:ind w:firstLine="480" w:firstLineChars="200"/>
              <w:outlineLvl w:val="2"/>
              <w:rPr>
                <w:color w:val="auto"/>
                <w:szCs w:val="24"/>
              </w:rPr>
            </w:pPr>
            <w:r>
              <w:rPr>
                <w:rFonts w:hint="eastAsia"/>
                <w:bCs/>
                <w:color w:val="auto"/>
              </w:rPr>
              <w:t>根据实际生产经验，不合格产品产量为产品的0.05%，则项目不合格产品产量为30t/a。不合格产品作为原料投入破碎机中。</w:t>
            </w:r>
          </w:p>
          <w:p>
            <w:pPr>
              <w:pStyle w:val="47"/>
              <w:adjustRightInd w:val="0"/>
              <w:snapToGrid w:val="0"/>
              <w:ind w:firstLine="480" w:firstLineChars="200"/>
              <w:outlineLvl w:val="2"/>
              <w:rPr>
                <w:color w:val="auto"/>
                <w:szCs w:val="24"/>
              </w:rPr>
            </w:pPr>
            <w:r>
              <w:rPr>
                <w:rFonts w:hint="eastAsia"/>
                <w:color w:val="auto"/>
                <w:szCs w:val="24"/>
              </w:rPr>
              <w:t>（3）烟气处理废渣（石膏渣）</w:t>
            </w:r>
          </w:p>
          <w:p>
            <w:pPr>
              <w:pStyle w:val="47"/>
              <w:adjustRightInd w:val="0"/>
              <w:snapToGrid w:val="0"/>
              <w:ind w:firstLine="480" w:firstLineChars="200"/>
              <w:outlineLvl w:val="2"/>
              <w:rPr>
                <w:color w:val="auto"/>
                <w:szCs w:val="24"/>
              </w:rPr>
            </w:pPr>
            <w:r>
              <w:rPr>
                <w:rFonts w:hint="eastAsia"/>
                <w:bCs/>
                <w:color w:val="auto"/>
              </w:rPr>
              <w:t>烟气处理产生的废渣主要为硫酸钙和粉尘，根据烟气处理量可计算得到烟气处理废渣产生量为</w:t>
            </w:r>
            <w:r>
              <w:rPr>
                <w:rFonts w:hint="eastAsia"/>
                <w:bCs/>
                <w:color w:val="auto"/>
                <w:lang w:val="en-US" w:eastAsia="zh-CN"/>
              </w:rPr>
              <w:t>149.65</w:t>
            </w:r>
            <w:r>
              <w:rPr>
                <w:rFonts w:hint="eastAsia"/>
                <w:bCs/>
                <w:color w:val="auto"/>
              </w:rPr>
              <w:t>t/a，作为制砖原料外售给周围砖厂。</w:t>
            </w:r>
          </w:p>
          <w:p>
            <w:pPr>
              <w:pStyle w:val="47"/>
              <w:adjustRightInd w:val="0"/>
              <w:snapToGrid w:val="0"/>
              <w:ind w:firstLine="480" w:firstLineChars="200"/>
              <w:outlineLvl w:val="2"/>
              <w:rPr>
                <w:color w:val="auto"/>
                <w:szCs w:val="24"/>
              </w:rPr>
            </w:pPr>
            <w:r>
              <w:rPr>
                <w:rFonts w:hint="eastAsia"/>
                <w:color w:val="auto"/>
                <w:szCs w:val="24"/>
              </w:rPr>
              <w:t>（4）废机油</w:t>
            </w:r>
          </w:p>
          <w:p>
            <w:pPr>
              <w:pStyle w:val="6"/>
              <w:spacing w:line="360" w:lineRule="auto"/>
              <w:ind w:firstLine="480"/>
              <w:rPr>
                <w:bCs/>
                <w:color w:val="auto"/>
                <w:sz w:val="24"/>
              </w:rPr>
            </w:pPr>
            <w:r>
              <w:rPr>
                <w:rFonts w:hint="eastAsia"/>
                <w:bCs/>
                <w:color w:val="auto"/>
                <w:sz w:val="24"/>
              </w:rPr>
              <w:t>根据实际情况统计估算，改扩建项目废机油年产量为0.5t/a。废机油为危险废物（HW08-900-214-08），收集后暂存于危废暂存间内，定期委托有危废处置资质的单位清运处置。</w:t>
            </w:r>
          </w:p>
          <w:p>
            <w:pPr>
              <w:pStyle w:val="47"/>
              <w:adjustRightInd w:val="0"/>
              <w:snapToGrid w:val="0"/>
              <w:ind w:firstLine="480" w:firstLineChars="200"/>
              <w:outlineLvl w:val="2"/>
              <w:rPr>
                <w:color w:val="auto"/>
                <w:szCs w:val="24"/>
              </w:rPr>
            </w:pPr>
            <w:r>
              <w:rPr>
                <w:rFonts w:hint="eastAsia"/>
                <w:color w:val="auto"/>
                <w:szCs w:val="24"/>
              </w:rPr>
              <w:t>（5）实验室固废</w:t>
            </w:r>
          </w:p>
          <w:p>
            <w:pPr>
              <w:pStyle w:val="47"/>
              <w:adjustRightInd w:val="0"/>
              <w:snapToGrid w:val="0"/>
              <w:ind w:firstLine="480" w:firstLineChars="200"/>
              <w:outlineLvl w:val="2"/>
              <w:rPr>
                <w:bCs/>
                <w:color w:val="auto"/>
              </w:rPr>
            </w:pPr>
            <w:r>
              <w:rPr>
                <w:color w:val="auto"/>
              </w:rPr>
              <w:t>项目实验室产生的废酸溶液、废碱溶液和其他废试剂等产生量约为0.</w:t>
            </w:r>
            <w:r>
              <w:rPr>
                <w:rFonts w:hint="eastAsia"/>
                <w:color w:val="auto"/>
              </w:rPr>
              <w:t>5</w:t>
            </w:r>
            <w:r>
              <w:rPr>
                <w:color w:val="auto"/>
              </w:rPr>
              <w:t>t/a，属于危险废物</w:t>
            </w:r>
            <w:r>
              <w:rPr>
                <w:rFonts w:hint="eastAsia"/>
                <w:color w:val="auto"/>
              </w:rPr>
              <w:t>（</w:t>
            </w:r>
            <w:r>
              <w:rPr>
                <w:color w:val="auto"/>
              </w:rPr>
              <w:t>HW49-900-047-49</w:t>
            </w:r>
            <w:r>
              <w:rPr>
                <w:rFonts w:hint="eastAsia"/>
                <w:color w:val="auto"/>
              </w:rPr>
              <w:t>），</w:t>
            </w:r>
            <w:r>
              <w:rPr>
                <w:rFonts w:hint="eastAsia"/>
                <w:bCs/>
                <w:color w:val="auto"/>
              </w:rPr>
              <w:t>收集暂存于危废暂存间内，定期委托有危废处置资质的单位清运处置。</w:t>
            </w:r>
          </w:p>
          <w:p>
            <w:pPr>
              <w:pStyle w:val="47"/>
              <w:adjustRightInd w:val="0"/>
              <w:snapToGrid w:val="0"/>
              <w:ind w:firstLine="480" w:firstLineChars="200"/>
              <w:outlineLvl w:val="2"/>
              <w:rPr>
                <w:color w:val="auto"/>
                <w:szCs w:val="24"/>
              </w:rPr>
            </w:pPr>
            <w:r>
              <w:rPr>
                <w:rFonts w:hint="eastAsia"/>
                <w:color w:val="auto"/>
                <w:szCs w:val="24"/>
              </w:rPr>
              <w:t>（6）危废间设置情况</w:t>
            </w:r>
          </w:p>
          <w:p>
            <w:pPr>
              <w:adjustRightInd w:val="0"/>
              <w:snapToGrid w:val="0"/>
              <w:spacing w:line="360" w:lineRule="auto"/>
              <w:ind w:firstLine="480" w:firstLineChars="200"/>
              <w:rPr>
                <w:color w:val="auto"/>
                <w:sz w:val="24"/>
              </w:rPr>
            </w:pPr>
            <w:r>
              <w:rPr>
                <w:rFonts w:hint="eastAsia"/>
                <w:color w:val="auto"/>
                <w:sz w:val="24"/>
              </w:rPr>
              <w:t>危废间位于原有仓库东侧，1间，占地面积30m</w:t>
            </w:r>
            <w:r>
              <w:rPr>
                <w:rFonts w:hint="eastAsia"/>
                <w:color w:val="auto"/>
                <w:sz w:val="24"/>
                <w:vertAlign w:val="superscript"/>
              </w:rPr>
              <w:t>2</w:t>
            </w:r>
            <w:r>
              <w:rPr>
                <w:rFonts w:hint="eastAsia"/>
                <w:color w:val="auto"/>
                <w:sz w:val="24"/>
              </w:rPr>
              <w:t>，危废间地面与裙脚采用了25cm耐酸水泥+2mm厚高密度聚乙烯做了防渗处理。并设置专用容器收集废机油，容器放置于盛有消防沙的底座内。项目危废暂存间符合</w:t>
            </w:r>
            <w:r>
              <w:rPr>
                <w:color w:val="auto"/>
                <w:sz w:val="24"/>
              </w:rPr>
              <w:t>《危险废物贮存污染控制标准》（GB18597-2001）要求</w:t>
            </w:r>
            <w:r>
              <w:rPr>
                <w:rFonts w:hint="eastAsia"/>
                <w:color w:val="auto"/>
                <w:sz w:val="24"/>
              </w:rPr>
              <w:t>。</w:t>
            </w:r>
          </w:p>
          <w:p>
            <w:pPr>
              <w:adjustRightInd w:val="0"/>
              <w:snapToGrid w:val="0"/>
              <w:spacing w:line="360" w:lineRule="auto"/>
              <w:rPr>
                <w:b/>
                <w:color w:val="auto"/>
                <w:sz w:val="24"/>
              </w:rPr>
            </w:pPr>
            <w:r>
              <w:rPr>
                <w:rFonts w:hint="eastAsia"/>
                <w:b/>
                <w:color w:val="auto"/>
                <w:sz w:val="24"/>
              </w:rPr>
              <w:t>4.2.5地下水环境和土壤环境影响分析</w:t>
            </w:r>
          </w:p>
          <w:p>
            <w:pPr>
              <w:adjustRightInd w:val="0"/>
              <w:snapToGrid w:val="0"/>
              <w:spacing w:line="360" w:lineRule="auto"/>
              <w:ind w:firstLine="480" w:firstLineChars="200"/>
              <w:rPr>
                <w:color w:val="auto"/>
                <w:sz w:val="24"/>
              </w:rPr>
            </w:pPr>
            <w:r>
              <w:rPr>
                <w:rFonts w:hint="eastAsia"/>
                <w:color w:val="auto"/>
                <w:sz w:val="24"/>
              </w:rPr>
              <w:t>项目改扩建完成后，初期雨水通过厂区雨水沟排至厂外雨污管网；实验室废水经中和处理后排入化粪池与生活污水一并处理后再排入园区污水管网，最终进入园区污水处理厂处理；生产过程中原料搅拌用水随砖胚进入窑体全部焙烧蒸发，脱硫废水经再生池添加石灰发生置换反应并过滤沉淀后返回</w:t>
            </w:r>
            <w:r>
              <w:rPr>
                <w:rFonts w:hint="eastAsia"/>
                <w:color w:val="auto"/>
                <w:sz w:val="24"/>
                <w:lang w:eastAsia="zh-CN"/>
              </w:rPr>
              <w:t>石灰石膏法脱硫塔</w:t>
            </w:r>
            <w:r>
              <w:rPr>
                <w:rFonts w:hint="eastAsia"/>
                <w:color w:val="auto"/>
                <w:sz w:val="24"/>
              </w:rPr>
              <w:t>配套水池循环使用。项目厂区地面已硬化，各污水处置措施按照一般防渗区要求进行了防渗处理。根据项目运行</w:t>
            </w:r>
            <w:r>
              <w:rPr>
                <w:rFonts w:hint="eastAsia"/>
                <w:bCs/>
                <w:color w:val="auto"/>
                <w:sz w:val="24"/>
              </w:rPr>
              <w:t>多年实际情况可知，危险废物贮存、转运等环节均未出现环境影响问题</w:t>
            </w:r>
            <w:r>
              <w:rPr>
                <w:rFonts w:hint="eastAsia"/>
                <w:color w:val="auto"/>
                <w:sz w:val="24"/>
              </w:rPr>
              <w:t>，</w:t>
            </w:r>
            <w:r>
              <w:rPr>
                <w:color w:val="auto"/>
                <w:sz w:val="24"/>
              </w:rPr>
              <w:t>工程对地下水、土壤无污染途径</w:t>
            </w:r>
            <w:r>
              <w:rPr>
                <w:rFonts w:hint="eastAsia"/>
                <w:color w:val="auto"/>
                <w:sz w:val="24"/>
              </w:rPr>
              <w:t>。</w:t>
            </w:r>
          </w:p>
          <w:p>
            <w:pPr>
              <w:adjustRightInd w:val="0"/>
              <w:snapToGrid w:val="0"/>
              <w:spacing w:line="360" w:lineRule="auto"/>
              <w:rPr>
                <w:b/>
                <w:color w:val="auto"/>
                <w:sz w:val="24"/>
              </w:rPr>
            </w:pPr>
            <w:r>
              <w:rPr>
                <w:rFonts w:hint="eastAsia"/>
                <w:b/>
                <w:color w:val="auto"/>
                <w:sz w:val="24"/>
              </w:rPr>
              <w:t>4.2.6环境风险</w:t>
            </w:r>
          </w:p>
          <w:p>
            <w:pPr>
              <w:pStyle w:val="47"/>
              <w:adjustRightInd w:val="0"/>
              <w:snapToGrid w:val="0"/>
              <w:ind w:firstLine="480" w:firstLineChars="200"/>
              <w:outlineLvl w:val="2"/>
              <w:rPr>
                <w:color w:val="auto"/>
                <w:szCs w:val="24"/>
              </w:rPr>
            </w:pPr>
            <w:r>
              <w:rPr>
                <w:rFonts w:hint="eastAsia"/>
                <w:color w:val="auto"/>
                <w:szCs w:val="24"/>
              </w:rPr>
              <w:t>（1）风险源识别</w:t>
            </w:r>
          </w:p>
          <w:p>
            <w:pPr>
              <w:pStyle w:val="47"/>
              <w:adjustRightInd w:val="0"/>
              <w:snapToGrid w:val="0"/>
              <w:ind w:firstLine="480" w:firstLineChars="200"/>
              <w:outlineLvl w:val="2"/>
              <w:rPr>
                <w:color w:val="auto"/>
                <w:szCs w:val="24"/>
              </w:rPr>
            </w:pPr>
            <w:r>
              <w:rPr>
                <w:color w:val="auto"/>
              </w:rPr>
              <w:t>针对企业的生产原料、燃料、产品、中间产品、副产品、催化剂、辅助生产原料、“三废”污染物等，列表说明内容：物质名称，化学文摘号（CAS号） ，目前数量和可能存在的最大数量，在正常使用和事故状态下的物理、化学性质、毒理学特性、对人体和环境的急性和慢性危害、伴生/次生物质，以及基本应急处置方法等，对照附录B和《危险化学品重大危险源辨识》（GB18218-2018）标明是否为环境风险物质。</w:t>
            </w:r>
          </w:p>
          <w:p>
            <w:pPr>
              <w:pStyle w:val="47"/>
              <w:adjustRightInd w:val="0"/>
              <w:snapToGrid w:val="0"/>
              <w:spacing w:line="240" w:lineRule="auto"/>
              <w:ind w:firstLine="0"/>
              <w:jc w:val="center"/>
              <w:outlineLvl w:val="2"/>
              <w:rPr>
                <w:b/>
                <w:bCs/>
                <w:color w:val="auto"/>
                <w:sz w:val="21"/>
                <w:szCs w:val="21"/>
              </w:rPr>
            </w:pPr>
            <w:r>
              <w:rPr>
                <w:b/>
                <w:bCs/>
                <w:color w:val="auto"/>
                <w:sz w:val="21"/>
                <w:szCs w:val="21"/>
              </w:rPr>
              <w:t>表4-</w:t>
            </w:r>
            <w:r>
              <w:rPr>
                <w:rFonts w:hint="eastAsia"/>
                <w:b/>
                <w:bCs/>
                <w:color w:val="auto"/>
                <w:sz w:val="21"/>
                <w:szCs w:val="21"/>
              </w:rPr>
              <w:t>15</w:t>
            </w:r>
            <w:r>
              <w:rPr>
                <w:b/>
                <w:bCs/>
                <w:color w:val="auto"/>
                <w:sz w:val="21"/>
                <w:szCs w:val="21"/>
              </w:rPr>
              <w:t xml:space="preserve">  主要原料环境风险物质判别表</w:t>
            </w:r>
          </w:p>
          <w:tbl>
            <w:tblPr>
              <w:tblStyle w:val="22"/>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974"/>
              <w:gridCol w:w="573"/>
              <w:gridCol w:w="931"/>
              <w:gridCol w:w="796"/>
              <w:gridCol w:w="665"/>
              <w:gridCol w:w="1064"/>
              <w:gridCol w:w="663"/>
              <w:gridCol w:w="809"/>
              <w:gridCol w:w="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blHeader/>
                <w:jc w:val="center"/>
              </w:trPr>
              <w:tc>
                <w:tcPr>
                  <w:tcW w:w="502" w:type="pct"/>
                  <w:vMerge w:val="restart"/>
                  <w:vAlign w:val="center"/>
                </w:tcPr>
                <w:p>
                  <w:pPr>
                    <w:widowControl/>
                    <w:jc w:val="center"/>
                    <w:rPr>
                      <w:color w:val="auto"/>
                    </w:rPr>
                  </w:pPr>
                  <w:r>
                    <w:rPr>
                      <w:color w:val="auto"/>
                    </w:rPr>
                    <w:t>名称</w:t>
                  </w:r>
                </w:p>
              </w:tc>
              <w:tc>
                <w:tcPr>
                  <w:tcW w:w="614" w:type="pct"/>
                  <w:vMerge w:val="restart"/>
                  <w:vAlign w:val="center"/>
                </w:tcPr>
                <w:p>
                  <w:pPr>
                    <w:widowControl/>
                    <w:jc w:val="center"/>
                    <w:rPr>
                      <w:color w:val="auto"/>
                    </w:rPr>
                  </w:pPr>
                  <w:r>
                    <w:rPr>
                      <w:rFonts w:hint="eastAsia"/>
                      <w:color w:val="auto"/>
                    </w:rPr>
                    <w:t>成分</w:t>
                  </w:r>
                </w:p>
              </w:tc>
              <w:tc>
                <w:tcPr>
                  <w:tcW w:w="948" w:type="pct"/>
                  <w:gridSpan w:val="2"/>
                  <w:vAlign w:val="center"/>
                </w:tcPr>
                <w:p>
                  <w:pPr>
                    <w:widowControl/>
                    <w:jc w:val="center"/>
                    <w:rPr>
                      <w:color w:val="auto"/>
                    </w:rPr>
                  </w:pPr>
                  <w:r>
                    <w:rPr>
                      <w:color w:val="auto"/>
                    </w:rPr>
                    <w:t>年消耗量</w:t>
                  </w:r>
                </w:p>
              </w:tc>
              <w:tc>
                <w:tcPr>
                  <w:tcW w:w="502" w:type="pct"/>
                  <w:vMerge w:val="restart"/>
                  <w:vAlign w:val="center"/>
                </w:tcPr>
                <w:p>
                  <w:pPr>
                    <w:widowControl/>
                    <w:jc w:val="center"/>
                    <w:rPr>
                      <w:color w:val="auto"/>
                    </w:rPr>
                  </w:pPr>
                  <w:r>
                    <w:rPr>
                      <w:color w:val="auto"/>
                    </w:rPr>
                    <w:t>最大存在量（t）</w:t>
                  </w:r>
                </w:p>
              </w:tc>
              <w:tc>
                <w:tcPr>
                  <w:tcW w:w="419" w:type="pct"/>
                  <w:vMerge w:val="restart"/>
                  <w:vAlign w:val="center"/>
                </w:tcPr>
                <w:p>
                  <w:pPr>
                    <w:widowControl/>
                    <w:jc w:val="center"/>
                    <w:rPr>
                      <w:color w:val="auto"/>
                    </w:rPr>
                  </w:pPr>
                  <w:r>
                    <w:rPr>
                      <w:color w:val="auto"/>
                    </w:rPr>
                    <w:t>性质</w:t>
                  </w:r>
                </w:p>
              </w:tc>
              <w:tc>
                <w:tcPr>
                  <w:tcW w:w="671" w:type="pct"/>
                  <w:vMerge w:val="restart"/>
                  <w:vAlign w:val="center"/>
                </w:tcPr>
                <w:p>
                  <w:pPr>
                    <w:widowControl/>
                    <w:jc w:val="center"/>
                    <w:rPr>
                      <w:color w:val="auto"/>
                    </w:rPr>
                  </w:pPr>
                  <w:r>
                    <w:rPr>
                      <w:color w:val="auto"/>
                    </w:rPr>
                    <w:t>存储位置</w:t>
                  </w:r>
                </w:p>
              </w:tc>
              <w:tc>
                <w:tcPr>
                  <w:tcW w:w="418" w:type="pct"/>
                  <w:vMerge w:val="restart"/>
                  <w:vAlign w:val="center"/>
                </w:tcPr>
                <w:p>
                  <w:pPr>
                    <w:widowControl/>
                    <w:jc w:val="center"/>
                    <w:rPr>
                      <w:color w:val="auto"/>
                    </w:rPr>
                  </w:pPr>
                  <w:r>
                    <w:rPr>
                      <w:color w:val="auto"/>
                    </w:rPr>
                    <w:t>来源</w:t>
                  </w:r>
                </w:p>
              </w:tc>
              <w:tc>
                <w:tcPr>
                  <w:tcW w:w="510" w:type="pct"/>
                  <w:vMerge w:val="restart"/>
                  <w:vAlign w:val="center"/>
                </w:tcPr>
                <w:p>
                  <w:pPr>
                    <w:widowControl/>
                    <w:jc w:val="center"/>
                    <w:rPr>
                      <w:color w:val="auto"/>
                    </w:rPr>
                  </w:pPr>
                  <w:r>
                    <w:rPr>
                      <w:rFonts w:hint="eastAsia"/>
                      <w:color w:val="auto"/>
                    </w:rPr>
                    <w:t>是否为风险物质</w:t>
                  </w:r>
                </w:p>
              </w:tc>
              <w:tc>
                <w:tcPr>
                  <w:tcW w:w="416" w:type="pct"/>
                  <w:vMerge w:val="restart"/>
                  <w:vAlign w:val="center"/>
                </w:tcPr>
                <w:p>
                  <w:pPr>
                    <w:widowControl/>
                    <w:jc w:val="center"/>
                    <w:rPr>
                      <w:color w:val="auto"/>
                    </w:rPr>
                  </w:pPr>
                  <w:r>
                    <w:rPr>
                      <w:rFonts w:hint="eastAsia"/>
                      <w:color w:val="auto"/>
                    </w:rPr>
                    <w:t>临界量（t）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502" w:type="pct"/>
                  <w:vMerge w:val="continue"/>
                  <w:vAlign w:val="center"/>
                </w:tcPr>
                <w:p>
                  <w:pPr>
                    <w:widowControl/>
                    <w:jc w:val="center"/>
                    <w:rPr>
                      <w:color w:val="auto"/>
                    </w:rPr>
                  </w:pPr>
                </w:p>
              </w:tc>
              <w:tc>
                <w:tcPr>
                  <w:tcW w:w="614" w:type="pct"/>
                  <w:vMerge w:val="continue"/>
                  <w:vAlign w:val="center"/>
                </w:tcPr>
                <w:p>
                  <w:pPr>
                    <w:widowControl/>
                    <w:jc w:val="center"/>
                    <w:rPr>
                      <w:color w:val="auto"/>
                    </w:rPr>
                  </w:pPr>
                </w:p>
              </w:tc>
              <w:tc>
                <w:tcPr>
                  <w:tcW w:w="361" w:type="pct"/>
                  <w:vAlign w:val="center"/>
                </w:tcPr>
                <w:p>
                  <w:pPr>
                    <w:widowControl/>
                    <w:jc w:val="center"/>
                    <w:rPr>
                      <w:color w:val="auto"/>
                    </w:rPr>
                  </w:pPr>
                  <w:r>
                    <w:rPr>
                      <w:color w:val="auto"/>
                    </w:rPr>
                    <w:t>单位</w:t>
                  </w:r>
                </w:p>
              </w:tc>
              <w:tc>
                <w:tcPr>
                  <w:tcW w:w="587" w:type="pct"/>
                  <w:vAlign w:val="center"/>
                </w:tcPr>
                <w:p>
                  <w:pPr>
                    <w:widowControl/>
                    <w:jc w:val="center"/>
                    <w:rPr>
                      <w:color w:val="auto"/>
                    </w:rPr>
                  </w:pPr>
                  <w:r>
                    <w:rPr>
                      <w:color w:val="auto"/>
                    </w:rPr>
                    <w:t>数量</w:t>
                  </w:r>
                </w:p>
              </w:tc>
              <w:tc>
                <w:tcPr>
                  <w:tcW w:w="502" w:type="pct"/>
                  <w:vMerge w:val="continue"/>
                  <w:vAlign w:val="center"/>
                </w:tcPr>
                <w:p>
                  <w:pPr>
                    <w:widowControl/>
                    <w:jc w:val="center"/>
                    <w:rPr>
                      <w:color w:val="auto"/>
                    </w:rPr>
                  </w:pPr>
                </w:p>
              </w:tc>
              <w:tc>
                <w:tcPr>
                  <w:tcW w:w="419" w:type="pct"/>
                  <w:vMerge w:val="continue"/>
                  <w:vAlign w:val="center"/>
                </w:tcPr>
                <w:p>
                  <w:pPr>
                    <w:widowControl/>
                    <w:jc w:val="center"/>
                    <w:rPr>
                      <w:color w:val="auto"/>
                    </w:rPr>
                  </w:pPr>
                </w:p>
              </w:tc>
              <w:tc>
                <w:tcPr>
                  <w:tcW w:w="671" w:type="pct"/>
                  <w:vMerge w:val="continue"/>
                  <w:vAlign w:val="center"/>
                </w:tcPr>
                <w:p>
                  <w:pPr>
                    <w:widowControl/>
                    <w:jc w:val="center"/>
                    <w:rPr>
                      <w:color w:val="auto"/>
                    </w:rPr>
                  </w:pPr>
                </w:p>
              </w:tc>
              <w:tc>
                <w:tcPr>
                  <w:tcW w:w="418" w:type="pct"/>
                  <w:vMerge w:val="continue"/>
                  <w:vAlign w:val="center"/>
                </w:tcPr>
                <w:p>
                  <w:pPr>
                    <w:widowControl/>
                    <w:jc w:val="center"/>
                    <w:rPr>
                      <w:color w:val="auto"/>
                    </w:rPr>
                  </w:pPr>
                </w:p>
              </w:tc>
              <w:tc>
                <w:tcPr>
                  <w:tcW w:w="510" w:type="pct"/>
                  <w:vMerge w:val="continue"/>
                  <w:vAlign w:val="center"/>
                </w:tcPr>
                <w:p>
                  <w:pPr>
                    <w:widowControl/>
                    <w:jc w:val="center"/>
                    <w:rPr>
                      <w:color w:val="auto"/>
                    </w:rPr>
                  </w:pPr>
                </w:p>
              </w:tc>
              <w:tc>
                <w:tcPr>
                  <w:tcW w:w="416" w:type="pct"/>
                  <w:vMerge w:val="continue"/>
                  <w:vAlign w:val="center"/>
                </w:tcPr>
                <w:p>
                  <w:pPr>
                    <w:widowControl/>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502" w:type="pct"/>
                  <w:vAlign w:val="center"/>
                </w:tcPr>
                <w:p>
                  <w:pPr>
                    <w:widowControl/>
                    <w:snapToGrid w:val="0"/>
                    <w:jc w:val="center"/>
                    <w:rPr>
                      <w:color w:val="auto"/>
                      <w:kern w:val="0"/>
                      <w:szCs w:val="21"/>
                      <w:lang w:bidi="ar"/>
                    </w:rPr>
                  </w:pPr>
                  <w:r>
                    <w:rPr>
                      <w:color w:val="auto"/>
                      <w:kern w:val="0"/>
                      <w:szCs w:val="21"/>
                      <w:lang w:bidi="ar"/>
                    </w:rPr>
                    <w:t>粘土矿</w:t>
                  </w:r>
                </w:p>
              </w:tc>
              <w:tc>
                <w:tcPr>
                  <w:tcW w:w="614" w:type="pct"/>
                  <w:vMerge w:val="restart"/>
                  <w:vAlign w:val="center"/>
                </w:tcPr>
                <w:p>
                  <w:pPr>
                    <w:widowControl/>
                    <w:snapToGrid w:val="0"/>
                    <w:rPr>
                      <w:color w:val="auto"/>
                      <w:kern w:val="0"/>
                      <w:szCs w:val="21"/>
                      <w:lang w:bidi="ar"/>
                    </w:rPr>
                  </w:pPr>
                  <w:r>
                    <w:rPr>
                      <w:rFonts w:hint="eastAsia"/>
                      <w:color w:val="auto"/>
                      <w:kern w:val="0"/>
                      <w:szCs w:val="21"/>
                      <w:lang w:bidi="ar"/>
                    </w:rPr>
                    <w:t>三氧化二铝、二氧化硅等</w:t>
                  </w:r>
                </w:p>
              </w:tc>
              <w:tc>
                <w:tcPr>
                  <w:tcW w:w="361" w:type="pct"/>
                  <w:vAlign w:val="center"/>
                </w:tcPr>
                <w:p>
                  <w:pPr>
                    <w:widowControl/>
                    <w:jc w:val="center"/>
                    <w:rPr>
                      <w:color w:val="auto"/>
                    </w:rPr>
                  </w:pPr>
                  <w:r>
                    <w:rPr>
                      <w:rFonts w:hint="eastAsia"/>
                      <w:color w:val="auto"/>
                    </w:rPr>
                    <w:t>t/a</w:t>
                  </w:r>
                </w:p>
              </w:tc>
              <w:tc>
                <w:tcPr>
                  <w:tcW w:w="587" w:type="pct"/>
                  <w:vAlign w:val="center"/>
                </w:tcPr>
                <w:p>
                  <w:pPr>
                    <w:widowControl/>
                    <w:snapToGrid w:val="0"/>
                    <w:jc w:val="center"/>
                    <w:rPr>
                      <w:color w:val="auto"/>
                      <w:kern w:val="0"/>
                      <w:szCs w:val="21"/>
                      <w:lang w:bidi="ar"/>
                    </w:rPr>
                  </w:pPr>
                  <w:r>
                    <w:rPr>
                      <w:rFonts w:hint="eastAsia"/>
                      <w:color w:val="auto"/>
                      <w:kern w:val="0"/>
                      <w:szCs w:val="21"/>
                      <w:lang w:bidi="ar"/>
                    </w:rPr>
                    <w:t>42000</w:t>
                  </w:r>
                </w:p>
              </w:tc>
              <w:tc>
                <w:tcPr>
                  <w:tcW w:w="502" w:type="pct"/>
                  <w:vAlign w:val="center"/>
                </w:tcPr>
                <w:p>
                  <w:pPr>
                    <w:widowControl/>
                    <w:jc w:val="center"/>
                    <w:rPr>
                      <w:color w:val="auto"/>
                    </w:rPr>
                  </w:pPr>
                  <w:r>
                    <w:rPr>
                      <w:rFonts w:hint="eastAsia"/>
                      <w:color w:val="auto"/>
                    </w:rPr>
                    <w:t>500</w:t>
                  </w:r>
                </w:p>
              </w:tc>
              <w:tc>
                <w:tcPr>
                  <w:tcW w:w="419" w:type="pct"/>
                  <w:vAlign w:val="center"/>
                </w:tcPr>
                <w:p>
                  <w:pPr>
                    <w:widowControl/>
                    <w:jc w:val="center"/>
                    <w:rPr>
                      <w:color w:val="auto"/>
                    </w:rPr>
                  </w:pPr>
                  <w:r>
                    <w:rPr>
                      <w:rFonts w:hint="eastAsia"/>
                      <w:color w:val="auto"/>
                    </w:rPr>
                    <w:t>--</w:t>
                  </w:r>
                </w:p>
              </w:tc>
              <w:tc>
                <w:tcPr>
                  <w:tcW w:w="671" w:type="pct"/>
                  <w:vMerge w:val="restart"/>
                  <w:vAlign w:val="center"/>
                </w:tcPr>
                <w:p>
                  <w:pPr>
                    <w:widowControl/>
                    <w:jc w:val="center"/>
                    <w:rPr>
                      <w:color w:val="auto"/>
                    </w:rPr>
                  </w:pPr>
                  <w:r>
                    <w:rPr>
                      <w:rFonts w:hint="eastAsia"/>
                      <w:color w:val="auto"/>
                    </w:rPr>
                    <w:t>原料堆场</w:t>
                  </w:r>
                </w:p>
              </w:tc>
              <w:tc>
                <w:tcPr>
                  <w:tcW w:w="418" w:type="pct"/>
                  <w:vAlign w:val="center"/>
                </w:tcPr>
                <w:p>
                  <w:pPr>
                    <w:widowControl/>
                    <w:jc w:val="center"/>
                    <w:rPr>
                      <w:color w:val="auto"/>
                    </w:rPr>
                  </w:pPr>
                  <w:r>
                    <w:rPr>
                      <w:rFonts w:hint="eastAsia"/>
                      <w:color w:val="auto"/>
                    </w:rPr>
                    <w:t>外购</w:t>
                  </w:r>
                </w:p>
              </w:tc>
              <w:tc>
                <w:tcPr>
                  <w:tcW w:w="510" w:type="pct"/>
                  <w:vAlign w:val="center"/>
                </w:tcPr>
                <w:p>
                  <w:pPr>
                    <w:widowControl/>
                    <w:jc w:val="center"/>
                    <w:rPr>
                      <w:color w:val="auto"/>
                    </w:rPr>
                  </w:pPr>
                  <w:r>
                    <w:rPr>
                      <w:rFonts w:hint="eastAsia"/>
                      <w:color w:val="auto"/>
                    </w:rPr>
                    <w:t>否</w:t>
                  </w:r>
                </w:p>
              </w:tc>
              <w:tc>
                <w:tcPr>
                  <w:tcW w:w="416" w:type="pct"/>
                  <w:vAlign w:val="center"/>
                </w:tcPr>
                <w:p>
                  <w:pPr>
                    <w:widowControl/>
                    <w:jc w:val="center"/>
                    <w:rPr>
                      <w:color w:val="auto"/>
                    </w:rPr>
                  </w:pPr>
                  <w:r>
                    <w:rPr>
                      <w:rFonts w:hint="eastAsia"/>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502" w:type="pct"/>
                  <w:vAlign w:val="center"/>
                </w:tcPr>
                <w:p>
                  <w:pPr>
                    <w:widowControl/>
                    <w:snapToGrid w:val="0"/>
                    <w:jc w:val="center"/>
                    <w:rPr>
                      <w:color w:val="auto"/>
                      <w:kern w:val="0"/>
                      <w:szCs w:val="21"/>
                      <w:lang w:bidi="ar"/>
                    </w:rPr>
                  </w:pPr>
                  <w:r>
                    <w:rPr>
                      <w:color w:val="auto"/>
                      <w:kern w:val="0"/>
                      <w:szCs w:val="21"/>
                      <w:lang w:bidi="ar"/>
                    </w:rPr>
                    <w:t>高铝矿</w:t>
                  </w:r>
                </w:p>
              </w:tc>
              <w:tc>
                <w:tcPr>
                  <w:tcW w:w="614" w:type="pct"/>
                  <w:vMerge w:val="continue"/>
                  <w:vAlign w:val="center"/>
                </w:tcPr>
                <w:p>
                  <w:pPr>
                    <w:widowControl/>
                    <w:snapToGrid w:val="0"/>
                    <w:jc w:val="center"/>
                    <w:rPr>
                      <w:color w:val="auto"/>
                      <w:kern w:val="0"/>
                      <w:szCs w:val="21"/>
                      <w:lang w:bidi="ar"/>
                    </w:rPr>
                  </w:pPr>
                </w:p>
              </w:tc>
              <w:tc>
                <w:tcPr>
                  <w:tcW w:w="361" w:type="pct"/>
                  <w:vAlign w:val="center"/>
                </w:tcPr>
                <w:p>
                  <w:pPr>
                    <w:widowControl/>
                    <w:jc w:val="center"/>
                    <w:rPr>
                      <w:color w:val="auto"/>
                    </w:rPr>
                  </w:pPr>
                  <w:r>
                    <w:rPr>
                      <w:rFonts w:hint="eastAsia"/>
                      <w:color w:val="auto"/>
                    </w:rPr>
                    <w:t>t/a</w:t>
                  </w:r>
                </w:p>
              </w:tc>
              <w:tc>
                <w:tcPr>
                  <w:tcW w:w="587" w:type="pct"/>
                  <w:vAlign w:val="center"/>
                </w:tcPr>
                <w:p>
                  <w:pPr>
                    <w:widowControl/>
                    <w:snapToGrid w:val="0"/>
                    <w:jc w:val="center"/>
                    <w:rPr>
                      <w:color w:val="auto"/>
                      <w:kern w:val="0"/>
                      <w:szCs w:val="21"/>
                      <w:lang w:bidi="ar"/>
                    </w:rPr>
                  </w:pPr>
                  <w:r>
                    <w:rPr>
                      <w:rFonts w:hint="eastAsia"/>
                      <w:color w:val="auto"/>
                      <w:kern w:val="0"/>
                      <w:szCs w:val="21"/>
                      <w:lang w:bidi="ar"/>
                    </w:rPr>
                    <w:t>14400</w:t>
                  </w:r>
                </w:p>
              </w:tc>
              <w:tc>
                <w:tcPr>
                  <w:tcW w:w="502" w:type="pct"/>
                  <w:vAlign w:val="center"/>
                </w:tcPr>
                <w:p>
                  <w:pPr>
                    <w:widowControl/>
                    <w:jc w:val="center"/>
                    <w:rPr>
                      <w:color w:val="auto"/>
                    </w:rPr>
                  </w:pPr>
                  <w:r>
                    <w:rPr>
                      <w:rFonts w:hint="eastAsia"/>
                      <w:color w:val="auto"/>
                    </w:rPr>
                    <w:t>500</w:t>
                  </w:r>
                </w:p>
              </w:tc>
              <w:tc>
                <w:tcPr>
                  <w:tcW w:w="419" w:type="pct"/>
                  <w:vAlign w:val="center"/>
                </w:tcPr>
                <w:p>
                  <w:pPr>
                    <w:widowControl/>
                    <w:jc w:val="center"/>
                    <w:rPr>
                      <w:color w:val="auto"/>
                    </w:rPr>
                  </w:pPr>
                  <w:r>
                    <w:rPr>
                      <w:rFonts w:hint="eastAsia"/>
                      <w:color w:val="auto"/>
                    </w:rPr>
                    <w:t>--</w:t>
                  </w:r>
                </w:p>
              </w:tc>
              <w:tc>
                <w:tcPr>
                  <w:tcW w:w="671" w:type="pct"/>
                  <w:vMerge w:val="continue"/>
                  <w:vAlign w:val="center"/>
                </w:tcPr>
                <w:p>
                  <w:pPr>
                    <w:widowControl/>
                    <w:jc w:val="center"/>
                    <w:rPr>
                      <w:color w:val="auto"/>
                    </w:rPr>
                  </w:pPr>
                </w:p>
              </w:tc>
              <w:tc>
                <w:tcPr>
                  <w:tcW w:w="418" w:type="pct"/>
                  <w:vAlign w:val="center"/>
                </w:tcPr>
                <w:p>
                  <w:pPr>
                    <w:widowControl/>
                    <w:jc w:val="center"/>
                    <w:rPr>
                      <w:color w:val="auto"/>
                    </w:rPr>
                  </w:pPr>
                  <w:r>
                    <w:rPr>
                      <w:rFonts w:hint="eastAsia"/>
                      <w:color w:val="auto"/>
                    </w:rPr>
                    <w:t>外购</w:t>
                  </w:r>
                </w:p>
              </w:tc>
              <w:tc>
                <w:tcPr>
                  <w:tcW w:w="510" w:type="pct"/>
                  <w:vAlign w:val="center"/>
                </w:tcPr>
                <w:p>
                  <w:pPr>
                    <w:widowControl/>
                    <w:jc w:val="center"/>
                    <w:rPr>
                      <w:color w:val="auto"/>
                    </w:rPr>
                  </w:pPr>
                  <w:r>
                    <w:rPr>
                      <w:rFonts w:hint="eastAsia"/>
                      <w:color w:val="auto"/>
                    </w:rPr>
                    <w:t>否</w:t>
                  </w:r>
                </w:p>
              </w:tc>
              <w:tc>
                <w:tcPr>
                  <w:tcW w:w="416" w:type="pct"/>
                  <w:vAlign w:val="center"/>
                </w:tcPr>
                <w:p>
                  <w:pPr>
                    <w:widowControl/>
                    <w:jc w:val="center"/>
                    <w:rPr>
                      <w:color w:val="auto"/>
                    </w:rPr>
                  </w:pPr>
                  <w:r>
                    <w:rPr>
                      <w:rFonts w:hint="eastAsia"/>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502" w:type="pct"/>
                  <w:vAlign w:val="center"/>
                </w:tcPr>
                <w:p>
                  <w:pPr>
                    <w:widowControl/>
                    <w:snapToGrid w:val="0"/>
                    <w:jc w:val="center"/>
                    <w:rPr>
                      <w:color w:val="auto"/>
                      <w:kern w:val="0"/>
                      <w:szCs w:val="21"/>
                      <w:lang w:bidi="ar"/>
                    </w:rPr>
                  </w:pPr>
                  <w:r>
                    <w:rPr>
                      <w:color w:val="auto"/>
                      <w:kern w:val="0"/>
                      <w:szCs w:val="21"/>
                      <w:lang w:bidi="ar"/>
                    </w:rPr>
                    <w:t>白泥</w:t>
                  </w:r>
                </w:p>
              </w:tc>
              <w:tc>
                <w:tcPr>
                  <w:tcW w:w="614" w:type="pct"/>
                  <w:vMerge w:val="continue"/>
                  <w:vAlign w:val="center"/>
                </w:tcPr>
                <w:p>
                  <w:pPr>
                    <w:widowControl/>
                    <w:snapToGrid w:val="0"/>
                    <w:jc w:val="center"/>
                    <w:rPr>
                      <w:color w:val="auto"/>
                      <w:kern w:val="0"/>
                      <w:szCs w:val="21"/>
                      <w:lang w:bidi="ar"/>
                    </w:rPr>
                  </w:pPr>
                </w:p>
              </w:tc>
              <w:tc>
                <w:tcPr>
                  <w:tcW w:w="361" w:type="pct"/>
                  <w:vAlign w:val="center"/>
                </w:tcPr>
                <w:p>
                  <w:pPr>
                    <w:widowControl/>
                    <w:jc w:val="center"/>
                    <w:rPr>
                      <w:color w:val="auto"/>
                    </w:rPr>
                  </w:pPr>
                  <w:r>
                    <w:rPr>
                      <w:rFonts w:hint="eastAsia"/>
                      <w:color w:val="auto"/>
                    </w:rPr>
                    <w:t>t/a</w:t>
                  </w:r>
                </w:p>
              </w:tc>
              <w:tc>
                <w:tcPr>
                  <w:tcW w:w="587" w:type="pct"/>
                  <w:vAlign w:val="center"/>
                </w:tcPr>
                <w:p>
                  <w:pPr>
                    <w:widowControl/>
                    <w:snapToGrid w:val="0"/>
                    <w:jc w:val="center"/>
                    <w:rPr>
                      <w:color w:val="auto"/>
                      <w:kern w:val="0"/>
                      <w:szCs w:val="21"/>
                      <w:lang w:bidi="ar"/>
                    </w:rPr>
                  </w:pPr>
                  <w:r>
                    <w:rPr>
                      <w:rFonts w:hint="eastAsia"/>
                      <w:color w:val="auto"/>
                      <w:kern w:val="0"/>
                      <w:szCs w:val="21"/>
                      <w:lang w:bidi="ar"/>
                    </w:rPr>
                    <w:t>3600</w:t>
                  </w:r>
                </w:p>
              </w:tc>
              <w:tc>
                <w:tcPr>
                  <w:tcW w:w="502" w:type="pct"/>
                  <w:vAlign w:val="center"/>
                </w:tcPr>
                <w:p>
                  <w:pPr>
                    <w:widowControl/>
                    <w:jc w:val="center"/>
                    <w:rPr>
                      <w:color w:val="auto"/>
                    </w:rPr>
                  </w:pPr>
                  <w:r>
                    <w:rPr>
                      <w:rFonts w:hint="eastAsia"/>
                      <w:color w:val="auto"/>
                    </w:rPr>
                    <w:t>120</w:t>
                  </w:r>
                </w:p>
              </w:tc>
              <w:tc>
                <w:tcPr>
                  <w:tcW w:w="419" w:type="pct"/>
                  <w:vAlign w:val="center"/>
                </w:tcPr>
                <w:p>
                  <w:pPr>
                    <w:widowControl/>
                    <w:jc w:val="center"/>
                    <w:rPr>
                      <w:color w:val="auto"/>
                    </w:rPr>
                  </w:pPr>
                  <w:r>
                    <w:rPr>
                      <w:rFonts w:hint="eastAsia"/>
                      <w:color w:val="auto"/>
                    </w:rPr>
                    <w:t>--</w:t>
                  </w:r>
                </w:p>
              </w:tc>
              <w:tc>
                <w:tcPr>
                  <w:tcW w:w="671" w:type="pct"/>
                  <w:vMerge w:val="continue"/>
                  <w:vAlign w:val="center"/>
                </w:tcPr>
                <w:p>
                  <w:pPr>
                    <w:widowControl/>
                    <w:jc w:val="center"/>
                    <w:rPr>
                      <w:color w:val="auto"/>
                    </w:rPr>
                  </w:pPr>
                </w:p>
              </w:tc>
              <w:tc>
                <w:tcPr>
                  <w:tcW w:w="418" w:type="pct"/>
                  <w:vAlign w:val="center"/>
                </w:tcPr>
                <w:p>
                  <w:pPr>
                    <w:widowControl/>
                    <w:jc w:val="center"/>
                    <w:rPr>
                      <w:color w:val="auto"/>
                    </w:rPr>
                  </w:pPr>
                  <w:r>
                    <w:rPr>
                      <w:rFonts w:hint="eastAsia"/>
                      <w:color w:val="auto"/>
                    </w:rPr>
                    <w:t>外购</w:t>
                  </w:r>
                </w:p>
              </w:tc>
              <w:tc>
                <w:tcPr>
                  <w:tcW w:w="510" w:type="pct"/>
                  <w:vAlign w:val="center"/>
                </w:tcPr>
                <w:p>
                  <w:pPr>
                    <w:widowControl/>
                    <w:jc w:val="center"/>
                    <w:rPr>
                      <w:color w:val="auto"/>
                    </w:rPr>
                  </w:pPr>
                  <w:r>
                    <w:rPr>
                      <w:rFonts w:hint="eastAsia"/>
                      <w:color w:val="auto"/>
                    </w:rPr>
                    <w:t>否</w:t>
                  </w:r>
                </w:p>
              </w:tc>
              <w:tc>
                <w:tcPr>
                  <w:tcW w:w="416" w:type="pct"/>
                  <w:vAlign w:val="center"/>
                </w:tcPr>
                <w:p>
                  <w:pPr>
                    <w:widowControl/>
                    <w:jc w:val="center"/>
                    <w:rPr>
                      <w:color w:val="auto"/>
                    </w:rPr>
                  </w:pPr>
                  <w:r>
                    <w:rPr>
                      <w:rFonts w:hint="eastAsia"/>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502" w:type="pct"/>
                  <w:vAlign w:val="center"/>
                </w:tcPr>
                <w:p>
                  <w:pPr>
                    <w:widowControl/>
                    <w:snapToGrid w:val="0"/>
                    <w:jc w:val="center"/>
                    <w:rPr>
                      <w:color w:val="auto"/>
                      <w:kern w:val="0"/>
                      <w:szCs w:val="21"/>
                      <w:lang w:bidi="ar"/>
                    </w:rPr>
                  </w:pPr>
                  <w:r>
                    <w:rPr>
                      <w:color w:val="auto"/>
                      <w:kern w:val="0"/>
                      <w:szCs w:val="21"/>
                      <w:lang w:bidi="ar"/>
                    </w:rPr>
                    <w:t>天然气</w:t>
                  </w:r>
                </w:p>
              </w:tc>
              <w:tc>
                <w:tcPr>
                  <w:tcW w:w="614" w:type="pct"/>
                  <w:vAlign w:val="center"/>
                </w:tcPr>
                <w:p>
                  <w:pPr>
                    <w:widowControl/>
                    <w:snapToGrid w:val="0"/>
                    <w:jc w:val="center"/>
                    <w:rPr>
                      <w:color w:val="auto"/>
                      <w:kern w:val="0"/>
                      <w:szCs w:val="21"/>
                      <w:lang w:bidi="ar"/>
                    </w:rPr>
                  </w:pPr>
                  <w:r>
                    <w:rPr>
                      <w:rFonts w:hint="eastAsia"/>
                      <w:color w:val="auto"/>
                      <w:kern w:val="0"/>
                      <w:szCs w:val="21"/>
                      <w:lang w:bidi="ar"/>
                    </w:rPr>
                    <w:t>甲烷</w:t>
                  </w:r>
                </w:p>
              </w:tc>
              <w:tc>
                <w:tcPr>
                  <w:tcW w:w="361" w:type="pct"/>
                  <w:vAlign w:val="center"/>
                </w:tcPr>
                <w:p>
                  <w:pPr>
                    <w:widowControl/>
                    <w:jc w:val="center"/>
                    <w:rPr>
                      <w:color w:val="auto"/>
                    </w:rPr>
                  </w:pPr>
                  <w:r>
                    <w:rPr>
                      <w:rFonts w:hint="eastAsia"/>
                      <w:color w:val="auto"/>
                    </w:rPr>
                    <w:t>m</w:t>
                  </w:r>
                  <w:r>
                    <w:rPr>
                      <w:rFonts w:hint="eastAsia"/>
                      <w:color w:val="auto"/>
                      <w:vertAlign w:val="superscript"/>
                    </w:rPr>
                    <w:t>3</w:t>
                  </w:r>
                  <w:r>
                    <w:rPr>
                      <w:rFonts w:hint="eastAsia"/>
                      <w:color w:val="auto"/>
                    </w:rPr>
                    <w:t>/a</w:t>
                  </w:r>
                </w:p>
              </w:tc>
              <w:tc>
                <w:tcPr>
                  <w:tcW w:w="587" w:type="pct"/>
                  <w:vAlign w:val="center"/>
                </w:tcPr>
                <w:p>
                  <w:pPr>
                    <w:widowControl/>
                    <w:jc w:val="center"/>
                    <w:rPr>
                      <w:color w:val="auto"/>
                    </w:rPr>
                  </w:pPr>
                  <w:r>
                    <w:rPr>
                      <w:rFonts w:hint="eastAsia"/>
                      <w:color w:val="auto"/>
                      <w:kern w:val="0"/>
                      <w:szCs w:val="21"/>
                      <w:lang w:bidi="ar"/>
                    </w:rPr>
                    <w:t>4500000</w:t>
                  </w:r>
                </w:p>
              </w:tc>
              <w:tc>
                <w:tcPr>
                  <w:tcW w:w="502" w:type="pct"/>
                  <w:vAlign w:val="center"/>
                </w:tcPr>
                <w:p>
                  <w:pPr>
                    <w:widowControl/>
                    <w:jc w:val="center"/>
                    <w:rPr>
                      <w:color w:val="auto"/>
                    </w:rPr>
                  </w:pPr>
                  <w:r>
                    <w:rPr>
                      <w:rFonts w:hint="eastAsia"/>
                      <w:color w:val="auto"/>
                    </w:rPr>
                    <w:t>0.45</w:t>
                  </w:r>
                </w:p>
              </w:tc>
              <w:tc>
                <w:tcPr>
                  <w:tcW w:w="419" w:type="pct"/>
                  <w:vAlign w:val="center"/>
                </w:tcPr>
                <w:p>
                  <w:pPr>
                    <w:widowControl/>
                    <w:jc w:val="center"/>
                    <w:rPr>
                      <w:color w:val="auto"/>
                    </w:rPr>
                  </w:pPr>
                  <w:r>
                    <w:rPr>
                      <w:rFonts w:hint="eastAsia"/>
                      <w:color w:val="auto"/>
                    </w:rPr>
                    <w:t>爆炸</w:t>
                  </w:r>
                </w:p>
              </w:tc>
              <w:tc>
                <w:tcPr>
                  <w:tcW w:w="671" w:type="pct"/>
                  <w:vAlign w:val="center"/>
                </w:tcPr>
                <w:p>
                  <w:pPr>
                    <w:widowControl/>
                    <w:jc w:val="center"/>
                    <w:rPr>
                      <w:color w:val="auto"/>
                    </w:rPr>
                  </w:pPr>
                  <w:r>
                    <w:rPr>
                      <w:rFonts w:hint="eastAsia"/>
                      <w:color w:val="auto"/>
                    </w:rPr>
                    <w:t>管网供给</w:t>
                  </w:r>
                </w:p>
              </w:tc>
              <w:tc>
                <w:tcPr>
                  <w:tcW w:w="418" w:type="pct"/>
                  <w:vAlign w:val="center"/>
                </w:tcPr>
                <w:p>
                  <w:pPr>
                    <w:widowControl/>
                    <w:jc w:val="center"/>
                    <w:rPr>
                      <w:color w:val="auto"/>
                    </w:rPr>
                  </w:pPr>
                  <w:r>
                    <w:rPr>
                      <w:rFonts w:hint="eastAsia"/>
                      <w:color w:val="auto"/>
                    </w:rPr>
                    <w:t>管网</w:t>
                  </w:r>
                </w:p>
              </w:tc>
              <w:tc>
                <w:tcPr>
                  <w:tcW w:w="510" w:type="pct"/>
                  <w:vAlign w:val="center"/>
                </w:tcPr>
                <w:p>
                  <w:pPr>
                    <w:widowControl/>
                    <w:jc w:val="center"/>
                    <w:rPr>
                      <w:color w:val="auto"/>
                    </w:rPr>
                  </w:pPr>
                  <w:r>
                    <w:rPr>
                      <w:rFonts w:hint="eastAsia"/>
                      <w:color w:val="auto"/>
                    </w:rPr>
                    <w:t>是</w:t>
                  </w:r>
                </w:p>
              </w:tc>
              <w:tc>
                <w:tcPr>
                  <w:tcW w:w="416" w:type="pct"/>
                  <w:vAlign w:val="center"/>
                </w:tcPr>
                <w:p>
                  <w:pPr>
                    <w:widowControl/>
                    <w:jc w:val="center"/>
                    <w:rPr>
                      <w:color w:val="auto"/>
                    </w:rPr>
                  </w:pPr>
                  <w:r>
                    <w:rPr>
                      <w:rFonts w:hint="eastAsia"/>
                      <w:color w:val="auto"/>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502" w:type="pct"/>
                  <w:vAlign w:val="center"/>
                </w:tcPr>
                <w:p>
                  <w:pPr>
                    <w:widowControl/>
                    <w:snapToGrid w:val="0"/>
                    <w:jc w:val="center"/>
                    <w:rPr>
                      <w:color w:val="auto"/>
                      <w:kern w:val="0"/>
                      <w:szCs w:val="21"/>
                      <w:lang w:bidi="ar"/>
                    </w:rPr>
                  </w:pPr>
                  <w:r>
                    <w:rPr>
                      <w:rFonts w:hint="eastAsia"/>
                      <w:color w:val="auto"/>
                      <w:kern w:val="0"/>
                      <w:szCs w:val="21"/>
                      <w:lang w:bidi="ar"/>
                    </w:rPr>
                    <w:t>柴油</w:t>
                  </w:r>
                </w:p>
              </w:tc>
              <w:tc>
                <w:tcPr>
                  <w:tcW w:w="614" w:type="pct"/>
                  <w:vAlign w:val="center"/>
                </w:tcPr>
                <w:p>
                  <w:pPr>
                    <w:widowControl/>
                    <w:snapToGrid w:val="0"/>
                    <w:jc w:val="center"/>
                    <w:rPr>
                      <w:color w:val="auto"/>
                      <w:kern w:val="0"/>
                      <w:szCs w:val="21"/>
                      <w:lang w:bidi="ar"/>
                    </w:rPr>
                  </w:pPr>
                  <w:r>
                    <w:rPr>
                      <w:rFonts w:hint="eastAsia"/>
                      <w:color w:val="auto"/>
                      <w:kern w:val="0"/>
                      <w:szCs w:val="21"/>
                      <w:lang w:bidi="ar"/>
                    </w:rPr>
                    <w:t>矿物油</w:t>
                  </w:r>
                </w:p>
              </w:tc>
              <w:tc>
                <w:tcPr>
                  <w:tcW w:w="361" w:type="pct"/>
                  <w:vAlign w:val="center"/>
                </w:tcPr>
                <w:p>
                  <w:pPr>
                    <w:widowControl/>
                    <w:jc w:val="center"/>
                    <w:rPr>
                      <w:color w:val="auto"/>
                    </w:rPr>
                  </w:pPr>
                  <w:r>
                    <w:rPr>
                      <w:rFonts w:hint="eastAsia"/>
                      <w:color w:val="auto"/>
                    </w:rPr>
                    <w:t>t/a</w:t>
                  </w:r>
                </w:p>
              </w:tc>
              <w:tc>
                <w:tcPr>
                  <w:tcW w:w="587" w:type="pct"/>
                  <w:vAlign w:val="center"/>
                </w:tcPr>
                <w:p>
                  <w:pPr>
                    <w:widowControl/>
                    <w:jc w:val="center"/>
                    <w:rPr>
                      <w:color w:val="auto"/>
                    </w:rPr>
                  </w:pPr>
                  <w:r>
                    <w:rPr>
                      <w:rFonts w:hint="eastAsia"/>
                      <w:color w:val="auto"/>
                    </w:rPr>
                    <w:t>30</w:t>
                  </w:r>
                </w:p>
              </w:tc>
              <w:tc>
                <w:tcPr>
                  <w:tcW w:w="502" w:type="pct"/>
                  <w:vAlign w:val="center"/>
                </w:tcPr>
                <w:p>
                  <w:pPr>
                    <w:widowControl/>
                    <w:jc w:val="center"/>
                    <w:rPr>
                      <w:color w:val="auto"/>
                    </w:rPr>
                  </w:pPr>
                  <w:r>
                    <w:rPr>
                      <w:rFonts w:hint="eastAsia"/>
                      <w:color w:val="auto"/>
                    </w:rPr>
                    <w:t>3</w:t>
                  </w:r>
                </w:p>
              </w:tc>
              <w:tc>
                <w:tcPr>
                  <w:tcW w:w="419" w:type="pct"/>
                  <w:vAlign w:val="center"/>
                </w:tcPr>
                <w:p>
                  <w:pPr>
                    <w:pStyle w:val="5"/>
                    <w:spacing w:before="0" w:after="0" w:line="240" w:lineRule="auto"/>
                    <w:jc w:val="center"/>
                    <w:rPr>
                      <w:color w:val="auto"/>
                    </w:rPr>
                  </w:pPr>
                  <w:r>
                    <w:rPr>
                      <w:rFonts w:hint="eastAsia" w:ascii="Times New Roman" w:hAnsi="Times New Roman"/>
                      <w:b w:val="0"/>
                      <w:bCs w:val="0"/>
                      <w:color w:val="auto"/>
                      <w:sz w:val="21"/>
                      <w:szCs w:val="24"/>
                    </w:rPr>
                    <w:t>中毒</w:t>
                  </w:r>
                </w:p>
              </w:tc>
              <w:tc>
                <w:tcPr>
                  <w:tcW w:w="671" w:type="pct"/>
                  <w:vAlign w:val="center"/>
                </w:tcPr>
                <w:p>
                  <w:pPr>
                    <w:widowControl/>
                    <w:jc w:val="center"/>
                    <w:rPr>
                      <w:color w:val="auto"/>
                    </w:rPr>
                  </w:pPr>
                  <w:r>
                    <w:rPr>
                      <w:rFonts w:hint="eastAsia"/>
                      <w:color w:val="auto"/>
                    </w:rPr>
                    <w:t>管理用房</w:t>
                  </w:r>
                </w:p>
              </w:tc>
              <w:tc>
                <w:tcPr>
                  <w:tcW w:w="418" w:type="pct"/>
                  <w:vAlign w:val="center"/>
                </w:tcPr>
                <w:p>
                  <w:pPr>
                    <w:widowControl/>
                    <w:jc w:val="center"/>
                    <w:rPr>
                      <w:color w:val="auto"/>
                    </w:rPr>
                  </w:pPr>
                  <w:r>
                    <w:rPr>
                      <w:rFonts w:hint="eastAsia"/>
                      <w:color w:val="auto"/>
                    </w:rPr>
                    <w:t>外购</w:t>
                  </w:r>
                </w:p>
              </w:tc>
              <w:tc>
                <w:tcPr>
                  <w:tcW w:w="510" w:type="pct"/>
                  <w:vAlign w:val="center"/>
                </w:tcPr>
                <w:p>
                  <w:pPr>
                    <w:widowControl/>
                    <w:jc w:val="center"/>
                    <w:rPr>
                      <w:color w:val="auto"/>
                    </w:rPr>
                  </w:pPr>
                  <w:r>
                    <w:rPr>
                      <w:rFonts w:hint="eastAsia"/>
                      <w:color w:val="auto"/>
                    </w:rPr>
                    <w:t>是</w:t>
                  </w:r>
                </w:p>
              </w:tc>
              <w:tc>
                <w:tcPr>
                  <w:tcW w:w="416" w:type="pct"/>
                  <w:vAlign w:val="center"/>
                </w:tcPr>
                <w:p>
                  <w:pPr>
                    <w:widowControl/>
                    <w:jc w:val="center"/>
                    <w:rPr>
                      <w:color w:val="auto"/>
                    </w:rPr>
                  </w:pPr>
                  <w:r>
                    <w:rPr>
                      <w:rFonts w:hint="eastAsia"/>
                      <w:color w:val="auto"/>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502" w:type="pct"/>
                  <w:vAlign w:val="center"/>
                </w:tcPr>
                <w:p>
                  <w:pPr>
                    <w:pStyle w:val="9"/>
                    <w:adjustRightInd w:val="0"/>
                    <w:snapToGrid w:val="0"/>
                    <w:spacing w:after="0"/>
                    <w:ind w:left="0" w:leftChars="0"/>
                    <w:jc w:val="center"/>
                    <w:rPr>
                      <w:color w:val="auto"/>
                      <w:sz w:val="21"/>
                      <w:szCs w:val="21"/>
                    </w:rPr>
                  </w:pPr>
                  <w:r>
                    <w:rPr>
                      <w:rFonts w:hint="eastAsia"/>
                      <w:color w:val="auto"/>
                      <w:sz w:val="21"/>
                      <w:szCs w:val="21"/>
                    </w:rPr>
                    <w:t>废机油</w:t>
                  </w:r>
                </w:p>
              </w:tc>
              <w:tc>
                <w:tcPr>
                  <w:tcW w:w="614" w:type="pct"/>
                  <w:vAlign w:val="center"/>
                </w:tcPr>
                <w:p>
                  <w:pPr>
                    <w:pStyle w:val="9"/>
                    <w:adjustRightInd w:val="0"/>
                    <w:snapToGrid w:val="0"/>
                    <w:spacing w:after="0"/>
                    <w:ind w:left="0" w:leftChars="0"/>
                    <w:jc w:val="center"/>
                    <w:rPr>
                      <w:color w:val="auto"/>
                      <w:sz w:val="21"/>
                      <w:szCs w:val="21"/>
                    </w:rPr>
                  </w:pPr>
                  <w:r>
                    <w:rPr>
                      <w:rFonts w:hint="eastAsia"/>
                      <w:color w:val="auto"/>
                      <w:sz w:val="21"/>
                      <w:szCs w:val="21"/>
                    </w:rPr>
                    <w:t>矿物油</w:t>
                  </w:r>
                </w:p>
              </w:tc>
              <w:tc>
                <w:tcPr>
                  <w:tcW w:w="361" w:type="pct"/>
                  <w:vAlign w:val="center"/>
                </w:tcPr>
                <w:p>
                  <w:pPr>
                    <w:widowControl/>
                    <w:jc w:val="center"/>
                    <w:rPr>
                      <w:color w:val="auto"/>
                    </w:rPr>
                  </w:pPr>
                  <w:r>
                    <w:rPr>
                      <w:rFonts w:hint="eastAsia"/>
                      <w:color w:val="auto"/>
                    </w:rPr>
                    <w:t>t/a</w:t>
                  </w:r>
                </w:p>
              </w:tc>
              <w:tc>
                <w:tcPr>
                  <w:tcW w:w="587" w:type="pct"/>
                  <w:vAlign w:val="center"/>
                </w:tcPr>
                <w:p>
                  <w:pPr>
                    <w:widowControl/>
                    <w:jc w:val="center"/>
                    <w:rPr>
                      <w:color w:val="auto"/>
                    </w:rPr>
                  </w:pPr>
                  <w:r>
                    <w:rPr>
                      <w:rFonts w:hint="eastAsia"/>
                      <w:color w:val="auto"/>
                    </w:rPr>
                    <w:t>1</w:t>
                  </w:r>
                </w:p>
              </w:tc>
              <w:tc>
                <w:tcPr>
                  <w:tcW w:w="502" w:type="pct"/>
                  <w:vAlign w:val="center"/>
                </w:tcPr>
                <w:p>
                  <w:pPr>
                    <w:widowControl/>
                    <w:jc w:val="center"/>
                    <w:rPr>
                      <w:color w:val="auto"/>
                    </w:rPr>
                  </w:pPr>
                  <w:r>
                    <w:rPr>
                      <w:rFonts w:hint="eastAsia"/>
                      <w:color w:val="auto"/>
                    </w:rPr>
                    <w:t>1</w:t>
                  </w:r>
                </w:p>
              </w:tc>
              <w:tc>
                <w:tcPr>
                  <w:tcW w:w="419" w:type="pct"/>
                  <w:vAlign w:val="center"/>
                </w:tcPr>
                <w:p>
                  <w:pPr>
                    <w:widowControl/>
                    <w:jc w:val="center"/>
                    <w:rPr>
                      <w:color w:val="auto"/>
                    </w:rPr>
                  </w:pPr>
                  <w:r>
                    <w:rPr>
                      <w:rFonts w:hint="eastAsia"/>
                      <w:color w:val="auto"/>
                    </w:rPr>
                    <w:t>中毒</w:t>
                  </w:r>
                </w:p>
              </w:tc>
              <w:tc>
                <w:tcPr>
                  <w:tcW w:w="671" w:type="pct"/>
                  <w:vAlign w:val="center"/>
                </w:tcPr>
                <w:p>
                  <w:pPr>
                    <w:widowControl/>
                    <w:jc w:val="center"/>
                    <w:rPr>
                      <w:color w:val="auto"/>
                    </w:rPr>
                  </w:pPr>
                  <w:r>
                    <w:rPr>
                      <w:rFonts w:hint="eastAsia"/>
                      <w:color w:val="auto"/>
                    </w:rPr>
                    <w:t>危废间</w:t>
                  </w:r>
                </w:p>
              </w:tc>
              <w:tc>
                <w:tcPr>
                  <w:tcW w:w="418" w:type="pct"/>
                  <w:vAlign w:val="center"/>
                </w:tcPr>
                <w:p>
                  <w:pPr>
                    <w:widowControl/>
                    <w:jc w:val="center"/>
                    <w:rPr>
                      <w:color w:val="auto"/>
                    </w:rPr>
                  </w:pPr>
                  <w:r>
                    <w:rPr>
                      <w:rFonts w:hint="eastAsia"/>
                      <w:color w:val="auto"/>
                    </w:rPr>
                    <w:t>维修</w:t>
                  </w:r>
                </w:p>
              </w:tc>
              <w:tc>
                <w:tcPr>
                  <w:tcW w:w="510" w:type="pct"/>
                  <w:vAlign w:val="center"/>
                </w:tcPr>
                <w:p>
                  <w:pPr>
                    <w:widowControl/>
                    <w:jc w:val="center"/>
                    <w:rPr>
                      <w:color w:val="auto"/>
                    </w:rPr>
                  </w:pPr>
                  <w:r>
                    <w:rPr>
                      <w:rFonts w:hint="eastAsia"/>
                      <w:color w:val="auto"/>
                    </w:rPr>
                    <w:t>是</w:t>
                  </w:r>
                </w:p>
              </w:tc>
              <w:tc>
                <w:tcPr>
                  <w:tcW w:w="416" w:type="pct"/>
                  <w:vAlign w:val="center"/>
                </w:tcPr>
                <w:p>
                  <w:pPr>
                    <w:widowControl/>
                    <w:jc w:val="center"/>
                    <w:rPr>
                      <w:color w:val="auto"/>
                    </w:rPr>
                  </w:pPr>
                  <w:r>
                    <w:rPr>
                      <w:rFonts w:hint="eastAsia"/>
                      <w:color w:val="auto"/>
                    </w:rPr>
                    <w:t>2500</w:t>
                  </w:r>
                </w:p>
              </w:tc>
            </w:tr>
          </w:tbl>
          <w:p>
            <w:pPr>
              <w:ind w:firstLine="420" w:firstLineChars="200"/>
              <w:rPr>
                <w:color w:val="auto"/>
                <w:szCs w:val="21"/>
              </w:rPr>
            </w:pPr>
          </w:p>
          <w:p>
            <w:pPr>
              <w:spacing w:line="360" w:lineRule="auto"/>
              <w:ind w:firstLine="480" w:firstLineChars="200"/>
              <w:rPr>
                <w:color w:val="auto"/>
                <w:sz w:val="24"/>
              </w:rPr>
            </w:pPr>
            <w:r>
              <w:rPr>
                <w:rFonts w:hint="eastAsia"/>
                <w:color w:val="auto"/>
                <w:sz w:val="24"/>
              </w:rPr>
              <w:t>本项目风险物质与临界值的比值Q=0.0466＜</w:t>
            </w:r>
            <w:r>
              <w:rPr>
                <w:color w:val="auto"/>
                <w:sz w:val="24"/>
              </w:rPr>
              <w:t>1</w:t>
            </w:r>
            <w:r>
              <w:rPr>
                <w:rFonts w:hint="eastAsia"/>
                <w:color w:val="auto"/>
                <w:sz w:val="24"/>
              </w:rPr>
              <w:t>，</w:t>
            </w:r>
            <w:r>
              <w:rPr>
                <w:color w:val="auto"/>
                <w:sz w:val="24"/>
              </w:rPr>
              <w:t>项目环境风险潜势为I</w:t>
            </w:r>
            <w:r>
              <w:rPr>
                <w:rFonts w:hint="eastAsia"/>
                <w:color w:val="auto"/>
                <w:sz w:val="24"/>
              </w:rPr>
              <w:t>，</w:t>
            </w:r>
            <w:r>
              <w:rPr>
                <w:color w:val="auto"/>
                <w:sz w:val="24"/>
              </w:rPr>
              <w:t>依据《建设项目环境风险评价技术导则》（HJ169-2018），环境风险潜势为 I 的项目仅进行简要分析，不设置评价等级。</w:t>
            </w:r>
          </w:p>
          <w:p>
            <w:pPr>
              <w:spacing w:line="360" w:lineRule="auto"/>
              <w:ind w:firstLine="480" w:firstLineChars="200"/>
              <w:rPr>
                <w:color w:val="auto"/>
                <w:sz w:val="24"/>
              </w:rPr>
            </w:pPr>
            <w:r>
              <w:rPr>
                <w:color w:val="auto"/>
                <w:sz w:val="24"/>
              </w:rPr>
              <w:t>（</w:t>
            </w:r>
            <w:r>
              <w:rPr>
                <w:rFonts w:hint="eastAsia"/>
                <w:color w:val="auto"/>
                <w:sz w:val="24"/>
              </w:rPr>
              <w:t>2</w:t>
            </w:r>
            <w:r>
              <w:rPr>
                <w:color w:val="auto"/>
                <w:sz w:val="24"/>
              </w:rPr>
              <w:t>）环境风险识别</w:t>
            </w:r>
          </w:p>
          <w:p>
            <w:pPr>
              <w:spacing w:line="360" w:lineRule="auto"/>
              <w:ind w:firstLine="480" w:firstLineChars="200"/>
              <w:rPr>
                <w:color w:val="auto"/>
                <w:sz w:val="24"/>
              </w:rPr>
            </w:pPr>
            <w:r>
              <w:rPr>
                <w:rFonts w:hint="eastAsia" w:ascii="宋体" w:hAnsi="宋体" w:cs="宋体"/>
                <w:color w:val="auto"/>
                <w:sz w:val="24"/>
              </w:rPr>
              <w:t>①</w:t>
            </w:r>
            <w:r>
              <w:rPr>
                <w:color w:val="auto"/>
                <w:sz w:val="24"/>
              </w:rPr>
              <w:t>主要危险物质及分布情况</w:t>
            </w:r>
          </w:p>
          <w:p>
            <w:pPr>
              <w:spacing w:line="360" w:lineRule="auto"/>
              <w:ind w:firstLine="480" w:firstLineChars="200"/>
              <w:rPr>
                <w:color w:val="auto"/>
                <w:sz w:val="24"/>
              </w:rPr>
            </w:pPr>
            <w:r>
              <w:rPr>
                <w:color w:val="auto"/>
                <w:sz w:val="24"/>
              </w:rPr>
              <w:t>根据类比同类企业的运行情况，项目机器维修产生的废机油属于可燃物质，在操作使用及</w:t>
            </w:r>
            <w:r>
              <w:rPr>
                <w:rFonts w:hint="eastAsia"/>
                <w:color w:val="auto"/>
                <w:sz w:val="24"/>
              </w:rPr>
              <w:t>危废暂存间</w:t>
            </w:r>
            <w:r>
              <w:rPr>
                <w:color w:val="auto"/>
                <w:sz w:val="24"/>
              </w:rPr>
              <w:t>贮存管理不当的情况下，可能出现泄漏风险，造成局部污染，如遇明火，可能发生火灾风险，并产生二次废水、废气污染，对周围环境会造成不良影响。</w:t>
            </w:r>
          </w:p>
          <w:p>
            <w:pPr>
              <w:spacing w:line="360" w:lineRule="auto"/>
              <w:ind w:firstLine="480" w:firstLineChars="200"/>
              <w:rPr>
                <w:color w:val="auto"/>
                <w:sz w:val="24"/>
              </w:rPr>
            </w:pPr>
            <w:r>
              <w:rPr>
                <w:color w:val="auto"/>
                <w:sz w:val="24"/>
              </w:rPr>
              <w:t>天然气为易燃物质，虽然不涉及罐车储运加压和贮存，但</w:t>
            </w:r>
            <w:r>
              <w:rPr>
                <w:rFonts w:hint="eastAsia"/>
                <w:color w:val="auto"/>
                <w:sz w:val="24"/>
              </w:rPr>
              <w:t>厂区</w:t>
            </w:r>
            <w:r>
              <w:rPr>
                <w:color w:val="auto"/>
                <w:sz w:val="24"/>
              </w:rPr>
              <w:t>管道中会时时传输着天然气，管道泄漏遇明火也会发生火灾及爆炸事故，并产生二次废水、废气污染，对周围环境会造成不良影响。</w:t>
            </w:r>
          </w:p>
          <w:p>
            <w:pPr>
              <w:spacing w:line="360" w:lineRule="auto"/>
              <w:ind w:firstLine="480" w:firstLineChars="200"/>
              <w:rPr>
                <w:color w:val="auto"/>
                <w:sz w:val="24"/>
              </w:rPr>
            </w:pPr>
            <w:r>
              <w:rPr>
                <w:rFonts w:hint="eastAsia" w:ascii="宋体" w:hAnsi="宋体" w:cs="宋体"/>
                <w:color w:val="auto"/>
                <w:sz w:val="24"/>
              </w:rPr>
              <w:t>②</w:t>
            </w:r>
            <w:r>
              <w:rPr>
                <w:color w:val="auto"/>
                <w:sz w:val="24"/>
              </w:rPr>
              <w:t>可能影响环境的途径</w:t>
            </w:r>
          </w:p>
          <w:p>
            <w:pPr>
              <w:spacing w:line="360" w:lineRule="auto"/>
              <w:ind w:firstLine="480" w:firstLineChars="200"/>
              <w:rPr>
                <w:color w:val="auto"/>
                <w:sz w:val="24"/>
              </w:rPr>
            </w:pPr>
            <w:r>
              <w:rPr>
                <w:color w:val="auto"/>
                <w:sz w:val="24"/>
              </w:rPr>
              <w:t>根据项目生产设施风险识别和生产过程所涉及的物质风险识别，本项目存在的环境风险事故类型主要是</w:t>
            </w:r>
            <w:r>
              <w:rPr>
                <w:rFonts w:hint="eastAsia"/>
                <w:color w:val="auto"/>
                <w:sz w:val="24"/>
              </w:rPr>
              <w:t>天然气、</w:t>
            </w:r>
            <w:r>
              <w:rPr>
                <w:color w:val="auto"/>
                <w:sz w:val="24"/>
              </w:rPr>
              <w:t>废机油泄漏以及火灾、爆炸风险等。因此项目可能影响的环境途径包括：火灾、爆炸和泄漏事故，其主要污染环境要素为地表水、地下水和环境空气。</w:t>
            </w:r>
          </w:p>
          <w:p>
            <w:pPr>
              <w:spacing w:line="360" w:lineRule="auto"/>
              <w:ind w:firstLine="480" w:firstLineChars="200"/>
              <w:rPr>
                <w:rFonts w:ascii="宋体" w:hAnsi="宋体" w:cs="宋体"/>
                <w:color w:val="auto"/>
                <w:sz w:val="24"/>
              </w:rPr>
            </w:pPr>
            <w:r>
              <w:rPr>
                <w:rFonts w:ascii="宋体" w:hAnsi="宋体" w:cs="宋体"/>
                <w:color w:val="auto"/>
                <w:sz w:val="24"/>
              </w:rPr>
              <w:t>（</w:t>
            </w:r>
            <w:r>
              <w:rPr>
                <w:rFonts w:hint="eastAsia" w:ascii="宋体" w:hAnsi="宋体" w:cs="宋体"/>
                <w:color w:val="auto"/>
                <w:sz w:val="24"/>
              </w:rPr>
              <w:t>3</w:t>
            </w:r>
            <w:r>
              <w:rPr>
                <w:rFonts w:ascii="宋体" w:hAnsi="宋体" w:cs="宋体"/>
                <w:color w:val="auto"/>
                <w:sz w:val="24"/>
              </w:rPr>
              <w:t>）环境风险分析</w:t>
            </w:r>
          </w:p>
          <w:p>
            <w:pPr>
              <w:spacing w:line="360" w:lineRule="auto"/>
              <w:ind w:firstLine="480" w:firstLineChars="200"/>
              <w:rPr>
                <w:rFonts w:ascii="宋体" w:hAnsi="宋体" w:cs="宋体"/>
                <w:color w:val="auto"/>
                <w:sz w:val="24"/>
              </w:rPr>
            </w:pPr>
            <w:r>
              <w:rPr>
                <w:rFonts w:ascii="宋体" w:hAnsi="宋体" w:cs="宋体"/>
                <w:color w:val="auto"/>
                <w:sz w:val="24"/>
              </w:rPr>
              <w:t>①贮存与使用过程</w:t>
            </w:r>
          </w:p>
          <w:p>
            <w:pPr>
              <w:spacing w:line="360" w:lineRule="auto"/>
              <w:ind w:firstLine="480" w:firstLineChars="200"/>
              <w:rPr>
                <w:color w:val="auto"/>
                <w:sz w:val="24"/>
              </w:rPr>
            </w:pPr>
            <w:r>
              <w:rPr>
                <w:color w:val="auto"/>
                <w:sz w:val="24"/>
              </w:rPr>
              <w:t>在贮存使用过程中可能存在的风险事故为：管理人员失误、容器破裂或不可抗拒因素等造成</w:t>
            </w:r>
            <w:r>
              <w:rPr>
                <w:rFonts w:hint="eastAsia"/>
                <w:color w:val="auto"/>
                <w:sz w:val="24"/>
              </w:rPr>
              <w:t>天然气、</w:t>
            </w:r>
            <w:r>
              <w:rPr>
                <w:color w:val="auto"/>
                <w:sz w:val="24"/>
              </w:rPr>
              <w:t>废机油泄漏，可能会对</w:t>
            </w:r>
            <w:r>
              <w:rPr>
                <w:rFonts w:hint="eastAsia"/>
                <w:color w:val="auto"/>
                <w:sz w:val="24"/>
              </w:rPr>
              <w:t>区域大气环境、</w:t>
            </w:r>
            <w:r>
              <w:rPr>
                <w:color w:val="auto"/>
                <w:sz w:val="24"/>
              </w:rPr>
              <w:t>场地地下水造成污染，引发污染事故，造成局部污染。由于本项目废机油的产生量较小，污染区域有限，仅在泄漏点附近，只要处理及时不会造成严重影响；天然气管道埋于地下</w:t>
            </w:r>
            <w:r>
              <w:rPr>
                <w:rFonts w:hint="eastAsia"/>
                <w:color w:val="auto"/>
                <w:sz w:val="24"/>
              </w:rPr>
              <w:t>，</w:t>
            </w:r>
            <w:r>
              <w:rPr>
                <w:color w:val="auto"/>
                <w:sz w:val="24"/>
              </w:rPr>
              <w:t>且沿线设有明显警示白标识</w:t>
            </w:r>
            <w:r>
              <w:rPr>
                <w:rFonts w:hint="eastAsia"/>
                <w:color w:val="auto"/>
                <w:sz w:val="24"/>
              </w:rPr>
              <w:t>。</w:t>
            </w:r>
            <w:r>
              <w:rPr>
                <w:color w:val="auto"/>
                <w:sz w:val="24"/>
              </w:rPr>
              <w:t>一般情况下不会发生管道破损和天然气泄漏事故</w:t>
            </w:r>
            <w:r>
              <w:rPr>
                <w:rFonts w:hint="eastAsia"/>
                <w:color w:val="auto"/>
                <w:sz w:val="24"/>
              </w:rPr>
              <w:t>，</w:t>
            </w:r>
            <w:r>
              <w:rPr>
                <w:color w:val="auto"/>
                <w:sz w:val="24"/>
              </w:rPr>
              <w:t>因此天然气泄漏引发的火灾、爆炸也在可控范围内。</w:t>
            </w:r>
          </w:p>
          <w:p>
            <w:pPr>
              <w:spacing w:line="360" w:lineRule="auto"/>
              <w:ind w:firstLine="480" w:firstLineChars="200"/>
              <w:rPr>
                <w:rFonts w:ascii="宋体" w:hAnsi="宋体" w:cs="宋体"/>
                <w:color w:val="auto"/>
                <w:sz w:val="24"/>
              </w:rPr>
            </w:pPr>
            <w:r>
              <w:rPr>
                <w:rFonts w:ascii="宋体" w:hAnsi="宋体" w:cs="宋体"/>
                <w:color w:val="auto"/>
                <w:sz w:val="24"/>
              </w:rPr>
              <w:t>②火灾事故影响分析</w:t>
            </w:r>
          </w:p>
          <w:p>
            <w:pPr>
              <w:spacing w:line="360" w:lineRule="auto"/>
              <w:ind w:firstLine="480" w:firstLineChars="200"/>
              <w:rPr>
                <w:color w:val="auto"/>
                <w:sz w:val="24"/>
              </w:rPr>
            </w:pPr>
            <w:r>
              <w:rPr>
                <w:color w:val="auto"/>
                <w:sz w:val="24"/>
              </w:rPr>
              <w:t>火灾发生将对企业和职工的生命财产安全造成重大危害，废机油、天然气为易燃烧品，发生火灾必将会迅速蔓延。火灾事故发生时，燃烧产生的CO、烟尘等有毒有害气体进入大气中，会对周围大气环境造成污染影响，对厂区员工和周围居民产生影响；消防废水在短时间内大量漫流，含有SS的消防废水通过</w:t>
            </w:r>
            <w:r>
              <w:rPr>
                <w:rFonts w:hint="eastAsia"/>
                <w:color w:val="auto"/>
                <w:sz w:val="24"/>
              </w:rPr>
              <w:t>地表径流进入永胜河</w:t>
            </w:r>
            <w:r>
              <w:rPr>
                <w:color w:val="auto"/>
                <w:sz w:val="24"/>
              </w:rPr>
              <w:t>，对</w:t>
            </w:r>
            <w:r>
              <w:rPr>
                <w:rFonts w:hint="eastAsia"/>
                <w:color w:val="auto"/>
                <w:sz w:val="24"/>
              </w:rPr>
              <w:t>永胜河</w:t>
            </w:r>
            <w:r>
              <w:rPr>
                <w:color w:val="auto"/>
                <w:sz w:val="24"/>
              </w:rPr>
              <w:t>造成污染。</w:t>
            </w:r>
          </w:p>
          <w:p>
            <w:pPr>
              <w:spacing w:line="360" w:lineRule="auto"/>
              <w:ind w:firstLine="480" w:firstLineChars="200"/>
              <w:rPr>
                <w:color w:val="auto"/>
                <w:sz w:val="24"/>
              </w:rPr>
            </w:pPr>
            <w:r>
              <w:rPr>
                <w:color w:val="auto"/>
                <w:sz w:val="24"/>
              </w:rPr>
              <w:t>（</w:t>
            </w:r>
            <w:r>
              <w:rPr>
                <w:rFonts w:hint="eastAsia"/>
                <w:color w:val="auto"/>
                <w:sz w:val="24"/>
              </w:rPr>
              <w:t>4</w:t>
            </w:r>
            <w:r>
              <w:rPr>
                <w:color w:val="auto"/>
                <w:sz w:val="24"/>
              </w:rPr>
              <w:t>）环境风险防范及应急措施</w:t>
            </w:r>
          </w:p>
          <w:p>
            <w:pPr>
              <w:spacing w:line="360" w:lineRule="auto"/>
              <w:ind w:firstLine="480" w:firstLineChars="200"/>
              <w:rPr>
                <w:rFonts w:ascii="宋体" w:hAnsi="宋体" w:cs="宋体"/>
                <w:color w:val="auto"/>
                <w:sz w:val="24"/>
              </w:rPr>
            </w:pPr>
            <w:r>
              <w:rPr>
                <w:rFonts w:ascii="宋体" w:hAnsi="宋体" w:cs="宋体"/>
                <w:color w:val="auto"/>
                <w:sz w:val="24"/>
              </w:rPr>
              <w:t>①风险防范管理措施</w:t>
            </w:r>
          </w:p>
          <w:p>
            <w:pPr>
              <w:spacing w:line="360" w:lineRule="auto"/>
              <w:ind w:firstLine="480" w:firstLineChars="200"/>
              <w:rPr>
                <w:rFonts w:ascii="宋体" w:hAnsi="宋体" w:cs="宋体"/>
                <w:color w:val="auto"/>
                <w:sz w:val="24"/>
              </w:rPr>
            </w:pPr>
            <w:r>
              <w:rPr>
                <w:rFonts w:hint="eastAsia" w:ascii="宋体" w:hAnsi="宋体" w:cs="宋体"/>
                <w:color w:val="auto"/>
                <w:sz w:val="24"/>
              </w:rPr>
              <w:t>项目按相关法律法规设置了30m</w:t>
            </w:r>
            <w:r>
              <w:rPr>
                <w:rFonts w:hint="eastAsia" w:ascii="宋体" w:hAnsi="宋体" w:cs="宋体"/>
                <w:color w:val="auto"/>
                <w:sz w:val="24"/>
                <w:vertAlign w:val="superscript"/>
              </w:rPr>
              <w:t>2</w:t>
            </w:r>
            <w:r>
              <w:rPr>
                <w:rFonts w:hint="eastAsia" w:ascii="宋体" w:hAnsi="宋体" w:cs="宋体"/>
                <w:color w:val="auto"/>
                <w:sz w:val="24"/>
              </w:rPr>
              <w:t>危废暂存间，采用了25cm厚耐酸水泥+2mm厚高密度聚乙烯防渗措施，</w:t>
            </w:r>
            <w:r>
              <w:rPr>
                <w:rFonts w:ascii="宋体" w:hAnsi="宋体" w:cs="宋体"/>
                <w:color w:val="auto"/>
                <w:sz w:val="24"/>
              </w:rPr>
              <w:t>满足安全、卫生、环保、消防等有关标准规范的要求。</w:t>
            </w:r>
            <w:r>
              <w:rPr>
                <w:rFonts w:hint="eastAsia" w:ascii="宋体" w:hAnsi="宋体" w:cs="宋体"/>
                <w:color w:val="auto"/>
                <w:sz w:val="24"/>
              </w:rPr>
              <w:t>并定期对废机油桶进行检查，与云南润源再生资源利用有限公司签订危废处理协议，明确</w:t>
            </w:r>
            <w:r>
              <w:rPr>
                <w:rFonts w:ascii="宋体" w:hAnsi="宋体" w:cs="宋体"/>
                <w:color w:val="auto"/>
                <w:sz w:val="24"/>
              </w:rPr>
              <w:t>落实</w:t>
            </w:r>
            <w:r>
              <w:rPr>
                <w:rFonts w:hint="eastAsia" w:ascii="宋体" w:hAnsi="宋体" w:cs="宋体"/>
                <w:color w:val="auto"/>
                <w:sz w:val="24"/>
              </w:rPr>
              <w:t>了</w:t>
            </w:r>
            <w:r>
              <w:rPr>
                <w:rFonts w:ascii="宋体" w:hAnsi="宋体" w:cs="宋体"/>
                <w:color w:val="auto"/>
                <w:sz w:val="24"/>
              </w:rPr>
              <w:t>危险废物的储存和转运的风险防范措施。</w:t>
            </w:r>
            <w:r>
              <w:rPr>
                <w:rFonts w:hint="eastAsia" w:ascii="宋体" w:hAnsi="宋体" w:cs="宋体"/>
                <w:color w:val="auto"/>
                <w:sz w:val="24"/>
              </w:rPr>
              <w:t>并</w:t>
            </w:r>
            <w:r>
              <w:rPr>
                <w:rFonts w:ascii="宋体" w:hAnsi="宋体" w:cs="宋体"/>
                <w:color w:val="auto"/>
                <w:sz w:val="24"/>
              </w:rPr>
              <w:t>制定严格的操作管理制度和对员工进行安全与环保知识培训，熟悉国家安全生产方针、政策、法规、标准，增强安全意识和法制观念，熟知物料性能及防范应急措施。</w:t>
            </w:r>
          </w:p>
          <w:p>
            <w:pPr>
              <w:spacing w:line="360" w:lineRule="auto"/>
              <w:ind w:firstLine="480" w:firstLineChars="200"/>
              <w:rPr>
                <w:rFonts w:ascii="宋体" w:hAnsi="宋体" w:cs="宋体"/>
                <w:color w:val="auto"/>
                <w:sz w:val="24"/>
              </w:rPr>
            </w:pPr>
            <w:r>
              <w:rPr>
                <w:rFonts w:ascii="宋体" w:hAnsi="宋体" w:cs="宋体"/>
                <w:color w:val="auto"/>
                <w:sz w:val="24"/>
              </w:rPr>
              <w:t>②环境风险应急措施</w:t>
            </w:r>
          </w:p>
          <w:p>
            <w:pPr>
              <w:spacing w:line="360" w:lineRule="auto"/>
              <w:ind w:firstLine="480" w:firstLineChars="200"/>
              <w:rPr>
                <w:rFonts w:ascii="宋体" w:hAnsi="宋体" w:cs="宋体"/>
                <w:color w:val="auto"/>
                <w:sz w:val="24"/>
              </w:rPr>
            </w:pPr>
            <w:r>
              <w:rPr>
                <w:rFonts w:ascii="宋体" w:hAnsi="宋体" w:cs="宋体"/>
                <w:color w:val="auto"/>
                <w:sz w:val="24"/>
              </w:rPr>
              <w:t>a.废机油泄漏</w:t>
            </w:r>
          </w:p>
          <w:p>
            <w:pPr>
              <w:spacing w:line="360" w:lineRule="auto"/>
              <w:ind w:firstLine="480" w:firstLineChars="200"/>
              <w:rPr>
                <w:rFonts w:ascii="宋体" w:hAnsi="宋体" w:cs="宋体"/>
                <w:color w:val="auto"/>
                <w:sz w:val="24"/>
              </w:rPr>
            </w:pPr>
            <w:r>
              <w:rPr>
                <w:rFonts w:ascii="宋体" w:hAnsi="宋体" w:cs="宋体"/>
                <w:color w:val="auto"/>
                <w:sz w:val="24"/>
              </w:rPr>
              <w:t>废机油收集桶发生渗漏，应及时将收集桶内的废机油抽到备用油桶内，防止废机油漫流，现场抢险组应及时清除泄漏区内可能引起火灾的物品，同时投加沙土或锯末覆盖泄漏区，将吸附后的废物收集于容器内后，按有关规定作为危险废物交由资质单位回收处置。</w:t>
            </w:r>
          </w:p>
          <w:p>
            <w:pPr>
              <w:spacing w:line="360" w:lineRule="auto"/>
              <w:ind w:firstLine="480" w:firstLineChars="200"/>
              <w:rPr>
                <w:rFonts w:ascii="宋体" w:hAnsi="宋体" w:cs="宋体"/>
                <w:color w:val="auto"/>
                <w:sz w:val="24"/>
              </w:rPr>
            </w:pPr>
            <w:r>
              <w:rPr>
                <w:rFonts w:ascii="宋体" w:hAnsi="宋体" w:cs="宋体"/>
                <w:color w:val="auto"/>
                <w:sz w:val="24"/>
              </w:rPr>
              <w:t>b.天然气风险防范措施</w:t>
            </w:r>
          </w:p>
          <w:p>
            <w:pPr>
              <w:spacing w:line="360" w:lineRule="auto"/>
              <w:ind w:firstLine="480" w:firstLineChars="200"/>
              <w:rPr>
                <w:rFonts w:ascii="宋体" w:hAnsi="宋体" w:cs="宋体"/>
                <w:color w:val="auto"/>
                <w:sz w:val="24"/>
              </w:rPr>
            </w:pPr>
            <w:r>
              <w:rPr>
                <w:rFonts w:hint="eastAsia" w:ascii="宋体" w:hAnsi="宋体" w:cs="宋体"/>
                <w:color w:val="auto"/>
                <w:sz w:val="24"/>
              </w:rPr>
              <w:t>天然气管道埋于地下，沿线设有明显警示标识，一般情况下不会发生天然气泄漏、爆炸事故。当天然气管道沿线地表发生破损时，因从厂区供气柜切断起源，对管道进行检修，</w:t>
            </w:r>
            <w:r>
              <w:rPr>
                <w:rFonts w:ascii="宋体" w:hAnsi="宋体" w:cs="宋体"/>
                <w:color w:val="auto"/>
                <w:sz w:val="24"/>
              </w:rPr>
              <w:t>防止发生爆炸、火灾、中毒事故，从而保障安全生产。</w:t>
            </w:r>
          </w:p>
          <w:p>
            <w:pPr>
              <w:spacing w:line="360" w:lineRule="auto"/>
              <w:ind w:firstLine="480" w:firstLineChars="200"/>
              <w:rPr>
                <w:rFonts w:ascii="宋体" w:hAnsi="宋体" w:cs="宋体"/>
                <w:color w:val="auto"/>
                <w:sz w:val="24"/>
              </w:rPr>
            </w:pPr>
            <w:r>
              <w:rPr>
                <w:rFonts w:ascii="宋体" w:hAnsi="宋体" w:cs="宋体"/>
                <w:color w:val="auto"/>
                <w:sz w:val="24"/>
              </w:rPr>
              <w:t>天然气管道在投入运行前，必须按照有关规范进行强度、气密试验和置换，确保安全无泄漏。对于各类防爆设施和各种安全装置，应当进行定期检查和校验。制定并实施天然气安全管理工作计划，按规定设置天然气设施保护装置和统一明显的安全警示标志。</w:t>
            </w:r>
          </w:p>
          <w:p>
            <w:pPr>
              <w:spacing w:line="360" w:lineRule="auto"/>
              <w:ind w:firstLine="480" w:firstLineChars="200"/>
              <w:rPr>
                <w:rFonts w:ascii="宋体" w:hAnsi="宋体" w:cs="宋体"/>
                <w:color w:val="auto"/>
                <w:sz w:val="24"/>
              </w:rPr>
            </w:pPr>
            <w:r>
              <w:rPr>
                <w:rFonts w:ascii="宋体" w:hAnsi="宋体" w:cs="宋体"/>
                <w:color w:val="auto"/>
                <w:sz w:val="24"/>
              </w:rPr>
              <w:t>c.火灾事故</w:t>
            </w:r>
          </w:p>
          <w:p>
            <w:pPr>
              <w:spacing w:line="360" w:lineRule="auto"/>
              <w:ind w:firstLine="480" w:firstLineChars="200"/>
              <w:rPr>
                <w:rFonts w:ascii="宋体" w:hAnsi="宋体" w:cs="宋体"/>
                <w:color w:val="auto"/>
                <w:sz w:val="24"/>
              </w:rPr>
            </w:pPr>
            <w:r>
              <w:rPr>
                <w:rFonts w:ascii="宋体" w:hAnsi="宋体" w:cs="宋体"/>
                <w:color w:val="auto"/>
                <w:sz w:val="24"/>
              </w:rPr>
              <w:t>小型火灾时立刻用起火点附近备用的灭火器灭火，如其有迅速扩大之势，应避免靠近，须立即打开消火栓降低着火点。大型火灾时应立刻开启消火栓降温，控制火势，等待救援；对厂区雨水排放口进行封堵，将消防废水采用水泵抽入厂区现有事故池内暂存，待灭火工作结束后进行合理处置。现场处置的程序如下：</w:t>
            </w:r>
          </w:p>
          <w:p>
            <w:pPr>
              <w:spacing w:line="360" w:lineRule="auto"/>
              <w:ind w:firstLine="480" w:firstLineChars="200"/>
              <w:rPr>
                <w:rFonts w:ascii="宋体" w:hAnsi="宋体" w:cs="宋体"/>
                <w:color w:val="auto"/>
                <w:sz w:val="24"/>
              </w:rPr>
            </w:pPr>
            <w:r>
              <w:rPr>
                <w:rFonts w:ascii="宋体" w:hAnsi="宋体" w:cs="宋体"/>
                <w:color w:val="auto"/>
                <w:sz w:val="24"/>
              </w:rPr>
              <w:t>a）抢救伤员，根据受伤人员情况必要时需联系120；</w:t>
            </w:r>
          </w:p>
          <w:p>
            <w:pPr>
              <w:spacing w:line="360" w:lineRule="auto"/>
              <w:ind w:firstLine="480" w:firstLineChars="200"/>
              <w:rPr>
                <w:rFonts w:ascii="宋体" w:hAnsi="宋体" w:cs="宋体"/>
                <w:color w:val="auto"/>
                <w:sz w:val="24"/>
              </w:rPr>
            </w:pPr>
            <w:r>
              <w:rPr>
                <w:rFonts w:ascii="宋体" w:hAnsi="宋体" w:cs="宋体"/>
                <w:color w:val="auto"/>
                <w:sz w:val="24"/>
              </w:rPr>
              <w:t>b）启用灭火器、水枪等灭火装置灭火。</w:t>
            </w:r>
          </w:p>
          <w:p>
            <w:pPr>
              <w:spacing w:line="360" w:lineRule="auto"/>
              <w:ind w:firstLine="480" w:firstLineChars="200"/>
              <w:rPr>
                <w:rFonts w:ascii="宋体" w:hAnsi="宋体" w:cs="宋体"/>
                <w:color w:val="auto"/>
                <w:sz w:val="24"/>
              </w:rPr>
            </w:pPr>
            <w:r>
              <w:rPr>
                <w:rFonts w:ascii="宋体" w:hAnsi="宋体" w:cs="宋体"/>
                <w:color w:val="auto"/>
                <w:sz w:val="24"/>
              </w:rPr>
              <w:t>c）根据事故情况，划定警戒线；组织非救援人员撤离现场；</w:t>
            </w:r>
          </w:p>
          <w:p>
            <w:pPr>
              <w:spacing w:line="360" w:lineRule="auto"/>
              <w:ind w:firstLine="480" w:firstLineChars="200"/>
              <w:rPr>
                <w:rFonts w:ascii="宋体" w:hAnsi="宋体" w:cs="宋体"/>
                <w:color w:val="auto"/>
                <w:sz w:val="24"/>
              </w:rPr>
            </w:pPr>
            <w:r>
              <w:rPr>
                <w:rFonts w:ascii="宋体" w:hAnsi="宋体" w:cs="宋体"/>
                <w:color w:val="auto"/>
                <w:sz w:val="24"/>
              </w:rPr>
              <w:t>d）切断火源、电源，将易燃易爆等危险物品转移至安全地带。</w:t>
            </w:r>
          </w:p>
          <w:p>
            <w:pPr>
              <w:spacing w:line="360" w:lineRule="auto"/>
              <w:ind w:firstLine="480" w:firstLineChars="200"/>
              <w:rPr>
                <w:rFonts w:ascii="宋体" w:hAnsi="宋体" w:cs="宋体"/>
                <w:color w:val="auto"/>
                <w:sz w:val="24"/>
              </w:rPr>
            </w:pPr>
            <w:r>
              <w:rPr>
                <w:rFonts w:ascii="宋体" w:hAnsi="宋体" w:cs="宋体"/>
                <w:color w:val="auto"/>
                <w:sz w:val="24"/>
              </w:rPr>
              <w:t>d</w:t>
            </w:r>
            <w:r>
              <w:rPr>
                <w:rFonts w:hint="eastAsia" w:ascii="宋体" w:hAnsi="宋体" w:cs="宋体"/>
                <w:color w:val="auto"/>
                <w:sz w:val="24"/>
              </w:rPr>
              <w:t>.按照《突发环境事件应急预案管理暂行办法》的要求，编制突发环境事件应急预案，并报昆明市生态环境局宜良分局备案</w:t>
            </w:r>
            <w:r>
              <w:rPr>
                <w:rFonts w:ascii="宋体" w:hAnsi="宋体" w:cs="宋体"/>
                <w:color w:val="auto"/>
                <w:sz w:val="24"/>
              </w:rPr>
              <w:t>。</w:t>
            </w:r>
            <w:r>
              <w:rPr>
                <w:rFonts w:hint="eastAsia" w:ascii="宋体" w:hAnsi="宋体" w:cs="宋体"/>
                <w:color w:val="auto"/>
                <w:sz w:val="24"/>
              </w:rPr>
              <w:t>建立完善的应急报告制度，落实应急物资和经费，日常加强应急演练，并按规定及时修订完善预案并备案。</w:t>
            </w:r>
          </w:p>
        </w:tc>
      </w:tr>
    </w:tbl>
    <w:p>
      <w:pPr>
        <w:adjustRightInd w:val="0"/>
        <w:snapToGrid w:val="0"/>
        <w:spacing w:line="360" w:lineRule="auto"/>
        <w:rPr>
          <w:rFonts w:ascii="宋体" w:cs="宋体"/>
          <w:b/>
          <w:color w:val="auto"/>
          <w:kern w:val="0"/>
          <w:sz w:val="28"/>
          <w:szCs w:val="28"/>
        </w:rPr>
        <w:sectPr>
          <w:pgSz w:w="11907" w:h="16840"/>
          <w:pgMar w:top="1701" w:right="1531" w:bottom="2127" w:left="1531" w:header="851" w:footer="851" w:gutter="0"/>
          <w:cols w:space="720" w:num="1"/>
          <w:docGrid w:linePitch="312" w:charSpace="0"/>
        </w:sectPr>
      </w:pPr>
    </w:p>
    <w:p>
      <w:pPr>
        <w:pStyle w:val="19"/>
        <w:jc w:val="center"/>
        <w:outlineLvl w:val="0"/>
        <w:rPr>
          <w:rFonts w:ascii="黑体" w:hAnsi="黑体" w:eastAsia="黑体"/>
          <w:snapToGrid w:val="0"/>
          <w:color w:val="auto"/>
          <w:sz w:val="30"/>
          <w:szCs w:val="30"/>
        </w:rPr>
      </w:pPr>
      <w:bookmarkStart w:id="5" w:name="_Toc13991"/>
      <w:r>
        <w:rPr>
          <w:rFonts w:hint="eastAsia" w:ascii="黑体" w:hAnsi="黑体" w:eastAsia="黑体"/>
          <w:snapToGrid w:val="0"/>
          <w:color w:val="auto"/>
          <w:sz w:val="30"/>
          <w:szCs w:val="30"/>
        </w:rPr>
        <w:t>五、</w:t>
      </w:r>
      <w:bookmarkStart w:id="6" w:name="_Hlk54167917"/>
      <w:r>
        <w:rPr>
          <w:rFonts w:hint="eastAsia" w:ascii="黑体" w:hAnsi="黑体" w:eastAsia="黑体"/>
          <w:snapToGrid w:val="0"/>
          <w:color w:val="auto"/>
          <w:sz w:val="30"/>
          <w:szCs w:val="30"/>
        </w:rPr>
        <w:t>环境保护措施监督检查清单</w:t>
      </w:r>
      <w:bookmarkEnd w:id="5"/>
      <w:bookmarkEnd w:id="6"/>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688"/>
        <w:gridCol w:w="1420"/>
        <w:gridCol w:w="21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78" w:type="dxa"/>
            <w:tcBorders>
              <w:tl2br w:val="single" w:color="auto" w:sz="4" w:space="0"/>
            </w:tcBorders>
          </w:tcPr>
          <w:p>
            <w:pPr>
              <w:adjustRightInd w:val="0"/>
              <w:snapToGrid w:val="0"/>
              <w:ind w:firstLine="840"/>
              <w:rPr>
                <w:color w:val="auto"/>
                <w:sz w:val="24"/>
              </w:rPr>
            </w:pPr>
            <w:r>
              <w:rPr>
                <w:color w:val="auto"/>
                <w:sz w:val="24"/>
              </w:rPr>
              <w:t>内容</w:t>
            </w:r>
          </w:p>
          <w:p>
            <w:pPr>
              <w:adjustRightInd w:val="0"/>
              <w:snapToGrid w:val="0"/>
              <w:rPr>
                <w:color w:val="auto"/>
                <w:sz w:val="24"/>
              </w:rPr>
            </w:pPr>
            <w:r>
              <w:rPr>
                <w:color w:val="auto"/>
                <w:sz w:val="24"/>
              </w:rPr>
              <w:t>要素</w:t>
            </w:r>
          </w:p>
        </w:tc>
        <w:tc>
          <w:tcPr>
            <w:tcW w:w="1755" w:type="dxa"/>
            <w:vAlign w:val="center"/>
          </w:tcPr>
          <w:p>
            <w:pPr>
              <w:adjustRightInd w:val="0"/>
              <w:snapToGrid w:val="0"/>
              <w:jc w:val="center"/>
              <w:rPr>
                <w:color w:val="auto"/>
                <w:sz w:val="24"/>
              </w:rPr>
            </w:pPr>
            <w:r>
              <w:rPr>
                <w:color w:val="auto"/>
                <w:sz w:val="24"/>
              </w:rPr>
              <w:t>排放口(编号、</w:t>
            </w:r>
          </w:p>
          <w:p>
            <w:pPr>
              <w:adjustRightInd w:val="0"/>
              <w:snapToGrid w:val="0"/>
              <w:jc w:val="center"/>
              <w:rPr>
                <w:color w:val="auto"/>
                <w:sz w:val="24"/>
              </w:rPr>
            </w:pPr>
            <w:r>
              <w:rPr>
                <w:color w:val="auto"/>
                <w:sz w:val="24"/>
              </w:rPr>
              <w:t>名称)/污染源</w:t>
            </w:r>
          </w:p>
        </w:tc>
        <w:tc>
          <w:tcPr>
            <w:tcW w:w="1688" w:type="dxa"/>
            <w:vAlign w:val="center"/>
          </w:tcPr>
          <w:p>
            <w:pPr>
              <w:adjustRightInd w:val="0"/>
              <w:snapToGrid w:val="0"/>
              <w:jc w:val="center"/>
              <w:rPr>
                <w:color w:val="auto"/>
                <w:sz w:val="24"/>
              </w:rPr>
            </w:pPr>
            <w:r>
              <w:rPr>
                <w:color w:val="auto"/>
                <w:sz w:val="24"/>
              </w:rPr>
              <w:t>污染物项目</w:t>
            </w:r>
          </w:p>
        </w:tc>
        <w:tc>
          <w:tcPr>
            <w:tcW w:w="1420" w:type="dxa"/>
            <w:vAlign w:val="center"/>
          </w:tcPr>
          <w:p>
            <w:pPr>
              <w:adjustRightInd w:val="0"/>
              <w:snapToGrid w:val="0"/>
              <w:jc w:val="center"/>
              <w:rPr>
                <w:color w:val="auto"/>
                <w:sz w:val="24"/>
              </w:rPr>
            </w:pPr>
            <w:r>
              <w:rPr>
                <w:color w:val="auto"/>
                <w:sz w:val="24"/>
              </w:rPr>
              <w:t>环境保护</w:t>
            </w:r>
          </w:p>
          <w:p>
            <w:pPr>
              <w:adjustRightInd w:val="0"/>
              <w:snapToGrid w:val="0"/>
              <w:jc w:val="center"/>
              <w:rPr>
                <w:color w:val="auto"/>
                <w:sz w:val="24"/>
              </w:rPr>
            </w:pPr>
            <w:r>
              <w:rPr>
                <w:color w:val="auto"/>
                <w:sz w:val="24"/>
              </w:rPr>
              <w:t>措施</w:t>
            </w:r>
          </w:p>
        </w:tc>
        <w:tc>
          <w:tcPr>
            <w:tcW w:w="2159" w:type="dxa"/>
            <w:vAlign w:val="center"/>
          </w:tcPr>
          <w:p>
            <w:pPr>
              <w:adjustRightInd w:val="0"/>
              <w:snapToGrid w:val="0"/>
              <w:jc w:val="center"/>
              <w:rPr>
                <w:color w:val="auto"/>
                <w:sz w:val="24"/>
              </w:rPr>
            </w:pPr>
            <w:r>
              <w:rPr>
                <w:color w:val="auto"/>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78" w:type="dxa"/>
            <w:vMerge w:val="restart"/>
            <w:vAlign w:val="center"/>
          </w:tcPr>
          <w:p>
            <w:pPr>
              <w:adjustRightInd w:val="0"/>
              <w:snapToGrid w:val="0"/>
              <w:jc w:val="center"/>
              <w:rPr>
                <w:color w:val="auto"/>
                <w:sz w:val="24"/>
              </w:rPr>
            </w:pPr>
            <w:r>
              <w:rPr>
                <w:color w:val="auto"/>
                <w:sz w:val="24"/>
              </w:rPr>
              <w:t>大气环境</w:t>
            </w:r>
          </w:p>
        </w:tc>
        <w:tc>
          <w:tcPr>
            <w:tcW w:w="1755" w:type="dxa"/>
            <w:vAlign w:val="center"/>
          </w:tcPr>
          <w:p>
            <w:pPr>
              <w:adjustRightInd w:val="0"/>
              <w:snapToGrid w:val="0"/>
              <w:jc w:val="center"/>
              <w:rPr>
                <w:color w:val="auto"/>
                <w:sz w:val="24"/>
              </w:rPr>
            </w:pPr>
            <w:r>
              <w:rPr>
                <w:rFonts w:hint="eastAsia"/>
                <w:color w:val="auto"/>
                <w:sz w:val="24"/>
              </w:rPr>
              <w:t>DA001</w:t>
            </w:r>
          </w:p>
        </w:tc>
        <w:tc>
          <w:tcPr>
            <w:tcW w:w="1688" w:type="dxa"/>
            <w:vAlign w:val="center"/>
          </w:tcPr>
          <w:p>
            <w:pPr>
              <w:adjustRightInd w:val="0"/>
              <w:snapToGrid w:val="0"/>
              <w:jc w:val="center"/>
              <w:rPr>
                <w:rFonts w:hint="eastAsia" w:eastAsia="宋体"/>
                <w:color w:val="auto"/>
                <w:sz w:val="24"/>
                <w:lang w:eastAsia="zh-CN"/>
              </w:rPr>
            </w:pPr>
            <w:r>
              <w:rPr>
                <w:rFonts w:hint="eastAsia"/>
                <w:color w:val="auto"/>
                <w:sz w:val="24"/>
              </w:rPr>
              <w:t>颗粒物、SO</w:t>
            </w:r>
            <w:r>
              <w:rPr>
                <w:rFonts w:hint="eastAsia"/>
                <w:color w:val="auto"/>
                <w:sz w:val="24"/>
                <w:vertAlign w:val="subscript"/>
              </w:rPr>
              <w:t>2</w:t>
            </w:r>
            <w:r>
              <w:rPr>
                <w:rFonts w:hint="eastAsia"/>
                <w:color w:val="auto"/>
                <w:sz w:val="24"/>
              </w:rPr>
              <w:t>、NO</w:t>
            </w:r>
            <w:r>
              <w:rPr>
                <w:rFonts w:hint="eastAsia"/>
                <w:color w:val="auto"/>
                <w:sz w:val="24"/>
                <w:vertAlign w:val="subscript"/>
              </w:rPr>
              <w:t>x</w:t>
            </w:r>
            <w:r>
              <w:rPr>
                <w:rFonts w:hint="eastAsia"/>
                <w:color w:val="auto"/>
                <w:sz w:val="24"/>
              </w:rPr>
              <w:t>、</w:t>
            </w:r>
            <w:r>
              <w:rPr>
                <w:rFonts w:hint="eastAsia"/>
                <w:color w:val="auto"/>
                <w:sz w:val="24"/>
                <w:lang w:eastAsia="zh-CN"/>
              </w:rPr>
              <w:t>氟及其化合物（以F计）</w:t>
            </w:r>
          </w:p>
        </w:tc>
        <w:tc>
          <w:tcPr>
            <w:tcW w:w="1420" w:type="dxa"/>
            <w:vAlign w:val="center"/>
          </w:tcPr>
          <w:p>
            <w:pPr>
              <w:adjustRightInd w:val="0"/>
              <w:snapToGrid w:val="0"/>
              <w:jc w:val="center"/>
              <w:rPr>
                <w:rFonts w:hint="eastAsia" w:eastAsia="宋体"/>
                <w:color w:val="auto"/>
                <w:sz w:val="24"/>
                <w:lang w:eastAsia="zh-CN"/>
              </w:rPr>
            </w:pPr>
            <w:r>
              <w:rPr>
                <w:rFonts w:hint="eastAsia"/>
                <w:color w:val="auto"/>
                <w:sz w:val="24"/>
                <w:lang w:eastAsia="zh-CN"/>
              </w:rPr>
              <w:t>石灰石膏法脱硫塔</w:t>
            </w:r>
          </w:p>
        </w:tc>
        <w:tc>
          <w:tcPr>
            <w:tcW w:w="2159" w:type="dxa"/>
            <w:vAlign w:val="center"/>
          </w:tcPr>
          <w:p>
            <w:pPr>
              <w:pStyle w:val="16"/>
              <w:adjustRightInd w:val="0"/>
              <w:jc w:val="center"/>
              <w:rPr>
                <w:color w:val="auto"/>
                <w:sz w:val="24"/>
                <w:szCs w:val="28"/>
              </w:rPr>
            </w:pPr>
            <w:r>
              <w:rPr>
                <w:rFonts w:hint="eastAsia"/>
                <w:color w:val="auto"/>
                <w:sz w:val="24"/>
                <w:szCs w:val="28"/>
              </w:rPr>
              <w:t>《工业炉窑大气污染物排放标准》（GB9078-1996）</w:t>
            </w:r>
          </w:p>
          <w:p>
            <w:pPr>
              <w:adjustRightInd w:val="0"/>
              <w:snapToGrid w:val="0"/>
              <w:rPr>
                <w:color w:val="auto"/>
                <w:sz w:val="24"/>
              </w:rPr>
            </w:pPr>
            <w:r>
              <w:rPr>
                <w:color w:val="auto"/>
                <w:sz w:val="24"/>
                <w:szCs w:val="28"/>
              </w:rPr>
              <w:t>《大气污染物综合排放标准》（GB16297-1996）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78" w:type="dxa"/>
            <w:vMerge w:val="continue"/>
            <w:vAlign w:val="center"/>
          </w:tcPr>
          <w:p>
            <w:pPr>
              <w:adjustRightInd w:val="0"/>
              <w:snapToGrid w:val="0"/>
              <w:jc w:val="center"/>
              <w:rPr>
                <w:color w:val="auto"/>
                <w:sz w:val="24"/>
              </w:rPr>
            </w:pPr>
          </w:p>
        </w:tc>
        <w:tc>
          <w:tcPr>
            <w:tcW w:w="1755" w:type="dxa"/>
            <w:vAlign w:val="center"/>
          </w:tcPr>
          <w:p>
            <w:pPr>
              <w:adjustRightInd w:val="0"/>
              <w:snapToGrid w:val="0"/>
              <w:jc w:val="center"/>
              <w:rPr>
                <w:color w:val="auto"/>
                <w:sz w:val="24"/>
              </w:rPr>
            </w:pPr>
            <w:r>
              <w:rPr>
                <w:rFonts w:hint="eastAsia"/>
                <w:color w:val="auto"/>
                <w:sz w:val="24"/>
              </w:rPr>
              <w:t>DA002</w:t>
            </w:r>
          </w:p>
        </w:tc>
        <w:tc>
          <w:tcPr>
            <w:tcW w:w="1688" w:type="dxa"/>
            <w:vAlign w:val="center"/>
          </w:tcPr>
          <w:p>
            <w:pPr>
              <w:adjustRightInd w:val="0"/>
              <w:snapToGrid w:val="0"/>
              <w:jc w:val="center"/>
              <w:rPr>
                <w:color w:val="auto"/>
                <w:sz w:val="24"/>
              </w:rPr>
            </w:pPr>
            <w:r>
              <w:rPr>
                <w:rFonts w:hint="eastAsia"/>
                <w:color w:val="auto"/>
                <w:sz w:val="24"/>
              </w:rPr>
              <w:t>颗粒物</w:t>
            </w:r>
          </w:p>
        </w:tc>
        <w:tc>
          <w:tcPr>
            <w:tcW w:w="1420" w:type="dxa"/>
            <w:vAlign w:val="center"/>
          </w:tcPr>
          <w:p>
            <w:pPr>
              <w:adjustRightInd w:val="0"/>
              <w:snapToGrid w:val="0"/>
              <w:jc w:val="center"/>
              <w:rPr>
                <w:color w:val="auto"/>
                <w:sz w:val="24"/>
              </w:rPr>
            </w:pPr>
            <w:r>
              <w:rPr>
                <w:rFonts w:hint="eastAsia"/>
                <w:color w:val="auto"/>
                <w:sz w:val="24"/>
              </w:rPr>
              <w:t>布袋除尘器</w:t>
            </w:r>
          </w:p>
        </w:tc>
        <w:tc>
          <w:tcPr>
            <w:tcW w:w="2159" w:type="dxa"/>
            <w:vMerge w:val="restart"/>
            <w:vAlign w:val="center"/>
          </w:tcPr>
          <w:p>
            <w:pPr>
              <w:adjustRightInd w:val="0"/>
              <w:snapToGrid w:val="0"/>
              <w:rPr>
                <w:color w:val="auto"/>
                <w:szCs w:val="21"/>
              </w:rPr>
            </w:pPr>
            <w:r>
              <w:rPr>
                <w:rFonts w:hint="eastAsia"/>
                <w:bCs/>
                <w:color w:val="auto"/>
                <w:sz w:val="24"/>
              </w:rPr>
              <w:t>《大气污染物综合排放标准》（</w:t>
            </w:r>
            <w:r>
              <w:rPr>
                <w:bCs/>
                <w:color w:val="auto"/>
                <w:sz w:val="24"/>
              </w:rPr>
              <w:t>GB12348-1996</w:t>
            </w:r>
            <w:r>
              <w:rPr>
                <w:rFonts w:hint="eastAsia"/>
                <w:bCs/>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78" w:type="dxa"/>
            <w:vMerge w:val="continue"/>
            <w:vAlign w:val="center"/>
          </w:tcPr>
          <w:p>
            <w:pPr>
              <w:adjustRightInd w:val="0"/>
              <w:snapToGrid w:val="0"/>
              <w:jc w:val="center"/>
              <w:rPr>
                <w:color w:val="auto"/>
                <w:sz w:val="24"/>
              </w:rPr>
            </w:pPr>
          </w:p>
        </w:tc>
        <w:tc>
          <w:tcPr>
            <w:tcW w:w="1755" w:type="dxa"/>
            <w:vAlign w:val="center"/>
          </w:tcPr>
          <w:p>
            <w:pPr>
              <w:adjustRightInd w:val="0"/>
              <w:snapToGrid w:val="0"/>
              <w:jc w:val="center"/>
              <w:rPr>
                <w:color w:val="auto"/>
                <w:sz w:val="24"/>
              </w:rPr>
            </w:pPr>
            <w:r>
              <w:rPr>
                <w:rFonts w:hint="eastAsia"/>
                <w:color w:val="auto"/>
                <w:sz w:val="24"/>
              </w:rPr>
              <w:t>原料堆场</w:t>
            </w:r>
          </w:p>
          <w:p>
            <w:pPr>
              <w:adjustRightInd w:val="0"/>
              <w:snapToGrid w:val="0"/>
              <w:jc w:val="center"/>
              <w:rPr>
                <w:color w:val="auto"/>
                <w:sz w:val="24"/>
              </w:rPr>
            </w:pPr>
            <w:r>
              <w:rPr>
                <w:rFonts w:hint="eastAsia"/>
                <w:color w:val="auto"/>
                <w:sz w:val="24"/>
              </w:rPr>
              <w:t>破碎车间</w:t>
            </w:r>
          </w:p>
        </w:tc>
        <w:tc>
          <w:tcPr>
            <w:tcW w:w="1688" w:type="dxa"/>
            <w:vAlign w:val="center"/>
          </w:tcPr>
          <w:p>
            <w:pPr>
              <w:adjustRightInd w:val="0"/>
              <w:snapToGrid w:val="0"/>
              <w:jc w:val="center"/>
              <w:rPr>
                <w:color w:val="auto"/>
                <w:sz w:val="24"/>
              </w:rPr>
            </w:pPr>
            <w:r>
              <w:rPr>
                <w:rFonts w:hint="eastAsia"/>
                <w:color w:val="auto"/>
                <w:sz w:val="24"/>
              </w:rPr>
              <w:t>颗粒物</w:t>
            </w:r>
          </w:p>
        </w:tc>
        <w:tc>
          <w:tcPr>
            <w:tcW w:w="1420" w:type="dxa"/>
            <w:vAlign w:val="center"/>
          </w:tcPr>
          <w:p>
            <w:pPr>
              <w:adjustRightInd w:val="0"/>
              <w:snapToGrid w:val="0"/>
              <w:jc w:val="center"/>
              <w:rPr>
                <w:color w:val="auto"/>
                <w:sz w:val="24"/>
              </w:rPr>
            </w:pPr>
            <w:r>
              <w:rPr>
                <w:rFonts w:hint="eastAsia"/>
                <w:color w:val="auto"/>
                <w:sz w:val="24"/>
              </w:rPr>
              <w:t>围挡+洒水降尘</w:t>
            </w:r>
          </w:p>
        </w:tc>
        <w:tc>
          <w:tcPr>
            <w:tcW w:w="2159" w:type="dxa"/>
            <w:vMerge w:val="continue"/>
            <w:vAlign w:val="center"/>
          </w:tcPr>
          <w:p>
            <w:pPr>
              <w:adjustRightInd w:val="0"/>
              <w:snapToGrid w:val="0"/>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78" w:type="dxa"/>
            <w:vMerge w:val="restart"/>
            <w:vAlign w:val="center"/>
          </w:tcPr>
          <w:p>
            <w:pPr>
              <w:adjustRightInd w:val="0"/>
              <w:snapToGrid w:val="0"/>
              <w:jc w:val="center"/>
              <w:rPr>
                <w:color w:val="auto"/>
                <w:sz w:val="24"/>
              </w:rPr>
            </w:pPr>
            <w:r>
              <w:rPr>
                <w:color w:val="auto"/>
                <w:sz w:val="24"/>
              </w:rPr>
              <w:t>地表水环境</w:t>
            </w:r>
          </w:p>
        </w:tc>
        <w:tc>
          <w:tcPr>
            <w:tcW w:w="1755" w:type="dxa"/>
            <w:vAlign w:val="center"/>
          </w:tcPr>
          <w:p>
            <w:pPr>
              <w:adjustRightInd w:val="0"/>
              <w:snapToGrid w:val="0"/>
              <w:jc w:val="center"/>
              <w:rPr>
                <w:color w:val="auto"/>
                <w:sz w:val="24"/>
              </w:rPr>
            </w:pPr>
            <w:r>
              <w:rPr>
                <w:rFonts w:hint="eastAsia"/>
                <w:color w:val="auto"/>
                <w:sz w:val="24"/>
              </w:rPr>
              <w:t>实验废水</w:t>
            </w:r>
          </w:p>
        </w:tc>
        <w:tc>
          <w:tcPr>
            <w:tcW w:w="1688" w:type="dxa"/>
            <w:vAlign w:val="center"/>
          </w:tcPr>
          <w:p>
            <w:pPr>
              <w:adjustRightInd w:val="0"/>
              <w:snapToGrid w:val="0"/>
              <w:jc w:val="center"/>
              <w:rPr>
                <w:color w:val="auto"/>
                <w:sz w:val="24"/>
              </w:rPr>
            </w:pPr>
            <w:r>
              <w:rPr>
                <w:rFonts w:hint="eastAsia"/>
                <w:color w:val="auto"/>
                <w:sz w:val="24"/>
              </w:rPr>
              <w:t>酸碱</w:t>
            </w:r>
          </w:p>
        </w:tc>
        <w:tc>
          <w:tcPr>
            <w:tcW w:w="1420" w:type="dxa"/>
            <w:vAlign w:val="center"/>
          </w:tcPr>
          <w:p>
            <w:pPr>
              <w:adjustRightInd w:val="0"/>
              <w:snapToGrid w:val="0"/>
              <w:jc w:val="center"/>
              <w:rPr>
                <w:color w:val="auto"/>
                <w:sz w:val="24"/>
              </w:rPr>
            </w:pPr>
            <w:r>
              <w:rPr>
                <w:rFonts w:hint="eastAsia"/>
                <w:color w:val="auto"/>
                <w:sz w:val="24"/>
              </w:rPr>
              <w:t>中和池、化粪池预处理后排入污水处理厂</w:t>
            </w:r>
          </w:p>
        </w:tc>
        <w:tc>
          <w:tcPr>
            <w:tcW w:w="2159" w:type="dxa"/>
            <w:vAlign w:val="center"/>
          </w:tcPr>
          <w:p>
            <w:pPr>
              <w:adjustRightInd w:val="0"/>
              <w:snapToGrid w:val="0"/>
              <w:rPr>
                <w:color w:val="auto"/>
                <w:szCs w:val="21"/>
              </w:rPr>
            </w:pPr>
            <w:r>
              <w:rPr>
                <w:color w:val="auto"/>
                <w:sz w:val="24"/>
              </w:rPr>
              <w:t>《污水排入城镇下水道水质标准》（GB/T31962-2015）表1B级标准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78" w:type="dxa"/>
            <w:vMerge w:val="continue"/>
            <w:vAlign w:val="center"/>
          </w:tcPr>
          <w:p>
            <w:pPr>
              <w:adjustRightInd w:val="0"/>
              <w:snapToGrid w:val="0"/>
              <w:jc w:val="center"/>
              <w:rPr>
                <w:color w:val="auto"/>
                <w:sz w:val="24"/>
              </w:rPr>
            </w:pPr>
          </w:p>
        </w:tc>
        <w:tc>
          <w:tcPr>
            <w:tcW w:w="1755" w:type="dxa"/>
            <w:vAlign w:val="center"/>
          </w:tcPr>
          <w:p>
            <w:pPr>
              <w:adjustRightInd w:val="0"/>
              <w:snapToGrid w:val="0"/>
              <w:jc w:val="center"/>
              <w:rPr>
                <w:rFonts w:hint="eastAsia" w:eastAsia="宋体"/>
                <w:color w:val="auto"/>
                <w:sz w:val="24"/>
                <w:lang w:eastAsia="zh-CN"/>
              </w:rPr>
            </w:pPr>
            <w:r>
              <w:rPr>
                <w:rFonts w:hint="eastAsia"/>
                <w:color w:val="auto"/>
                <w:sz w:val="24"/>
                <w:lang w:eastAsia="zh-CN"/>
              </w:rPr>
              <w:t>石灰石膏法脱硫塔</w:t>
            </w:r>
          </w:p>
        </w:tc>
        <w:tc>
          <w:tcPr>
            <w:tcW w:w="1688" w:type="dxa"/>
            <w:vAlign w:val="center"/>
          </w:tcPr>
          <w:p>
            <w:pPr>
              <w:adjustRightInd w:val="0"/>
              <w:snapToGrid w:val="0"/>
              <w:jc w:val="center"/>
              <w:rPr>
                <w:color w:val="auto"/>
                <w:sz w:val="24"/>
              </w:rPr>
            </w:pPr>
            <w:r>
              <w:rPr>
                <w:rFonts w:hint="eastAsia"/>
                <w:color w:val="auto"/>
                <w:sz w:val="24"/>
              </w:rPr>
              <w:t>烟气处理废水</w:t>
            </w:r>
          </w:p>
        </w:tc>
        <w:tc>
          <w:tcPr>
            <w:tcW w:w="1420" w:type="dxa"/>
            <w:vAlign w:val="center"/>
          </w:tcPr>
          <w:p>
            <w:pPr>
              <w:adjustRightInd w:val="0"/>
              <w:snapToGrid w:val="0"/>
              <w:jc w:val="center"/>
              <w:rPr>
                <w:color w:val="auto"/>
                <w:sz w:val="24"/>
              </w:rPr>
            </w:pPr>
            <w:r>
              <w:rPr>
                <w:rFonts w:hint="eastAsia"/>
                <w:color w:val="auto"/>
                <w:sz w:val="24"/>
              </w:rPr>
              <w:t>再生池、压滤机</w:t>
            </w:r>
          </w:p>
        </w:tc>
        <w:tc>
          <w:tcPr>
            <w:tcW w:w="2159" w:type="dxa"/>
            <w:vAlign w:val="center"/>
          </w:tcPr>
          <w:p>
            <w:pPr>
              <w:adjustRightInd w:val="0"/>
              <w:snapToGrid w:val="0"/>
              <w:jc w:val="center"/>
              <w:rPr>
                <w:color w:val="auto"/>
                <w:sz w:val="24"/>
              </w:rPr>
            </w:pPr>
            <w:r>
              <w:rPr>
                <w:rFonts w:hint="eastAsia"/>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78" w:type="dxa"/>
            <w:vMerge w:val="continue"/>
            <w:vAlign w:val="center"/>
          </w:tcPr>
          <w:p>
            <w:pPr>
              <w:adjustRightInd w:val="0"/>
              <w:snapToGrid w:val="0"/>
              <w:jc w:val="center"/>
              <w:rPr>
                <w:color w:val="auto"/>
                <w:sz w:val="24"/>
              </w:rPr>
            </w:pPr>
          </w:p>
        </w:tc>
        <w:tc>
          <w:tcPr>
            <w:tcW w:w="1755" w:type="dxa"/>
            <w:vAlign w:val="center"/>
          </w:tcPr>
          <w:p>
            <w:pPr>
              <w:adjustRightInd w:val="0"/>
              <w:snapToGrid w:val="0"/>
              <w:jc w:val="center"/>
              <w:rPr>
                <w:color w:val="auto"/>
                <w:sz w:val="24"/>
              </w:rPr>
            </w:pPr>
            <w:r>
              <w:rPr>
                <w:rFonts w:hint="eastAsia"/>
                <w:color w:val="auto"/>
                <w:sz w:val="24"/>
              </w:rPr>
              <w:t>拌料废水</w:t>
            </w:r>
          </w:p>
        </w:tc>
        <w:tc>
          <w:tcPr>
            <w:tcW w:w="1688" w:type="dxa"/>
            <w:vAlign w:val="center"/>
          </w:tcPr>
          <w:p>
            <w:pPr>
              <w:adjustRightInd w:val="0"/>
              <w:snapToGrid w:val="0"/>
              <w:jc w:val="center"/>
              <w:rPr>
                <w:color w:val="auto"/>
                <w:sz w:val="24"/>
              </w:rPr>
            </w:pPr>
            <w:r>
              <w:rPr>
                <w:rFonts w:hint="eastAsia"/>
                <w:color w:val="auto"/>
                <w:sz w:val="24"/>
              </w:rPr>
              <w:t>SS</w:t>
            </w:r>
          </w:p>
        </w:tc>
        <w:tc>
          <w:tcPr>
            <w:tcW w:w="1420" w:type="dxa"/>
            <w:vAlign w:val="center"/>
          </w:tcPr>
          <w:p>
            <w:pPr>
              <w:adjustRightInd w:val="0"/>
              <w:snapToGrid w:val="0"/>
              <w:jc w:val="center"/>
              <w:rPr>
                <w:color w:val="auto"/>
                <w:sz w:val="24"/>
              </w:rPr>
            </w:pPr>
            <w:r>
              <w:rPr>
                <w:rFonts w:hint="eastAsia"/>
                <w:color w:val="auto"/>
                <w:sz w:val="24"/>
              </w:rPr>
              <w:t>蒸发</w:t>
            </w:r>
          </w:p>
        </w:tc>
        <w:tc>
          <w:tcPr>
            <w:tcW w:w="2159" w:type="dxa"/>
            <w:vAlign w:val="center"/>
          </w:tcPr>
          <w:p>
            <w:pPr>
              <w:adjustRightInd w:val="0"/>
              <w:snapToGrid w:val="0"/>
              <w:jc w:val="center"/>
              <w:rPr>
                <w:color w:val="auto"/>
                <w:sz w:val="24"/>
              </w:rPr>
            </w:pPr>
            <w:r>
              <w:rPr>
                <w:rFonts w:hint="eastAsia"/>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78" w:type="dxa"/>
            <w:vMerge w:val="continue"/>
            <w:vAlign w:val="center"/>
          </w:tcPr>
          <w:p>
            <w:pPr>
              <w:adjustRightInd w:val="0"/>
              <w:snapToGrid w:val="0"/>
              <w:jc w:val="center"/>
              <w:rPr>
                <w:color w:val="auto"/>
                <w:sz w:val="24"/>
              </w:rPr>
            </w:pPr>
          </w:p>
        </w:tc>
        <w:tc>
          <w:tcPr>
            <w:tcW w:w="1755" w:type="dxa"/>
            <w:vAlign w:val="center"/>
          </w:tcPr>
          <w:p>
            <w:pPr>
              <w:adjustRightInd w:val="0"/>
              <w:snapToGrid w:val="0"/>
              <w:jc w:val="center"/>
              <w:rPr>
                <w:color w:val="auto"/>
                <w:sz w:val="24"/>
              </w:rPr>
            </w:pPr>
            <w:r>
              <w:rPr>
                <w:rFonts w:hint="eastAsia"/>
                <w:color w:val="auto"/>
                <w:sz w:val="24"/>
              </w:rPr>
              <w:t>生活污水</w:t>
            </w:r>
          </w:p>
        </w:tc>
        <w:tc>
          <w:tcPr>
            <w:tcW w:w="1688" w:type="dxa"/>
            <w:vAlign w:val="center"/>
          </w:tcPr>
          <w:p>
            <w:pPr>
              <w:adjustRightInd w:val="0"/>
              <w:snapToGrid w:val="0"/>
              <w:jc w:val="center"/>
              <w:rPr>
                <w:color w:val="auto"/>
                <w:sz w:val="24"/>
              </w:rPr>
            </w:pPr>
            <w:r>
              <w:rPr>
                <w:rFonts w:hint="eastAsia"/>
                <w:color w:val="auto"/>
                <w:sz w:val="24"/>
              </w:rPr>
              <w:t>BOD、COD、氨氮、总磷等</w:t>
            </w:r>
          </w:p>
        </w:tc>
        <w:tc>
          <w:tcPr>
            <w:tcW w:w="1420" w:type="dxa"/>
            <w:vAlign w:val="center"/>
          </w:tcPr>
          <w:p>
            <w:pPr>
              <w:adjustRightInd w:val="0"/>
              <w:snapToGrid w:val="0"/>
              <w:jc w:val="center"/>
              <w:rPr>
                <w:color w:val="auto"/>
                <w:sz w:val="24"/>
              </w:rPr>
            </w:pPr>
            <w:r>
              <w:rPr>
                <w:rFonts w:hint="eastAsia"/>
                <w:color w:val="auto"/>
                <w:sz w:val="24"/>
              </w:rPr>
              <w:t>隔油池、化粪池池处理后排入污水处理厂</w:t>
            </w:r>
          </w:p>
        </w:tc>
        <w:tc>
          <w:tcPr>
            <w:tcW w:w="2159" w:type="dxa"/>
            <w:vAlign w:val="center"/>
          </w:tcPr>
          <w:p>
            <w:pPr>
              <w:adjustRightInd w:val="0"/>
              <w:snapToGrid w:val="0"/>
              <w:rPr>
                <w:color w:val="auto"/>
                <w:sz w:val="24"/>
              </w:rPr>
            </w:pPr>
            <w:r>
              <w:rPr>
                <w:color w:val="auto"/>
                <w:sz w:val="24"/>
              </w:rPr>
              <w:t>《污水排入城镇下水道水质标准》（GB/T31962-2015）表1B级标准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78" w:type="dxa"/>
            <w:vMerge w:val="continue"/>
            <w:vAlign w:val="center"/>
          </w:tcPr>
          <w:p>
            <w:pPr>
              <w:adjustRightInd w:val="0"/>
              <w:snapToGrid w:val="0"/>
              <w:jc w:val="center"/>
              <w:rPr>
                <w:color w:val="auto"/>
                <w:sz w:val="24"/>
              </w:rPr>
            </w:pPr>
          </w:p>
        </w:tc>
        <w:tc>
          <w:tcPr>
            <w:tcW w:w="1755" w:type="dxa"/>
            <w:vAlign w:val="center"/>
          </w:tcPr>
          <w:p>
            <w:pPr>
              <w:adjustRightInd w:val="0"/>
              <w:snapToGrid w:val="0"/>
              <w:jc w:val="center"/>
              <w:rPr>
                <w:color w:val="auto"/>
                <w:sz w:val="24"/>
              </w:rPr>
            </w:pPr>
            <w:r>
              <w:rPr>
                <w:rFonts w:hint="eastAsia"/>
                <w:color w:val="auto"/>
                <w:sz w:val="24"/>
              </w:rPr>
              <w:t>初期雨水</w:t>
            </w:r>
          </w:p>
        </w:tc>
        <w:tc>
          <w:tcPr>
            <w:tcW w:w="1688" w:type="dxa"/>
            <w:vAlign w:val="center"/>
          </w:tcPr>
          <w:p>
            <w:pPr>
              <w:adjustRightInd w:val="0"/>
              <w:snapToGrid w:val="0"/>
              <w:jc w:val="center"/>
              <w:rPr>
                <w:color w:val="auto"/>
                <w:sz w:val="24"/>
              </w:rPr>
            </w:pPr>
            <w:r>
              <w:rPr>
                <w:rFonts w:hint="eastAsia"/>
                <w:color w:val="auto"/>
                <w:sz w:val="24"/>
              </w:rPr>
              <w:t>SS</w:t>
            </w:r>
          </w:p>
        </w:tc>
        <w:tc>
          <w:tcPr>
            <w:tcW w:w="1420" w:type="dxa"/>
            <w:vAlign w:val="center"/>
          </w:tcPr>
          <w:p>
            <w:pPr>
              <w:adjustRightInd w:val="0"/>
              <w:snapToGrid w:val="0"/>
              <w:jc w:val="center"/>
              <w:rPr>
                <w:color w:val="auto"/>
                <w:sz w:val="24"/>
              </w:rPr>
            </w:pPr>
            <w:r>
              <w:rPr>
                <w:rFonts w:hint="eastAsia"/>
                <w:color w:val="auto"/>
                <w:sz w:val="24"/>
              </w:rPr>
              <w:t>沉淀回用</w:t>
            </w:r>
          </w:p>
        </w:tc>
        <w:tc>
          <w:tcPr>
            <w:tcW w:w="2159" w:type="dxa"/>
            <w:vAlign w:val="center"/>
          </w:tcPr>
          <w:p>
            <w:pPr>
              <w:adjustRightInd w:val="0"/>
              <w:snapToGrid w:val="0"/>
              <w:jc w:val="center"/>
              <w:rPr>
                <w:color w:val="auto"/>
                <w:sz w:val="24"/>
              </w:rPr>
            </w:pPr>
            <w:r>
              <w:rPr>
                <w:rFonts w:hint="eastAsia"/>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78" w:type="dxa"/>
            <w:vAlign w:val="center"/>
          </w:tcPr>
          <w:p>
            <w:pPr>
              <w:adjustRightInd w:val="0"/>
              <w:snapToGrid w:val="0"/>
              <w:jc w:val="center"/>
              <w:rPr>
                <w:color w:val="auto"/>
                <w:sz w:val="24"/>
              </w:rPr>
            </w:pPr>
            <w:r>
              <w:rPr>
                <w:color w:val="auto"/>
                <w:sz w:val="24"/>
              </w:rPr>
              <w:t>声环境</w:t>
            </w:r>
          </w:p>
        </w:tc>
        <w:tc>
          <w:tcPr>
            <w:tcW w:w="1755" w:type="dxa"/>
            <w:vAlign w:val="center"/>
          </w:tcPr>
          <w:p>
            <w:pPr>
              <w:adjustRightInd w:val="0"/>
              <w:snapToGrid w:val="0"/>
              <w:jc w:val="center"/>
              <w:rPr>
                <w:color w:val="auto"/>
                <w:sz w:val="24"/>
              </w:rPr>
            </w:pPr>
            <w:r>
              <w:rPr>
                <w:rFonts w:hint="eastAsia"/>
                <w:color w:val="auto"/>
                <w:sz w:val="24"/>
              </w:rPr>
              <w:t>机械噪声</w:t>
            </w:r>
          </w:p>
        </w:tc>
        <w:tc>
          <w:tcPr>
            <w:tcW w:w="1688" w:type="dxa"/>
            <w:vAlign w:val="center"/>
          </w:tcPr>
          <w:p>
            <w:pPr>
              <w:adjustRightInd w:val="0"/>
              <w:snapToGrid w:val="0"/>
              <w:jc w:val="center"/>
              <w:rPr>
                <w:color w:val="auto"/>
                <w:sz w:val="24"/>
              </w:rPr>
            </w:pPr>
            <w:r>
              <w:rPr>
                <w:rFonts w:hint="eastAsia"/>
                <w:color w:val="auto"/>
                <w:sz w:val="24"/>
              </w:rPr>
              <w:t>噪声</w:t>
            </w:r>
          </w:p>
        </w:tc>
        <w:tc>
          <w:tcPr>
            <w:tcW w:w="1420" w:type="dxa"/>
            <w:vAlign w:val="center"/>
          </w:tcPr>
          <w:p>
            <w:pPr>
              <w:adjustRightInd w:val="0"/>
              <w:snapToGrid w:val="0"/>
              <w:jc w:val="center"/>
              <w:rPr>
                <w:color w:val="auto"/>
                <w:sz w:val="24"/>
              </w:rPr>
            </w:pPr>
            <w:r>
              <w:rPr>
                <w:rFonts w:hint="eastAsia"/>
                <w:color w:val="auto"/>
                <w:sz w:val="24"/>
              </w:rPr>
              <w:t>减震垫</w:t>
            </w:r>
          </w:p>
        </w:tc>
        <w:tc>
          <w:tcPr>
            <w:tcW w:w="2159" w:type="dxa"/>
            <w:vAlign w:val="center"/>
          </w:tcPr>
          <w:p>
            <w:pPr>
              <w:pStyle w:val="7"/>
              <w:jc w:val="both"/>
              <w:rPr>
                <w:color w:val="auto"/>
                <w:szCs w:val="21"/>
              </w:rPr>
            </w:pPr>
            <w:r>
              <w:rPr>
                <w:rFonts w:hint="eastAsia"/>
                <w:color w:val="auto"/>
                <w:szCs w:val="24"/>
              </w:rPr>
              <w:t>《工业企业厂界环境噪声排放标准》（</w:t>
            </w:r>
            <w:r>
              <w:rPr>
                <w:color w:val="auto"/>
                <w:szCs w:val="24"/>
              </w:rPr>
              <w:t>GB12348-2008</w:t>
            </w:r>
            <w:r>
              <w:rPr>
                <w:rFonts w:hint="eastAsia"/>
                <w:color w:val="auto"/>
                <w:szCs w:val="24"/>
              </w:rPr>
              <w:t>）3类标准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78" w:type="dxa"/>
            <w:vMerge w:val="restart"/>
            <w:vAlign w:val="center"/>
          </w:tcPr>
          <w:p>
            <w:pPr>
              <w:adjustRightInd w:val="0"/>
              <w:snapToGrid w:val="0"/>
              <w:jc w:val="center"/>
              <w:rPr>
                <w:color w:val="auto"/>
                <w:sz w:val="24"/>
              </w:rPr>
            </w:pPr>
            <w:r>
              <w:rPr>
                <w:color w:val="auto"/>
                <w:sz w:val="24"/>
              </w:rPr>
              <w:t>电磁辐射</w:t>
            </w:r>
          </w:p>
        </w:tc>
        <w:tc>
          <w:tcPr>
            <w:tcW w:w="1755" w:type="dxa"/>
            <w:vAlign w:val="center"/>
          </w:tcPr>
          <w:p>
            <w:pPr>
              <w:adjustRightInd w:val="0"/>
              <w:snapToGrid w:val="0"/>
              <w:jc w:val="center"/>
              <w:rPr>
                <w:color w:val="auto"/>
                <w:szCs w:val="21"/>
              </w:rPr>
            </w:pPr>
            <w:r>
              <w:rPr>
                <w:color w:val="auto"/>
                <w:szCs w:val="21"/>
              </w:rPr>
              <w:t>/</w:t>
            </w:r>
          </w:p>
        </w:tc>
        <w:tc>
          <w:tcPr>
            <w:tcW w:w="1688" w:type="dxa"/>
            <w:vAlign w:val="center"/>
          </w:tcPr>
          <w:p>
            <w:pPr>
              <w:adjustRightInd w:val="0"/>
              <w:snapToGrid w:val="0"/>
              <w:jc w:val="center"/>
              <w:rPr>
                <w:color w:val="auto"/>
                <w:szCs w:val="21"/>
              </w:rPr>
            </w:pPr>
            <w:r>
              <w:rPr>
                <w:color w:val="auto"/>
                <w:szCs w:val="21"/>
              </w:rPr>
              <w:t>/</w:t>
            </w:r>
          </w:p>
        </w:tc>
        <w:tc>
          <w:tcPr>
            <w:tcW w:w="1420" w:type="dxa"/>
            <w:vAlign w:val="center"/>
          </w:tcPr>
          <w:p>
            <w:pPr>
              <w:adjustRightInd w:val="0"/>
              <w:snapToGrid w:val="0"/>
              <w:jc w:val="center"/>
              <w:rPr>
                <w:color w:val="auto"/>
                <w:szCs w:val="21"/>
              </w:rPr>
            </w:pPr>
            <w:r>
              <w:rPr>
                <w:color w:val="auto"/>
                <w:szCs w:val="21"/>
              </w:rPr>
              <w:t>/</w:t>
            </w:r>
          </w:p>
        </w:tc>
        <w:tc>
          <w:tcPr>
            <w:tcW w:w="2159" w:type="dxa"/>
            <w:vAlign w:val="center"/>
          </w:tcPr>
          <w:p>
            <w:pPr>
              <w:adjustRightInd w:val="0"/>
              <w:snapToGrid w:val="0"/>
              <w:jc w:val="center"/>
              <w:rPr>
                <w:color w:val="auto"/>
                <w:szCs w:val="21"/>
              </w:rPr>
            </w:pPr>
            <w:r>
              <w:rPr>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78" w:type="dxa"/>
            <w:vMerge w:val="continue"/>
            <w:vAlign w:val="center"/>
          </w:tcPr>
          <w:p>
            <w:pPr>
              <w:adjustRightInd w:val="0"/>
              <w:snapToGrid w:val="0"/>
              <w:jc w:val="center"/>
              <w:rPr>
                <w:color w:val="auto"/>
                <w:sz w:val="24"/>
              </w:rPr>
            </w:pPr>
          </w:p>
        </w:tc>
        <w:tc>
          <w:tcPr>
            <w:tcW w:w="1755" w:type="dxa"/>
            <w:vAlign w:val="center"/>
          </w:tcPr>
          <w:p>
            <w:pPr>
              <w:adjustRightInd w:val="0"/>
              <w:snapToGrid w:val="0"/>
              <w:jc w:val="center"/>
              <w:rPr>
                <w:color w:val="auto"/>
                <w:szCs w:val="21"/>
              </w:rPr>
            </w:pPr>
            <w:r>
              <w:rPr>
                <w:color w:val="auto"/>
                <w:szCs w:val="21"/>
              </w:rPr>
              <w:t>/</w:t>
            </w:r>
          </w:p>
        </w:tc>
        <w:tc>
          <w:tcPr>
            <w:tcW w:w="1688" w:type="dxa"/>
            <w:vAlign w:val="center"/>
          </w:tcPr>
          <w:p>
            <w:pPr>
              <w:adjustRightInd w:val="0"/>
              <w:snapToGrid w:val="0"/>
              <w:jc w:val="center"/>
              <w:rPr>
                <w:color w:val="auto"/>
                <w:szCs w:val="21"/>
              </w:rPr>
            </w:pPr>
            <w:r>
              <w:rPr>
                <w:color w:val="auto"/>
                <w:szCs w:val="21"/>
              </w:rPr>
              <w:t>/</w:t>
            </w:r>
          </w:p>
        </w:tc>
        <w:tc>
          <w:tcPr>
            <w:tcW w:w="1420" w:type="dxa"/>
            <w:vAlign w:val="center"/>
          </w:tcPr>
          <w:p>
            <w:pPr>
              <w:adjustRightInd w:val="0"/>
              <w:snapToGrid w:val="0"/>
              <w:jc w:val="center"/>
              <w:rPr>
                <w:color w:val="auto"/>
                <w:szCs w:val="21"/>
              </w:rPr>
            </w:pPr>
            <w:r>
              <w:rPr>
                <w:color w:val="auto"/>
                <w:szCs w:val="21"/>
              </w:rPr>
              <w:t>/</w:t>
            </w:r>
          </w:p>
        </w:tc>
        <w:tc>
          <w:tcPr>
            <w:tcW w:w="2159" w:type="dxa"/>
            <w:vAlign w:val="center"/>
          </w:tcPr>
          <w:p>
            <w:pPr>
              <w:adjustRightInd w:val="0"/>
              <w:snapToGrid w:val="0"/>
              <w:jc w:val="center"/>
              <w:rPr>
                <w:color w:val="auto"/>
                <w:szCs w:val="21"/>
              </w:rPr>
            </w:pPr>
            <w:r>
              <w:rPr>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78" w:type="dxa"/>
            <w:vMerge w:val="continue"/>
            <w:vAlign w:val="center"/>
          </w:tcPr>
          <w:p>
            <w:pPr>
              <w:adjustRightInd w:val="0"/>
              <w:snapToGrid w:val="0"/>
              <w:jc w:val="center"/>
              <w:rPr>
                <w:color w:val="auto"/>
                <w:sz w:val="24"/>
              </w:rPr>
            </w:pPr>
          </w:p>
        </w:tc>
        <w:tc>
          <w:tcPr>
            <w:tcW w:w="1755" w:type="dxa"/>
            <w:vAlign w:val="center"/>
          </w:tcPr>
          <w:p>
            <w:pPr>
              <w:adjustRightInd w:val="0"/>
              <w:snapToGrid w:val="0"/>
              <w:jc w:val="center"/>
              <w:rPr>
                <w:color w:val="auto"/>
                <w:szCs w:val="21"/>
              </w:rPr>
            </w:pPr>
            <w:r>
              <w:rPr>
                <w:color w:val="auto"/>
                <w:szCs w:val="21"/>
              </w:rPr>
              <w:t>/</w:t>
            </w:r>
          </w:p>
        </w:tc>
        <w:tc>
          <w:tcPr>
            <w:tcW w:w="1688" w:type="dxa"/>
            <w:vAlign w:val="center"/>
          </w:tcPr>
          <w:p>
            <w:pPr>
              <w:adjustRightInd w:val="0"/>
              <w:snapToGrid w:val="0"/>
              <w:jc w:val="center"/>
              <w:rPr>
                <w:color w:val="auto"/>
                <w:szCs w:val="21"/>
              </w:rPr>
            </w:pPr>
            <w:r>
              <w:rPr>
                <w:color w:val="auto"/>
                <w:szCs w:val="21"/>
              </w:rPr>
              <w:t>/</w:t>
            </w:r>
          </w:p>
        </w:tc>
        <w:tc>
          <w:tcPr>
            <w:tcW w:w="1420" w:type="dxa"/>
            <w:vAlign w:val="center"/>
          </w:tcPr>
          <w:p>
            <w:pPr>
              <w:adjustRightInd w:val="0"/>
              <w:snapToGrid w:val="0"/>
              <w:jc w:val="center"/>
              <w:rPr>
                <w:color w:val="auto"/>
                <w:szCs w:val="21"/>
              </w:rPr>
            </w:pPr>
            <w:r>
              <w:rPr>
                <w:color w:val="auto"/>
                <w:szCs w:val="21"/>
              </w:rPr>
              <w:t>/</w:t>
            </w:r>
          </w:p>
        </w:tc>
        <w:tc>
          <w:tcPr>
            <w:tcW w:w="2159" w:type="dxa"/>
            <w:vAlign w:val="center"/>
          </w:tcPr>
          <w:p>
            <w:pPr>
              <w:adjustRightInd w:val="0"/>
              <w:snapToGrid w:val="0"/>
              <w:jc w:val="center"/>
              <w:rPr>
                <w:color w:val="auto"/>
                <w:szCs w:val="21"/>
              </w:rPr>
            </w:pPr>
            <w:r>
              <w:rPr>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778" w:type="dxa"/>
            <w:vAlign w:val="center"/>
          </w:tcPr>
          <w:p>
            <w:pPr>
              <w:adjustRightInd w:val="0"/>
              <w:snapToGrid w:val="0"/>
              <w:jc w:val="center"/>
              <w:rPr>
                <w:color w:val="auto"/>
                <w:sz w:val="24"/>
              </w:rPr>
            </w:pPr>
            <w:r>
              <w:rPr>
                <w:color w:val="auto"/>
                <w:sz w:val="24"/>
              </w:rPr>
              <w:t>固体废物</w:t>
            </w:r>
          </w:p>
        </w:tc>
        <w:tc>
          <w:tcPr>
            <w:tcW w:w="7022" w:type="dxa"/>
            <w:gridSpan w:val="4"/>
            <w:vAlign w:val="center"/>
          </w:tcPr>
          <w:p>
            <w:pPr>
              <w:adjustRightInd w:val="0"/>
              <w:snapToGrid w:val="0"/>
              <w:spacing w:line="360" w:lineRule="auto"/>
              <w:ind w:firstLine="480" w:firstLineChars="200"/>
              <w:rPr>
                <w:color w:val="auto"/>
                <w:sz w:val="24"/>
              </w:rPr>
            </w:pPr>
            <w:r>
              <w:rPr>
                <w:rFonts w:hint="eastAsia"/>
                <w:color w:val="auto"/>
                <w:sz w:val="24"/>
              </w:rPr>
              <w:t>一般固废：能回收利用的收集利用或外售，不能回收利用的收集后运至附近垃圾收集点，由环卫部门清运处置。</w:t>
            </w:r>
          </w:p>
          <w:p>
            <w:pPr>
              <w:adjustRightInd w:val="0"/>
              <w:snapToGrid w:val="0"/>
              <w:spacing w:line="360" w:lineRule="auto"/>
              <w:ind w:firstLine="480" w:firstLineChars="200"/>
              <w:rPr>
                <w:color w:val="auto"/>
              </w:rPr>
            </w:pPr>
            <w:r>
              <w:rPr>
                <w:rFonts w:hint="eastAsia"/>
                <w:color w:val="auto"/>
                <w:sz w:val="24"/>
              </w:rPr>
              <w:t>危险固废：分类收集后暂存于危废暂存间，委托有危废处置资质的单位定期清运处置。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778"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土壤及地下水</w:t>
            </w:r>
          </w:p>
          <w:p>
            <w:pPr>
              <w:adjustRightInd w:val="0"/>
              <w:snapToGrid w:val="0"/>
              <w:jc w:val="center"/>
              <w:rPr>
                <w:rFonts w:ascii="宋体" w:hAnsi="宋体" w:cs="宋体"/>
                <w:color w:val="auto"/>
                <w:sz w:val="24"/>
              </w:rPr>
            </w:pPr>
            <w:r>
              <w:rPr>
                <w:rFonts w:hint="eastAsia" w:ascii="宋体" w:hAnsi="宋体" w:cs="宋体"/>
                <w:color w:val="auto"/>
                <w:sz w:val="24"/>
              </w:rPr>
              <w:t>污染防治措施</w:t>
            </w:r>
          </w:p>
        </w:tc>
        <w:tc>
          <w:tcPr>
            <w:tcW w:w="7022" w:type="dxa"/>
            <w:gridSpan w:val="4"/>
            <w:vAlign w:val="center"/>
          </w:tcPr>
          <w:p>
            <w:pPr>
              <w:pStyle w:val="47"/>
              <w:adjustRightInd w:val="0"/>
              <w:snapToGrid w:val="0"/>
              <w:ind w:firstLine="480" w:firstLineChars="200"/>
              <w:outlineLvl w:val="2"/>
              <w:rPr>
                <w:color w:val="auto"/>
              </w:rPr>
            </w:pPr>
            <w:r>
              <w:rPr>
                <w:rFonts w:hint="eastAsia"/>
                <w:color w:val="auto"/>
              </w:rPr>
              <w:t>项目</w:t>
            </w:r>
            <w:r>
              <w:rPr>
                <w:color w:val="auto"/>
              </w:rPr>
              <w:t>无污废水排放，</w:t>
            </w:r>
            <w:r>
              <w:rPr>
                <w:rFonts w:hint="eastAsia"/>
                <w:color w:val="auto"/>
              </w:rPr>
              <w:t>废水处理设施已进行防渗处理，厂区</w:t>
            </w:r>
            <w:r>
              <w:rPr>
                <w:color w:val="auto"/>
              </w:rPr>
              <w:t>地面已硬化，对地下水、土壤无污染途径。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778"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生态保护措施</w:t>
            </w:r>
          </w:p>
        </w:tc>
        <w:tc>
          <w:tcPr>
            <w:tcW w:w="7022" w:type="dxa"/>
            <w:gridSpan w:val="4"/>
            <w:vAlign w:val="center"/>
          </w:tcPr>
          <w:p>
            <w:pPr>
              <w:adjustRightInd w:val="0"/>
              <w:snapToGrid w:val="0"/>
              <w:jc w:val="center"/>
              <w:rPr>
                <w:rFonts w:ascii="宋体" w:hAnsi="宋体" w:cs="宋体"/>
                <w:color w:val="auto"/>
                <w:szCs w:val="21"/>
              </w:rPr>
            </w:pPr>
            <w:r>
              <w:rPr>
                <w:rFonts w:hint="eastAsia" w:ascii="宋体" w:hAnsi="宋体" w:cs="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778" w:type="dxa"/>
            <w:vAlign w:val="center"/>
          </w:tcPr>
          <w:p>
            <w:pPr>
              <w:adjustRightInd w:val="0"/>
              <w:snapToGrid w:val="0"/>
              <w:jc w:val="center"/>
              <w:rPr>
                <w:rFonts w:ascii="宋体" w:hAnsi="宋体" w:cs="宋体"/>
                <w:color w:val="auto"/>
                <w:spacing w:val="-8"/>
                <w:sz w:val="24"/>
              </w:rPr>
            </w:pPr>
            <w:r>
              <w:rPr>
                <w:rFonts w:hint="eastAsia" w:ascii="宋体" w:hAnsi="宋体" w:cs="宋体"/>
                <w:color w:val="auto"/>
                <w:spacing w:val="-8"/>
                <w:sz w:val="24"/>
              </w:rPr>
              <w:t>环境风险</w:t>
            </w:r>
          </w:p>
          <w:p>
            <w:pPr>
              <w:adjustRightInd w:val="0"/>
              <w:snapToGrid w:val="0"/>
              <w:jc w:val="center"/>
              <w:rPr>
                <w:rFonts w:ascii="宋体" w:hAnsi="宋体" w:cs="宋体"/>
                <w:color w:val="auto"/>
                <w:spacing w:val="-8"/>
                <w:sz w:val="24"/>
              </w:rPr>
            </w:pPr>
            <w:r>
              <w:rPr>
                <w:rFonts w:hint="eastAsia" w:ascii="宋体" w:hAnsi="宋体" w:cs="宋体"/>
                <w:color w:val="auto"/>
                <w:spacing w:val="-8"/>
                <w:sz w:val="24"/>
              </w:rPr>
              <w:t>防范措施</w:t>
            </w:r>
          </w:p>
        </w:tc>
        <w:tc>
          <w:tcPr>
            <w:tcW w:w="7022" w:type="dxa"/>
            <w:gridSpan w:val="4"/>
            <w:vAlign w:val="center"/>
          </w:tcPr>
          <w:p>
            <w:pPr>
              <w:adjustRightInd w:val="0"/>
              <w:snapToGrid w:val="0"/>
              <w:spacing w:line="360" w:lineRule="auto"/>
              <w:ind w:firstLine="480" w:firstLineChars="200"/>
              <w:rPr>
                <w:color w:val="auto"/>
                <w:sz w:val="24"/>
              </w:rPr>
            </w:pPr>
            <w:r>
              <w:rPr>
                <w:rFonts w:hint="eastAsia"/>
                <w:color w:val="auto"/>
                <w:sz w:val="24"/>
              </w:rPr>
              <w:t>（1）加强管理，明确岗位责任制，定期检查、维修、保养设备及构件，确保各种工艺、电气、生产设备的正常运行；</w:t>
            </w:r>
          </w:p>
          <w:p>
            <w:pPr>
              <w:adjustRightInd w:val="0"/>
              <w:snapToGrid w:val="0"/>
              <w:spacing w:line="360" w:lineRule="auto"/>
              <w:ind w:firstLine="480" w:firstLineChars="200"/>
              <w:rPr>
                <w:color w:val="auto"/>
                <w:sz w:val="24"/>
              </w:rPr>
            </w:pPr>
            <w:r>
              <w:rPr>
                <w:rFonts w:hint="eastAsia"/>
                <w:color w:val="auto"/>
                <w:sz w:val="24"/>
              </w:rPr>
              <w:t>（2）配戴适当的防护服和手套，化学不慎与眼睛、皮肤接触后，请立即用大量流动清水或生理盐水彻底冲洗，及时就医；</w:t>
            </w:r>
          </w:p>
          <w:p>
            <w:pPr>
              <w:adjustRightInd w:val="0"/>
              <w:snapToGrid w:val="0"/>
              <w:spacing w:line="360" w:lineRule="auto"/>
              <w:ind w:firstLine="480" w:firstLineChars="200"/>
              <w:rPr>
                <w:color w:val="auto"/>
                <w:sz w:val="24"/>
              </w:rPr>
            </w:pPr>
            <w:r>
              <w:rPr>
                <w:rFonts w:hint="eastAsia"/>
                <w:color w:val="auto"/>
                <w:sz w:val="24"/>
              </w:rPr>
              <w:t>（3）配备合格的操作、维修人员。新工人必须经培训，实习合格才能上岗，操作人员尤其是技术人员要做到懂设备、懂结构、懂性能，会操作、会检查、会维修保养、会排除故障；</w:t>
            </w:r>
          </w:p>
          <w:p>
            <w:pPr>
              <w:adjustRightInd w:val="0"/>
              <w:snapToGrid w:val="0"/>
              <w:spacing w:line="360" w:lineRule="auto"/>
              <w:ind w:firstLine="480" w:firstLineChars="200"/>
              <w:rPr>
                <w:rFonts w:ascii="宋体" w:hAnsi="宋体" w:cs="宋体"/>
                <w:color w:val="auto"/>
                <w:szCs w:val="21"/>
              </w:rPr>
            </w:pPr>
            <w:r>
              <w:rPr>
                <w:rFonts w:hint="eastAsia"/>
                <w:color w:val="auto"/>
                <w:sz w:val="24"/>
              </w:rPr>
              <w:t>（4）保持机器设备清洁、卫生，文明的工作环境是保证设备正常运行，延长设备寿命的重要条件。根据设备的具体要求，安装必要的防护、保安、防潮、防冻、通风、散热等保护装置，配备必要的监测、控制和保险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3" w:hRule="atLeast"/>
          <w:jc w:val="center"/>
        </w:trPr>
        <w:tc>
          <w:tcPr>
            <w:tcW w:w="1778" w:type="dxa"/>
            <w:vAlign w:val="center"/>
          </w:tcPr>
          <w:p>
            <w:pPr>
              <w:adjustRightInd w:val="0"/>
              <w:snapToGrid w:val="0"/>
              <w:jc w:val="center"/>
              <w:rPr>
                <w:rFonts w:ascii="宋体" w:hAnsi="宋体" w:cs="宋体"/>
                <w:color w:val="auto"/>
                <w:spacing w:val="-8"/>
                <w:sz w:val="24"/>
              </w:rPr>
            </w:pPr>
            <w:r>
              <w:rPr>
                <w:rFonts w:hint="eastAsia" w:ascii="宋体" w:hAnsi="宋体" w:cs="宋体"/>
                <w:color w:val="auto"/>
                <w:spacing w:val="-8"/>
                <w:sz w:val="24"/>
              </w:rPr>
              <w:t>其他环境</w:t>
            </w:r>
          </w:p>
          <w:p>
            <w:pPr>
              <w:adjustRightInd w:val="0"/>
              <w:snapToGrid w:val="0"/>
              <w:jc w:val="center"/>
              <w:rPr>
                <w:rFonts w:ascii="宋体" w:hAnsi="宋体" w:cs="宋体"/>
                <w:color w:val="auto"/>
                <w:spacing w:val="-8"/>
                <w:sz w:val="24"/>
              </w:rPr>
            </w:pPr>
            <w:r>
              <w:rPr>
                <w:rFonts w:hint="eastAsia" w:ascii="宋体" w:hAnsi="宋体" w:cs="宋体"/>
                <w:color w:val="auto"/>
                <w:spacing w:val="-8"/>
                <w:sz w:val="24"/>
              </w:rPr>
              <w:t>管理要求</w:t>
            </w:r>
          </w:p>
        </w:tc>
        <w:tc>
          <w:tcPr>
            <w:tcW w:w="7022" w:type="dxa"/>
            <w:gridSpan w:val="4"/>
            <w:vAlign w:val="center"/>
          </w:tcPr>
          <w:p>
            <w:pPr>
              <w:pStyle w:val="3"/>
              <w:jc w:val="center"/>
              <w:rPr>
                <w:color w:val="auto"/>
              </w:rPr>
            </w:pPr>
            <w:r>
              <w:rPr>
                <w:rFonts w:hint="eastAsia"/>
                <w:color w:val="auto"/>
              </w:rPr>
              <w:t>/</w:t>
            </w:r>
          </w:p>
        </w:tc>
      </w:tr>
    </w:tbl>
    <w:p>
      <w:pPr>
        <w:pStyle w:val="19"/>
        <w:jc w:val="center"/>
        <w:outlineLvl w:val="0"/>
        <w:rPr>
          <w:rFonts w:ascii="黑体" w:hAnsi="黑体" w:eastAsia="黑体"/>
          <w:snapToGrid w:val="0"/>
          <w:color w:val="auto"/>
          <w:sz w:val="30"/>
          <w:szCs w:val="30"/>
        </w:rPr>
      </w:pPr>
      <w:r>
        <w:rPr>
          <w:snapToGrid w:val="0"/>
          <w:color w:val="auto"/>
        </w:rPr>
        <w:br w:type="page"/>
      </w:r>
      <w:bookmarkStart w:id="7" w:name="_Toc16418"/>
      <w:r>
        <w:rPr>
          <w:rFonts w:hint="eastAsia" w:ascii="黑体" w:hAnsi="黑体" w:eastAsia="黑体"/>
          <w:snapToGrid w:val="0"/>
          <w:color w:val="auto"/>
          <w:sz w:val="30"/>
          <w:szCs w:val="30"/>
        </w:rPr>
        <w:t>六、结论</w:t>
      </w:r>
      <w:bookmarkEnd w:id="7"/>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01" w:hRule="atLeast"/>
          <w:jc w:val="center"/>
        </w:trPr>
        <w:tc>
          <w:tcPr>
            <w:tcW w:w="8865" w:type="dxa"/>
            <w:vAlign w:val="top"/>
          </w:tcPr>
          <w:p>
            <w:pPr>
              <w:adjustRightInd w:val="0"/>
              <w:snapToGrid w:val="0"/>
              <w:spacing w:line="360" w:lineRule="auto"/>
              <w:ind w:firstLine="480" w:firstLineChars="200"/>
              <w:jc w:val="both"/>
              <w:rPr>
                <w:color w:val="auto"/>
                <w:sz w:val="24"/>
              </w:rPr>
            </w:pPr>
            <w:r>
              <w:rPr>
                <w:rFonts w:hint="eastAsia"/>
                <w:color w:val="auto"/>
                <w:sz w:val="24"/>
              </w:rPr>
              <w:t>经过本次重新报批</w:t>
            </w:r>
            <w:r>
              <w:rPr>
                <w:rFonts w:hint="eastAsia"/>
                <w:color w:val="auto"/>
                <w:sz w:val="24"/>
                <w:lang w:val="en-US" w:eastAsia="zh-CN"/>
              </w:rPr>
              <w:t>的环境影响报告表分析，</w:t>
            </w:r>
            <w:r>
              <w:rPr>
                <w:rFonts w:hint="eastAsia"/>
                <w:color w:val="auto"/>
                <w:sz w:val="24"/>
              </w:rPr>
              <w:t>昆明红枫湖耐火材料有限公司年产10万吨耐火材料生产线改扩建项目</w:t>
            </w:r>
            <w:r>
              <w:rPr>
                <w:rFonts w:hint="eastAsia"/>
                <w:color w:val="auto"/>
                <w:sz w:val="24"/>
                <w:lang w:val="en-US" w:eastAsia="zh-CN"/>
              </w:rPr>
              <w:t>基本</w:t>
            </w:r>
            <w:r>
              <w:rPr>
                <w:rFonts w:hint="eastAsia"/>
                <w:color w:val="auto"/>
                <w:sz w:val="24"/>
              </w:rPr>
              <w:t>符合国家的产业政策、环保政策和相关法律、法规，项目施工期及运营期污染物在按照环评要求采取相关污染防治措施及管理措施后，项目可做到废气达标排放，</w:t>
            </w:r>
            <w:r>
              <w:rPr>
                <w:rFonts w:hint="eastAsia"/>
                <w:color w:val="auto"/>
                <w:sz w:val="24"/>
                <w:lang w:val="en-US" w:eastAsia="zh-CN"/>
              </w:rPr>
              <w:t>生产</w:t>
            </w:r>
            <w:r>
              <w:rPr>
                <w:rFonts w:hint="eastAsia"/>
                <w:color w:val="auto"/>
                <w:sz w:val="24"/>
              </w:rPr>
              <w:t>废水全部合理利用，不外排，固体废弃物合理处置，噪声影响较小。项目建设不会改变周围环境的功能，对环境的影响可以接受。因此，本项目从环境保护的角度上</w:t>
            </w:r>
            <w:r>
              <w:rPr>
                <w:rFonts w:hint="eastAsia"/>
                <w:color w:val="auto"/>
                <w:sz w:val="24"/>
                <w:lang w:val="en-US" w:eastAsia="zh-CN"/>
              </w:rPr>
              <w:t>分析</w:t>
            </w:r>
            <w:r>
              <w:rPr>
                <w:rFonts w:hint="eastAsia"/>
                <w:color w:val="auto"/>
                <w:sz w:val="24"/>
              </w:rPr>
              <w:t>，项目的建设和运营可行。</w:t>
            </w:r>
          </w:p>
          <w:p>
            <w:pPr>
              <w:spacing w:line="360" w:lineRule="auto"/>
              <w:jc w:val="both"/>
              <w:rPr>
                <w:rFonts w:ascii="宋体" w:cs="宋体"/>
                <w:color w:val="auto"/>
                <w:sz w:val="24"/>
              </w:rPr>
            </w:pPr>
          </w:p>
        </w:tc>
      </w:tr>
    </w:tbl>
    <w:p>
      <w:pPr>
        <w:jc w:val="left"/>
        <w:rPr>
          <w:color w:val="auto"/>
        </w:rPr>
      </w:pPr>
    </w:p>
    <w:sectPr>
      <w:footerReference r:id="rId5" w:type="default"/>
      <w:pgSz w:w="11906" w:h="16838"/>
      <w:pgMar w:top="1701" w:right="1531" w:bottom="1701"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仿宋">
    <w:altName w:val="汉仪仿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2" name="文本框 2049"/>
              <wp:cNvGraphicFramePr/>
              <a:graphic xmlns:a="http://schemas.openxmlformats.org/drawingml/2006/main">
                <a:graphicData uri="http://schemas.microsoft.com/office/word/2010/wordprocessingShape">
                  <wps:wsp>
                    <wps:cNvSpPr txBox="true">
                      <a:spLocks noChangeArrowheads="true"/>
                    </wps:cNvSpPr>
                    <wps:spPr bwMode="auto">
                      <a:xfrm>
                        <a:off x="0" y="0"/>
                        <a:ext cx="114935" cy="131445"/>
                      </a:xfrm>
                      <a:prstGeom prst="rect">
                        <a:avLst/>
                      </a:prstGeom>
                      <a:noFill/>
                      <a:ln>
                        <a:noFill/>
                      </a:ln>
                    </wps:spPr>
                    <wps:txbx>
                      <w:txbxContent>
                        <w:p>
                          <w:pPr>
                            <w:pStyle w:val="16"/>
                          </w:pPr>
                          <w:r>
                            <w:fldChar w:fldCharType="begin"/>
                          </w:r>
                          <w:r>
                            <w:instrText xml:space="preserve"> PAGE  \* MERGEFORMAT </w:instrText>
                          </w:r>
                          <w:r>
                            <w:fldChar w:fldCharType="separate"/>
                          </w:r>
                          <w:r>
                            <w:t>53</w:t>
                          </w:r>
                          <w:r>
                            <w:fldChar w:fldCharType="end"/>
                          </w:r>
                        </w:p>
                      </w:txbxContent>
                    </wps:txbx>
                    <wps:bodyPr rot="0" vert="horz" wrap="none" lIns="0" tIns="0" rIns="0" bIns="0" anchor="t" anchorCtr="false" upright="true">
                      <a:spAutoFit/>
                    </wps:bodyPr>
                  </wps:wsp>
                </a:graphicData>
              </a:graphic>
            </wp:anchor>
          </w:drawing>
        </mc:Choice>
        <mc:Fallback>
          <w:pict>
            <v:shape id="文本框 2049"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Q+V+SdAAAAADAQAADwAAAAAAAAABACAAAAA4AAAA&#10;ZHJzL2Rvd25yZXYueG1sUEsBAhQAFAAAAAgAh07iQBPTkT75AQAAxAMAAA4AAAAAAAAAAQAgAAAA&#10;NQEAAGRycy9lMm9Eb2MueG1sUEsFBgAAAAAGAAYAWQEAAKA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905" b="1905"/>
              <wp:wrapNone/>
              <wp:docPr id="1" name="文本框 2051"/>
              <wp:cNvGraphicFramePr/>
              <a:graphic xmlns:a="http://schemas.openxmlformats.org/drawingml/2006/main">
                <a:graphicData uri="http://schemas.microsoft.com/office/word/2010/wordprocessingShape">
                  <wps:wsp>
                    <wps:cNvSpPr txBox="true">
                      <a:spLocks noChangeArrowheads="true"/>
                    </wps:cNvSpPr>
                    <wps:spPr bwMode="auto">
                      <a:xfrm>
                        <a:off x="0" y="0"/>
                        <a:ext cx="114935" cy="131445"/>
                      </a:xfrm>
                      <a:prstGeom prst="rect">
                        <a:avLst/>
                      </a:prstGeom>
                      <a:noFill/>
                      <a:ln>
                        <a:noFill/>
                      </a:ln>
                    </wps:spPr>
                    <wps:txbx>
                      <w:txbxContent>
                        <w:p>
                          <w:pPr>
                            <w:pStyle w:val="16"/>
                          </w:pPr>
                          <w:r>
                            <w:fldChar w:fldCharType="begin"/>
                          </w:r>
                          <w:r>
                            <w:instrText xml:space="preserve"> PAGE  \* MERGEFORMAT </w:instrText>
                          </w:r>
                          <w:r>
                            <w:fldChar w:fldCharType="separate"/>
                          </w:r>
                          <w:r>
                            <w:t>68</w:t>
                          </w:r>
                          <w:r>
                            <w:fldChar w:fldCharType="end"/>
                          </w:r>
                        </w:p>
                      </w:txbxContent>
                    </wps:txbx>
                    <wps:bodyPr rot="0" vert="horz" wrap="none" lIns="0" tIns="0" rIns="0" bIns="0" anchor="t" anchorCtr="false" upright="true">
                      <a:spAutoFit/>
                    </wps:bodyPr>
                  </wps:wsp>
                </a:graphicData>
              </a:graphic>
            </wp:anchor>
          </w:drawing>
        </mc:Choice>
        <mc:Fallback>
          <w:pict>
            <v:shape id="文本框 205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Q+V+SdAAAAADAQAADwAAAAAAAAABACAAAAA4AAAA&#10;ZHJzL2Rvd25yZXYueG1sUEsBAhQAFAAAAAgAh07iQNxthy75AQAAxAMAAA4AAAAAAAAAAQAgAAAA&#10;NQEAAGRycy9lMm9Eb2MueG1sUEsFBgAAAAAGAAYAWQEAAKA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EEA87"/>
    <w:multiLevelType w:val="multilevel"/>
    <w:tmpl w:val="B99EEA87"/>
    <w:lvl w:ilvl="0" w:tentative="0">
      <w:start w:val="1"/>
      <w:numFmt w:val="none"/>
      <w:suff w:val="nothing"/>
      <w:lvlText w:val="第一章"/>
      <w:lvlJc w:val="left"/>
      <w:pPr>
        <w:ind w:left="0" w:firstLine="397"/>
      </w:pPr>
    </w:lvl>
    <w:lvl w:ilvl="1" w:tentative="0">
      <w:start w:val="1"/>
      <w:numFmt w:val="none"/>
      <w:pStyle w:val="4"/>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hN2NjOTI1YjU3ZTU2ZjUyM2MwYTlkYTU3NjJjYTcifQ=="/>
  </w:docVars>
  <w:rsids>
    <w:rsidRoot w:val="00172A27"/>
    <w:rsid w:val="000060B3"/>
    <w:rsid w:val="00014391"/>
    <w:rsid w:val="00016308"/>
    <w:rsid w:val="00016DDE"/>
    <w:rsid w:val="00027886"/>
    <w:rsid w:val="00042B4F"/>
    <w:rsid w:val="0004364B"/>
    <w:rsid w:val="000535D1"/>
    <w:rsid w:val="00061B1F"/>
    <w:rsid w:val="00067B82"/>
    <w:rsid w:val="00070A18"/>
    <w:rsid w:val="000733C4"/>
    <w:rsid w:val="00074783"/>
    <w:rsid w:val="0008070B"/>
    <w:rsid w:val="000810AC"/>
    <w:rsid w:val="00081A02"/>
    <w:rsid w:val="00082231"/>
    <w:rsid w:val="00085E91"/>
    <w:rsid w:val="00092D38"/>
    <w:rsid w:val="0009377B"/>
    <w:rsid w:val="00093867"/>
    <w:rsid w:val="000A1318"/>
    <w:rsid w:val="000A20C9"/>
    <w:rsid w:val="000A2B53"/>
    <w:rsid w:val="000B058F"/>
    <w:rsid w:val="000B1E96"/>
    <w:rsid w:val="000B4467"/>
    <w:rsid w:val="000B4DB9"/>
    <w:rsid w:val="000B5F80"/>
    <w:rsid w:val="000C09AC"/>
    <w:rsid w:val="000C767F"/>
    <w:rsid w:val="000D0725"/>
    <w:rsid w:val="000D25EE"/>
    <w:rsid w:val="000D5A44"/>
    <w:rsid w:val="000E2715"/>
    <w:rsid w:val="000E3ED2"/>
    <w:rsid w:val="000F2D7F"/>
    <w:rsid w:val="0010035A"/>
    <w:rsid w:val="00112D5E"/>
    <w:rsid w:val="00114664"/>
    <w:rsid w:val="00121E9C"/>
    <w:rsid w:val="00131F42"/>
    <w:rsid w:val="00133387"/>
    <w:rsid w:val="001357F1"/>
    <w:rsid w:val="00140FA8"/>
    <w:rsid w:val="00142FEB"/>
    <w:rsid w:val="00143A2D"/>
    <w:rsid w:val="00145A41"/>
    <w:rsid w:val="00151675"/>
    <w:rsid w:val="00153390"/>
    <w:rsid w:val="00157435"/>
    <w:rsid w:val="0016488F"/>
    <w:rsid w:val="00167863"/>
    <w:rsid w:val="00174EE5"/>
    <w:rsid w:val="0017504D"/>
    <w:rsid w:val="0017671A"/>
    <w:rsid w:val="00177422"/>
    <w:rsid w:val="00184590"/>
    <w:rsid w:val="001870D1"/>
    <w:rsid w:val="0018781E"/>
    <w:rsid w:val="0019262D"/>
    <w:rsid w:val="00197373"/>
    <w:rsid w:val="001A1B35"/>
    <w:rsid w:val="001A271D"/>
    <w:rsid w:val="001A48A2"/>
    <w:rsid w:val="001A4C40"/>
    <w:rsid w:val="001A5F1F"/>
    <w:rsid w:val="001A6E45"/>
    <w:rsid w:val="001A6F61"/>
    <w:rsid w:val="001B100B"/>
    <w:rsid w:val="001B25A4"/>
    <w:rsid w:val="001B28BC"/>
    <w:rsid w:val="001B3F46"/>
    <w:rsid w:val="001B72B8"/>
    <w:rsid w:val="001C69B3"/>
    <w:rsid w:val="001D101A"/>
    <w:rsid w:val="001D5595"/>
    <w:rsid w:val="001D7874"/>
    <w:rsid w:val="001D7F22"/>
    <w:rsid w:val="001E29E5"/>
    <w:rsid w:val="001E3A73"/>
    <w:rsid w:val="001F0F17"/>
    <w:rsid w:val="001F3347"/>
    <w:rsid w:val="001F69E4"/>
    <w:rsid w:val="0020417F"/>
    <w:rsid w:val="00204C9D"/>
    <w:rsid w:val="00207407"/>
    <w:rsid w:val="0021010C"/>
    <w:rsid w:val="002125B4"/>
    <w:rsid w:val="00213019"/>
    <w:rsid w:val="002155B8"/>
    <w:rsid w:val="00216EEB"/>
    <w:rsid w:val="0021743D"/>
    <w:rsid w:val="002210FF"/>
    <w:rsid w:val="00222D09"/>
    <w:rsid w:val="00224839"/>
    <w:rsid w:val="002249B2"/>
    <w:rsid w:val="00226574"/>
    <w:rsid w:val="002278EC"/>
    <w:rsid w:val="002306EB"/>
    <w:rsid w:val="0023280E"/>
    <w:rsid w:val="002377D1"/>
    <w:rsid w:val="0024607C"/>
    <w:rsid w:val="00246B04"/>
    <w:rsid w:val="002506BC"/>
    <w:rsid w:val="00254345"/>
    <w:rsid w:val="00264557"/>
    <w:rsid w:val="00265DBB"/>
    <w:rsid w:val="002805AB"/>
    <w:rsid w:val="00284204"/>
    <w:rsid w:val="00284547"/>
    <w:rsid w:val="0028500E"/>
    <w:rsid w:val="00291773"/>
    <w:rsid w:val="00297EAF"/>
    <w:rsid w:val="002A168C"/>
    <w:rsid w:val="002A3CCB"/>
    <w:rsid w:val="002A3DC7"/>
    <w:rsid w:val="002B07CB"/>
    <w:rsid w:val="002B4467"/>
    <w:rsid w:val="002B49E2"/>
    <w:rsid w:val="002B7B00"/>
    <w:rsid w:val="002B7C44"/>
    <w:rsid w:val="002C2B17"/>
    <w:rsid w:val="002C591D"/>
    <w:rsid w:val="002C6D49"/>
    <w:rsid w:val="002D0BEB"/>
    <w:rsid w:val="002D3DD0"/>
    <w:rsid w:val="002E1F3A"/>
    <w:rsid w:val="002E298A"/>
    <w:rsid w:val="002E3076"/>
    <w:rsid w:val="002F2393"/>
    <w:rsid w:val="002F63F3"/>
    <w:rsid w:val="002F74AF"/>
    <w:rsid w:val="002F7CBB"/>
    <w:rsid w:val="00301978"/>
    <w:rsid w:val="0030332C"/>
    <w:rsid w:val="003051C2"/>
    <w:rsid w:val="00305B6D"/>
    <w:rsid w:val="00306804"/>
    <w:rsid w:val="00306B56"/>
    <w:rsid w:val="00312296"/>
    <w:rsid w:val="00314B64"/>
    <w:rsid w:val="00314F0E"/>
    <w:rsid w:val="003158E4"/>
    <w:rsid w:val="00317554"/>
    <w:rsid w:val="00317E79"/>
    <w:rsid w:val="00321D8E"/>
    <w:rsid w:val="00325928"/>
    <w:rsid w:val="00332863"/>
    <w:rsid w:val="0033684D"/>
    <w:rsid w:val="00337B42"/>
    <w:rsid w:val="00341B42"/>
    <w:rsid w:val="0034348F"/>
    <w:rsid w:val="00347442"/>
    <w:rsid w:val="0035413C"/>
    <w:rsid w:val="00356653"/>
    <w:rsid w:val="0035743F"/>
    <w:rsid w:val="00357BE2"/>
    <w:rsid w:val="003601EC"/>
    <w:rsid w:val="0036170C"/>
    <w:rsid w:val="003621D7"/>
    <w:rsid w:val="00365242"/>
    <w:rsid w:val="00366E0F"/>
    <w:rsid w:val="003737B8"/>
    <w:rsid w:val="00381A72"/>
    <w:rsid w:val="00384676"/>
    <w:rsid w:val="00390857"/>
    <w:rsid w:val="003A4BF3"/>
    <w:rsid w:val="003B420D"/>
    <w:rsid w:val="003B4F45"/>
    <w:rsid w:val="003C3017"/>
    <w:rsid w:val="003C4A88"/>
    <w:rsid w:val="003C6C16"/>
    <w:rsid w:val="003C75C5"/>
    <w:rsid w:val="003D794D"/>
    <w:rsid w:val="003E3058"/>
    <w:rsid w:val="003E5A8A"/>
    <w:rsid w:val="003E76A9"/>
    <w:rsid w:val="003F0809"/>
    <w:rsid w:val="003F6A8C"/>
    <w:rsid w:val="003F755C"/>
    <w:rsid w:val="00406F01"/>
    <w:rsid w:val="00416D50"/>
    <w:rsid w:val="00416FD5"/>
    <w:rsid w:val="00417772"/>
    <w:rsid w:val="00420E6A"/>
    <w:rsid w:val="00425A9E"/>
    <w:rsid w:val="00426D6B"/>
    <w:rsid w:val="00431E6C"/>
    <w:rsid w:val="004334C1"/>
    <w:rsid w:val="00433CE7"/>
    <w:rsid w:val="00434319"/>
    <w:rsid w:val="00436632"/>
    <w:rsid w:val="00450190"/>
    <w:rsid w:val="00452738"/>
    <w:rsid w:val="00456091"/>
    <w:rsid w:val="00466321"/>
    <w:rsid w:val="00474882"/>
    <w:rsid w:val="00484B9B"/>
    <w:rsid w:val="004855F6"/>
    <w:rsid w:val="0048661E"/>
    <w:rsid w:val="0049364F"/>
    <w:rsid w:val="00494670"/>
    <w:rsid w:val="00497699"/>
    <w:rsid w:val="004A3823"/>
    <w:rsid w:val="004A7479"/>
    <w:rsid w:val="004B09A1"/>
    <w:rsid w:val="004B240F"/>
    <w:rsid w:val="004C7F30"/>
    <w:rsid w:val="004D6704"/>
    <w:rsid w:val="004D7C31"/>
    <w:rsid w:val="004E4ABC"/>
    <w:rsid w:val="004E6946"/>
    <w:rsid w:val="004F1AD8"/>
    <w:rsid w:val="00500A9C"/>
    <w:rsid w:val="005039CB"/>
    <w:rsid w:val="0050558F"/>
    <w:rsid w:val="00506286"/>
    <w:rsid w:val="00506CB2"/>
    <w:rsid w:val="00510813"/>
    <w:rsid w:val="00511990"/>
    <w:rsid w:val="00511DE0"/>
    <w:rsid w:val="00514870"/>
    <w:rsid w:val="00514B9B"/>
    <w:rsid w:val="00517F02"/>
    <w:rsid w:val="00524303"/>
    <w:rsid w:val="00524BD6"/>
    <w:rsid w:val="005258A2"/>
    <w:rsid w:val="005401AE"/>
    <w:rsid w:val="00541FDF"/>
    <w:rsid w:val="00542E07"/>
    <w:rsid w:val="00543E0B"/>
    <w:rsid w:val="00545424"/>
    <w:rsid w:val="00546E46"/>
    <w:rsid w:val="00551E44"/>
    <w:rsid w:val="00554A7B"/>
    <w:rsid w:val="0055572C"/>
    <w:rsid w:val="0056106A"/>
    <w:rsid w:val="005634DB"/>
    <w:rsid w:val="005720AE"/>
    <w:rsid w:val="00582609"/>
    <w:rsid w:val="005836C7"/>
    <w:rsid w:val="0059218A"/>
    <w:rsid w:val="00594D77"/>
    <w:rsid w:val="005969E4"/>
    <w:rsid w:val="005A06B7"/>
    <w:rsid w:val="005A1759"/>
    <w:rsid w:val="005A4C3A"/>
    <w:rsid w:val="005A68A7"/>
    <w:rsid w:val="005B58BC"/>
    <w:rsid w:val="005B5FAE"/>
    <w:rsid w:val="005C0A0A"/>
    <w:rsid w:val="005D0697"/>
    <w:rsid w:val="005D36AB"/>
    <w:rsid w:val="005E059F"/>
    <w:rsid w:val="00607C97"/>
    <w:rsid w:val="00617CC3"/>
    <w:rsid w:val="00632CE5"/>
    <w:rsid w:val="006377A6"/>
    <w:rsid w:val="00637A3D"/>
    <w:rsid w:val="006411EF"/>
    <w:rsid w:val="006538CD"/>
    <w:rsid w:val="0065477A"/>
    <w:rsid w:val="00662982"/>
    <w:rsid w:val="00671D45"/>
    <w:rsid w:val="006748B8"/>
    <w:rsid w:val="006775C3"/>
    <w:rsid w:val="00691998"/>
    <w:rsid w:val="00691A01"/>
    <w:rsid w:val="0069214D"/>
    <w:rsid w:val="006926E9"/>
    <w:rsid w:val="0069290A"/>
    <w:rsid w:val="006974FC"/>
    <w:rsid w:val="0069775A"/>
    <w:rsid w:val="00697813"/>
    <w:rsid w:val="006A3EE8"/>
    <w:rsid w:val="006A4600"/>
    <w:rsid w:val="006A5867"/>
    <w:rsid w:val="006A72BF"/>
    <w:rsid w:val="006B03F2"/>
    <w:rsid w:val="006B37DC"/>
    <w:rsid w:val="006B4F68"/>
    <w:rsid w:val="006C04DA"/>
    <w:rsid w:val="006C0592"/>
    <w:rsid w:val="006C0B62"/>
    <w:rsid w:val="006C272E"/>
    <w:rsid w:val="006C5479"/>
    <w:rsid w:val="006D13B5"/>
    <w:rsid w:val="006D2A6B"/>
    <w:rsid w:val="006E12FF"/>
    <w:rsid w:val="006E3E5B"/>
    <w:rsid w:val="006E607E"/>
    <w:rsid w:val="007010CB"/>
    <w:rsid w:val="00702C8E"/>
    <w:rsid w:val="00706C5D"/>
    <w:rsid w:val="00707093"/>
    <w:rsid w:val="0072232A"/>
    <w:rsid w:val="0072466E"/>
    <w:rsid w:val="00726C95"/>
    <w:rsid w:val="00732922"/>
    <w:rsid w:val="007463CE"/>
    <w:rsid w:val="0075162E"/>
    <w:rsid w:val="00754034"/>
    <w:rsid w:val="00756556"/>
    <w:rsid w:val="00761024"/>
    <w:rsid w:val="007618C4"/>
    <w:rsid w:val="00761B9A"/>
    <w:rsid w:val="00766046"/>
    <w:rsid w:val="00767980"/>
    <w:rsid w:val="00770B19"/>
    <w:rsid w:val="0077463F"/>
    <w:rsid w:val="0078040C"/>
    <w:rsid w:val="007814A0"/>
    <w:rsid w:val="007836EA"/>
    <w:rsid w:val="00784A10"/>
    <w:rsid w:val="00784CDA"/>
    <w:rsid w:val="00786B98"/>
    <w:rsid w:val="007906C4"/>
    <w:rsid w:val="007940EA"/>
    <w:rsid w:val="007952C4"/>
    <w:rsid w:val="00795D3B"/>
    <w:rsid w:val="007967E8"/>
    <w:rsid w:val="007A2170"/>
    <w:rsid w:val="007A22BF"/>
    <w:rsid w:val="007A3323"/>
    <w:rsid w:val="007B28CB"/>
    <w:rsid w:val="007B42D1"/>
    <w:rsid w:val="007B72B8"/>
    <w:rsid w:val="007B7A58"/>
    <w:rsid w:val="007C21B5"/>
    <w:rsid w:val="007C43B5"/>
    <w:rsid w:val="007C5892"/>
    <w:rsid w:val="007C6D29"/>
    <w:rsid w:val="007D7E05"/>
    <w:rsid w:val="007E0886"/>
    <w:rsid w:val="007E1A8D"/>
    <w:rsid w:val="007E31A4"/>
    <w:rsid w:val="007E3AC8"/>
    <w:rsid w:val="007E4BD2"/>
    <w:rsid w:val="007E6F1F"/>
    <w:rsid w:val="007F364C"/>
    <w:rsid w:val="00801393"/>
    <w:rsid w:val="00802F88"/>
    <w:rsid w:val="00810652"/>
    <w:rsid w:val="008119A5"/>
    <w:rsid w:val="0081293E"/>
    <w:rsid w:val="00815465"/>
    <w:rsid w:val="00817E9A"/>
    <w:rsid w:val="00823012"/>
    <w:rsid w:val="00827D77"/>
    <w:rsid w:val="008306BD"/>
    <w:rsid w:val="008307D1"/>
    <w:rsid w:val="00831A80"/>
    <w:rsid w:val="00833743"/>
    <w:rsid w:val="008340A4"/>
    <w:rsid w:val="0087127B"/>
    <w:rsid w:val="0087135F"/>
    <w:rsid w:val="00872D94"/>
    <w:rsid w:val="00873F62"/>
    <w:rsid w:val="00876173"/>
    <w:rsid w:val="00880364"/>
    <w:rsid w:val="00883D16"/>
    <w:rsid w:val="00891592"/>
    <w:rsid w:val="00891E9E"/>
    <w:rsid w:val="008925C7"/>
    <w:rsid w:val="00892ADA"/>
    <w:rsid w:val="008A2E2E"/>
    <w:rsid w:val="008A2F68"/>
    <w:rsid w:val="008A50E4"/>
    <w:rsid w:val="008A7BA3"/>
    <w:rsid w:val="008B47BD"/>
    <w:rsid w:val="008B4FA6"/>
    <w:rsid w:val="008B5282"/>
    <w:rsid w:val="008B59E6"/>
    <w:rsid w:val="008B7C17"/>
    <w:rsid w:val="008C2D01"/>
    <w:rsid w:val="008C40E6"/>
    <w:rsid w:val="008C4E9B"/>
    <w:rsid w:val="008C7CA8"/>
    <w:rsid w:val="008D0F7A"/>
    <w:rsid w:val="008D2D3E"/>
    <w:rsid w:val="008D68E4"/>
    <w:rsid w:val="008E0506"/>
    <w:rsid w:val="008E0CFF"/>
    <w:rsid w:val="008E5D6B"/>
    <w:rsid w:val="008E76F0"/>
    <w:rsid w:val="008F0A0A"/>
    <w:rsid w:val="008F15FE"/>
    <w:rsid w:val="008F2D29"/>
    <w:rsid w:val="008F5187"/>
    <w:rsid w:val="008F60D8"/>
    <w:rsid w:val="0090248A"/>
    <w:rsid w:val="00902727"/>
    <w:rsid w:val="0090312B"/>
    <w:rsid w:val="00903872"/>
    <w:rsid w:val="00907905"/>
    <w:rsid w:val="0091315E"/>
    <w:rsid w:val="0091736D"/>
    <w:rsid w:val="00923941"/>
    <w:rsid w:val="0093037A"/>
    <w:rsid w:val="00930F4E"/>
    <w:rsid w:val="00937F29"/>
    <w:rsid w:val="0094154D"/>
    <w:rsid w:val="009458FB"/>
    <w:rsid w:val="009466A8"/>
    <w:rsid w:val="0095155F"/>
    <w:rsid w:val="00951D6B"/>
    <w:rsid w:val="00954429"/>
    <w:rsid w:val="00954EB0"/>
    <w:rsid w:val="009563CE"/>
    <w:rsid w:val="0096007F"/>
    <w:rsid w:val="00967000"/>
    <w:rsid w:val="00976328"/>
    <w:rsid w:val="0097680D"/>
    <w:rsid w:val="00982438"/>
    <w:rsid w:val="0098404C"/>
    <w:rsid w:val="00985283"/>
    <w:rsid w:val="00995992"/>
    <w:rsid w:val="0099779D"/>
    <w:rsid w:val="009A03E5"/>
    <w:rsid w:val="009A0F3B"/>
    <w:rsid w:val="009A1BB4"/>
    <w:rsid w:val="009A2628"/>
    <w:rsid w:val="009A3200"/>
    <w:rsid w:val="009A3EA3"/>
    <w:rsid w:val="009B0897"/>
    <w:rsid w:val="009B4D59"/>
    <w:rsid w:val="009B7BD9"/>
    <w:rsid w:val="009C68DD"/>
    <w:rsid w:val="009C6AA7"/>
    <w:rsid w:val="009C77EE"/>
    <w:rsid w:val="009C7DD5"/>
    <w:rsid w:val="009D0035"/>
    <w:rsid w:val="009D505F"/>
    <w:rsid w:val="009D538E"/>
    <w:rsid w:val="009D626A"/>
    <w:rsid w:val="009E227D"/>
    <w:rsid w:val="009E3E63"/>
    <w:rsid w:val="009E5019"/>
    <w:rsid w:val="009F2087"/>
    <w:rsid w:val="009F4BDF"/>
    <w:rsid w:val="009F5601"/>
    <w:rsid w:val="009F65F0"/>
    <w:rsid w:val="00A04F1B"/>
    <w:rsid w:val="00A0501B"/>
    <w:rsid w:val="00A05F97"/>
    <w:rsid w:val="00A06122"/>
    <w:rsid w:val="00A07C61"/>
    <w:rsid w:val="00A14947"/>
    <w:rsid w:val="00A14E3B"/>
    <w:rsid w:val="00A2482B"/>
    <w:rsid w:val="00A32A83"/>
    <w:rsid w:val="00A349D2"/>
    <w:rsid w:val="00A368DB"/>
    <w:rsid w:val="00A36B12"/>
    <w:rsid w:val="00A423AA"/>
    <w:rsid w:val="00A42AD1"/>
    <w:rsid w:val="00A443D6"/>
    <w:rsid w:val="00A461A8"/>
    <w:rsid w:val="00A53EC6"/>
    <w:rsid w:val="00A55007"/>
    <w:rsid w:val="00A55C0F"/>
    <w:rsid w:val="00A60F53"/>
    <w:rsid w:val="00A63F4D"/>
    <w:rsid w:val="00A707D1"/>
    <w:rsid w:val="00A7113C"/>
    <w:rsid w:val="00A73445"/>
    <w:rsid w:val="00A74228"/>
    <w:rsid w:val="00A74F64"/>
    <w:rsid w:val="00A81000"/>
    <w:rsid w:val="00A8327D"/>
    <w:rsid w:val="00A8713F"/>
    <w:rsid w:val="00A8733E"/>
    <w:rsid w:val="00A90BA1"/>
    <w:rsid w:val="00A94E3C"/>
    <w:rsid w:val="00A97A9A"/>
    <w:rsid w:val="00AA0671"/>
    <w:rsid w:val="00AA2531"/>
    <w:rsid w:val="00AA3CEC"/>
    <w:rsid w:val="00AA4C33"/>
    <w:rsid w:val="00AA61F7"/>
    <w:rsid w:val="00AB1E09"/>
    <w:rsid w:val="00AB5330"/>
    <w:rsid w:val="00AB7716"/>
    <w:rsid w:val="00AB7747"/>
    <w:rsid w:val="00AC14CE"/>
    <w:rsid w:val="00AC2A56"/>
    <w:rsid w:val="00AC475A"/>
    <w:rsid w:val="00AD055E"/>
    <w:rsid w:val="00AD21C8"/>
    <w:rsid w:val="00AD47A7"/>
    <w:rsid w:val="00AE3FC5"/>
    <w:rsid w:val="00AE5DCC"/>
    <w:rsid w:val="00AE7638"/>
    <w:rsid w:val="00AF0CBF"/>
    <w:rsid w:val="00AF257F"/>
    <w:rsid w:val="00AF33CF"/>
    <w:rsid w:val="00AF3626"/>
    <w:rsid w:val="00AF4D50"/>
    <w:rsid w:val="00AF6179"/>
    <w:rsid w:val="00B0136C"/>
    <w:rsid w:val="00B04825"/>
    <w:rsid w:val="00B05ED0"/>
    <w:rsid w:val="00B1295A"/>
    <w:rsid w:val="00B145AB"/>
    <w:rsid w:val="00B20702"/>
    <w:rsid w:val="00B20A45"/>
    <w:rsid w:val="00B20F67"/>
    <w:rsid w:val="00B22C5C"/>
    <w:rsid w:val="00B242A5"/>
    <w:rsid w:val="00B24F30"/>
    <w:rsid w:val="00B25C94"/>
    <w:rsid w:val="00B31ABF"/>
    <w:rsid w:val="00B33BE3"/>
    <w:rsid w:val="00B47DA6"/>
    <w:rsid w:val="00B53B5D"/>
    <w:rsid w:val="00B6055E"/>
    <w:rsid w:val="00B6317D"/>
    <w:rsid w:val="00B67F72"/>
    <w:rsid w:val="00B7723F"/>
    <w:rsid w:val="00B80534"/>
    <w:rsid w:val="00B8433C"/>
    <w:rsid w:val="00B87491"/>
    <w:rsid w:val="00B92FAB"/>
    <w:rsid w:val="00B94E8C"/>
    <w:rsid w:val="00BA1AAB"/>
    <w:rsid w:val="00BA29E9"/>
    <w:rsid w:val="00BA33DE"/>
    <w:rsid w:val="00BA4EDC"/>
    <w:rsid w:val="00BA7142"/>
    <w:rsid w:val="00BB212D"/>
    <w:rsid w:val="00BB237C"/>
    <w:rsid w:val="00BB41A3"/>
    <w:rsid w:val="00BC02B4"/>
    <w:rsid w:val="00BC1FFA"/>
    <w:rsid w:val="00BC32DC"/>
    <w:rsid w:val="00BC35B6"/>
    <w:rsid w:val="00BC7F42"/>
    <w:rsid w:val="00BD1B51"/>
    <w:rsid w:val="00BD3C07"/>
    <w:rsid w:val="00BD4596"/>
    <w:rsid w:val="00BE1405"/>
    <w:rsid w:val="00BE312D"/>
    <w:rsid w:val="00BF1C20"/>
    <w:rsid w:val="00BF2127"/>
    <w:rsid w:val="00C0228F"/>
    <w:rsid w:val="00C10578"/>
    <w:rsid w:val="00C135BC"/>
    <w:rsid w:val="00C15C95"/>
    <w:rsid w:val="00C16179"/>
    <w:rsid w:val="00C165EA"/>
    <w:rsid w:val="00C221C4"/>
    <w:rsid w:val="00C2596A"/>
    <w:rsid w:val="00C27537"/>
    <w:rsid w:val="00C32819"/>
    <w:rsid w:val="00C328FE"/>
    <w:rsid w:val="00C33507"/>
    <w:rsid w:val="00C4409D"/>
    <w:rsid w:val="00C44DB2"/>
    <w:rsid w:val="00C44E72"/>
    <w:rsid w:val="00C45A06"/>
    <w:rsid w:val="00C47E5B"/>
    <w:rsid w:val="00C50B26"/>
    <w:rsid w:val="00C61E4B"/>
    <w:rsid w:val="00C6260D"/>
    <w:rsid w:val="00C64BFF"/>
    <w:rsid w:val="00C704E9"/>
    <w:rsid w:val="00C71DDA"/>
    <w:rsid w:val="00C763C9"/>
    <w:rsid w:val="00C80057"/>
    <w:rsid w:val="00C81787"/>
    <w:rsid w:val="00C82232"/>
    <w:rsid w:val="00C82913"/>
    <w:rsid w:val="00C84327"/>
    <w:rsid w:val="00C94349"/>
    <w:rsid w:val="00C95EDC"/>
    <w:rsid w:val="00C96EA2"/>
    <w:rsid w:val="00C972B1"/>
    <w:rsid w:val="00CA2CCE"/>
    <w:rsid w:val="00CA43FD"/>
    <w:rsid w:val="00CA7EF8"/>
    <w:rsid w:val="00CB180C"/>
    <w:rsid w:val="00CB4236"/>
    <w:rsid w:val="00CB4302"/>
    <w:rsid w:val="00CB720A"/>
    <w:rsid w:val="00CC201A"/>
    <w:rsid w:val="00CC489B"/>
    <w:rsid w:val="00CD0372"/>
    <w:rsid w:val="00CD1758"/>
    <w:rsid w:val="00CD2BCD"/>
    <w:rsid w:val="00CD3A4C"/>
    <w:rsid w:val="00CD643C"/>
    <w:rsid w:val="00CE10E9"/>
    <w:rsid w:val="00CE2910"/>
    <w:rsid w:val="00CE3E61"/>
    <w:rsid w:val="00CE5393"/>
    <w:rsid w:val="00CF3133"/>
    <w:rsid w:val="00CF36BE"/>
    <w:rsid w:val="00CF44C4"/>
    <w:rsid w:val="00CF6000"/>
    <w:rsid w:val="00D003F3"/>
    <w:rsid w:val="00D0364F"/>
    <w:rsid w:val="00D06834"/>
    <w:rsid w:val="00D303B9"/>
    <w:rsid w:val="00D308ED"/>
    <w:rsid w:val="00D3335B"/>
    <w:rsid w:val="00D36D86"/>
    <w:rsid w:val="00D428AA"/>
    <w:rsid w:val="00D43EB5"/>
    <w:rsid w:val="00D44174"/>
    <w:rsid w:val="00D44CE5"/>
    <w:rsid w:val="00D50A34"/>
    <w:rsid w:val="00D53EFA"/>
    <w:rsid w:val="00D67DE8"/>
    <w:rsid w:val="00D67E10"/>
    <w:rsid w:val="00D77909"/>
    <w:rsid w:val="00D804F9"/>
    <w:rsid w:val="00D80595"/>
    <w:rsid w:val="00D86DDC"/>
    <w:rsid w:val="00D937CB"/>
    <w:rsid w:val="00D94A7C"/>
    <w:rsid w:val="00D95896"/>
    <w:rsid w:val="00D96206"/>
    <w:rsid w:val="00D96B65"/>
    <w:rsid w:val="00DA2EFA"/>
    <w:rsid w:val="00DA3EF6"/>
    <w:rsid w:val="00DB0976"/>
    <w:rsid w:val="00DB2983"/>
    <w:rsid w:val="00DB7963"/>
    <w:rsid w:val="00DC0A64"/>
    <w:rsid w:val="00DC1257"/>
    <w:rsid w:val="00DC3DC0"/>
    <w:rsid w:val="00DC498D"/>
    <w:rsid w:val="00DC5B2B"/>
    <w:rsid w:val="00DC68DF"/>
    <w:rsid w:val="00DD318D"/>
    <w:rsid w:val="00DF181A"/>
    <w:rsid w:val="00DF2E12"/>
    <w:rsid w:val="00DF514A"/>
    <w:rsid w:val="00DF5572"/>
    <w:rsid w:val="00DF6690"/>
    <w:rsid w:val="00DF6804"/>
    <w:rsid w:val="00E0358D"/>
    <w:rsid w:val="00E04323"/>
    <w:rsid w:val="00E04FC6"/>
    <w:rsid w:val="00E070A2"/>
    <w:rsid w:val="00E10084"/>
    <w:rsid w:val="00E12055"/>
    <w:rsid w:val="00E128B2"/>
    <w:rsid w:val="00E2634E"/>
    <w:rsid w:val="00E2656A"/>
    <w:rsid w:val="00E31C21"/>
    <w:rsid w:val="00E32B53"/>
    <w:rsid w:val="00E412D0"/>
    <w:rsid w:val="00E4579D"/>
    <w:rsid w:val="00E47096"/>
    <w:rsid w:val="00E529AD"/>
    <w:rsid w:val="00E56322"/>
    <w:rsid w:val="00E56621"/>
    <w:rsid w:val="00E60363"/>
    <w:rsid w:val="00E60982"/>
    <w:rsid w:val="00E61B80"/>
    <w:rsid w:val="00E62C62"/>
    <w:rsid w:val="00E654C1"/>
    <w:rsid w:val="00E65D97"/>
    <w:rsid w:val="00E72A5A"/>
    <w:rsid w:val="00E73354"/>
    <w:rsid w:val="00E73776"/>
    <w:rsid w:val="00E737F0"/>
    <w:rsid w:val="00E82DBF"/>
    <w:rsid w:val="00E9233F"/>
    <w:rsid w:val="00E9242D"/>
    <w:rsid w:val="00E9482F"/>
    <w:rsid w:val="00EB5255"/>
    <w:rsid w:val="00EB5C47"/>
    <w:rsid w:val="00EB69EC"/>
    <w:rsid w:val="00EC11DD"/>
    <w:rsid w:val="00EC3D67"/>
    <w:rsid w:val="00ED0639"/>
    <w:rsid w:val="00ED2AF5"/>
    <w:rsid w:val="00EE4A70"/>
    <w:rsid w:val="00EF18CF"/>
    <w:rsid w:val="00EF4755"/>
    <w:rsid w:val="00EF7135"/>
    <w:rsid w:val="00F027DB"/>
    <w:rsid w:val="00F14A7A"/>
    <w:rsid w:val="00F16575"/>
    <w:rsid w:val="00F22985"/>
    <w:rsid w:val="00F27F12"/>
    <w:rsid w:val="00F3383E"/>
    <w:rsid w:val="00F3419F"/>
    <w:rsid w:val="00F37C87"/>
    <w:rsid w:val="00F465A7"/>
    <w:rsid w:val="00F50B7C"/>
    <w:rsid w:val="00F54578"/>
    <w:rsid w:val="00F550E6"/>
    <w:rsid w:val="00F6165B"/>
    <w:rsid w:val="00F6482F"/>
    <w:rsid w:val="00F74345"/>
    <w:rsid w:val="00F80A0A"/>
    <w:rsid w:val="00F80CB8"/>
    <w:rsid w:val="00F82B19"/>
    <w:rsid w:val="00F9212D"/>
    <w:rsid w:val="00F956B8"/>
    <w:rsid w:val="00F9615D"/>
    <w:rsid w:val="00F965DA"/>
    <w:rsid w:val="00F9763C"/>
    <w:rsid w:val="00FA0DD8"/>
    <w:rsid w:val="00FA406A"/>
    <w:rsid w:val="00FB503A"/>
    <w:rsid w:val="00FB516C"/>
    <w:rsid w:val="00FB6B57"/>
    <w:rsid w:val="00FC1971"/>
    <w:rsid w:val="00FD0236"/>
    <w:rsid w:val="00FD18F4"/>
    <w:rsid w:val="00FD54DB"/>
    <w:rsid w:val="00FD619F"/>
    <w:rsid w:val="00FE1C82"/>
    <w:rsid w:val="00FE2844"/>
    <w:rsid w:val="00FF60AE"/>
    <w:rsid w:val="01290F7E"/>
    <w:rsid w:val="01326EEB"/>
    <w:rsid w:val="01483505"/>
    <w:rsid w:val="014E30BD"/>
    <w:rsid w:val="015012D0"/>
    <w:rsid w:val="015B791A"/>
    <w:rsid w:val="015D1E09"/>
    <w:rsid w:val="01626374"/>
    <w:rsid w:val="01A73D87"/>
    <w:rsid w:val="01AC6249"/>
    <w:rsid w:val="01AF70E0"/>
    <w:rsid w:val="01B36BD0"/>
    <w:rsid w:val="01B42948"/>
    <w:rsid w:val="01D71D46"/>
    <w:rsid w:val="01DA0BEB"/>
    <w:rsid w:val="01E44FDB"/>
    <w:rsid w:val="01E94501"/>
    <w:rsid w:val="01FA1717"/>
    <w:rsid w:val="02356944"/>
    <w:rsid w:val="02690424"/>
    <w:rsid w:val="02697903"/>
    <w:rsid w:val="028E53C6"/>
    <w:rsid w:val="028E7FC3"/>
    <w:rsid w:val="02936A01"/>
    <w:rsid w:val="02F96569"/>
    <w:rsid w:val="03004097"/>
    <w:rsid w:val="030E7E36"/>
    <w:rsid w:val="032A2EC2"/>
    <w:rsid w:val="032B6C5F"/>
    <w:rsid w:val="03351E09"/>
    <w:rsid w:val="033C1AF0"/>
    <w:rsid w:val="03404493"/>
    <w:rsid w:val="034978B4"/>
    <w:rsid w:val="038C5900"/>
    <w:rsid w:val="03C055D4"/>
    <w:rsid w:val="03CE3757"/>
    <w:rsid w:val="03CF6C3B"/>
    <w:rsid w:val="03DA207B"/>
    <w:rsid w:val="03EA7B21"/>
    <w:rsid w:val="03F37758"/>
    <w:rsid w:val="03F437BC"/>
    <w:rsid w:val="04282290"/>
    <w:rsid w:val="04372CC6"/>
    <w:rsid w:val="043D79E9"/>
    <w:rsid w:val="04406715"/>
    <w:rsid w:val="0474668E"/>
    <w:rsid w:val="04761BBB"/>
    <w:rsid w:val="04806B11"/>
    <w:rsid w:val="0489155B"/>
    <w:rsid w:val="048D6A34"/>
    <w:rsid w:val="048E122E"/>
    <w:rsid w:val="04900E90"/>
    <w:rsid w:val="04CD5239"/>
    <w:rsid w:val="04E15802"/>
    <w:rsid w:val="04F06B5A"/>
    <w:rsid w:val="05107E95"/>
    <w:rsid w:val="05271C7B"/>
    <w:rsid w:val="053C7612"/>
    <w:rsid w:val="054C1FBD"/>
    <w:rsid w:val="056D52E8"/>
    <w:rsid w:val="05704DD8"/>
    <w:rsid w:val="05860158"/>
    <w:rsid w:val="058B7281"/>
    <w:rsid w:val="05917228"/>
    <w:rsid w:val="05B42F17"/>
    <w:rsid w:val="05C50C80"/>
    <w:rsid w:val="05EE467B"/>
    <w:rsid w:val="05F2050E"/>
    <w:rsid w:val="05F83EAE"/>
    <w:rsid w:val="06153314"/>
    <w:rsid w:val="061625A9"/>
    <w:rsid w:val="06191AF2"/>
    <w:rsid w:val="061E0FEF"/>
    <w:rsid w:val="0639166E"/>
    <w:rsid w:val="063E7D85"/>
    <w:rsid w:val="067B1C86"/>
    <w:rsid w:val="0688299D"/>
    <w:rsid w:val="06A03AC1"/>
    <w:rsid w:val="06A116ED"/>
    <w:rsid w:val="06B04075"/>
    <w:rsid w:val="06DD12BD"/>
    <w:rsid w:val="06F72FD5"/>
    <w:rsid w:val="06FA2BAB"/>
    <w:rsid w:val="07004A20"/>
    <w:rsid w:val="072041D9"/>
    <w:rsid w:val="07293586"/>
    <w:rsid w:val="07295285"/>
    <w:rsid w:val="07631712"/>
    <w:rsid w:val="07636392"/>
    <w:rsid w:val="076C078A"/>
    <w:rsid w:val="076F17EB"/>
    <w:rsid w:val="07770C56"/>
    <w:rsid w:val="07801E47"/>
    <w:rsid w:val="07924598"/>
    <w:rsid w:val="07AD2313"/>
    <w:rsid w:val="07B85910"/>
    <w:rsid w:val="07B96775"/>
    <w:rsid w:val="07E01DA1"/>
    <w:rsid w:val="07FC0429"/>
    <w:rsid w:val="0812088D"/>
    <w:rsid w:val="083E6211"/>
    <w:rsid w:val="08400A92"/>
    <w:rsid w:val="08491F69"/>
    <w:rsid w:val="085155FB"/>
    <w:rsid w:val="08721C35"/>
    <w:rsid w:val="08847A8F"/>
    <w:rsid w:val="088968DD"/>
    <w:rsid w:val="08AF1D1F"/>
    <w:rsid w:val="08D43E05"/>
    <w:rsid w:val="08D833C0"/>
    <w:rsid w:val="08F04266"/>
    <w:rsid w:val="08F936C7"/>
    <w:rsid w:val="09161B9F"/>
    <w:rsid w:val="091A12E3"/>
    <w:rsid w:val="091B0A49"/>
    <w:rsid w:val="092217DD"/>
    <w:rsid w:val="093700E7"/>
    <w:rsid w:val="093A7294"/>
    <w:rsid w:val="09607333"/>
    <w:rsid w:val="09625189"/>
    <w:rsid w:val="09815735"/>
    <w:rsid w:val="09815806"/>
    <w:rsid w:val="09862E1C"/>
    <w:rsid w:val="09B935CB"/>
    <w:rsid w:val="09BE25B6"/>
    <w:rsid w:val="09C35E1E"/>
    <w:rsid w:val="09F558AC"/>
    <w:rsid w:val="0A137D45"/>
    <w:rsid w:val="0A173E5C"/>
    <w:rsid w:val="0A1C7A02"/>
    <w:rsid w:val="0A2368BD"/>
    <w:rsid w:val="0A263993"/>
    <w:rsid w:val="0A2D3AC2"/>
    <w:rsid w:val="0A313ABE"/>
    <w:rsid w:val="0A3540D1"/>
    <w:rsid w:val="0A4A4F2E"/>
    <w:rsid w:val="0A663F6C"/>
    <w:rsid w:val="0AA755DF"/>
    <w:rsid w:val="0AE045D9"/>
    <w:rsid w:val="0AF72E65"/>
    <w:rsid w:val="0B120D44"/>
    <w:rsid w:val="0B3F3282"/>
    <w:rsid w:val="0B882E7B"/>
    <w:rsid w:val="0BD27BF6"/>
    <w:rsid w:val="0C1E10EA"/>
    <w:rsid w:val="0C3B3C7D"/>
    <w:rsid w:val="0C3D1EB8"/>
    <w:rsid w:val="0C577B87"/>
    <w:rsid w:val="0C8503FB"/>
    <w:rsid w:val="0C9D3061"/>
    <w:rsid w:val="0CA94370"/>
    <w:rsid w:val="0CAB079E"/>
    <w:rsid w:val="0CAB1C0C"/>
    <w:rsid w:val="0CAB2EAE"/>
    <w:rsid w:val="0CB15E72"/>
    <w:rsid w:val="0CE640B8"/>
    <w:rsid w:val="0CE770AA"/>
    <w:rsid w:val="0CEF2A86"/>
    <w:rsid w:val="0D156991"/>
    <w:rsid w:val="0D1D2064"/>
    <w:rsid w:val="0D200E92"/>
    <w:rsid w:val="0D2512B6"/>
    <w:rsid w:val="0D333F04"/>
    <w:rsid w:val="0D465ACB"/>
    <w:rsid w:val="0D621C7D"/>
    <w:rsid w:val="0D6319D2"/>
    <w:rsid w:val="0D884323"/>
    <w:rsid w:val="0D8E557A"/>
    <w:rsid w:val="0DB30BC2"/>
    <w:rsid w:val="0DBC6E0C"/>
    <w:rsid w:val="0DF50CAF"/>
    <w:rsid w:val="0E2350DD"/>
    <w:rsid w:val="0E2A646C"/>
    <w:rsid w:val="0E4E38FA"/>
    <w:rsid w:val="0E5A03D3"/>
    <w:rsid w:val="0E73034D"/>
    <w:rsid w:val="0EA63619"/>
    <w:rsid w:val="0EAE184A"/>
    <w:rsid w:val="0EDB5FC0"/>
    <w:rsid w:val="0EFA380C"/>
    <w:rsid w:val="0F13775A"/>
    <w:rsid w:val="0F1408DA"/>
    <w:rsid w:val="0F144A26"/>
    <w:rsid w:val="0F1967A6"/>
    <w:rsid w:val="0F1B7163"/>
    <w:rsid w:val="0F1E7653"/>
    <w:rsid w:val="0F3B0205"/>
    <w:rsid w:val="0F3D3F7D"/>
    <w:rsid w:val="0F5F45FE"/>
    <w:rsid w:val="0F6546A0"/>
    <w:rsid w:val="0F67724C"/>
    <w:rsid w:val="0F716E95"/>
    <w:rsid w:val="0F76680B"/>
    <w:rsid w:val="0F810C5C"/>
    <w:rsid w:val="0F963AEA"/>
    <w:rsid w:val="0F9A112B"/>
    <w:rsid w:val="0FBF74A6"/>
    <w:rsid w:val="0FC85F3C"/>
    <w:rsid w:val="10610EE0"/>
    <w:rsid w:val="106D2F64"/>
    <w:rsid w:val="10842BBE"/>
    <w:rsid w:val="10A55A7D"/>
    <w:rsid w:val="10AB5522"/>
    <w:rsid w:val="10B63710"/>
    <w:rsid w:val="10B71037"/>
    <w:rsid w:val="10F10820"/>
    <w:rsid w:val="110E0CE6"/>
    <w:rsid w:val="111C2F7A"/>
    <w:rsid w:val="112C42A9"/>
    <w:rsid w:val="114F1D45"/>
    <w:rsid w:val="115832F0"/>
    <w:rsid w:val="11665CA1"/>
    <w:rsid w:val="1168518A"/>
    <w:rsid w:val="116E2CA4"/>
    <w:rsid w:val="117479FE"/>
    <w:rsid w:val="11A13F5F"/>
    <w:rsid w:val="11D110C8"/>
    <w:rsid w:val="120163FB"/>
    <w:rsid w:val="12030036"/>
    <w:rsid w:val="120668A8"/>
    <w:rsid w:val="121C60CC"/>
    <w:rsid w:val="12634B95"/>
    <w:rsid w:val="12677578"/>
    <w:rsid w:val="12A34203"/>
    <w:rsid w:val="1331204B"/>
    <w:rsid w:val="13315BA7"/>
    <w:rsid w:val="13844898"/>
    <w:rsid w:val="13951726"/>
    <w:rsid w:val="13C00A21"/>
    <w:rsid w:val="13DB3D64"/>
    <w:rsid w:val="14042896"/>
    <w:rsid w:val="14261483"/>
    <w:rsid w:val="14396509"/>
    <w:rsid w:val="145A2EDB"/>
    <w:rsid w:val="14A16D5C"/>
    <w:rsid w:val="14A26F68"/>
    <w:rsid w:val="14B0205C"/>
    <w:rsid w:val="14B545B5"/>
    <w:rsid w:val="14DD2C3C"/>
    <w:rsid w:val="153E41A1"/>
    <w:rsid w:val="15462889"/>
    <w:rsid w:val="154B2D39"/>
    <w:rsid w:val="15567B46"/>
    <w:rsid w:val="1558020D"/>
    <w:rsid w:val="156A1844"/>
    <w:rsid w:val="15D424FB"/>
    <w:rsid w:val="15F75BDB"/>
    <w:rsid w:val="16087E1D"/>
    <w:rsid w:val="164F5B68"/>
    <w:rsid w:val="167C35DD"/>
    <w:rsid w:val="168C212F"/>
    <w:rsid w:val="169C37CF"/>
    <w:rsid w:val="16A62408"/>
    <w:rsid w:val="16A91923"/>
    <w:rsid w:val="16C27E3A"/>
    <w:rsid w:val="16D50F3F"/>
    <w:rsid w:val="16D67862"/>
    <w:rsid w:val="16F502AB"/>
    <w:rsid w:val="17045380"/>
    <w:rsid w:val="17215F32"/>
    <w:rsid w:val="173152CF"/>
    <w:rsid w:val="176F6C9D"/>
    <w:rsid w:val="17701D14"/>
    <w:rsid w:val="17735226"/>
    <w:rsid w:val="179131C2"/>
    <w:rsid w:val="17984F8C"/>
    <w:rsid w:val="179C2CD5"/>
    <w:rsid w:val="17DC7A8B"/>
    <w:rsid w:val="18170A93"/>
    <w:rsid w:val="18376AC2"/>
    <w:rsid w:val="188E6361"/>
    <w:rsid w:val="189F624C"/>
    <w:rsid w:val="18AC0E5A"/>
    <w:rsid w:val="18D13E77"/>
    <w:rsid w:val="18E72462"/>
    <w:rsid w:val="19067AD5"/>
    <w:rsid w:val="1917314C"/>
    <w:rsid w:val="193951EF"/>
    <w:rsid w:val="19401719"/>
    <w:rsid w:val="19675478"/>
    <w:rsid w:val="196E5727"/>
    <w:rsid w:val="198059DD"/>
    <w:rsid w:val="19962C07"/>
    <w:rsid w:val="19BF396A"/>
    <w:rsid w:val="19DE42D8"/>
    <w:rsid w:val="1A113807"/>
    <w:rsid w:val="1A140EE6"/>
    <w:rsid w:val="1A1C66C0"/>
    <w:rsid w:val="1A1F0A72"/>
    <w:rsid w:val="1A361ABD"/>
    <w:rsid w:val="1A42393B"/>
    <w:rsid w:val="1A531D5F"/>
    <w:rsid w:val="1A7604F9"/>
    <w:rsid w:val="1A7A0AEC"/>
    <w:rsid w:val="1A953D03"/>
    <w:rsid w:val="1A994A56"/>
    <w:rsid w:val="1AA90718"/>
    <w:rsid w:val="1AAD45DE"/>
    <w:rsid w:val="1AB07CF9"/>
    <w:rsid w:val="1ADE692A"/>
    <w:rsid w:val="1B03531E"/>
    <w:rsid w:val="1B046F80"/>
    <w:rsid w:val="1B1A7780"/>
    <w:rsid w:val="1B1F09DB"/>
    <w:rsid w:val="1B3267B5"/>
    <w:rsid w:val="1B40161D"/>
    <w:rsid w:val="1B4250FF"/>
    <w:rsid w:val="1B441859"/>
    <w:rsid w:val="1B6606B1"/>
    <w:rsid w:val="1B6E34D7"/>
    <w:rsid w:val="1B752E97"/>
    <w:rsid w:val="1B812F99"/>
    <w:rsid w:val="1B837372"/>
    <w:rsid w:val="1BBD711A"/>
    <w:rsid w:val="1BD622DD"/>
    <w:rsid w:val="1BE049CB"/>
    <w:rsid w:val="1BE340FE"/>
    <w:rsid w:val="1BEF4F3E"/>
    <w:rsid w:val="1BF90A2B"/>
    <w:rsid w:val="1BF9122C"/>
    <w:rsid w:val="1C010930"/>
    <w:rsid w:val="1C2F4C4D"/>
    <w:rsid w:val="1C5E7925"/>
    <w:rsid w:val="1C661A9F"/>
    <w:rsid w:val="1C7C753F"/>
    <w:rsid w:val="1CB134D4"/>
    <w:rsid w:val="1CC5598F"/>
    <w:rsid w:val="1CE05D19"/>
    <w:rsid w:val="1CE05FE6"/>
    <w:rsid w:val="1CEC3D63"/>
    <w:rsid w:val="1CFD070F"/>
    <w:rsid w:val="1D0B7468"/>
    <w:rsid w:val="1D203827"/>
    <w:rsid w:val="1D5F6196"/>
    <w:rsid w:val="1D6132A5"/>
    <w:rsid w:val="1D814AC1"/>
    <w:rsid w:val="1D8E56D5"/>
    <w:rsid w:val="1DB031AF"/>
    <w:rsid w:val="1DC64B07"/>
    <w:rsid w:val="1DE96096"/>
    <w:rsid w:val="1DF810E0"/>
    <w:rsid w:val="1E0011D5"/>
    <w:rsid w:val="1E23202C"/>
    <w:rsid w:val="1E5348E9"/>
    <w:rsid w:val="1E586164"/>
    <w:rsid w:val="1E631B08"/>
    <w:rsid w:val="1E7676F3"/>
    <w:rsid w:val="1E7828DC"/>
    <w:rsid w:val="1E7A43DA"/>
    <w:rsid w:val="1E8E20FF"/>
    <w:rsid w:val="1E9D0594"/>
    <w:rsid w:val="1EB03145"/>
    <w:rsid w:val="1ECB5167"/>
    <w:rsid w:val="1EEC24F8"/>
    <w:rsid w:val="1F0A4213"/>
    <w:rsid w:val="1F1541C9"/>
    <w:rsid w:val="1F1C4446"/>
    <w:rsid w:val="1F325180"/>
    <w:rsid w:val="1F3670C6"/>
    <w:rsid w:val="1F3F5AEF"/>
    <w:rsid w:val="1F460C2C"/>
    <w:rsid w:val="1F5A0BC7"/>
    <w:rsid w:val="1F5F6C7B"/>
    <w:rsid w:val="1FA43B32"/>
    <w:rsid w:val="1FA8152B"/>
    <w:rsid w:val="1FA9320C"/>
    <w:rsid w:val="1FCC6D09"/>
    <w:rsid w:val="1FE16BA6"/>
    <w:rsid w:val="1FE26653"/>
    <w:rsid w:val="1FE7539E"/>
    <w:rsid w:val="1FEF4E1F"/>
    <w:rsid w:val="200545EF"/>
    <w:rsid w:val="201400DE"/>
    <w:rsid w:val="20270A5D"/>
    <w:rsid w:val="20322F5E"/>
    <w:rsid w:val="203402E4"/>
    <w:rsid w:val="20384AC5"/>
    <w:rsid w:val="205364E3"/>
    <w:rsid w:val="20671BE0"/>
    <w:rsid w:val="206E21C8"/>
    <w:rsid w:val="207D242B"/>
    <w:rsid w:val="20963CB8"/>
    <w:rsid w:val="20A420AE"/>
    <w:rsid w:val="20A81A1B"/>
    <w:rsid w:val="20B07FB6"/>
    <w:rsid w:val="20B6210A"/>
    <w:rsid w:val="20B646FB"/>
    <w:rsid w:val="20C36710"/>
    <w:rsid w:val="20E701EC"/>
    <w:rsid w:val="210556CB"/>
    <w:rsid w:val="213B74B1"/>
    <w:rsid w:val="21562C7C"/>
    <w:rsid w:val="215A2310"/>
    <w:rsid w:val="21704B1D"/>
    <w:rsid w:val="21DB1B1D"/>
    <w:rsid w:val="21DB57B5"/>
    <w:rsid w:val="21DE318A"/>
    <w:rsid w:val="21EF5B80"/>
    <w:rsid w:val="21F4671D"/>
    <w:rsid w:val="220A5C55"/>
    <w:rsid w:val="220F7F3A"/>
    <w:rsid w:val="222A61A9"/>
    <w:rsid w:val="22401DA2"/>
    <w:rsid w:val="2241392C"/>
    <w:rsid w:val="22576990"/>
    <w:rsid w:val="225B3F3F"/>
    <w:rsid w:val="228E78B2"/>
    <w:rsid w:val="22C86205"/>
    <w:rsid w:val="22D93B65"/>
    <w:rsid w:val="22F104DB"/>
    <w:rsid w:val="22F47480"/>
    <w:rsid w:val="23122C13"/>
    <w:rsid w:val="234F5BD5"/>
    <w:rsid w:val="23502079"/>
    <w:rsid w:val="23554088"/>
    <w:rsid w:val="236B2A0F"/>
    <w:rsid w:val="237C2B44"/>
    <w:rsid w:val="238457DF"/>
    <w:rsid w:val="23A5398E"/>
    <w:rsid w:val="23A87CEB"/>
    <w:rsid w:val="23DE1C48"/>
    <w:rsid w:val="23E62A71"/>
    <w:rsid w:val="240210CD"/>
    <w:rsid w:val="24287A4F"/>
    <w:rsid w:val="243B12F7"/>
    <w:rsid w:val="245636BF"/>
    <w:rsid w:val="245E4322"/>
    <w:rsid w:val="246A53BC"/>
    <w:rsid w:val="246D6CD1"/>
    <w:rsid w:val="247B32BA"/>
    <w:rsid w:val="249A3682"/>
    <w:rsid w:val="24B23F36"/>
    <w:rsid w:val="24B66122"/>
    <w:rsid w:val="24BF09F7"/>
    <w:rsid w:val="24CD0B0D"/>
    <w:rsid w:val="250B59F3"/>
    <w:rsid w:val="252D53FE"/>
    <w:rsid w:val="252E50F6"/>
    <w:rsid w:val="25682993"/>
    <w:rsid w:val="259A582D"/>
    <w:rsid w:val="259B13BF"/>
    <w:rsid w:val="25A57165"/>
    <w:rsid w:val="25B846B2"/>
    <w:rsid w:val="25CD1929"/>
    <w:rsid w:val="25DE2B5E"/>
    <w:rsid w:val="25E1345C"/>
    <w:rsid w:val="25E90563"/>
    <w:rsid w:val="25EA32E7"/>
    <w:rsid w:val="25EC2D81"/>
    <w:rsid w:val="2624191E"/>
    <w:rsid w:val="263533E0"/>
    <w:rsid w:val="263F0183"/>
    <w:rsid w:val="265818CA"/>
    <w:rsid w:val="26A5448A"/>
    <w:rsid w:val="26B66637"/>
    <w:rsid w:val="26C85E46"/>
    <w:rsid w:val="26CD578F"/>
    <w:rsid w:val="26E36D60"/>
    <w:rsid w:val="26E50D2A"/>
    <w:rsid w:val="27194E78"/>
    <w:rsid w:val="272628DF"/>
    <w:rsid w:val="272E0923"/>
    <w:rsid w:val="274668AE"/>
    <w:rsid w:val="276578F4"/>
    <w:rsid w:val="277057A2"/>
    <w:rsid w:val="27975AF6"/>
    <w:rsid w:val="27B23A46"/>
    <w:rsid w:val="27B634ED"/>
    <w:rsid w:val="27DD70BD"/>
    <w:rsid w:val="28031EE2"/>
    <w:rsid w:val="28426229"/>
    <w:rsid w:val="28506677"/>
    <w:rsid w:val="285E0D94"/>
    <w:rsid w:val="287E159F"/>
    <w:rsid w:val="288071A4"/>
    <w:rsid w:val="288822B5"/>
    <w:rsid w:val="289C674A"/>
    <w:rsid w:val="28A10C81"/>
    <w:rsid w:val="28AC50A9"/>
    <w:rsid w:val="28C93FE8"/>
    <w:rsid w:val="29053958"/>
    <w:rsid w:val="290F19DF"/>
    <w:rsid w:val="290F6532"/>
    <w:rsid w:val="29206EB8"/>
    <w:rsid w:val="294A77FA"/>
    <w:rsid w:val="29595666"/>
    <w:rsid w:val="29874881"/>
    <w:rsid w:val="29A0718A"/>
    <w:rsid w:val="29E11C7D"/>
    <w:rsid w:val="29E325E0"/>
    <w:rsid w:val="2A163457"/>
    <w:rsid w:val="2A247A91"/>
    <w:rsid w:val="2A2878AC"/>
    <w:rsid w:val="2A382487"/>
    <w:rsid w:val="2A452503"/>
    <w:rsid w:val="2A5306A1"/>
    <w:rsid w:val="2A6F54DA"/>
    <w:rsid w:val="2A7228D5"/>
    <w:rsid w:val="2A843B31"/>
    <w:rsid w:val="2AAA7F9F"/>
    <w:rsid w:val="2AAB228B"/>
    <w:rsid w:val="2ACD4F8E"/>
    <w:rsid w:val="2ADE76A8"/>
    <w:rsid w:val="2AE75007"/>
    <w:rsid w:val="2B177920"/>
    <w:rsid w:val="2B226F25"/>
    <w:rsid w:val="2B32564C"/>
    <w:rsid w:val="2B632F78"/>
    <w:rsid w:val="2B794137"/>
    <w:rsid w:val="2B7F08E3"/>
    <w:rsid w:val="2BA936A8"/>
    <w:rsid w:val="2BB62C95"/>
    <w:rsid w:val="2BD0499A"/>
    <w:rsid w:val="2BDC5411"/>
    <w:rsid w:val="2BE315B0"/>
    <w:rsid w:val="2C161986"/>
    <w:rsid w:val="2C1F0CC0"/>
    <w:rsid w:val="2C221402"/>
    <w:rsid w:val="2C254821"/>
    <w:rsid w:val="2C315A5A"/>
    <w:rsid w:val="2C3A1B18"/>
    <w:rsid w:val="2C4B1C25"/>
    <w:rsid w:val="2CA23DA6"/>
    <w:rsid w:val="2CA702DD"/>
    <w:rsid w:val="2CCA2E9C"/>
    <w:rsid w:val="2CEA790E"/>
    <w:rsid w:val="2CF92591"/>
    <w:rsid w:val="2D0D2D89"/>
    <w:rsid w:val="2D2E0F8B"/>
    <w:rsid w:val="2D5321DE"/>
    <w:rsid w:val="2D5C161A"/>
    <w:rsid w:val="2D895BB3"/>
    <w:rsid w:val="2D9E56F5"/>
    <w:rsid w:val="2E0531FE"/>
    <w:rsid w:val="2E3031D3"/>
    <w:rsid w:val="2E4C3FDA"/>
    <w:rsid w:val="2E56250D"/>
    <w:rsid w:val="2E5C0BD9"/>
    <w:rsid w:val="2E667F96"/>
    <w:rsid w:val="2E783282"/>
    <w:rsid w:val="2E8226AB"/>
    <w:rsid w:val="2E86349C"/>
    <w:rsid w:val="2E894691"/>
    <w:rsid w:val="2E9B3447"/>
    <w:rsid w:val="2E9B4111"/>
    <w:rsid w:val="2EC33013"/>
    <w:rsid w:val="2F0736F2"/>
    <w:rsid w:val="2F22179B"/>
    <w:rsid w:val="2F4F7F5C"/>
    <w:rsid w:val="2F7E1D1C"/>
    <w:rsid w:val="2F976525"/>
    <w:rsid w:val="2FB92D54"/>
    <w:rsid w:val="2FC70BE5"/>
    <w:rsid w:val="2FCC6DE8"/>
    <w:rsid w:val="2FD065E6"/>
    <w:rsid w:val="2FD96870"/>
    <w:rsid w:val="303B7C0D"/>
    <w:rsid w:val="303F3FC2"/>
    <w:rsid w:val="304C734C"/>
    <w:rsid w:val="30515682"/>
    <w:rsid w:val="30580BC9"/>
    <w:rsid w:val="30584CF3"/>
    <w:rsid w:val="306E201D"/>
    <w:rsid w:val="309B06AC"/>
    <w:rsid w:val="30A92DC8"/>
    <w:rsid w:val="30C3032E"/>
    <w:rsid w:val="30E96F00"/>
    <w:rsid w:val="311E2ED7"/>
    <w:rsid w:val="311E4F0D"/>
    <w:rsid w:val="311E7313"/>
    <w:rsid w:val="312156D9"/>
    <w:rsid w:val="312C56BD"/>
    <w:rsid w:val="315619EE"/>
    <w:rsid w:val="315C449C"/>
    <w:rsid w:val="315C608D"/>
    <w:rsid w:val="316A659A"/>
    <w:rsid w:val="316E78EE"/>
    <w:rsid w:val="318E222B"/>
    <w:rsid w:val="319F5043"/>
    <w:rsid w:val="31AB40A0"/>
    <w:rsid w:val="31B82709"/>
    <w:rsid w:val="31C44662"/>
    <w:rsid w:val="31C5222C"/>
    <w:rsid w:val="31D05482"/>
    <w:rsid w:val="31EA3066"/>
    <w:rsid w:val="32357363"/>
    <w:rsid w:val="32400B34"/>
    <w:rsid w:val="32616370"/>
    <w:rsid w:val="327A7ED8"/>
    <w:rsid w:val="32843AED"/>
    <w:rsid w:val="328C0BF4"/>
    <w:rsid w:val="328C541F"/>
    <w:rsid w:val="329D23D0"/>
    <w:rsid w:val="329E6876"/>
    <w:rsid w:val="32D21E31"/>
    <w:rsid w:val="32D60405"/>
    <w:rsid w:val="32D87BAB"/>
    <w:rsid w:val="32E4633A"/>
    <w:rsid w:val="32E75E2A"/>
    <w:rsid w:val="333015F2"/>
    <w:rsid w:val="333706C9"/>
    <w:rsid w:val="334B6320"/>
    <w:rsid w:val="337573F1"/>
    <w:rsid w:val="33816B07"/>
    <w:rsid w:val="33C72E31"/>
    <w:rsid w:val="33D934D4"/>
    <w:rsid w:val="33F758F3"/>
    <w:rsid w:val="33FE2F6A"/>
    <w:rsid w:val="340E07E5"/>
    <w:rsid w:val="341669C7"/>
    <w:rsid w:val="341D783D"/>
    <w:rsid w:val="34235BF7"/>
    <w:rsid w:val="3428494C"/>
    <w:rsid w:val="34430EA2"/>
    <w:rsid w:val="344F4083"/>
    <w:rsid w:val="345B244A"/>
    <w:rsid w:val="347D7295"/>
    <w:rsid w:val="348142FC"/>
    <w:rsid w:val="34A35535"/>
    <w:rsid w:val="34B306BA"/>
    <w:rsid w:val="34C35E4E"/>
    <w:rsid w:val="34DB551B"/>
    <w:rsid w:val="34EC497C"/>
    <w:rsid w:val="35042256"/>
    <w:rsid w:val="351A4295"/>
    <w:rsid w:val="35382876"/>
    <w:rsid w:val="35523A2F"/>
    <w:rsid w:val="355421BA"/>
    <w:rsid w:val="357A11D7"/>
    <w:rsid w:val="357D04A2"/>
    <w:rsid w:val="35814314"/>
    <w:rsid w:val="358C5FA8"/>
    <w:rsid w:val="35977693"/>
    <w:rsid w:val="35A3428A"/>
    <w:rsid w:val="35A46254"/>
    <w:rsid w:val="35AD6091"/>
    <w:rsid w:val="35B85A1F"/>
    <w:rsid w:val="35C15DF1"/>
    <w:rsid w:val="35D708D4"/>
    <w:rsid w:val="35EF0187"/>
    <w:rsid w:val="36074A7F"/>
    <w:rsid w:val="360C62D3"/>
    <w:rsid w:val="36853243"/>
    <w:rsid w:val="36923549"/>
    <w:rsid w:val="36B75FBF"/>
    <w:rsid w:val="36BD0C45"/>
    <w:rsid w:val="36D4270B"/>
    <w:rsid w:val="36DB5C09"/>
    <w:rsid w:val="36F712BD"/>
    <w:rsid w:val="36F724A5"/>
    <w:rsid w:val="371A5D1E"/>
    <w:rsid w:val="372E0B3E"/>
    <w:rsid w:val="373711DD"/>
    <w:rsid w:val="37526E27"/>
    <w:rsid w:val="375627A4"/>
    <w:rsid w:val="37A95DA4"/>
    <w:rsid w:val="37B81B43"/>
    <w:rsid w:val="37BC6DE7"/>
    <w:rsid w:val="37BE35FD"/>
    <w:rsid w:val="37D3697D"/>
    <w:rsid w:val="37E00298"/>
    <w:rsid w:val="37F7266B"/>
    <w:rsid w:val="37FB65FF"/>
    <w:rsid w:val="38022BDC"/>
    <w:rsid w:val="381B73FF"/>
    <w:rsid w:val="381E5871"/>
    <w:rsid w:val="382C4A0B"/>
    <w:rsid w:val="383273A7"/>
    <w:rsid w:val="38912AC0"/>
    <w:rsid w:val="38AC1671"/>
    <w:rsid w:val="38B302F9"/>
    <w:rsid w:val="38D17360"/>
    <w:rsid w:val="38E427D0"/>
    <w:rsid w:val="38E93BC8"/>
    <w:rsid w:val="38EC4DF2"/>
    <w:rsid w:val="38EE6161"/>
    <w:rsid w:val="38F12CD3"/>
    <w:rsid w:val="38F71713"/>
    <w:rsid w:val="38F8356E"/>
    <w:rsid w:val="38F94775"/>
    <w:rsid w:val="38FC4A25"/>
    <w:rsid w:val="392971ED"/>
    <w:rsid w:val="392B2DCB"/>
    <w:rsid w:val="39325651"/>
    <w:rsid w:val="39355B41"/>
    <w:rsid w:val="39445D84"/>
    <w:rsid w:val="396B6D69"/>
    <w:rsid w:val="396C4DA2"/>
    <w:rsid w:val="398462F3"/>
    <w:rsid w:val="398638FE"/>
    <w:rsid w:val="39AF7045"/>
    <w:rsid w:val="39B06F76"/>
    <w:rsid w:val="3A23572B"/>
    <w:rsid w:val="3A402F67"/>
    <w:rsid w:val="3A43600D"/>
    <w:rsid w:val="3A7E7074"/>
    <w:rsid w:val="3A872856"/>
    <w:rsid w:val="3AAD7FAF"/>
    <w:rsid w:val="3AC9734C"/>
    <w:rsid w:val="3ACC7DDF"/>
    <w:rsid w:val="3AEF3ACE"/>
    <w:rsid w:val="3B3763D1"/>
    <w:rsid w:val="3B3977BC"/>
    <w:rsid w:val="3B3B6D13"/>
    <w:rsid w:val="3B52394A"/>
    <w:rsid w:val="3B6E7EAC"/>
    <w:rsid w:val="3B7D37CF"/>
    <w:rsid w:val="3B81588E"/>
    <w:rsid w:val="3B8406BA"/>
    <w:rsid w:val="3B906AA4"/>
    <w:rsid w:val="3B954E59"/>
    <w:rsid w:val="3BED113C"/>
    <w:rsid w:val="3C154292"/>
    <w:rsid w:val="3C1B290E"/>
    <w:rsid w:val="3C2F6E1E"/>
    <w:rsid w:val="3C4F64BA"/>
    <w:rsid w:val="3C6329C5"/>
    <w:rsid w:val="3C6C768E"/>
    <w:rsid w:val="3C745CA9"/>
    <w:rsid w:val="3CA134EE"/>
    <w:rsid w:val="3CB274A9"/>
    <w:rsid w:val="3CCA034E"/>
    <w:rsid w:val="3CDA245A"/>
    <w:rsid w:val="3CE0173E"/>
    <w:rsid w:val="3CF63839"/>
    <w:rsid w:val="3CFD646C"/>
    <w:rsid w:val="3CFF41A7"/>
    <w:rsid w:val="3D0678B8"/>
    <w:rsid w:val="3D1E06B7"/>
    <w:rsid w:val="3D44588F"/>
    <w:rsid w:val="3D4D2D2E"/>
    <w:rsid w:val="3D666EBB"/>
    <w:rsid w:val="3D6C7341"/>
    <w:rsid w:val="3D7A7FC6"/>
    <w:rsid w:val="3D8675D3"/>
    <w:rsid w:val="3DAB209A"/>
    <w:rsid w:val="3DD516A1"/>
    <w:rsid w:val="3DE20BB8"/>
    <w:rsid w:val="3E1111C2"/>
    <w:rsid w:val="3E223650"/>
    <w:rsid w:val="3E2D5039"/>
    <w:rsid w:val="3E35078E"/>
    <w:rsid w:val="3E921340"/>
    <w:rsid w:val="3EA545B1"/>
    <w:rsid w:val="3EBD13F8"/>
    <w:rsid w:val="3EDA0523"/>
    <w:rsid w:val="3EE37DED"/>
    <w:rsid w:val="3EFD3718"/>
    <w:rsid w:val="3F086863"/>
    <w:rsid w:val="3F101142"/>
    <w:rsid w:val="3F141D55"/>
    <w:rsid w:val="3F1C6E5B"/>
    <w:rsid w:val="3F1E4FCC"/>
    <w:rsid w:val="3F422D66"/>
    <w:rsid w:val="3F566087"/>
    <w:rsid w:val="3F761A93"/>
    <w:rsid w:val="3FB2564C"/>
    <w:rsid w:val="3FC1116B"/>
    <w:rsid w:val="400B35F1"/>
    <w:rsid w:val="40185875"/>
    <w:rsid w:val="401A339B"/>
    <w:rsid w:val="407A6407"/>
    <w:rsid w:val="4091626B"/>
    <w:rsid w:val="40C357C1"/>
    <w:rsid w:val="40D53766"/>
    <w:rsid w:val="40D8034A"/>
    <w:rsid w:val="40DE261A"/>
    <w:rsid w:val="40E63E7A"/>
    <w:rsid w:val="40E816EB"/>
    <w:rsid w:val="410D4CAE"/>
    <w:rsid w:val="4132530D"/>
    <w:rsid w:val="413B5CBF"/>
    <w:rsid w:val="414C7ECC"/>
    <w:rsid w:val="41527608"/>
    <w:rsid w:val="4174388F"/>
    <w:rsid w:val="41757CA2"/>
    <w:rsid w:val="4182569C"/>
    <w:rsid w:val="41C71300"/>
    <w:rsid w:val="41DA54D8"/>
    <w:rsid w:val="41EF260B"/>
    <w:rsid w:val="41F52311"/>
    <w:rsid w:val="4200449D"/>
    <w:rsid w:val="423A3BCC"/>
    <w:rsid w:val="424759D0"/>
    <w:rsid w:val="424E57D2"/>
    <w:rsid w:val="42641245"/>
    <w:rsid w:val="426A62B8"/>
    <w:rsid w:val="429D0102"/>
    <w:rsid w:val="42A96C58"/>
    <w:rsid w:val="42AA487B"/>
    <w:rsid w:val="42AD499A"/>
    <w:rsid w:val="42B26C49"/>
    <w:rsid w:val="42B86E9B"/>
    <w:rsid w:val="42BB28E5"/>
    <w:rsid w:val="42D71A17"/>
    <w:rsid w:val="42D73D3A"/>
    <w:rsid w:val="42DC13E4"/>
    <w:rsid w:val="42FB7C68"/>
    <w:rsid w:val="4320516C"/>
    <w:rsid w:val="433A6FE6"/>
    <w:rsid w:val="433F6FF3"/>
    <w:rsid w:val="43406491"/>
    <w:rsid w:val="43412A7C"/>
    <w:rsid w:val="43480868"/>
    <w:rsid w:val="4350713C"/>
    <w:rsid w:val="43634B48"/>
    <w:rsid w:val="43650DD1"/>
    <w:rsid w:val="436653E0"/>
    <w:rsid w:val="43AB5284"/>
    <w:rsid w:val="43C4431A"/>
    <w:rsid w:val="43CB5D1D"/>
    <w:rsid w:val="43FB1735"/>
    <w:rsid w:val="43FD79EB"/>
    <w:rsid w:val="44176BE4"/>
    <w:rsid w:val="441A6FB4"/>
    <w:rsid w:val="442C18EF"/>
    <w:rsid w:val="443643CC"/>
    <w:rsid w:val="443C0F4E"/>
    <w:rsid w:val="446C2633"/>
    <w:rsid w:val="44A43B7B"/>
    <w:rsid w:val="44A72F7D"/>
    <w:rsid w:val="44B2756E"/>
    <w:rsid w:val="44B951CC"/>
    <w:rsid w:val="44CD14E0"/>
    <w:rsid w:val="44E43E34"/>
    <w:rsid w:val="44F20B0B"/>
    <w:rsid w:val="44F44243"/>
    <w:rsid w:val="44F7014F"/>
    <w:rsid w:val="45145BD2"/>
    <w:rsid w:val="452E5F4C"/>
    <w:rsid w:val="453749EF"/>
    <w:rsid w:val="453C0257"/>
    <w:rsid w:val="45495258"/>
    <w:rsid w:val="45612018"/>
    <w:rsid w:val="458946E9"/>
    <w:rsid w:val="45A47C0E"/>
    <w:rsid w:val="45C9772C"/>
    <w:rsid w:val="45D300E2"/>
    <w:rsid w:val="45D97854"/>
    <w:rsid w:val="45F57C8B"/>
    <w:rsid w:val="45F96148"/>
    <w:rsid w:val="460E49D7"/>
    <w:rsid w:val="46487CA7"/>
    <w:rsid w:val="46511AE0"/>
    <w:rsid w:val="4655359D"/>
    <w:rsid w:val="46577FD6"/>
    <w:rsid w:val="46695EB4"/>
    <w:rsid w:val="466C06C8"/>
    <w:rsid w:val="46A77952"/>
    <w:rsid w:val="46A87A43"/>
    <w:rsid w:val="46D955A7"/>
    <w:rsid w:val="46E90512"/>
    <w:rsid w:val="46E909CF"/>
    <w:rsid w:val="46FA2178"/>
    <w:rsid w:val="47133957"/>
    <w:rsid w:val="472D60AA"/>
    <w:rsid w:val="476455E1"/>
    <w:rsid w:val="47726629"/>
    <w:rsid w:val="478B7334"/>
    <w:rsid w:val="47A07E0C"/>
    <w:rsid w:val="47E80EEA"/>
    <w:rsid w:val="47F866B8"/>
    <w:rsid w:val="48164866"/>
    <w:rsid w:val="481B05F8"/>
    <w:rsid w:val="4820176A"/>
    <w:rsid w:val="48215D16"/>
    <w:rsid w:val="4870272E"/>
    <w:rsid w:val="487203E1"/>
    <w:rsid w:val="488107A7"/>
    <w:rsid w:val="48A925F8"/>
    <w:rsid w:val="48AF7967"/>
    <w:rsid w:val="48B40105"/>
    <w:rsid w:val="48BC72E5"/>
    <w:rsid w:val="48C67895"/>
    <w:rsid w:val="48E51464"/>
    <w:rsid w:val="490E1F0B"/>
    <w:rsid w:val="491B0CDF"/>
    <w:rsid w:val="49237A97"/>
    <w:rsid w:val="49295C0D"/>
    <w:rsid w:val="49420227"/>
    <w:rsid w:val="49432D50"/>
    <w:rsid w:val="49642F0A"/>
    <w:rsid w:val="49701C55"/>
    <w:rsid w:val="49AA1C33"/>
    <w:rsid w:val="49B92AB9"/>
    <w:rsid w:val="49DC7715"/>
    <w:rsid w:val="49DF1891"/>
    <w:rsid w:val="4A023139"/>
    <w:rsid w:val="4A0424B9"/>
    <w:rsid w:val="4A371737"/>
    <w:rsid w:val="4A3B192F"/>
    <w:rsid w:val="4A4C2CEB"/>
    <w:rsid w:val="4A5D22EC"/>
    <w:rsid w:val="4A627FE7"/>
    <w:rsid w:val="4A7B576F"/>
    <w:rsid w:val="4A835FEC"/>
    <w:rsid w:val="4AD65199"/>
    <w:rsid w:val="4AE178D7"/>
    <w:rsid w:val="4AEF3676"/>
    <w:rsid w:val="4AF561A9"/>
    <w:rsid w:val="4B49033B"/>
    <w:rsid w:val="4B7E1643"/>
    <w:rsid w:val="4B8246EF"/>
    <w:rsid w:val="4B940152"/>
    <w:rsid w:val="4BA467C0"/>
    <w:rsid w:val="4BB9274D"/>
    <w:rsid w:val="4BD217B6"/>
    <w:rsid w:val="4BEF1B80"/>
    <w:rsid w:val="4C03562B"/>
    <w:rsid w:val="4C277A5E"/>
    <w:rsid w:val="4C4A0649"/>
    <w:rsid w:val="4C7E5ECA"/>
    <w:rsid w:val="4C876AA5"/>
    <w:rsid w:val="4C8A18A8"/>
    <w:rsid w:val="4CA336C0"/>
    <w:rsid w:val="4CAC5CC3"/>
    <w:rsid w:val="4CF662FB"/>
    <w:rsid w:val="4D0E00FB"/>
    <w:rsid w:val="4D176606"/>
    <w:rsid w:val="4D245859"/>
    <w:rsid w:val="4D3A1520"/>
    <w:rsid w:val="4D453A21"/>
    <w:rsid w:val="4D61085B"/>
    <w:rsid w:val="4D62256C"/>
    <w:rsid w:val="4D6D22A8"/>
    <w:rsid w:val="4D892777"/>
    <w:rsid w:val="4D9C7AE5"/>
    <w:rsid w:val="4DD3727F"/>
    <w:rsid w:val="4DE6182C"/>
    <w:rsid w:val="4DEC4FB0"/>
    <w:rsid w:val="4DFF0074"/>
    <w:rsid w:val="4E075D8A"/>
    <w:rsid w:val="4E1458CD"/>
    <w:rsid w:val="4E355844"/>
    <w:rsid w:val="4E3E294A"/>
    <w:rsid w:val="4E440B30"/>
    <w:rsid w:val="4E4D363F"/>
    <w:rsid w:val="4E5403C0"/>
    <w:rsid w:val="4E546612"/>
    <w:rsid w:val="4E6F51FA"/>
    <w:rsid w:val="4E996594"/>
    <w:rsid w:val="4E9E163B"/>
    <w:rsid w:val="4EC00FAD"/>
    <w:rsid w:val="4EC0524B"/>
    <w:rsid w:val="4EC05A55"/>
    <w:rsid w:val="4ECD70B1"/>
    <w:rsid w:val="4EE03A01"/>
    <w:rsid w:val="4F506DD9"/>
    <w:rsid w:val="4F8847C5"/>
    <w:rsid w:val="4F8B1BBF"/>
    <w:rsid w:val="4F9843DC"/>
    <w:rsid w:val="4FAB51A2"/>
    <w:rsid w:val="4FC62A8C"/>
    <w:rsid w:val="4FD47FD9"/>
    <w:rsid w:val="4FD55530"/>
    <w:rsid w:val="4FE20F0D"/>
    <w:rsid w:val="4FE51552"/>
    <w:rsid w:val="4FF407CF"/>
    <w:rsid w:val="501615A6"/>
    <w:rsid w:val="50243DC2"/>
    <w:rsid w:val="50367039"/>
    <w:rsid w:val="504306EC"/>
    <w:rsid w:val="504F5511"/>
    <w:rsid w:val="50504C4B"/>
    <w:rsid w:val="50763EBE"/>
    <w:rsid w:val="5079410E"/>
    <w:rsid w:val="50884CD3"/>
    <w:rsid w:val="509C6E7C"/>
    <w:rsid w:val="50C23D07"/>
    <w:rsid w:val="50E53551"/>
    <w:rsid w:val="50E61077"/>
    <w:rsid w:val="50F60F20"/>
    <w:rsid w:val="51480B65"/>
    <w:rsid w:val="5162104E"/>
    <w:rsid w:val="51743225"/>
    <w:rsid w:val="51750D79"/>
    <w:rsid w:val="518E6046"/>
    <w:rsid w:val="51960CEF"/>
    <w:rsid w:val="51A24C97"/>
    <w:rsid w:val="51BF3DA2"/>
    <w:rsid w:val="51D51818"/>
    <w:rsid w:val="51D57A6A"/>
    <w:rsid w:val="51EF4B4F"/>
    <w:rsid w:val="52262073"/>
    <w:rsid w:val="52374280"/>
    <w:rsid w:val="524349D3"/>
    <w:rsid w:val="525070F0"/>
    <w:rsid w:val="525941F7"/>
    <w:rsid w:val="525B35E6"/>
    <w:rsid w:val="52953F17"/>
    <w:rsid w:val="52AC429C"/>
    <w:rsid w:val="52DA2A6E"/>
    <w:rsid w:val="52F537F4"/>
    <w:rsid w:val="53117BF3"/>
    <w:rsid w:val="531E2D4A"/>
    <w:rsid w:val="533B56AA"/>
    <w:rsid w:val="53464FC7"/>
    <w:rsid w:val="534C62D2"/>
    <w:rsid w:val="535E496F"/>
    <w:rsid w:val="53650979"/>
    <w:rsid w:val="536F7115"/>
    <w:rsid w:val="538B4884"/>
    <w:rsid w:val="538B5092"/>
    <w:rsid w:val="53A021D8"/>
    <w:rsid w:val="53A039CC"/>
    <w:rsid w:val="53A1505A"/>
    <w:rsid w:val="53B357BF"/>
    <w:rsid w:val="53B9504C"/>
    <w:rsid w:val="53DA4EC3"/>
    <w:rsid w:val="53E73A84"/>
    <w:rsid w:val="540168F4"/>
    <w:rsid w:val="54040192"/>
    <w:rsid w:val="54063E08"/>
    <w:rsid w:val="54103876"/>
    <w:rsid w:val="543437E8"/>
    <w:rsid w:val="5456739E"/>
    <w:rsid w:val="54596EEB"/>
    <w:rsid w:val="545C7FCE"/>
    <w:rsid w:val="546F4C64"/>
    <w:rsid w:val="54736D09"/>
    <w:rsid w:val="54B43966"/>
    <w:rsid w:val="54D062C6"/>
    <w:rsid w:val="54F41FB5"/>
    <w:rsid w:val="54F6367C"/>
    <w:rsid w:val="54F73313"/>
    <w:rsid w:val="54F80955"/>
    <w:rsid w:val="550B4C46"/>
    <w:rsid w:val="550E5216"/>
    <w:rsid w:val="554D5B69"/>
    <w:rsid w:val="555170A7"/>
    <w:rsid w:val="55570796"/>
    <w:rsid w:val="5587536D"/>
    <w:rsid w:val="558F1AD9"/>
    <w:rsid w:val="559B174B"/>
    <w:rsid w:val="55C45E2B"/>
    <w:rsid w:val="55C508FF"/>
    <w:rsid w:val="55CE0CF4"/>
    <w:rsid w:val="55EC13DC"/>
    <w:rsid w:val="561C7481"/>
    <w:rsid w:val="5658621B"/>
    <w:rsid w:val="56617B1E"/>
    <w:rsid w:val="56653EE4"/>
    <w:rsid w:val="566B7552"/>
    <w:rsid w:val="56811426"/>
    <w:rsid w:val="56850191"/>
    <w:rsid w:val="568C7332"/>
    <w:rsid w:val="56B22A9C"/>
    <w:rsid w:val="56BB3AB2"/>
    <w:rsid w:val="56C45400"/>
    <w:rsid w:val="56D576B2"/>
    <w:rsid w:val="56FE0170"/>
    <w:rsid w:val="571E156B"/>
    <w:rsid w:val="573E39BB"/>
    <w:rsid w:val="57401E13"/>
    <w:rsid w:val="57546A51"/>
    <w:rsid w:val="575F654E"/>
    <w:rsid w:val="57747AFF"/>
    <w:rsid w:val="57757206"/>
    <w:rsid w:val="5789732C"/>
    <w:rsid w:val="578D66FC"/>
    <w:rsid w:val="57A665C3"/>
    <w:rsid w:val="57AA2DFF"/>
    <w:rsid w:val="57B65C47"/>
    <w:rsid w:val="57B72A76"/>
    <w:rsid w:val="57B9443D"/>
    <w:rsid w:val="57C3426C"/>
    <w:rsid w:val="57CE1F93"/>
    <w:rsid w:val="57CE5B4E"/>
    <w:rsid w:val="57D361FF"/>
    <w:rsid w:val="57EB795B"/>
    <w:rsid w:val="57F500DB"/>
    <w:rsid w:val="582E3A30"/>
    <w:rsid w:val="58450D79"/>
    <w:rsid w:val="58490869"/>
    <w:rsid w:val="585039A6"/>
    <w:rsid w:val="588743D1"/>
    <w:rsid w:val="5887701A"/>
    <w:rsid w:val="58970CAE"/>
    <w:rsid w:val="58CB5722"/>
    <w:rsid w:val="58F24A5D"/>
    <w:rsid w:val="58FC1D80"/>
    <w:rsid w:val="5931649C"/>
    <w:rsid w:val="594152FB"/>
    <w:rsid w:val="59937BB5"/>
    <w:rsid w:val="599F32A7"/>
    <w:rsid w:val="59C0439F"/>
    <w:rsid w:val="59F31754"/>
    <w:rsid w:val="59FB2037"/>
    <w:rsid w:val="5A136031"/>
    <w:rsid w:val="5A261815"/>
    <w:rsid w:val="5A55681A"/>
    <w:rsid w:val="5A6C083F"/>
    <w:rsid w:val="5A737E1A"/>
    <w:rsid w:val="5A7871E4"/>
    <w:rsid w:val="5A950370"/>
    <w:rsid w:val="5A981B7E"/>
    <w:rsid w:val="5AAA7D6D"/>
    <w:rsid w:val="5ABE2233"/>
    <w:rsid w:val="5AD20FEA"/>
    <w:rsid w:val="5AD60947"/>
    <w:rsid w:val="5ADD09B6"/>
    <w:rsid w:val="5AED1980"/>
    <w:rsid w:val="5B1433B1"/>
    <w:rsid w:val="5B2C79BC"/>
    <w:rsid w:val="5B2F4B5D"/>
    <w:rsid w:val="5B57329D"/>
    <w:rsid w:val="5B59610A"/>
    <w:rsid w:val="5B680FBB"/>
    <w:rsid w:val="5B6B0AF7"/>
    <w:rsid w:val="5B70435F"/>
    <w:rsid w:val="5B991B08"/>
    <w:rsid w:val="5BDF5D95"/>
    <w:rsid w:val="5BEA2363"/>
    <w:rsid w:val="5BFE7528"/>
    <w:rsid w:val="5C007491"/>
    <w:rsid w:val="5C013209"/>
    <w:rsid w:val="5C0C11AB"/>
    <w:rsid w:val="5C115B42"/>
    <w:rsid w:val="5C3830CF"/>
    <w:rsid w:val="5C480E38"/>
    <w:rsid w:val="5C4E644E"/>
    <w:rsid w:val="5C5D2B35"/>
    <w:rsid w:val="5C9D1184"/>
    <w:rsid w:val="5CB15914"/>
    <w:rsid w:val="5CB61876"/>
    <w:rsid w:val="5CBF734C"/>
    <w:rsid w:val="5D245401"/>
    <w:rsid w:val="5D285387"/>
    <w:rsid w:val="5D345257"/>
    <w:rsid w:val="5D6C63EC"/>
    <w:rsid w:val="5D7E7207"/>
    <w:rsid w:val="5DA912B8"/>
    <w:rsid w:val="5DB22A0D"/>
    <w:rsid w:val="5DB37FC3"/>
    <w:rsid w:val="5DB95E38"/>
    <w:rsid w:val="5DD60DF1"/>
    <w:rsid w:val="5DDA35DE"/>
    <w:rsid w:val="5DE605DA"/>
    <w:rsid w:val="5DFF63E8"/>
    <w:rsid w:val="5DFF658A"/>
    <w:rsid w:val="5E086AD1"/>
    <w:rsid w:val="5E2467F1"/>
    <w:rsid w:val="5E443A78"/>
    <w:rsid w:val="5E6F44EB"/>
    <w:rsid w:val="5E79352B"/>
    <w:rsid w:val="5EB616BB"/>
    <w:rsid w:val="5EC6549E"/>
    <w:rsid w:val="5EC70C91"/>
    <w:rsid w:val="5EE917FE"/>
    <w:rsid w:val="5F1A2B43"/>
    <w:rsid w:val="5F1A6ABC"/>
    <w:rsid w:val="5F2D2C93"/>
    <w:rsid w:val="5F37289F"/>
    <w:rsid w:val="5F6D238A"/>
    <w:rsid w:val="5F6E2D3D"/>
    <w:rsid w:val="5F6F03F8"/>
    <w:rsid w:val="5F750196"/>
    <w:rsid w:val="5F7B33F5"/>
    <w:rsid w:val="5FAB5A0C"/>
    <w:rsid w:val="5FB07420"/>
    <w:rsid w:val="5FB837BB"/>
    <w:rsid w:val="5FC44C79"/>
    <w:rsid w:val="5FD63F94"/>
    <w:rsid w:val="5FE17FAA"/>
    <w:rsid w:val="60045394"/>
    <w:rsid w:val="602045A6"/>
    <w:rsid w:val="6040104E"/>
    <w:rsid w:val="60600E46"/>
    <w:rsid w:val="607641C6"/>
    <w:rsid w:val="608D3133"/>
    <w:rsid w:val="60A41345"/>
    <w:rsid w:val="60CC405A"/>
    <w:rsid w:val="60D31618"/>
    <w:rsid w:val="60E3172C"/>
    <w:rsid w:val="61151EBF"/>
    <w:rsid w:val="611E73CB"/>
    <w:rsid w:val="61497AAE"/>
    <w:rsid w:val="614B38A4"/>
    <w:rsid w:val="6167408E"/>
    <w:rsid w:val="61700D72"/>
    <w:rsid w:val="617C4FA9"/>
    <w:rsid w:val="618E7E34"/>
    <w:rsid w:val="61B15B50"/>
    <w:rsid w:val="61C4217C"/>
    <w:rsid w:val="61E215D8"/>
    <w:rsid w:val="61E82EA1"/>
    <w:rsid w:val="61F04EDA"/>
    <w:rsid w:val="61F35432"/>
    <w:rsid w:val="621023F8"/>
    <w:rsid w:val="621B3775"/>
    <w:rsid w:val="62364782"/>
    <w:rsid w:val="62636A90"/>
    <w:rsid w:val="62655B49"/>
    <w:rsid w:val="62742B92"/>
    <w:rsid w:val="62A74B0A"/>
    <w:rsid w:val="62C27B96"/>
    <w:rsid w:val="62DE42A4"/>
    <w:rsid w:val="62E22102"/>
    <w:rsid w:val="62F204AC"/>
    <w:rsid w:val="630D0F27"/>
    <w:rsid w:val="6315416A"/>
    <w:rsid w:val="63223FED"/>
    <w:rsid w:val="63270572"/>
    <w:rsid w:val="63536CC2"/>
    <w:rsid w:val="63726256"/>
    <w:rsid w:val="63805639"/>
    <w:rsid w:val="6394356A"/>
    <w:rsid w:val="63B57D3E"/>
    <w:rsid w:val="63C34E1A"/>
    <w:rsid w:val="63C60FC0"/>
    <w:rsid w:val="63C61B2C"/>
    <w:rsid w:val="63C77D56"/>
    <w:rsid w:val="63C96D02"/>
    <w:rsid w:val="63D40BE9"/>
    <w:rsid w:val="63E37DC4"/>
    <w:rsid w:val="64025C9F"/>
    <w:rsid w:val="64037845"/>
    <w:rsid w:val="64102431"/>
    <w:rsid w:val="64370557"/>
    <w:rsid w:val="644B7900"/>
    <w:rsid w:val="64577609"/>
    <w:rsid w:val="648A6492"/>
    <w:rsid w:val="64940BF9"/>
    <w:rsid w:val="64980FC2"/>
    <w:rsid w:val="64A5243A"/>
    <w:rsid w:val="64A93244"/>
    <w:rsid w:val="64C526D2"/>
    <w:rsid w:val="64D12960"/>
    <w:rsid w:val="64D14BA4"/>
    <w:rsid w:val="64E70969"/>
    <w:rsid w:val="64E9326E"/>
    <w:rsid w:val="64F531DE"/>
    <w:rsid w:val="65077AE2"/>
    <w:rsid w:val="65373578"/>
    <w:rsid w:val="65660CAD"/>
    <w:rsid w:val="65A17F37"/>
    <w:rsid w:val="65A667A0"/>
    <w:rsid w:val="65C37EAD"/>
    <w:rsid w:val="65DB7C2C"/>
    <w:rsid w:val="661132F7"/>
    <w:rsid w:val="663A7A43"/>
    <w:rsid w:val="6648219A"/>
    <w:rsid w:val="66486604"/>
    <w:rsid w:val="667271DD"/>
    <w:rsid w:val="668A04D2"/>
    <w:rsid w:val="669A0C0D"/>
    <w:rsid w:val="669C2119"/>
    <w:rsid w:val="66B27F22"/>
    <w:rsid w:val="66C62436"/>
    <w:rsid w:val="66CD6B09"/>
    <w:rsid w:val="66D71736"/>
    <w:rsid w:val="6703252B"/>
    <w:rsid w:val="6711102D"/>
    <w:rsid w:val="671F124A"/>
    <w:rsid w:val="67220C03"/>
    <w:rsid w:val="672E097B"/>
    <w:rsid w:val="67642FCA"/>
    <w:rsid w:val="67703106"/>
    <w:rsid w:val="677A33C6"/>
    <w:rsid w:val="67894A30"/>
    <w:rsid w:val="678C047D"/>
    <w:rsid w:val="67A71109"/>
    <w:rsid w:val="67B652C8"/>
    <w:rsid w:val="67B850C4"/>
    <w:rsid w:val="67CD60EF"/>
    <w:rsid w:val="67D30150"/>
    <w:rsid w:val="67DA0166"/>
    <w:rsid w:val="67E100D8"/>
    <w:rsid w:val="67E60BCD"/>
    <w:rsid w:val="67FC76A6"/>
    <w:rsid w:val="680A0CEB"/>
    <w:rsid w:val="68117375"/>
    <w:rsid w:val="681F6961"/>
    <w:rsid w:val="684B76B3"/>
    <w:rsid w:val="684C1BA6"/>
    <w:rsid w:val="68610A2F"/>
    <w:rsid w:val="686A39A9"/>
    <w:rsid w:val="68805514"/>
    <w:rsid w:val="6881195A"/>
    <w:rsid w:val="68A613C0"/>
    <w:rsid w:val="68C428AF"/>
    <w:rsid w:val="68D777CC"/>
    <w:rsid w:val="68E403AC"/>
    <w:rsid w:val="69316E2F"/>
    <w:rsid w:val="69401815"/>
    <w:rsid w:val="694E2071"/>
    <w:rsid w:val="69643755"/>
    <w:rsid w:val="696848C8"/>
    <w:rsid w:val="69766163"/>
    <w:rsid w:val="697A3B33"/>
    <w:rsid w:val="698E432E"/>
    <w:rsid w:val="699B0550"/>
    <w:rsid w:val="69AB4EC5"/>
    <w:rsid w:val="69B12074"/>
    <w:rsid w:val="69B95123"/>
    <w:rsid w:val="69C16860"/>
    <w:rsid w:val="69D44760"/>
    <w:rsid w:val="69D54E9A"/>
    <w:rsid w:val="6A1E6870"/>
    <w:rsid w:val="6A2C6C04"/>
    <w:rsid w:val="6A3D7B02"/>
    <w:rsid w:val="6A520EC7"/>
    <w:rsid w:val="6A675BC1"/>
    <w:rsid w:val="6A864604"/>
    <w:rsid w:val="6A8F5CAD"/>
    <w:rsid w:val="6AB1543E"/>
    <w:rsid w:val="6AB941AB"/>
    <w:rsid w:val="6ACC6C40"/>
    <w:rsid w:val="6ACE72B9"/>
    <w:rsid w:val="6AF87E20"/>
    <w:rsid w:val="6B054E3C"/>
    <w:rsid w:val="6B322639"/>
    <w:rsid w:val="6B460C38"/>
    <w:rsid w:val="6B916358"/>
    <w:rsid w:val="6BA50E16"/>
    <w:rsid w:val="6BA83CF4"/>
    <w:rsid w:val="6BBA6C47"/>
    <w:rsid w:val="6BBE368F"/>
    <w:rsid w:val="6BE276E6"/>
    <w:rsid w:val="6BEB6B93"/>
    <w:rsid w:val="6C0B10AF"/>
    <w:rsid w:val="6C272818"/>
    <w:rsid w:val="6C3F4006"/>
    <w:rsid w:val="6C4D5F3C"/>
    <w:rsid w:val="6C5F22BD"/>
    <w:rsid w:val="6C636C38"/>
    <w:rsid w:val="6C7C7CCD"/>
    <w:rsid w:val="6C9E0EE7"/>
    <w:rsid w:val="6CBE4086"/>
    <w:rsid w:val="6CC10EBE"/>
    <w:rsid w:val="6CC14A1B"/>
    <w:rsid w:val="6CDD47F3"/>
    <w:rsid w:val="6CE30E35"/>
    <w:rsid w:val="6D07532C"/>
    <w:rsid w:val="6D3338D4"/>
    <w:rsid w:val="6D3E250F"/>
    <w:rsid w:val="6D4D62AE"/>
    <w:rsid w:val="6D5F0270"/>
    <w:rsid w:val="6D640CDE"/>
    <w:rsid w:val="6D785758"/>
    <w:rsid w:val="6DA666D6"/>
    <w:rsid w:val="6DB34098"/>
    <w:rsid w:val="6DB545B6"/>
    <w:rsid w:val="6DE02FB4"/>
    <w:rsid w:val="6E0207CA"/>
    <w:rsid w:val="6E1A0E32"/>
    <w:rsid w:val="6E1D776A"/>
    <w:rsid w:val="6E2167BB"/>
    <w:rsid w:val="6E295D56"/>
    <w:rsid w:val="6E364F94"/>
    <w:rsid w:val="6E393D5D"/>
    <w:rsid w:val="6E414065"/>
    <w:rsid w:val="6E427397"/>
    <w:rsid w:val="6E514CED"/>
    <w:rsid w:val="6E545B3F"/>
    <w:rsid w:val="6E5C2B5E"/>
    <w:rsid w:val="6E5D3523"/>
    <w:rsid w:val="6E665DB8"/>
    <w:rsid w:val="6E8E6B7E"/>
    <w:rsid w:val="6EB51EC7"/>
    <w:rsid w:val="6EB563D5"/>
    <w:rsid w:val="6ED92677"/>
    <w:rsid w:val="6EDD688C"/>
    <w:rsid w:val="6F047B60"/>
    <w:rsid w:val="6F225983"/>
    <w:rsid w:val="6F231542"/>
    <w:rsid w:val="6F2968A7"/>
    <w:rsid w:val="6F395D17"/>
    <w:rsid w:val="6F40089F"/>
    <w:rsid w:val="6F5D2A4B"/>
    <w:rsid w:val="6F806E0F"/>
    <w:rsid w:val="6FBB6A0F"/>
    <w:rsid w:val="6FFC5590"/>
    <w:rsid w:val="702C1626"/>
    <w:rsid w:val="703E2E37"/>
    <w:rsid w:val="704450C1"/>
    <w:rsid w:val="704E0CBB"/>
    <w:rsid w:val="70516A5F"/>
    <w:rsid w:val="706D1DD0"/>
    <w:rsid w:val="70856B87"/>
    <w:rsid w:val="709F5073"/>
    <w:rsid w:val="70A1528F"/>
    <w:rsid w:val="70AC4E52"/>
    <w:rsid w:val="70BB79D3"/>
    <w:rsid w:val="70C0723F"/>
    <w:rsid w:val="70C1323B"/>
    <w:rsid w:val="70D33773"/>
    <w:rsid w:val="70D527EE"/>
    <w:rsid w:val="70D9300B"/>
    <w:rsid w:val="70E37655"/>
    <w:rsid w:val="712B6906"/>
    <w:rsid w:val="712C2D5D"/>
    <w:rsid w:val="71371FA5"/>
    <w:rsid w:val="715B5300"/>
    <w:rsid w:val="717C1858"/>
    <w:rsid w:val="71862AFA"/>
    <w:rsid w:val="71B00DAF"/>
    <w:rsid w:val="71C4065F"/>
    <w:rsid w:val="71D27F8A"/>
    <w:rsid w:val="7210482C"/>
    <w:rsid w:val="723C411A"/>
    <w:rsid w:val="724C2E5B"/>
    <w:rsid w:val="72541E8D"/>
    <w:rsid w:val="72553024"/>
    <w:rsid w:val="725929C2"/>
    <w:rsid w:val="72B16CBD"/>
    <w:rsid w:val="72B56DCF"/>
    <w:rsid w:val="72DC1E72"/>
    <w:rsid w:val="72F9190C"/>
    <w:rsid w:val="72FA0C86"/>
    <w:rsid w:val="73057541"/>
    <w:rsid w:val="730D6C0C"/>
    <w:rsid w:val="73122968"/>
    <w:rsid w:val="7313705F"/>
    <w:rsid w:val="731F5D5E"/>
    <w:rsid w:val="73495B3B"/>
    <w:rsid w:val="734F0FD2"/>
    <w:rsid w:val="73517D47"/>
    <w:rsid w:val="735759D8"/>
    <w:rsid w:val="73591E51"/>
    <w:rsid w:val="738A3E8E"/>
    <w:rsid w:val="738D5656"/>
    <w:rsid w:val="73974727"/>
    <w:rsid w:val="73A10265"/>
    <w:rsid w:val="73C51AD5"/>
    <w:rsid w:val="73DC0FC6"/>
    <w:rsid w:val="740C0C71"/>
    <w:rsid w:val="74122000"/>
    <w:rsid w:val="741E793C"/>
    <w:rsid w:val="743106D8"/>
    <w:rsid w:val="74512B28"/>
    <w:rsid w:val="74583EB6"/>
    <w:rsid w:val="745E3944"/>
    <w:rsid w:val="7496678D"/>
    <w:rsid w:val="74A72238"/>
    <w:rsid w:val="74E83E7C"/>
    <w:rsid w:val="75040691"/>
    <w:rsid w:val="750E7A5E"/>
    <w:rsid w:val="75176474"/>
    <w:rsid w:val="753D3738"/>
    <w:rsid w:val="75480B51"/>
    <w:rsid w:val="754937FF"/>
    <w:rsid w:val="755A1EB0"/>
    <w:rsid w:val="756D783D"/>
    <w:rsid w:val="75720FA8"/>
    <w:rsid w:val="759E1D9D"/>
    <w:rsid w:val="75A62EA6"/>
    <w:rsid w:val="75DB2B8C"/>
    <w:rsid w:val="75F95225"/>
    <w:rsid w:val="7635099D"/>
    <w:rsid w:val="76423619"/>
    <w:rsid w:val="76761669"/>
    <w:rsid w:val="767D476E"/>
    <w:rsid w:val="76C75323"/>
    <w:rsid w:val="76C84BF7"/>
    <w:rsid w:val="76D2135E"/>
    <w:rsid w:val="76D21C55"/>
    <w:rsid w:val="76EE28B0"/>
    <w:rsid w:val="77345B49"/>
    <w:rsid w:val="773C7ABF"/>
    <w:rsid w:val="77420638"/>
    <w:rsid w:val="77422846"/>
    <w:rsid w:val="7750356B"/>
    <w:rsid w:val="776963DA"/>
    <w:rsid w:val="777032C5"/>
    <w:rsid w:val="77762421"/>
    <w:rsid w:val="779E37D0"/>
    <w:rsid w:val="77A64F39"/>
    <w:rsid w:val="77B56B1F"/>
    <w:rsid w:val="77C60717"/>
    <w:rsid w:val="77E31CE9"/>
    <w:rsid w:val="7803238B"/>
    <w:rsid w:val="78056103"/>
    <w:rsid w:val="780C7EC1"/>
    <w:rsid w:val="780F09F4"/>
    <w:rsid w:val="78174088"/>
    <w:rsid w:val="782D7408"/>
    <w:rsid w:val="7830373B"/>
    <w:rsid w:val="78320734"/>
    <w:rsid w:val="783A4797"/>
    <w:rsid w:val="784C0E44"/>
    <w:rsid w:val="784F3822"/>
    <w:rsid w:val="7856695F"/>
    <w:rsid w:val="78574485"/>
    <w:rsid w:val="78744FB9"/>
    <w:rsid w:val="78874D6A"/>
    <w:rsid w:val="78A90480"/>
    <w:rsid w:val="78AD0549"/>
    <w:rsid w:val="78C457CB"/>
    <w:rsid w:val="78D10F35"/>
    <w:rsid w:val="78EB68CB"/>
    <w:rsid w:val="78F25CD4"/>
    <w:rsid w:val="78F65BC2"/>
    <w:rsid w:val="78F66D14"/>
    <w:rsid w:val="79144124"/>
    <w:rsid w:val="791D747D"/>
    <w:rsid w:val="792014F9"/>
    <w:rsid w:val="79340442"/>
    <w:rsid w:val="794A61F8"/>
    <w:rsid w:val="7956584A"/>
    <w:rsid w:val="79654E1B"/>
    <w:rsid w:val="797641D3"/>
    <w:rsid w:val="79B90E3C"/>
    <w:rsid w:val="79C21DD2"/>
    <w:rsid w:val="79D50FEB"/>
    <w:rsid w:val="79D7587D"/>
    <w:rsid w:val="7A170CE6"/>
    <w:rsid w:val="7A364017"/>
    <w:rsid w:val="7A3D52A0"/>
    <w:rsid w:val="7A661C50"/>
    <w:rsid w:val="7A6D1EE1"/>
    <w:rsid w:val="7A6D4434"/>
    <w:rsid w:val="7A8265E1"/>
    <w:rsid w:val="7ABB17FE"/>
    <w:rsid w:val="7AC573D2"/>
    <w:rsid w:val="7ACA7A50"/>
    <w:rsid w:val="7ACD6773"/>
    <w:rsid w:val="7AD909C1"/>
    <w:rsid w:val="7B4A207F"/>
    <w:rsid w:val="7B591410"/>
    <w:rsid w:val="7B656EB9"/>
    <w:rsid w:val="7B670E83"/>
    <w:rsid w:val="7B686D42"/>
    <w:rsid w:val="7B696DA7"/>
    <w:rsid w:val="7B841746"/>
    <w:rsid w:val="7B886CB4"/>
    <w:rsid w:val="7B8C6B3B"/>
    <w:rsid w:val="7BCB45C1"/>
    <w:rsid w:val="7BE129E3"/>
    <w:rsid w:val="7BF23706"/>
    <w:rsid w:val="7BF4764D"/>
    <w:rsid w:val="7C195F24"/>
    <w:rsid w:val="7C1D518C"/>
    <w:rsid w:val="7C39281F"/>
    <w:rsid w:val="7C3C0ECD"/>
    <w:rsid w:val="7C464F3C"/>
    <w:rsid w:val="7C466CEA"/>
    <w:rsid w:val="7C5B5AA2"/>
    <w:rsid w:val="7C604B5F"/>
    <w:rsid w:val="7C66113B"/>
    <w:rsid w:val="7C6C1C42"/>
    <w:rsid w:val="7C6C5AC7"/>
    <w:rsid w:val="7C7D681E"/>
    <w:rsid w:val="7C86226E"/>
    <w:rsid w:val="7CA84BB2"/>
    <w:rsid w:val="7CC6544B"/>
    <w:rsid w:val="7CD10CAA"/>
    <w:rsid w:val="7CE33047"/>
    <w:rsid w:val="7CE738D0"/>
    <w:rsid w:val="7CF01036"/>
    <w:rsid w:val="7CF15696"/>
    <w:rsid w:val="7CF32911"/>
    <w:rsid w:val="7D0239FF"/>
    <w:rsid w:val="7D1244BE"/>
    <w:rsid w:val="7D153409"/>
    <w:rsid w:val="7D16490F"/>
    <w:rsid w:val="7D175F30"/>
    <w:rsid w:val="7D1A7E38"/>
    <w:rsid w:val="7D254B52"/>
    <w:rsid w:val="7D286527"/>
    <w:rsid w:val="7D594473"/>
    <w:rsid w:val="7D5B69B0"/>
    <w:rsid w:val="7D5E40CD"/>
    <w:rsid w:val="7D7D04EA"/>
    <w:rsid w:val="7D845D1C"/>
    <w:rsid w:val="7D9D6DDE"/>
    <w:rsid w:val="7DA04B7A"/>
    <w:rsid w:val="7DA41F1A"/>
    <w:rsid w:val="7DCD56F2"/>
    <w:rsid w:val="7DDF3B17"/>
    <w:rsid w:val="7DF134A2"/>
    <w:rsid w:val="7E02363C"/>
    <w:rsid w:val="7E060918"/>
    <w:rsid w:val="7E1D766B"/>
    <w:rsid w:val="7E4B05E8"/>
    <w:rsid w:val="7E627D6D"/>
    <w:rsid w:val="7E633982"/>
    <w:rsid w:val="7E6D74BD"/>
    <w:rsid w:val="7E95402B"/>
    <w:rsid w:val="7EA63A70"/>
    <w:rsid w:val="7EBD7735"/>
    <w:rsid w:val="7EC81C39"/>
    <w:rsid w:val="7ED4682F"/>
    <w:rsid w:val="7EEF18BB"/>
    <w:rsid w:val="7EF07605"/>
    <w:rsid w:val="7EFC53A4"/>
    <w:rsid w:val="7EFC7B34"/>
    <w:rsid w:val="7F001CE7"/>
    <w:rsid w:val="7F1F5972"/>
    <w:rsid w:val="7F370E72"/>
    <w:rsid w:val="7F604567"/>
    <w:rsid w:val="7F820039"/>
    <w:rsid w:val="7F9F5FE5"/>
    <w:rsid w:val="7FB4040F"/>
    <w:rsid w:val="7FDB51AB"/>
    <w:rsid w:val="7FE47E50"/>
    <w:rsid w:val="7FF17869"/>
    <w:rsid w:val="FF5B6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39"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59" w:semiHidden="0" w:name="Table Grid"/>
    <w:lsdException w:unhideWhenUsed="0" w:uiPriority="0" w:semiHidden="0" w:name="Table Theme" w:locked="1"/>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locked/>
    <w:uiPriority w:val="0"/>
    <w:pPr>
      <w:keepNext/>
      <w:keepLines/>
      <w:widowControl/>
      <w:numPr>
        <w:ilvl w:val="1"/>
        <w:numId w:val="1"/>
      </w:numPr>
      <w:spacing w:before="50" w:beforeLines="50" w:after="50" w:afterLines="50"/>
      <w:outlineLvl w:val="1"/>
    </w:pPr>
    <w:rPr>
      <w:rFonts w:ascii="Calibri" w:hAnsi="Calibri" w:eastAsia="黑体"/>
      <w:color w:val="000000"/>
      <w:sz w:val="30"/>
      <w:szCs w:val="21"/>
    </w:rPr>
  </w:style>
  <w:style w:type="paragraph" w:styleId="5">
    <w:name w:val="heading 4"/>
    <w:basedOn w:val="1"/>
    <w:next w:val="1"/>
    <w:qFormat/>
    <w:locked/>
    <w:uiPriority w:val="9"/>
    <w:pPr>
      <w:keepNext/>
      <w:keepLines/>
      <w:spacing w:before="280" w:after="290" w:line="376" w:lineRule="auto"/>
      <w:outlineLvl w:val="3"/>
    </w:pPr>
    <w:rPr>
      <w:rFonts w:ascii="Cambria" w:hAnsi="Cambria"/>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28"/>
    <w:qFormat/>
    <w:uiPriority w:val="0"/>
    <w:pPr>
      <w:pBdr>
        <w:bottom w:val="single" w:color="auto" w:sz="6" w:space="1"/>
      </w:pBdr>
      <w:tabs>
        <w:tab w:val="center" w:pos="4153"/>
        <w:tab w:val="right" w:pos="8306"/>
      </w:tabs>
      <w:snapToGrid w:val="0"/>
      <w:jc w:val="center"/>
    </w:pPr>
    <w:rPr>
      <w:kern w:val="0"/>
      <w:sz w:val="18"/>
      <w:szCs w:val="20"/>
    </w:rPr>
  </w:style>
  <w:style w:type="paragraph" w:styleId="6">
    <w:name w:val="Normal Indent"/>
    <w:basedOn w:val="1"/>
    <w:qFormat/>
    <w:locked/>
    <w:uiPriority w:val="0"/>
    <w:pPr>
      <w:ind w:firstLine="420" w:firstLineChars="200"/>
    </w:pPr>
  </w:style>
  <w:style w:type="paragraph" w:styleId="7">
    <w:name w:val="annotation text"/>
    <w:basedOn w:val="1"/>
    <w:link w:val="29"/>
    <w:qFormat/>
    <w:uiPriority w:val="0"/>
    <w:pPr>
      <w:jc w:val="left"/>
    </w:pPr>
    <w:rPr>
      <w:kern w:val="0"/>
      <w:sz w:val="24"/>
      <w:szCs w:val="20"/>
    </w:rPr>
  </w:style>
  <w:style w:type="paragraph" w:styleId="8">
    <w:name w:val="Body Text"/>
    <w:basedOn w:val="1"/>
    <w:next w:val="1"/>
    <w:link w:val="30"/>
    <w:qFormat/>
    <w:uiPriority w:val="0"/>
    <w:pPr>
      <w:widowControl/>
      <w:snapToGrid w:val="0"/>
      <w:spacing w:before="60" w:after="160" w:line="259" w:lineRule="auto"/>
      <w:ind w:right="113"/>
    </w:pPr>
    <w:rPr>
      <w:kern w:val="0"/>
      <w:sz w:val="18"/>
      <w:szCs w:val="20"/>
    </w:rPr>
  </w:style>
  <w:style w:type="paragraph" w:styleId="9">
    <w:name w:val="Body Text Indent"/>
    <w:basedOn w:val="1"/>
    <w:link w:val="31"/>
    <w:qFormat/>
    <w:uiPriority w:val="0"/>
    <w:pPr>
      <w:spacing w:after="120"/>
      <w:ind w:left="420" w:leftChars="200"/>
    </w:pPr>
    <w:rPr>
      <w:kern w:val="0"/>
      <w:sz w:val="24"/>
      <w:szCs w:val="20"/>
    </w:rPr>
  </w:style>
  <w:style w:type="paragraph" w:styleId="10">
    <w:name w:val="toc 5"/>
    <w:basedOn w:val="1"/>
    <w:next w:val="1"/>
    <w:qFormat/>
    <w:locked/>
    <w:uiPriority w:val="39"/>
    <w:pPr>
      <w:ind w:left="840"/>
      <w:jc w:val="left"/>
    </w:pPr>
    <w:rPr>
      <w:sz w:val="18"/>
      <w:szCs w:val="18"/>
    </w:rPr>
  </w:style>
  <w:style w:type="paragraph" w:styleId="11">
    <w:name w:val="Plain Text"/>
    <w:basedOn w:val="1"/>
    <w:next w:val="12"/>
    <w:qFormat/>
    <w:locked/>
    <w:uiPriority w:val="0"/>
    <w:rPr>
      <w:rFonts w:ascii="宋体" w:hAnsi="Courier New"/>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Date"/>
    <w:basedOn w:val="1"/>
    <w:next w:val="1"/>
    <w:link w:val="32"/>
    <w:qFormat/>
    <w:uiPriority w:val="0"/>
    <w:pPr>
      <w:ind w:left="100" w:leftChars="2500"/>
    </w:pPr>
    <w:rPr>
      <w:kern w:val="0"/>
      <w:sz w:val="24"/>
      <w:szCs w:val="20"/>
    </w:rPr>
  </w:style>
  <w:style w:type="paragraph" w:styleId="14">
    <w:name w:val="Body Text Indent 2"/>
    <w:basedOn w:val="1"/>
    <w:qFormat/>
    <w:locked/>
    <w:uiPriority w:val="0"/>
    <w:pPr>
      <w:spacing w:line="400" w:lineRule="exact"/>
      <w:ind w:firstLine="570"/>
    </w:pPr>
    <w:rPr>
      <w:color w:val="000000"/>
      <w:sz w:val="28"/>
    </w:rPr>
  </w:style>
  <w:style w:type="paragraph" w:styleId="15">
    <w:name w:val="Balloon Text"/>
    <w:basedOn w:val="1"/>
    <w:link w:val="33"/>
    <w:semiHidden/>
    <w:qFormat/>
    <w:uiPriority w:val="0"/>
    <w:rPr>
      <w:kern w:val="0"/>
      <w:sz w:val="18"/>
      <w:szCs w:val="20"/>
    </w:rPr>
  </w:style>
  <w:style w:type="paragraph" w:styleId="16">
    <w:name w:val="footer"/>
    <w:basedOn w:val="1"/>
    <w:link w:val="34"/>
    <w:qFormat/>
    <w:uiPriority w:val="99"/>
    <w:pPr>
      <w:tabs>
        <w:tab w:val="center" w:pos="4153"/>
        <w:tab w:val="right" w:pos="8306"/>
      </w:tabs>
      <w:snapToGrid w:val="0"/>
      <w:jc w:val="left"/>
    </w:pPr>
    <w:rPr>
      <w:kern w:val="0"/>
      <w:sz w:val="18"/>
      <w:szCs w:val="20"/>
    </w:rPr>
  </w:style>
  <w:style w:type="paragraph" w:styleId="17">
    <w:name w:val="index heading"/>
    <w:basedOn w:val="1"/>
    <w:next w:val="18"/>
    <w:qFormat/>
    <w:locked/>
    <w:uiPriority w:val="0"/>
    <w:rPr>
      <w:rFonts w:ascii="Arial" w:hAnsi="Arial"/>
      <w:b/>
    </w:rPr>
  </w:style>
  <w:style w:type="paragraph" w:styleId="18">
    <w:name w:val="index 1"/>
    <w:basedOn w:val="1"/>
    <w:next w:val="1"/>
    <w:semiHidden/>
    <w:qFormat/>
    <w:locked/>
    <w:uiPriority w:val="0"/>
    <w:pPr>
      <w:adjustRightInd w:val="0"/>
      <w:snapToGrid w:val="0"/>
      <w:ind w:firstLine="823" w:firstLineChars="358"/>
      <w:jc w:val="left"/>
    </w:pPr>
    <w:rPr>
      <w:rFonts w:ascii="宋体" w:hAnsi="宋体"/>
      <w:spacing w:val="10"/>
    </w:rPr>
  </w:style>
  <w:style w:type="paragraph" w:styleId="19">
    <w:name w:val="Normal (Web)"/>
    <w:basedOn w:val="1"/>
    <w:link w:val="35"/>
    <w:qFormat/>
    <w:uiPriority w:val="99"/>
    <w:pPr>
      <w:widowControl/>
      <w:spacing w:before="100" w:beforeAutospacing="1" w:after="100" w:afterAutospacing="1"/>
      <w:jc w:val="left"/>
    </w:pPr>
    <w:rPr>
      <w:rFonts w:ascii="宋体" w:hAnsi="宋体"/>
      <w:kern w:val="0"/>
      <w:sz w:val="24"/>
      <w:szCs w:val="20"/>
    </w:rPr>
  </w:style>
  <w:style w:type="paragraph" w:styleId="20">
    <w:name w:val="Title"/>
    <w:basedOn w:val="1"/>
    <w:next w:val="1"/>
    <w:qFormat/>
    <w:locked/>
    <w:uiPriority w:val="0"/>
    <w:pPr>
      <w:spacing w:before="240" w:after="60"/>
      <w:jc w:val="center"/>
      <w:outlineLvl w:val="0"/>
    </w:pPr>
    <w:rPr>
      <w:rFonts w:ascii="Cambria" w:hAnsi="Cambria"/>
      <w:b/>
      <w:bCs/>
      <w:sz w:val="32"/>
      <w:szCs w:val="32"/>
    </w:rPr>
  </w:style>
  <w:style w:type="paragraph" w:styleId="21">
    <w:name w:val="annotation subject"/>
    <w:basedOn w:val="7"/>
    <w:next w:val="7"/>
    <w:link w:val="36"/>
    <w:semiHidden/>
    <w:qFormat/>
    <w:uiPriority w:val="0"/>
    <w:rPr>
      <w:b/>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locked/>
    <w:uiPriority w:val="0"/>
  </w:style>
  <w:style w:type="character" w:styleId="26">
    <w:name w:val="Hyperlink"/>
    <w:qFormat/>
    <w:locked/>
    <w:uiPriority w:val="0"/>
    <w:rPr>
      <w:color w:val="0000FF"/>
      <w:u w:val="single"/>
    </w:rPr>
  </w:style>
  <w:style w:type="character" w:styleId="27">
    <w:name w:val="annotation reference"/>
    <w:qFormat/>
    <w:uiPriority w:val="0"/>
    <w:rPr>
      <w:sz w:val="21"/>
    </w:rPr>
  </w:style>
  <w:style w:type="character" w:customStyle="1" w:styleId="28">
    <w:name w:val="页眉 Char"/>
    <w:link w:val="2"/>
    <w:qFormat/>
    <w:locked/>
    <w:uiPriority w:val="0"/>
    <w:rPr>
      <w:sz w:val="18"/>
    </w:rPr>
  </w:style>
  <w:style w:type="character" w:customStyle="1" w:styleId="29">
    <w:name w:val="批注文字 Char"/>
    <w:link w:val="7"/>
    <w:qFormat/>
    <w:locked/>
    <w:uiPriority w:val="0"/>
    <w:rPr>
      <w:rFonts w:ascii="Times New Roman" w:hAnsi="Times New Roman" w:eastAsia="宋体"/>
      <w:sz w:val="24"/>
    </w:rPr>
  </w:style>
  <w:style w:type="character" w:customStyle="1" w:styleId="30">
    <w:name w:val="正文文本 Char"/>
    <w:link w:val="8"/>
    <w:qFormat/>
    <w:locked/>
    <w:uiPriority w:val="0"/>
    <w:rPr>
      <w:sz w:val="18"/>
    </w:rPr>
  </w:style>
  <w:style w:type="character" w:customStyle="1" w:styleId="31">
    <w:name w:val="正文文本缩进 Char"/>
    <w:link w:val="9"/>
    <w:semiHidden/>
    <w:qFormat/>
    <w:locked/>
    <w:uiPriority w:val="0"/>
    <w:rPr>
      <w:rFonts w:ascii="Times New Roman" w:hAnsi="Times New Roman" w:eastAsia="宋体"/>
      <w:sz w:val="24"/>
    </w:rPr>
  </w:style>
  <w:style w:type="character" w:customStyle="1" w:styleId="32">
    <w:name w:val="日期 Char"/>
    <w:link w:val="13"/>
    <w:qFormat/>
    <w:locked/>
    <w:uiPriority w:val="0"/>
    <w:rPr>
      <w:rFonts w:ascii="Times New Roman" w:hAnsi="Times New Roman" w:eastAsia="宋体"/>
      <w:sz w:val="24"/>
    </w:rPr>
  </w:style>
  <w:style w:type="character" w:customStyle="1" w:styleId="33">
    <w:name w:val="批注框文本 Char"/>
    <w:link w:val="15"/>
    <w:semiHidden/>
    <w:qFormat/>
    <w:locked/>
    <w:uiPriority w:val="0"/>
    <w:rPr>
      <w:rFonts w:ascii="Times New Roman" w:hAnsi="Times New Roman" w:eastAsia="宋体"/>
      <w:sz w:val="18"/>
    </w:rPr>
  </w:style>
  <w:style w:type="character" w:customStyle="1" w:styleId="34">
    <w:name w:val="页脚 Char"/>
    <w:link w:val="16"/>
    <w:qFormat/>
    <w:locked/>
    <w:uiPriority w:val="99"/>
    <w:rPr>
      <w:sz w:val="18"/>
    </w:rPr>
  </w:style>
  <w:style w:type="character" w:customStyle="1" w:styleId="35">
    <w:name w:val="普通(网站) Char"/>
    <w:link w:val="19"/>
    <w:qFormat/>
    <w:locked/>
    <w:uiPriority w:val="0"/>
    <w:rPr>
      <w:rFonts w:ascii="宋体" w:hAnsi="宋体" w:eastAsia="宋体"/>
      <w:sz w:val="24"/>
    </w:rPr>
  </w:style>
  <w:style w:type="character" w:customStyle="1" w:styleId="36">
    <w:name w:val="批注主题 Char"/>
    <w:link w:val="21"/>
    <w:semiHidden/>
    <w:qFormat/>
    <w:locked/>
    <w:uiPriority w:val="0"/>
    <w:rPr>
      <w:rFonts w:ascii="Times New Roman" w:hAnsi="Times New Roman" w:eastAsia="宋体"/>
      <w:b/>
      <w:kern w:val="2"/>
      <w:sz w:val="24"/>
    </w:rPr>
  </w:style>
  <w:style w:type="paragraph" w:customStyle="1" w:styleId="37">
    <w:name w:val="正文文本首行缩进"/>
    <w:basedOn w:val="8"/>
    <w:qFormat/>
    <w:locked/>
    <w:uiPriority w:val="0"/>
    <w:pPr>
      <w:spacing w:after="120" w:line="240" w:lineRule="auto"/>
      <w:ind w:firstLine="420" w:firstLineChars="100"/>
    </w:pPr>
  </w:style>
  <w:style w:type="paragraph" w:customStyle="1" w:styleId="38">
    <w:name w:val="正文文本首行缩进 2"/>
    <w:basedOn w:val="9"/>
    <w:next w:val="1"/>
    <w:qFormat/>
    <w:locked/>
    <w:uiPriority w:val="0"/>
    <w:pPr>
      <w:topLinePunct/>
      <w:ind w:firstLine="420" w:firstLineChars="200"/>
    </w:pPr>
    <w:rPr>
      <w:rFonts w:eastAsia="华文仿宋"/>
      <w:sz w:val="28"/>
    </w:rPr>
  </w:style>
  <w:style w:type="character" w:customStyle="1" w:styleId="39">
    <w:name w:val="页脚 字符"/>
    <w:qFormat/>
    <w:uiPriority w:val="99"/>
  </w:style>
  <w:style w:type="character" w:customStyle="1" w:styleId="40">
    <w:name w:val="正文文本 字符1"/>
    <w:semiHidden/>
    <w:qFormat/>
    <w:uiPriority w:val="0"/>
    <w:rPr>
      <w:rFonts w:ascii="Times New Roman" w:hAnsi="Times New Roman" w:eastAsia="宋体"/>
      <w:sz w:val="24"/>
    </w:rPr>
  </w:style>
  <w:style w:type="character" w:customStyle="1" w:styleId="41">
    <w:name w:val="表格 Char"/>
    <w:link w:val="42"/>
    <w:qFormat/>
    <w:locked/>
    <w:uiPriority w:val="0"/>
    <w:rPr>
      <w:rFonts w:ascii="宋体"/>
      <w:sz w:val="21"/>
    </w:rPr>
  </w:style>
  <w:style w:type="paragraph" w:customStyle="1" w:styleId="42">
    <w:name w:val="表格"/>
    <w:basedOn w:val="1"/>
    <w:next w:val="1"/>
    <w:link w:val="41"/>
    <w:qFormat/>
    <w:uiPriority w:val="0"/>
    <w:pPr>
      <w:adjustRightInd w:val="0"/>
      <w:snapToGrid w:val="0"/>
      <w:spacing w:beforeLines="10" w:afterLines="10" w:line="259" w:lineRule="auto"/>
      <w:jc w:val="center"/>
    </w:pPr>
    <w:rPr>
      <w:rFonts w:ascii="宋体"/>
      <w:kern w:val="0"/>
      <w:szCs w:val="20"/>
    </w:rPr>
  </w:style>
  <w:style w:type="character" w:customStyle="1" w:styleId="43">
    <w:name w:val="日期 字符"/>
    <w:semiHidden/>
    <w:qFormat/>
    <w:uiPriority w:val="0"/>
    <w:rPr>
      <w:rFonts w:ascii="Times New Roman" w:hAnsi="Times New Roman" w:eastAsia="宋体"/>
      <w:sz w:val="24"/>
    </w:rPr>
  </w:style>
  <w:style w:type="character" w:customStyle="1" w:styleId="44">
    <w:name w:val="批注文字 字符1"/>
    <w:semiHidden/>
    <w:qFormat/>
    <w:uiPriority w:val="0"/>
    <w:rPr>
      <w:rFonts w:ascii="Times New Roman" w:hAnsi="Times New Roman" w:eastAsia="宋体"/>
      <w:sz w:val="24"/>
    </w:rPr>
  </w:style>
  <w:style w:type="paragraph" w:customStyle="1" w:styleId="45">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7">
    <w:name w:val="样式1"/>
    <w:basedOn w:val="1"/>
    <w:qFormat/>
    <w:uiPriority w:val="0"/>
    <w:pPr>
      <w:spacing w:line="360" w:lineRule="auto"/>
      <w:ind w:firstLine="510"/>
    </w:pPr>
    <w:rPr>
      <w:sz w:val="24"/>
      <w:szCs w:val="20"/>
    </w:rPr>
  </w:style>
  <w:style w:type="paragraph" w:customStyle="1" w:styleId="48">
    <w:name w:val="文本"/>
    <w:basedOn w:val="1"/>
    <w:qFormat/>
    <w:uiPriority w:val="0"/>
    <w:pPr>
      <w:spacing w:line="360" w:lineRule="auto"/>
      <w:ind w:firstLine="480" w:firstLineChars="200"/>
    </w:pPr>
    <w:rPr>
      <w:sz w:val="24"/>
    </w:rPr>
  </w:style>
  <w:style w:type="paragraph" w:customStyle="1" w:styleId="49">
    <w:name w:val="表格填充1"/>
    <w:basedOn w:val="11"/>
    <w:qFormat/>
    <w:uiPriority w:val="0"/>
    <w:pPr>
      <w:adjustRightInd w:val="0"/>
      <w:snapToGrid w:val="0"/>
      <w:spacing w:line="400" w:lineRule="exact"/>
      <w:jc w:val="center"/>
    </w:pPr>
    <w:rPr>
      <w:rFonts w:hAnsi="宋体" w:cs="宋体"/>
      <w:snapToGrid w:val="0"/>
      <w:szCs w:val="18"/>
    </w:rPr>
  </w:style>
  <w:style w:type="paragraph" w:customStyle="1" w:styleId="50">
    <w:name w:val="表格文字"/>
    <w:basedOn w:val="1"/>
    <w:qFormat/>
    <w:uiPriority w:val="0"/>
    <w:pPr>
      <w:spacing w:line="360" w:lineRule="exact"/>
      <w:jc w:val="center"/>
    </w:pPr>
    <w:rPr>
      <w:rFonts w:ascii="宋体" w:hAnsi="宋体"/>
      <w:sz w:val="24"/>
    </w:rPr>
  </w:style>
  <w:style w:type="paragraph" w:customStyle="1" w:styleId="51">
    <w:name w:val="表格文字1"/>
    <w:basedOn w:val="1"/>
    <w:qFormat/>
    <w:uiPriority w:val="0"/>
    <w:pPr>
      <w:adjustRightInd w:val="0"/>
      <w:snapToGrid w:val="0"/>
      <w:spacing w:line="360" w:lineRule="atLeast"/>
      <w:jc w:val="center"/>
    </w:pPr>
    <w:rPr>
      <w:rFonts w:ascii="宋体" w:hAnsi="宋体"/>
      <w:sz w:val="24"/>
    </w:rPr>
  </w:style>
  <w:style w:type="paragraph" w:styleId="52">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
    <w:name w:val="表头"/>
    <w:basedOn w:val="1"/>
    <w:qFormat/>
    <w:uiPriority w:val="0"/>
    <w:pPr>
      <w:spacing w:before="120" w:line="520" w:lineRule="atLeast"/>
      <w:jc w:val="center"/>
    </w:pPr>
    <w:rPr>
      <w:rFonts w:ascii="宋体" w:hAnsi="宋体"/>
      <w:b/>
      <w:sz w:val="24"/>
    </w:rPr>
  </w:style>
  <w:style w:type="paragraph" w:customStyle="1" w:styleId="54">
    <w:name w:val="表内容"/>
    <w:basedOn w:val="1"/>
    <w:next w:val="1"/>
    <w:qFormat/>
    <w:uiPriority w:val="0"/>
    <w:pPr>
      <w:widowControl/>
      <w:jc w:val="center"/>
    </w:pPr>
    <w:rPr>
      <w:rFonts w:ascii="宋体" w:hAnsi="宋体" w:cs="宋体"/>
      <w:kern w:val="0"/>
      <w:sz w:val="18"/>
      <w:szCs w:val="20"/>
    </w:rPr>
  </w:style>
  <w:style w:type="paragraph" w:customStyle="1" w:styleId="55">
    <w:name w:val="Table Paragraph"/>
    <w:basedOn w:val="1"/>
    <w:qFormat/>
    <w:uiPriority w:val="1"/>
    <w:pPr>
      <w:autoSpaceDE w:val="0"/>
      <w:autoSpaceDN w:val="0"/>
      <w:adjustRightInd w:val="0"/>
      <w:jc w:val="left"/>
    </w:pPr>
    <w:rPr>
      <w:color w:val="FF0000"/>
      <w:kern w:val="0"/>
      <w:sz w:val="24"/>
    </w:rPr>
  </w:style>
  <w:style w:type="paragraph" w:customStyle="1" w:styleId="56">
    <w:name w:val="正文000"/>
    <w:basedOn w:val="1"/>
    <w:qFormat/>
    <w:uiPriority w:val="0"/>
    <w:pPr>
      <w:adjustRightInd w:val="0"/>
      <w:spacing w:line="360" w:lineRule="auto"/>
      <w:ind w:firstLine="480" w:firstLineChars="200"/>
      <w:textAlignment w:val="center"/>
    </w:pPr>
    <w:rPr>
      <w:kern w:val="0"/>
      <w:sz w:val="24"/>
      <w:szCs w:val="20"/>
    </w:rPr>
  </w:style>
  <w:style w:type="paragraph" w:customStyle="1" w:styleId="57">
    <w:name w:val="WPSOffice手动目录 1"/>
    <w:qFormat/>
    <w:uiPriority w:val="0"/>
    <w:rPr>
      <w:rFonts w:ascii="Times New Roman" w:hAnsi="Times New Roman" w:eastAsia="宋体" w:cs="Times New Roman"/>
      <w:lang w:val="en-US" w:eastAsia="zh-CN" w:bidi="ar-SA"/>
    </w:rPr>
  </w:style>
  <w:style w:type="paragraph" w:customStyle="1" w:styleId="58">
    <w:name w:val="报告表正文"/>
    <w:basedOn w:val="1"/>
    <w:qFormat/>
    <w:uiPriority w:val="0"/>
    <w:pPr>
      <w:adjustRightInd w:val="0"/>
      <w:spacing w:line="300" w:lineRule="auto"/>
      <w:ind w:left="113" w:right="113"/>
      <w:textAlignment w:val="baseline"/>
    </w:pPr>
    <w:rPr>
      <w:kern w:val="0"/>
      <w:sz w:val="24"/>
      <w:szCs w:val="20"/>
    </w:rPr>
  </w:style>
  <w:style w:type="paragraph" w:customStyle="1" w:styleId="59">
    <w:name w:val="p0"/>
    <w:basedOn w:val="1"/>
    <w:qFormat/>
    <w:uiPriority w:val="0"/>
    <w:pPr>
      <w:widowControl/>
    </w:pPr>
    <w:rPr>
      <w:kern w:val="0"/>
      <w:szCs w:val="21"/>
    </w:rPr>
  </w:style>
  <w:style w:type="paragraph" w:customStyle="1" w:styleId="60">
    <w:name w:val="正文首行缩进2"/>
    <w:basedOn w:val="1"/>
    <w:qFormat/>
    <w:uiPriority w:val="99"/>
    <w:pPr>
      <w:spacing w:line="500" w:lineRule="atLeast"/>
      <w:ind w:firstLine="560"/>
    </w:pPr>
  </w:style>
  <w:style w:type="paragraph" w:customStyle="1" w:styleId="61">
    <w:name w:val="正常段落"/>
    <w:basedOn w:val="6"/>
    <w:qFormat/>
    <w:uiPriority w:val="0"/>
    <w:pPr>
      <w:spacing w:line="440" w:lineRule="exact"/>
      <w:ind w:firstLine="0" w:firstLineChars="0"/>
    </w:pPr>
    <w:rPr>
      <w:rFonts w:ascii="宋体" w:hAnsi="宋体"/>
      <w:kern w:val="0"/>
      <w:sz w:val="24"/>
      <w:szCs w:val="20"/>
    </w:rPr>
  </w:style>
  <w:style w:type="character" w:customStyle="1" w:styleId="62">
    <w:name w:val="NormalCharacter"/>
    <w:qFormat/>
    <w:uiPriority w:val="0"/>
    <w:rPr>
      <w:rFonts w:ascii="Times New Roman" w:hAnsi="Times New Roman" w:eastAsia="宋体" w:cs="Times New Roman"/>
    </w:rPr>
  </w:style>
  <w:style w:type="character" w:customStyle="1" w:styleId="63">
    <w:name w:val="批注文字 Char1"/>
    <w:qFormat/>
    <w:uiPriority w:val="0"/>
    <w:rPr>
      <w:rFonts w:ascii="仿宋_GB2312" w:hAnsi="仿宋" w:eastAsia="仿宋_GB2312" w:cs="Times New Roman"/>
      <w:kern w:val="0"/>
      <w:sz w:val="32"/>
      <w:szCs w:val="32"/>
    </w:rPr>
  </w:style>
  <w:style w:type="character" w:styleId="64">
    <w:name w:val="Placeholder Text"/>
    <w:basedOn w:val="24"/>
    <w:unhideWhenUsed/>
    <w:qFormat/>
    <w:uiPriority w:val="99"/>
    <w:rPr>
      <w:color w:val="808080"/>
    </w:rPr>
  </w:style>
  <w:style w:type="character" w:customStyle="1" w:styleId="65">
    <w:name w:val="表格 Char Char"/>
    <w:qFormat/>
    <w:uiPriority w:val="0"/>
    <w:rPr>
      <w:rFonts w:cs="Arial Unicode MS"/>
      <w:color w:val="000000"/>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72</Pages>
  <Words>43371</Words>
  <Characters>52395</Characters>
  <Lines>418</Lines>
  <Paragraphs>117</Paragraphs>
  <TotalTime>6</TotalTime>
  <ScaleCrop>false</ScaleCrop>
  <LinksUpToDate>false</LinksUpToDate>
  <CharactersWithSpaces>52895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2022-10-24T18:16:00Z</dcterms:created>
  <dc:creator>个人用户</dc:creator>
  <cp:lastModifiedBy>user</cp:lastModifiedBy>
  <cp:lastPrinted>2022-11-22T16:16:00Z</cp:lastPrinted>
  <dcterms:modified xsi:type="dcterms:W3CDTF">2023-04-06T16:09:30Z</dcterms:modified>
  <dc:title>附件2</dc:title>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6A5FDA9D8B0142B5BB7B559172030A9A</vt:lpwstr>
  </property>
</Properties>
</file>