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b/>
          <w:color w:val="auto"/>
          <w:szCs w:val="24"/>
          <w:highlight w:val="none"/>
        </w:rPr>
      </w:pPr>
    </w:p>
    <w:p>
      <w:pPr>
        <w:ind w:left="0" w:leftChars="0" w:firstLine="0" w:firstLineChars="0"/>
        <w:jc w:val="both"/>
        <w:rPr>
          <w:b/>
          <w:color w:val="auto"/>
          <w:szCs w:val="24"/>
          <w:highlight w:val="none"/>
        </w:rPr>
      </w:pPr>
    </w:p>
    <w:p>
      <w:pPr>
        <w:ind w:left="0" w:leftChars="0" w:firstLine="0" w:firstLineChars="0"/>
        <w:jc w:val="both"/>
        <w:rPr>
          <w:b/>
          <w:color w:val="auto"/>
          <w:szCs w:val="24"/>
          <w:highlight w:val="none"/>
        </w:rPr>
      </w:pPr>
    </w:p>
    <w:p>
      <w:pPr>
        <w:ind w:firstLine="482"/>
        <w:jc w:val="right"/>
        <w:rPr>
          <w:b/>
          <w:color w:val="auto"/>
          <w:szCs w:val="24"/>
          <w:highlight w:val="none"/>
        </w:rPr>
      </w:pPr>
    </w:p>
    <w:p>
      <w:pPr>
        <w:wordWrap w:val="0"/>
        <w:ind w:firstLine="482"/>
        <w:jc w:val="right"/>
        <w:rPr>
          <w:b/>
          <w:color w:val="auto"/>
          <w:szCs w:val="24"/>
          <w:highlight w:val="none"/>
        </w:rPr>
      </w:pPr>
      <w:r>
        <w:rPr>
          <w:rFonts w:hint="eastAsia"/>
          <w:b/>
          <w:color w:val="auto"/>
          <w:szCs w:val="24"/>
          <w:highlight w:val="none"/>
        </w:rPr>
        <w:t xml:space="preserve"> </w:t>
      </w:r>
    </w:p>
    <w:p>
      <w:pPr>
        <w:ind w:firstLine="482"/>
        <w:jc w:val="center"/>
        <w:rPr>
          <w:b/>
          <w:color w:val="auto"/>
          <w:szCs w:val="24"/>
          <w:highlight w:val="none"/>
        </w:rPr>
      </w:pPr>
    </w:p>
    <w:p>
      <w:pPr>
        <w:ind w:firstLine="482"/>
        <w:jc w:val="center"/>
        <w:rPr>
          <w:b/>
          <w:color w:val="auto"/>
          <w:szCs w:val="24"/>
          <w:highlight w:val="none"/>
        </w:rPr>
      </w:pPr>
    </w:p>
    <w:p>
      <w:pPr>
        <w:ind w:firstLine="482"/>
        <w:jc w:val="center"/>
        <w:rPr>
          <w:b/>
          <w:color w:val="auto"/>
          <w:szCs w:val="24"/>
          <w:highlight w:val="none"/>
        </w:rPr>
      </w:pPr>
    </w:p>
    <w:p>
      <w:pPr>
        <w:ind w:firstLine="0" w:firstLineChars="0"/>
        <w:jc w:val="center"/>
        <w:rPr>
          <w:b/>
          <w:color w:val="auto"/>
          <w:sz w:val="72"/>
          <w:szCs w:val="72"/>
          <w:highlight w:val="none"/>
        </w:rPr>
      </w:pPr>
      <w:r>
        <w:rPr>
          <w:rFonts w:hint="eastAsia"/>
          <w:b/>
          <w:color w:val="auto"/>
          <w:sz w:val="72"/>
          <w:szCs w:val="72"/>
          <w:highlight w:val="none"/>
        </w:rPr>
        <w:t>建设项目环境影响报告表</w:t>
      </w:r>
    </w:p>
    <w:p>
      <w:pPr>
        <w:ind w:left="0" w:leftChars="0" w:firstLine="0" w:firstLineChars="0"/>
        <w:jc w:val="center"/>
        <w:rPr>
          <w:rFonts w:hint="eastAsia" w:eastAsia="宋体"/>
          <w:b/>
          <w:color w:val="auto"/>
          <w:sz w:val="32"/>
          <w:szCs w:val="32"/>
          <w:highlight w:val="none"/>
          <w:lang w:eastAsia="zh-CN"/>
        </w:rPr>
      </w:pPr>
      <w:r>
        <w:rPr>
          <w:rFonts w:hint="eastAsia"/>
          <w:b/>
          <w:color w:val="auto"/>
          <w:sz w:val="32"/>
          <w:szCs w:val="32"/>
          <w:highlight w:val="none"/>
          <w:lang w:eastAsia="zh-CN"/>
        </w:rPr>
        <w:t>（</w:t>
      </w:r>
      <w:r>
        <w:rPr>
          <w:rFonts w:hint="eastAsia"/>
          <w:b/>
          <w:color w:val="auto"/>
          <w:sz w:val="32"/>
          <w:szCs w:val="32"/>
          <w:highlight w:val="none"/>
        </w:rPr>
        <w:t>污染影响类</w:t>
      </w:r>
      <w:r>
        <w:rPr>
          <w:rFonts w:hint="eastAsia"/>
          <w:b/>
          <w:color w:val="auto"/>
          <w:sz w:val="32"/>
          <w:szCs w:val="32"/>
          <w:highlight w:val="none"/>
          <w:lang w:eastAsia="zh-CN"/>
        </w:rPr>
        <w:t>）</w:t>
      </w:r>
    </w:p>
    <w:p>
      <w:pPr>
        <w:ind w:firstLine="1446"/>
        <w:jc w:val="center"/>
        <w:rPr>
          <w:b/>
          <w:color w:val="auto"/>
          <w:sz w:val="72"/>
          <w:szCs w:val="72"/>
          <w:highlight w:val="none"/>
        </w:rPr>
      </w:pPr>
    </w:p>
    <w:p>
      <w:pPr>
        <w:ind w:firstLine="1446"/>
        <w:jc w:val="center"/>
        <w:rPr>
          <w:b/>
          <w:color w:val="auto"/>
          <w:sz w:val="72"/>
          <w:szCs w:val="72"/>
          <w:highlight w:val="none"/>
        </w:rPr>
      </w:pPr>
    </w:p>
    <w:p>
      <w:pPr>
        <w:ind w:left="0" w:leftChars="0" w:firstLine="0" w:firstLineChars="0"/>
        <w:jc w:val="both"/>
        <w:rPr>
          <w:rFonts w:hint="eastAsia"/>
          <w:b/>
          <w:color w:val="auto"/>
          <w:sz w:val="32"/>
          <w:szCs w:val="32"/>
          <w:highlight w:val="none"/>
        </w:rPr>
      </w:pPr>
    </w:p>
    <w:p>
      <w:pPr>
        <w:ind w:left="0" w:leftChars="0" w:firstLine="0" w:firstLineChars="0"/>
        <w:jc w:val="both"/>
        <w:rPr>
          <w:rFonts w:hint="eastAsia"/>
          <w:b/>
          <w:color w:val="auto"/>
          <w:sz w:val="32"/>
          <w:szCs w:val="32"/>
          <w:highlight w:val="none"/>
        </w:rPr>
      </w:pPr>
    </w:p>
    <w:p>
      <w:pPr>
        <w:ind w:left="0" w:leftChars="0" w:firstLine="321" w:firstLineChars="100"/>
        <w:jc w:val="both"/>
        <w:rPr>
          <w:rFonts w:hint="default" w:eastAsia="宋体"/>
          <w:b/>
          <w:bCs w:val="0"/>
          <w:i/>
          <w:iCs/>
          <w:color w:val="auto"/>
          <w:sz w:val="30"/>
          <w:szCs w:val="30"/>
          <w:highlight w:val="none"/>
          <w:u w:val="single"/>
          <w:lang w:val="en-US" w:eastAsia="zh-CN"/>
        </w:rPr>
      </w:pPr>
      <w:r>
        <w:rPr>
          <w:rFonts w:hint="eastAsia"/>
          <w:b/>
          <w:color w:val="auto"/>
          <w:sz w:val="32"/>
          <w:szCs w:val="32"/>
          <w:highlight w:val="none"/>
        </w:rPr>
        <w:t>项目名称：</w:t>
      </w:r>
      <w:r>
        <w:rPr>
          <w:rFonts w:hint="eastAsia"/>
          <w:b/>
          <w:bCs w:val="0"/>
          <w:color w:val="auto"/>
          <w:sz w:val="32"/>
          <w:szCs w:val="32"/>
          <w:highlight w:val="none"/>
          <w:u w:val="single"/>
          <w:lang w:val="en-US" w:eastAsia="zh-CN"/>
        </w:rPr>
        <w:t xml:space="preserve">    </w:t>
      </w:r>
      <w:r>
        <w:rPr>
          <w:rFonts w:hint="eastAsia"/>
          <w:b/>
          <w:bCs w:val="0"/>
          <w:color w:val="auto"/>
          <w:sz w:val="32"/>
          <w:szCs w:val="32"/>
          <w:highlight w:val="none"/>
          <w:u w:val="single"/>
          <w:lang w:eastAsia="zh-CN"/>
        </w:rPr>
        <w:t>宜良县南羊片区供水一体化项目</w:t>
      </w:r>
      <w:r>
        <w:rPr>
          <w:rFonts w:hint="eastAsia"/>
          <w:b/>
          <w:bCs w:val="0"/>
          <w:color w:val="auto"/>
          <w:sz w:val="32"/>
          <w:szCs w:val="32"/>
          <w:highlight w:val="none"/>
          <w:u w:val="single"/>
          <w:lang w:val="en-US" w:eastAsia="zh-CN"/>
        </w:rPr>
        <w:t xml:space="preserve">    </w:t>
      </w:r>
    </w:p>
    <w:p>
      <w:pPr>
        <w:ind w:left="0" w:leftChars="0" w:firstLine="321" w:firstLineChars="100"/>
        <w:jc w:val="both"/>
        <w:rPr>
          <w:rFonts w:hint="default" w:eastAsia="宋体"/>
          <w:b/>
          <w:i/>
          <w:iCs/>
          <w:color w:val="auto"/>
          <w:sz w:val="30"/>
          <w:szCs w:val="30"/>
          <w:highlight w:val="none"/>
          <w:u w:val="single"/>
          <w:lang w:val="en-US" w:eastAsia="zh-CN"/>
        </w:rPr>
      </w:pPr>
      <w:r>
        <w:rPr>
          <w:rFonts w:hint="eastAsia"/>
          <w:b/>
          <w:color w:val="auto"/>
          <w:sz w:val="32"/>
          <w:szCs w:val="32"/>
          <w:highlight w:val="none"/>
        </w:rPr>
        <w:t>建设单位</w:t>
      </w:r>
      <w:r>
        <w:rPr>
          <w:rFonts w:hint="eastAsia"/>
          <w:b/>
          <w:color w:val="auto"/>
          <w:sz w:val="32"/>
          <w:szCs w:val="32"/>
          <w:highlight w:val="none"/>
          <w:lang w:eastAsia="zh-CN"/>
        </w:rPr>
        <w:t>（</w:t>
      </w:r>
      <w:r>
        <w:rPr>
          <w:rFonts w:hint="eastAsia"/>
          <w:b/>
          <w:color w:val="auto"/>
          <w:sz w:val="32"/>
          <w:szCs w:val="32"/>
          <w:highlight w:val="none"/>
          <w:lang w:val="en-US" w:eastAsia="zh-CN"/>
        </w:rPr>
        <w:t>盖章</w:t>
      </w:r>
      <w:r>
        <w:rPr>
          <w:rFonts w:hint="eastAsia"/>
          <w:b/>
          <w:color w:val="auto"/>
          <w:sz w:val="32"/>
          <w:szCs w:val="32"/>
          <w:highlight w:val="none"/>
          <w:lang w:eastAsia="zh-CN"/>
        </w:rPr>
        <w:t>）</w:t>
      </w:r>
      <w:r>
        <w:rPr>
          <w:rFonts w:hint="eastAsia"/>
          <w:b/>
          <w:color w:val="auto"/>
          <w:sz w:val="32"/>
          <w:szCs w:val="32"/>
          <w:highlight w:val="none"/>
        </w:rPr>
        <w:t>：</w:t>
      </w:r>
      <w:r>
        <w:rPr>
          <w:rFonts w:hint="eastAsia"/>
          <w:b/>
          <w:bCs w:val="0"/>
          <w:color w:val="auto"/>
          <w:sz w:val="32"/>
          <w:szCs w:val="32"/>
          <w:highlight w:val="none"/>
          <w:u w:val="single"/>
          <w:lang w:val="en-US" w:eastAsia="zh-CN"/>
        </w:rPr>
        <w:t xml:space="preserve"> </w:t>
      </w:r>
      <w:r>
        <w:rPr>
          <w:rFonts w:hint="eastAsia"/>
          <w:b/>
          <w:bCs w:val="0"/>
          <w:color w:val="auto"/>
          <w:sz w:val="32"/>
          <w:szCs w:val="32"/>
          <w:highlight w:val="none"/>
          <w:u w:val="single"/>
          <w:lang w:eastAsia="zh-CN"/>
        </w:rPr>
        <w:t>宜良县城乡投资管理有限公司</w:t>
      </w:r>
      <w:r>
        <w:rPr>
          <w:rFonts w:hint="eastAsia"/>
          <w:b/>
          <w:bCs w:val="0"/>
          <w:color w:val="auto"/>
          <w:sz w:val="32"/>
          <w:szCs w:val="32"/>
          <w:highlight w:val="none"/>
          <w:u w:val="single"/>
          <w:lang w:val="en-US" w:eastAsia="zh-CN"/>
        </w:rPr>
        <w:t xml:space="preserve"> </w:t>
      </w:r>
    </w:p>
    <w:p>
      <w:pPr>
        <w:ind w:left="1200" w:leftChars="500" w:firstLine="0" w:firstLineChars="0"/>
        <w:jc w:val="left"/>
        <w:rPr>
          <w:b/>
          <w:color w:val="auto"/>
          <w:sz w:val="32"/>
          <w:szCs w:val="32"/>
          <w:highlight w:val="none"/>
        </w:rPr>
      </w:pPr>
    </w:p>
    <w:p>
      <w:pPr>
        <w:ind w:firstLineChars="0"/>
        <w:jc w:val="center"/>
        <w:rPr>
          <w:b/>
          <w:color w:val="auto"/>
          <w:sz w:val="32"/>
          <w:szCs w:val="32"/>
          <w:highlight w:val="none"/>
        </w:rPr>
      </w:pPr>
    </w:p>
    <w:p>
      <w:pPr>
        <w:ind w:firstLineChars="0"/>
        <w:jc w:val="center"/>
        <w:rPr>
          <w:b/>
          <w:color w:val="auto"/>
          <w:sz w:val="32"/>
          <w:szCs w:val="32"/>
          <w:highlight w:val="none"/>
        </w:rPr>
      </w:pPr>
    </w:p>
    <w:p>
      <w:pPr>
        <w:ind w:firstLineChars="0"/>
        <w:jc w:val="center"/>
        <w:rPr>
          <w:b/>
          <w:color w:val="auto"/>
          <w:sz w:val="32"/>
          <w:szCs w:val="32"/>
          <w:highlight w:val="none"/>
        </w:rPr>
      </w:pPr>
    </w:p>
    <w:p>
      <w:pPr>
        <w:ind w:left="0" w:leftChars="0" w:firstLine="0" w:firstLineChars="0"/>
        <w:jc w:val="center"/>
        <w:rPr>
          <w:b/>
          <w:color w:val="auto"/>
          <w:sz w:val="32"/>
          <w:szCs w:val="32"/>
          <w:highlight w:val="none"/>
        </w:rPr>
      </w:pPr>
      <w:r>
        <w:rPr>
          <w:b/>
          <w:color w:val="auto"/>
          <w:sz w:val="32"/>
          <w:szCs w:val="32"/>
          <w:highlight w:val="none"/>
        </w:rPr>
        <w:t>编制日期：</w:t>
      </w:r>
      <w:r>
        <w:rPr>
          <w:rFonts w:hint="eastAsia"/>
          <w:b/>
          <w:color w:val="auto"/>
          <w:sz w:val="32"/>
          <w:szCs w:val="32"/>
          <w:highlight w:val="none"/>
        </w:rPr>
        <w:t>202</w:t>
      </w:r>
      <w:r>
        <w:rPr>
          <w:rFonts w:hint="eastAsia"/>
          <w:b/>
          <w:color w:val="auto"/>
          <w:sz w:val="32"/>
          <w:szCs w:val="32"/>
          <w:highlight w:val="none"/>
          <w:lang w:val="en-US" w:eastAsia="zh-CN"/>
        </w:rPr>
        <w:t>3</w:t>
      </w:r>
      <w:r>
        <w:rPr>
          <w:b/>
          <w:color w:val="auto"/>
          <w:sz w:val="32"/>
          <w:szCs w:val="32"/>
          <w:highlight w:val="none"/>
        </w:rPr>
        <w:t>年</w:t>
      </w:r>
      <w:r>
        <w:rPr>
          <w:rFonts w:hint="eastAsia"/>
          <w:b/>
          <w:color w:val="auto"/>
          <w:sz w:val="32"/>
          <w:szCs w:val="32"/>
          <w:highlight w:val="none"/>
          <w:lang w:val="en-US" w:eastAsia="zh-CN"/>
        </w:rPr>
        <w:t>2</w:t>
      </w:r>
      <w:r>
        <w:rPr>
          <w:b/>
          <w:color w:val="auto"/>
          <w:sz w:val="32"/>
          <w:szCs w:val="32"/>
          <w:highlight w:val="none"/>
        </w:rPr>
        <w:t>月</w:t>
      </w:r>
    </w:p>
    <w:p>
      <w:pPr>
        <w:pStyle w:val="5"/>
        <w:jc w:val="center"/>
        <w:rPr>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color w:val="auto"/>
          <w:sz w:val="32"/>
          <w:szCs w:val="32"/>
          <w:highlight w:val="none"/>
        </w:rPr>
        <w:t>中华人民共和国生态环境部制</w:t>
      </w:r>
    </w:p>
    <w:p>
      <w:pPr>
        <w:pStyle w:val="20"/>
        <w:ind w:firstLine="480"/>
        <w:jc w:val="center"/>
        <w:rPr>
          <w:color w:val="auto"/>
          <w:highlight w:val="none"/>
        </w:rPr>
      </w:pPr>
      <w:bookmarkStart w:id="0" w:name="_Toc22543"/>
      <w:r>
        <w:rPr>
          <w:color w:val="auto"/>
          <w:highlight w:val="none"/>
          <w:lang w:val="zh-CN"/>
        </w:rPr>
        <w:t>目</w:t>
      </w:r>
      <w:r>
        <w:rPr>
          <w:rFonts w:hint="eastAsia"/>
          <w:color w:val="auto"/>
          <w:highlight w:val="none"/>
          <w:lang w:val="zh-CN"/>
        </w:rPr>
        <w:t xml:space="preserve"> </w:t>
      </w:r>
      <w:r>
        <w:rPr>
          <w:color w:val="auto"/>
          <w:highlight w:val="none"/>
          <w:lang w:val="zh-CN"/>
        </w:rPr>
        <w:t>录</w:t>
      </w:r>
      <w:bookmarkEnd w:id="0"/>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color w:val="auto"/>
          <w:highlight w:val="none"/>
        </w:rPr>
        <w:t>一、建设项目基本情况</w:t>
      </w:r>
      <w:r>
        <w:rPr>
          <w:color w:val="auto"/>
          <w:highlight w:val="none"/>
        </w:rPr>
        <w:tab/>
      </w:r>
      <w:r>
        <w:rPr>
          <w:color w:val="auto"/>
          <w:highlight w:val="none"/>
        </w:rPr>
        <w:fldChar w:fldCharType="begin"/>
      </w:r>
      <w:r>
        <w:rPr>
          <w:color w:val="auto"/>
          <w:highlight w:val="none"/>
        </w:rPr>
        <w:instrText xml:space="preserve"> PAGEREF _Toc25703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"_Toc20144" </w:instrText>
      </w:r>
      <w:r>
        <w:rPr>
          <w:color w:val="auto"/>
          <w:highlight w:val="none"/>
        </w:rPr>
        <w:fldChar w:fldCharType="separate"/>
      </w:r>
      <w:r>
        <w:rPr>
          <w:rFonts w:hint="eastAsia"/>
          <w:color w:val="auto"/>
          <w:highlight w:val="none"/>
        </w:rPr>
        <w:t>二、建设项目工程分析</w:t>
      </w:r>
      <w:r>
        <w:rPr>
          <w:color w:val="auto"/>
          <w:highlight w:val="none"/>
        </w:rPr>
        <w:tab/>
      </w:r>
      <w:r>
        <w:rPr>
          <w:color w:val="auto"/>
          <w:highlight w:val="none"/>
        </w:rPr>
        <w:fldChar w:fldCharType="begin"/>
      </w:r>
      <w:r>
        <w:rPr>
          <w:color w:val="auto"/>
          <w:highlight w:val="none"/>
        </w:rPr>
        <w:instrText xml:space="preserve"> PAGEREF _Toc20144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"_Toc31593" </w:instrText>
      </w:r>
      <w:r>
        <w:rPr>
          <w:color w:val="auto"/>
          <w:highlight w:val="none"/>
        </w:rPr>
        <w:fldChar w:fldCharType="separate"/>
      </w:r>
      <w:r>
        <w:rPr>
          <w:rFonts w:hint="eastAsia"/>
          <w:color w:val="auto"/>
          <w:highlight w:val="none"/>
        </w:rPr>
        <w:t>三、区域环境质量现状、保护目标及评价标准</w:t>
      </w:r>
      <w:r>
        <w:rPr>
          <w:color w:val="auto"/>
          <w:highlight w:val="none"/>
        </w:rPr>
        <w:tab/>
      </w:r>
      <w:r>
        <w:rPr>
          <w:color w:val="auto"/>
          <w:highlight w:val="none"/>
        </w:rPr>
        <w:fldChar w:fldCharType="begin"/>
      </w:r>
      <w:r>
        <w:rPr>
          <w:color w:val="auto"/>
          <w:highlight w:val="none"/>
        </w:rPr>
        <w:instrText xml:space="preserve"> PAGEREF _Toc31593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"_Toc11318" </w:instrText>
      </w:r>
      <w:r>
        <w:rPr>
          <w:color w:val="auto"/>
          <w:highlight w:val="none"/>
        </w:rPr>
        <w:fldChar w:fldCharType="separate"/>
      </w:r>
      <w:r>
        <w:rPr>
          <w:rFonts w:hint="eastAsia"/>
          <w:color w:val="auto"/>
          <w:highlight w:val="none"/>
        </w:rPr>
        <w:t>四、主要环境影响和保护措施</w:t>
      </w:r>
      <w:r>
        <w:rPr>
          <w:color w:val="auto"/>
          <w:highlight w:val="none"/>
        </w:rPr>
        <w:tab/>
      </w:r>
      <w:r>
        <w:rPr>
          <w:color w:val="auto"/>
          <w:highlight w:val="none"/>
        </w:rPr>
        <w:fldChar w:fldCharType="begin"/>
      </w:r>
      <w:r>
        <w:rPr>
          <w:color w:val="auto"/>
          <w:highlight w:val="none"/>
        </w:rPr>
        <w:instrText xml:space="preserve"> PAGEREF _Toc11318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"_Toc18391" </w:instrText>
      </w:r>
      <w:r>
        <w:rPr>
          <w:color w:val="auto"/>
          <w:highlight w:val="none"/>
        </w:rPr>
        <w:fldChar w:fldCharType="separate"/>
      </w:r>
      <w:r>
        <w:rPr>
          <w:rFonts w:hint="eastAsia"/>
          <w:color w:val="auto"/>
          <w:highlight w:val="none"/>
        </w:rPr>
        <w:t>五、环境保护措施监督检查清单</w:t>
      </w:r>
      <w:r>
        <w:rPr>
          <w:color w:val="auto"/>
          <w:highlight w:val="none"/>
        </w:rPr>
        <w:tab/>
      </w:r>
      <w:r>
        <w:rPr>
          <w:color w:val="auto"/>
          <w:highlight w:val="none"/>
        </w:rPr>
        <w:fldChar w:fldCharType="begin"/>
      </w:r>
      <w:r>
        <w:rPr>
          <w:color w:val="auto"/>
          <w:highlight w:val="none"/>
        </w:rPr>
        <w:instrText xml:space="preserve"> PAGEREF _Toc18391 </w:instrText>
      </w:r>
      <w:r>
        <w:rPr>
          <w:color w:val="auto"/>
          <w:highlight w:val="none"/>
        </w:rPr>
        <w:fldChar w:fldCharType="separate"/>
      </w:r>
      <w:r>
        <w:rPr>
          <w:color w:val="auto"/>
          <w:highlight w:val="none"/>
        </w:rPr>
        <w:t>- 57 -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ascii="宋体" w:hAnsi="宋体"/>
          <w:color w:val="auto"/>
          <w:highlight w:val="none"/>
        </w:rPr>
        <w:t>六、</w:t>
      </w:r>
      <w:r>
        <w:rPr>
          <w:rFonts w:ascii="宋体" w:hAnsi="宋体"/>
          <w:color w:val="auto"/>
          <w:highlight w:val="none"/>
        </w:rPr>
        <w:t>结论</w:t>
      </w:r>
      <w:r>
        <w:rPr>
          <w:color w:val="auto"/>
          <w:highlight w:val="none"/>
        </w:rPr>
        <w:tab/>
      </w:r>
      <w:r>
        <w:rPr>
          <w:color w:val="auto"/>
          <w:highlight w:val="none"/>
        </w:rPr>
        <w:fldChar w:fldCharType="begin"/>
      </w:r>
      <w:r>
        <w:rPr>
          <w:color w:val="auto"/>
          <w:highlight w:val="none"/>
        </w:rPr>
        <w:instrText xml:space="preserve"> PAGEREF _Toc12811 </w:instrText>
      </w:r>
      <w:r>
        <w:rPr>
          <w:color w:val="auto"/>
          <w:highlight w:val="none"/>
        </w:rPr>
        <w:fldChar w:fldCharType="separate"/>
      </w:r>
      <w:r>
        <w:rPr>
          <w:color w:val="auto"/>
          <w:highlight w:val="none"/>
        </w:rPr>
        <w:t>- 59 -</w:t>
      </w:r>
      <w:r>
        <w:rPr>
          <w:color w:val="auto"/>
          <w:highlight w:val="none"/>
        </w:rPr>
        <w:fldChar w:fldCharType="end"/>
      </w:r>
      <w:r>
        <w:rPr>
          <w:color w:val="auto"/>
          <w:highlight w:val="none"/>
        </w:rPr>
        <w:fldChar w:fldCharType="end"/>
      </w:r>
    </w:p>
    <w:p>
      <w:pPr>
        <w:ind w:firstLine="480"/>
        <w:rPr>
          <w:color w:val="auto"/>
          <w:highlight w:val="none"/>
        </w:rPr>
      </w:pPr>
      <w:r>
        <w:rPr>
          <w:bCs/>
          <w:color w:val="auto"/>
          <w:highlight w:val="none"/>
          <w:lang w:val="zh-CN"/>
        </w:rPr>
        <w:fldChar w:fldCharType="end"/>
      </w:r>
    </w:p>
    <w:p>
      <w:pPr>
        <w:ind w:firstLine="48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left="0" w:leftChars="0" w:firstLine="0" w:firstLineChars="0"/>
        <w:rPr>
          <w:rFonts w:hint="eastAsia"/>
          <w:color w:val="auto"/>
          <w:highlight w:val="none"/>
        </w:rPr>
      </w:pPr>
      <w:r>
        <w:rPr>
          <w:rFonts w:hint="eastAsia"/>
          <w:color w:val="auto"/>
          <w:highlight w:val="none"/>
        </w:rPr>
        <w:t>附图：</w:t>
      </w:r>
    </w:p>
    <w:p>
      <w:pPr>
        <w:ind w:left="0" w:leftChars="0" w:firstLine="0" w:firstLineChars="0"/>
        <w:rPr>
          <w:rFonts w:hint="eastAsia"/>
          <w:color w:val="auto"/>
          <w:highlight w:val="none"/>
        </w:rPr>
      </w:pPr>
      <w:r>
        <w:rPr>
          <w:rFonts w:hint="eastAsia"/>
          <w:color w:val="auto"/>
          <w:highlight w:val="none"/>
        </w:rPr>
        <w:t>附图1 地理位置图</w:t>
      </w:r>
    </w:p>
    <w:p>
      <w:pPr>
        <w:ind w:left="0" w:leftChars="0" w:firstLine="0" w:firstLineChars="0"/>
        <w:rPr>
          <w:rFonts w:hint="eastAsia"/>
          <w:color w:val="auto"/>
          <w:highlight w:val="none"/>
        </w:rPr>
      </w:pPr>
      <w:r>
        <w:rPr>
          <w:rFonts w:hint="eastAsia"/>
          <w:color w:val="auto"/>
          <w:highlight w:val="none"/>
        </w:rPr>
        <w:t xml:space="preserve">附图2 </w:t>
      </w:r>
      <w:r>
        <w:rPr>
          <w:rFonts w:hint="eastAsia"/>
          <w:color w:val="auto"/>
          <w:highlight w:val="none"/>
          <w:lang w:val="en-US" w:eastAsia="zh-CN"/>
        </w:rPr>
        <w:t>项目总</w:t>
      </w:r>
      <w:r>
        <w:rPr>
          <w:rFonts w:hint="eastAsia"/>
          <w:color w:val="auto"/>
          <w:highlight w:val="none"/>
        </w:rPr>
        <w:t>平面布置图</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附图3 项目净水厂平面布置图</w:t>
      </w:r>
    </w:p>
    <w:p>
      <w:pPr>
        <w:ind w:left="0" w:leftChars="0" w:firstLine="0" w:firstLineChars="0"/>
        <w:rPr>
          <w:rFonts w:hint="eastAsia"/>
          <w:color w:val="auto"/>
          <w:highlight w:val="none"/>
          <w:lang w:eastAsia="zh-CN"/>
        </w:rPr>
      </w:pPr>
      <w:r>
        <w:rPr>
          <w:rFonts w:hint="eastAsia"/>
          <w:color w:val="auto"/>
          <w:highlight w:val="none"/>
        </w:rPr>
        <w:t>附图</w:t>
      </w:r>
      <w:r>
        <w:rPr>
          <w:rFonts w:hint="eastAsia"/>
          <w:color w:val="auto"/>
          <w:highlight w:val="none"/>
          <w:lang w:val="en-US" w:eastAsia="zh-CN"/>
        </w:rPr>
        <w:t>4-1</w:t>
      </w:r>
      <w:r>
        <w:rPr>
          <w:rFonts w:hint="eastAsia"/>
          <w:color w:val="auto"/>
          <w:highlight w:val="none"/>
        </w:rPr>
        <w:t xml:space="preserve"> 环境保护目标分布图</w:t>
      </w:r>
      <w:r>
        <w:rPr>
          <w:rFonts w:hint="eastAsia"/>
          <w:color w:val="auto"/>
          <w:highlight w:val="none"/>
          <w:lang w:eastAsia="zh-CN"/>
        </w:rPr>
        <w:t>（</w:t>
      </w:r>
      <w:r>
        <w:rPr>
          <w:rFonts w:hint="eastAsia"/>
          <w:color w:val="auto"/>
          <w:highlight w:val="none"/>
          <w:lang w:val="en-US" w:eastAsia="zh-CN"/>
        </w:rPr>
        <w:t>水厂</w:t>
      </w:r>
      <w:r>
        <w:rPr>
          <w:rFonts w:hint="eastAsia"/>
          <w:color w:val="auto"/>
          <w:highlight w:val="none"/>
          <w:lang w:eastAsia="zh-CN"/>
        </w:rPr>
        <w:t>）</w:t>
      </w:r>
    </w:p>
    <w:p>
      <w:pPr>
        <w:ind w:left="0" w:leftChars="0" w:firstLine="0" w:firstLineChars="0"/>
        <w:rPr>
          <w:rFonts w:hint="default"/>
          <w:color w:val="auto"/>
          <w:highlight w:val="none"/>
          <w:lang w:val="en-US" w:eastAsia="zh-CN"/>
        </w:rPr>
      </w:pPr>
      <w:r>
        <w:rPr>
          <w:rFonts w:hint="eastAsia"/>
          <w:color w:val="auto"/>
          <w:highlight w:val="none"/>
          <w:lang w:val="en-US" w:eastAsia="zh-CN"/>
        </w:rPr>
        <w:t>附图4-2 环境保护目标分布图（取水设施）</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附图5 项目区水系图</w:t>
      </w:r>
    </w:p>
    <w:p>
      <w:pPr>
        <w:ind w:left="0" w:leftChars="0" w:firstLine="0" w:firstLineChars="0"/>
        <w:rPr>
          <w:rFonts w:hint="eastAsia"/>
          <w:color w:val="auto"/>
          <w:highlight w:val="none"/>
        </w:rPr>
      </w:pPr>
    </w:p>
    <w:p>
      <w:pPr>
        <w:ind w:left="0" w:leftChars="0" w:firstLine="0" w:firstLineChars="0"/>
        <w:rPr>
          <w:rFonts w:hint="eastAsia"/>
          <w:color w:val="auto"/>
          <w:highlight w:val="none"/>
        </w:rPr>
      </w:pPr>
      <w:r>
        <w:rPr>
          <w:rFonts w:hint="eastAsia"/>
          <w:color w:val="auto"/>
          <w:highlight w:val="none"/>
        </w:rPr>
        <w:t>附件：</w:t>
      </w:r>
    </w:p>
    <w:p>
      <w:pPr>
        <w:ind w:left="0" w:leftChars="0" w:firstLine="0" w:firstLineChars="0"/>
        <w:rPr>
          <w:rFonts w:hint="eastAsia"/>
          <w:color w:val="auto"/>
          <w:highlight w:val="none"/>
        </w:rPr>
      </w:pPr>
      <w:r>
        <w:rPr>
          <w:rFonts w:hint="eastAsia"/>
          <w:color w:val="auto"/>
          <w:highlight w:val="none"/>
        </w:rPr>
        <w:t>附件1 委托书</w:t>
      </w:r>
    </w:p>
    <w:p>
      <w:pPr>
        <w:ind w:left="0" w:leftChars="0" w:firstLine="0" w:firstLineChars="0"/>
        <w:rPr>
          <w:rFonts w:hint="default" w:eastAsia="宋体"/>
          <w:color w:val="auto"/>
          <w:highlight w:val="none"/>
          <w:lang w:val="en-US" w:eastAsia="zh-CN"/>
        </w:rPr>
      </w:pPr>
      <w:r>
        <w:rPr>
          <w:rFonts w:hint="eastAsia"/>
          <w:color w:val="auto"/>
          <w:highlight w:val="none"/>
        </w:rPr>
        <w:t>附件2 项目</w:t>
      </w:r>
      <w:r>
        <w:rPr>
          <w:rFonts w:hint="eastAsia"/>
          <w:color w:val="auto"/>
          <w:highlight w:val="none"/>
          <w:lang w:val="en-US" w:eastAsia="zh-CN"/>
        </w:rPr>
        <w:t>可研批复</w:t>
      </w:r>
    </w:p>
    <w:p>
      <w:pPr>
        <w:ind w:left="0" w:leftChars="0" w:firstLine="0" w:firstLineChars="0"/>
        <w:rPr>
          <w:rFonts w:hint="eastAsia"/>
          <w:color w:val="auto"/>
          <w:highlight w:val="none"/>
        </w:rPr>
      </w:pPr>
      <w:r>
        <w:rPr>
          <w:rFonts w:hint="eastAsia"/>
          <w:color w:val="auto"/>
          <w:highlight w:val="none"/>
        </w:rPr>
        <w:t>附件3 建设单位营业执照</w:t>
      </w:r>
    </w:p>
    <w:p>
      <w:pPr>
        <w:ind w:left="0" w:leftChars="0" w:firstLine="0" w:firstLineChars="0"/>
        <w:rPr>
          <w:rFonts w:hint="eastAsia"/>
          <w:color w:val="auto"/>
          <w:highlight w:val="none"/>
        </w:rPr>
      </w:pPr>
      <w:r>
        <w:rPr>
          <w:rFonts w:hint="eastAsia"/>
          <w:color w:val="auto"/>
          <w:highlight w:val="none"/>
        </w:rPr>
        <w:t>附件4 法人身份证复印件</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附件5 初设专家意见及回复</w:t>
      </w:r>
    </w:p>
    <w:p>
      <w:pPr>
        <w:ind w:left="0" w:leftChars="0" w:firstLine="0" w:firstLineChars="0"/>
        <w:rPr>
          <w:rFonts w:hint="eastAsia"/>
          <w:color w:val="auto"/>
          <w:highlight w:val="none"/>
        </w:rPr>
      </w:pPr>
      <w:r>
        <w:rPr>
          <w:rFonts w:hint="eastAsia"/>
          <w:color w:val="auto"/>
          <w:highlight w:val="none"/>
        </w:rPr>
        <w:t>附件6 项目选址意见</w:t>
      </w:r>
    </w:p>
    <w:p>
      <w:pPr>
        <w:ind w:left="0" w:leftChars="0" w:firstLine="0" w:firstLineChars="0"/>
        <w:rPr>
          <w:rFonts w:hint="eastAsia"/>
          <w:color w:val="auto"/>
          <w:highlight w:val="none"/>
        </w:rPr>
      </w:pPr>
      <w:r>
        <w:rPr>
          <w:rFonts w:hint="eastAsia"/>
          <w:color w:val="auto"/>
          <w:highlight w:val="none"/>
        </w:rPr>
        <w:t>附件7 项目选址踏勘论证的意见</w:t>
      </w:r>
    </w:p>
    <w:p>
      <w:pPr>
        <w:ind w:left="0" w:leftChars="0" w:firstLine="0" w:firstLineChars="0"/>
        <w:rPr>
          <w:rFonts w:hint="eastAsia"/>
          <w:color w:val="auto"/>
          <w:highlight w:val="none"/>
        </w:rPr>
      </w:pPr>
      <w:r>
        <w:rPr>
          <w:rFonts w:hint="eastAsia"/>
          <w:color w:val="auto"/>
          <w:highlight w:val="none"/>
        </w:rPr>
        <w:t>附件8 项目生态红线查询情况</w:t>
      </w:r>
    </w:p>
    <w:p>
      <w:pPr>
        <w:ind w:left="0" w:leftChars="0" w:firstLine="0" w:firstLineChars="0"/>
        <w:rPr>
          <w:rFonts w:hint="default"/>
          <w:color w:val="auto"/>
          <w:highlight w:val="none"/>
          <w:lang w:val="en-US" w:eastAsia="zh-CN"/>
        </w:rPr>
      </w:pPr>
      <w:r>
        <w:rPr>
          <w:rFonts w:hint="default"/>
          <w:color w:val="auto"/>
          <w:highlight w:val="none"/>
          <w:lang w:val="en-US" w:eastAsia="zh-CN"/>
        </w:rPr>
        <w:t>附件9 南羊水厂宗地图</w:t>
      </w:r>
    </w:p>
    <w:p>
      <w:pPr>
        <w:ind w:left="0" w:leftChars="0" w:firstLine="0" w:firstLineChars="0"/>
        <w:rPr>
          <w:rFonts w:hint="default"/>
          <w:color w:val="auto"/>
          <w:highlight w:val="none"/>
          <w:lang w:val="en-US" w:eastAsia="zh-CN"/>
        </w:rPr>
      </w:pPr>
      <w:r>
        <w:rPr>
          <w:rFonts w:hint="default"/>
          <w:color w:val="auto"/>
          <w:highlight w:val="none"/>
          <w:lang w:val="en-US" w:eastAsia="zh-CN"/>
        </w:rPr>
        <w:t>附件10 用地预审与选址意见书</w:t>
      </w:r>
    </w:p>
    <w:p>
      <w:pPr>
        <w:ind w:left="0" w:leftChars="0" w:firstLine="0" w:firstLineChars="0"/>
        <w:rPr>
          <w:rFonts w:hint="eastAsia"/>
          <w:color w:val="auto"/>
          <w:highlight w:val="none"/>
          <w:lang w:val="en-US" w:eastAsia="zh-CN"/>
        </w:rPr>
      </w:pPr>
      <w:r>
        <w:rPr>
          <w:rFonts w:hint="eastAsia"/>
          <w:color w:val="auto"/>
          <w:highlight w:val="none"/>
          <w:lang w:val="en-US" w:eastAsia="zh-CN"/>
        </w:rPr>
        <w:t>附件11 项目水资源调查报告专家咨询意见</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2</w:t>
      </w:r>
      <w:r>
        <w:rPr>
          <w:rFonts w:hint="default"/>
          <w:color w:val="auto"/>
          <w:highlight w:val="none"/>
          <w:lang w:val="en-US" w:eastAsia="zh-CN"/>
        </w:rPr>
        <w:t xml:space="preserve"> 弃土合作协议</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3</w:t>
      </w:r>
      <w:r>
        <w:rPr>
          <w:rFonts w:hint="default"/>
          <w:color w:val="auto"/>
          <w:highlight w:val="none"/>
          <w:lang w:val="en-US" w:eastAsia="zh-CN"/>
        </w:rPr>
        <w:t xml:space="preserve"> 消纳场合法证明</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4</w:t>
      </w:r>
      <w:r>
        <w:rPr>
          <w:rFonts w:hint="default"/>
          <w:color w:val="auto"/>
          <w:highlight w:val="none"/>
          <w:lang w:val="en-US" w:eastAsia="zh-CN"/>
        </w:rPr>
        <w:t xml:space="preserve"> 弃土证明</w:t>
      </w:r>
    </w:p>
    <w:p>
      <w:pPr>
        <w:ind w:left="0" w:leftChars="0" w:firstLine="0" w:firstLineChars="0"/>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jc w:val="center"/>
        <w:rPr>
          <w:color w:val="auto"/>
          <w:highlight w:val="none"/>
        </w:rPr>
      </w:pPr>
      <w:bookmarkStart w:id="1" w:name="_Toc25703"/>
      <w:r>
        <w:rPr>
          <w:rFonts w:hint="eastAsia"/>
          <w:color w:val="auto"/>
          <w:highlight w:val="none"/>
        </w:rPr>
        <w:t>一、建设项目基本情况</w:t>
      </w:r>
      <w:bookmarkEnd w:id="1"/>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97"/>
        <w:gridCol w:w="2499"/>
        <w:gridCol w:w="1828"/>
        <w:gridCol w:w="2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8" w:hRule="atLeast"/>
          <w:jc w:val="center"/>
        </w:trPr>
        <w:tc>
          <w:tcPr>
            <w:tcW w:w="1297" w:type="dxa"/>
            <w:vAlign w:val="center"/>
          </w:tcPr>
          <w:p>
            <w:pPr>
              <w:spacing w:line="240" w:lineRule="auto"/>
              <w:ind w:firstLine="0" w:firstLineChars="0"/>
              <w:jc w:val="center"/>
              <w:rPr>
                <w:color w:val="auto"/>
                <w:highlight w:val="none"/>
              </w:rPr>
            </w:pPr>
            <w:r>
              <w:rPr>
                <w:rFonts w:hAnsi="宋体"/>
                <w:color w:val="auto"/>
                <w:highlight w:val="none"/>
              </w:rPr>
              <w:t>项目名称</w:t>
            </w:r>
          </w:p>
        </w:tc>
        <w:tc>
          <w:tcPr>
            <w:tcW w:w="7123" w:type="dxa"/>
            <w:gridSpan w:val="3"/>
            <w:vAlign w:val="center"/>
          </w:tcPr>
          <w:p>
            <w:pPr>
              <w:spacing w:line="240" w:lineRule="auto"/>
              <w:ind w:firstLine="0" w:firstLineChars="0"/>
              <w:jc w:val="center"/>
              <w:rPr>
                <w:rFonts w:hint="eastAsia" w:eastAsia="宋体"/>
                <w:color w:val="auto"/>
                <w:szCs w:val="24"/>
                <w:highlight w:val="none"/>
                <w:lang w:eastAsia="zh-CN"/>
              </w:rPr>
            </w:pPr>
            <w:r>
              <w:rPr>
                <w:rFonts w:hint="eastAsia"/>
                <w:color w:val="auto"/>
                <w:highlight w:val="none"/>
                <w:lang w:eastAsia="zh-CN"/>
              </w:rPr>
              <w:t>宜良县南羊片区供水一体化项目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7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项目代码</w:t>
            </w:r>
          </w:p>
        </w:tc>
        <w:tc>
          <w:tcPr>
            <w:tcW w:w="7123" w:type="dxa"/>
            <w:gridSpan w:val="3"/>
            <w:vAlign w:val="center"/>
          </w:tcPr>
          <w:p>
            <w:pPr>
              <w:spacing w:line="240" w:lineRule="auto"/>
              <w:ind w:firstLine="0" w:firstLineChars="0"/>
              <w:jc w:val="center"/>
              <w:rPr>
                <w:rFonts w:hint="eastAsia" w:eastAsia="宋体"/>
                <w:color w:val="auto"/>
                <w:szCs w:val="24"/>
                <w:highlight w:val="none"/>
                <w:lang w:eastAsia="zh-CN"/>
              </w:rPr>
            </w:pPr>
            <w:r>
              <w:rPr>
                <w:rFonts w:hint="eastAsia"/>
                <w:color w:val="auto"/>
                <w:szCs w:val="24"/>
                <w:highlight w:val="none"/>
                <w:lang w:eastAsia="zh-CN"/>
              </w:rPr>
              <w:t>2107-530125-04-01-650169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5"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建设单位联系人</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罗**</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联系方式</w:t>
            </w:r>
          </w:p>
        </w:tc>
        <w:tc>
          <w:tcPr>
            <w:tcW w:w="2796" w:type="dxa"/>
            <w:vAlign w:val="center"/>
          </w:tcPr>
          <w:p>
            <w:pPr>
              <w:spacing w:line="240" w:lineRule="auto"/>
              <w:ind w:firstLine="0" w:firstLineChars="0"/>
              <w:jc w:val="center"/>
              <w:rPr>
                <w:rFonts w:hint="default" w:eastAsia="宋体"/>
                <w:color w:val="auto"/>
                <w:highlight w:val="none"/>
                <w:lang w:val="en-US" w:eastAsia="zh-CN"/>
              </w:rPr>
            </w:pPr>
            <w:r>
              <w:rPr>
                <w:rFonts w:hint="default" w:eastAsia="宋体"/>
                <w:color w:val="auto"/>
                <w:highlight w:val="none"/>
                <w:lang w:val="en-US" w:eastAsia="zh-CN"/>
              </w:rPr>
              <w:t>137</w:t>
            </w:r>
            <w:r>
              <w:rPr>
                <w:rFonts w:hint="eastAsia"/>
                <w:color w:val="auto"/>
                <w:highlight w:val="none"/>
                <w:lang w:val="en-US" w:eastAsia="zh-CN"/>
              </w:rPr>
              <w:t>********</w:t>
            </w:r>
            <w:bookmarkStart w:id="7" w:name="_GoBack"/>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建设地点</w:t>
            </w:r>
          </w:p>
        </w:tc>
        <w:tc>
          <w:tcPr>
            <w:tcW w:w="7123" w:type="dxa"/>
            <w:gridSpan w:val="3"/>
            <w:vAlign w:val="center"/>
          </w:tcPr>
          <w:p>
            <w:pPr>
              <w:spacing w:line="240" w:lineRule="auto"/>
              <w:ind w:firstLine="0" w:firstLineChars="0"/>
              <w:jc w:val="center"/>
              <w:rPr>
                <w:rFonts w:hint="eastAsia" w:eastAsia="宋体"/>
                <w:color w:val="auto"/>
                <w:highlight w:val="none"/>
                <w:lang w:eastAsia="zh-CN"/>
              </w:rPr>
            </w:pPr>
            <w:r>
              <w:rPr>
                <w:rFonts w:hint="eastAsia"/>
                <w:color w:val="auto"/>
                <w:highlight w:val="none"/>
                <w:u w:val="single"/>
                <w:lang w:val="en-US" w:eastAsia="zh-CN"/>
              </w:rPr>
              <w:t>云南省昆明市宜良县南羊街道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83"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地理坐标</w:t>
            </w:r>
          </w:p>
        </w:tc>
        <w:tc>
          <w:tcPr>
            <w:tcW w:w="7123" w:type="dxa"/>
            <w:gridSpan w:val="3"/>
            <w:vAlign w:val="center"/>
          </w:tcPr>
          <w:p>
            <w:pPr>
              <w:spacing w:line="240" w:lineRule="auto"/>
              <w:ind w:firstLine="0" w:firstLineChars="0"/>
              <w:jc w:val="center"/>
              <w:rPr>
                <w:color w:val="auto"/>
                <w:highlight w:val="none"/>
              </w:rPr>
            </w:pPr>
            <w:r>
              <w:rPr>
                <w:rFonts w:hint="eastAsia"/>
                <w:color w:val="auto"/>
                <w:highlight w:val="none"/>
                <w:lang w:val="en-US" w:eastAsia="zh-CN"/>
              </w:rPr>
              <w:t>东经：</w:t>
            </w:r>
            <w:r>
              <w:rPr>
                <w:rFonts w:hint="eastAsia"/>
                <w:color w:val="auto"/>
                <w:highlight w:val="none"/>
              </w:rPr>
              <w:t>103°06′26.786″</w:t>
            </w:r>
            <w:r>
              <w:rPr>
                <w:rFonts w:hint="eastAsia"/>
                <w:color w:val="auto"/>
                <w:highlight w:val="none"/>
                <w:lang w:eastAsia="zh-CN"/>
              </w:rPr>
              <w:t>，</w:t>
            </w:r>
            <w:r>
              <w:rPr>
                <w:rFonts w:hint="eastAsia"/>
                <w:color w:val="auto"/>
                <w:highlight w:val="none"/>
                <w:lang w:val="en-US" w:eastAsia="zh-CN"/>
              </w:rPr>
              <w:t>北纬：</w:t>
            </w:r>
            <w:r>
              <w:rPr>
                <w:rFonts w:hint="eastAsia"/>
                <w:color w:val="auto"/>
                <w:highlight w:val="none"/>
              </w:rPr>
              <w:t>24°49′6.4894″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rFonts w:hAnsi="宋体"/>
                <w:color w:val="auto"/>
                <w:highlight w:val="none"/>
              </w:rPr>
            </w:pPr>
            <w:r>
              <w:rPr>
                <w:rFonts w:hint="eastAsia" w:hAnsi="宋体"/>
                <w:color w:val="auto"/>
                <w:highlight w:val="none"/>
              </w:rPr>
              <w:t>国民经济</w:t>
            </w:r>
          </w:p>
          <w:p>
            <w:pPr>
              <w:spacing w:line="240" w:lineRule="auto"/>
              <w:ind w:firstLine="0" w:firstLineChars="0"/>
              <w:jc w:val="center"/>
              <w:rPr>
                <w:color w:val="auto"/>
                <w:highlight w:val="none"/>
              </w:rPr>
            </w:pPr>
            <w:r>
              <w:rPr>
                <w:rFonts w:hint="eastAsia" w:hAnsi="宋体"/>
                <w:color w:val="auto"/>
                <w:highlight w:val="none"/>
              </w:rPr>
              <w:t>行业类别</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D4610自来水的生产和供应</w:t>
            </w:r>
          </w:p>
        </w:tc>
        <w:tc>
          <w:tcPr>
            <w:tcW w:w="1828" w:type="dxa"/>
            <w:vAlign w:val="center"/>
          </w:tcPr>
          <w:p>
            <w:pPr>
              <w:spacing w:line="240" w:lineRule="auto"/>
              <w:ind w:firstLine="0" w:firstLineChars="0"/>
              <w:jc w:val="center"/>
              <w:rPr>
                <w:rFonts w:hAnsi="宋体"/>
                <w:color w:val="auto"/>
                <w:highlight w:val="none"/>
              </w:rPr>
            </w:pPr>
            <w:r>
              <w:rPr>
                <w:rFonts w:hint="eastAsia" w:hAnsi="宋体"/>
                <w:color w:val="auto"/>
                <w:highlight w:val="none"/>
              </w:rPr>
              <w:t>建设项目</w:t>
            </w:r>
          </w:p>
          <w:p>
            <w:pPr>
              <w:spacing w:line="240" w:lineRule="auto"/>
              <w:ind w:firstLine="0" w:firstLineChars="0"/>
              <w:jc w:val="center"/>
              <w:rPr>
                <w:color w:val="auto"/>
                <w:highlight w:val="none"/>
              </w:rPr>
            </w:pPr>
            <w:r>
              <w:rPr>
                <w:rFonts w:hint="eastAsia" w:hAnsi="宋体"/>
                <w:color w:val="auto"/>
                <w:highlight w:val="none"/>
              </w:rPr>
              <w:t>行业类别</w:t>
            </w:r>
          </w:p>
        </w:tc>
        <w:tc>
          <w:tcPr>
            <w:tcW w:w="2796" w:type="dxa"/>
            <w:vAlign w:val="center"/>
          </w:tcPr>
          <w:p>
            <w:pPr>
              <w:spacing w:line="240" w:lineRule="auto"/>
              <w:ind w:firstLine="0" w:firstLineChars="0"/>
              <w:jc w:val="center"/>
              <w:rPr>
                <w:rFonts w:hint="eastAsia"/>
                <w:color w:val="auto"/>
                <w:highlight w:val="none"/>
                <w:lang w:val="en-US" w:eastAsia="zh-CN"/>
              </w:rPr>
            </w:pPr>
            <w:r>
              <w:rPr>
                <w:rFonts w:hint="eastAsia"/>
                <w:color w:val="auto"/>
                <w:highlight w:val="none"/>
                <w:lang w:val="en-US" w:eastAsia="zh-CN"/>
              </w:rPr>
              <w:t>四十三、水的生产和供应业</w:t>
            </w:r>
          </w:p>
          <w:p>
            <w:pPr>
              <w:spacing w:line="240" w:lineRule="auto"/>
              <w:ind w:firstLine="0" w:firstLineChars="0"/>
              <w:jc w:val="center"/>
              <w:rPr>
                <w:rFonts w:hint="default"/>
                <w:color w:val="auto"/>
                <w:highlight w:val="none"/>
                <w:lang w:val="en-US" w:eastAsia="zh-CN"/>
              </w:rPr>
            </w:pPr>
            <w:r>
              <w:rPr>
                <w:rFonts w:hint="eastAsia"/>
                <w:color w:val="auto"/>
                <w:highlight w:val="none"/>
                <w:lang w:val="en-US" w:eastAsia="zh-CN"/>
              </w:rPr>
              <w:t>94、自来水生产和供应 461（不含供应工程；不含村庄供应工程）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278" w:hRule="atLeast"/>
          <w:jc w:val="center"/>
        </w:trPr>
        <w:tc>
          <w:tcPr>
            <w:tcW w:w="1297" w:type="dxa"/>
            <w:vAlign w:val="center"/>
          </w:tcPr>
          <w:p>
            <w:pPr>
              <w:spacing w:line="240" w:lineRule="auto"/>
              <w:ind w:firstLine="0" w:firstLineChars="0"/>
              <w:jc w:val="center"/>
              <w:rPr>
                <w:color w:val="auto"/>
                <w:highlight w:val="none"/>
              </w:rPr>
            </w:pPr>
            <w:r>
              <w:rPr>
                <w:rFonts w:hint="eastAsia"/>
                <w:color w:val="auto"/>
                <w:highlight w:val="none"/>
              </w:rPr>
              <w:t>建设性质</w:t>
            </w:r>
          </w:p>
        </w:tc>
        <w:tc>
          <w:tcPr>
            <w:tcW w:w="2499"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F052"/>
            </w:r>
            <w:r>
              <w:rPr>
                <w:rFonts w:hint="eastAsia"/>
                <w:color w:val="auto"/>
                <w:highlight w:val="none"/>
              </w:rPr>
              <w:t>新建（迁建）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改建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扩建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技术改造</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建设项目</w:t>
            </w:r>
          </w:p>
          <w:p>
            <w:pPr>
              <w:spacing w:line="240" w:lineRule="auto"/>
              <w:ind w:firstLine="0" w:firstLineChars="0"/>
              <w:jc w:val="center"/>
              <w:rPr>
                <w:color w:val="auto"/>
                <w:highlight w:val="none"/>
              </w:rPr>
            </w:pPr>
            <w:r>
              <w:rPr>
                <w:rFonts w:hint="eastAsia"/>
                <w:color w:val="auto"/>
                <w:highlight w:val="none"/>
              </w:rPr>
              <w:t>申报情况</w:t>
            </w:r>
          </w:p>
        </w:tc>
        <w:tc>
          <w:tcPr>
            <w:tcW w:w="2796"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F052"/>
            </w:r>
            <w:r>
              <w:rPr>
                <w:rFonts w:hint="eastAsia"/>
                <w:color w:val="auto"/>
                <w:highlight w:val="none"/>
              </w:rPr>
              <w:t>首次申报项目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不予批准后再次申报项目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超五年重新审核项目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66"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项目审批（核准/备案）部门</w:t>
            </w: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highlight w:val="none"/>
                <w:lang w:eastAsia="zh-CN"/>
              </w:rPr>
            </w:pPr>
            <w:r>
              <w:rPr>
                <w:rFonts w:hint="eastAsia"/>
                <w:color w:val="auto"/>
                <w:highlight w:val="none"/>
                <w:lang w:eastAsia="zh-CN"/>
              </w:rPr>
              <w:t>宜良县发展和改革局</w:t>
            </w:r>
          </w:p>
        </w:tc>
        <w:tc>
          <w:tcPr>
            <w:tcW w:w="1828" w:type="dxa"/>
            <w:vAlign w:val="center"/>
          </w:tcPr>
          <w:p>
            <w:pPr>
              <w:spacing w:line="240" w:lineRule="auto"/>
              <w:ind w:firstLine="0" w:firstLineChars="0"/>
              <w:jc w:val="center"/>
              <w:rPr>
                <w:color w:val="auto"/>
                <w:w w:val="80"/>
                <w:highlight w:val="none"/>
              </w:rPr>
            </w:pPr>
            <w:r>
              <w:rPr>
                <w:rFonts w:hint="eastAsia" w:hAnsi="宋体"/>
                <w:color w:val="auto"/>
                <w:highlight w:val="none"/>
              </w:rPr>
              <w:t>项目审批（核准/备案）文号</w:t>
            </w:r>
          </w:p>
        </w:tc>
        <w:tc>
          <w:tcPr>
            <w:tcW w:w="2796" w:type="dxa"/>
            <w:vAlign w:val="center"/>
          </w:tcPr>
          <w:p>
            <w:pPr>
              <w:spacing w:line="240" w:lineRule="auto"/>
              <w:ind w:right="-58" w:rightChars="-24" w:firstLine="0" w:firstLineChars="0"/>
              <w:jc w:val="center"/>
              <w:rPr>
                <w:rFonts w:hint="eastAsia" w:eastAsia="宋体"/>
                <w:color w:val="auto"/>
                <w:highlight w:val="none"/>
                <w:lang w:eastAsia="zh-CN"/>
              </w:rPr>
            </w:pPr>
            <w:r>
              <w:rPr>
                <w:rFonts w:hint="eastAsia"/>
                <w:color w:val="auto"/>
                <w:highlight w:val="none"/>
                <w:lang w:eastAsia="zh-CN"/>
              </w:rPr>
              <w:t>2107-530125-04-01-650169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13" w:hRule="atLeast"/>
          <w:jc w:val="center"/>
        </w:trPr>
        <w:tc>
          <w:tcPr>
            <w:tcW w:w="1297" w:type="dxa"/>
            <w:vAlign w:val="center"/>
          </w:tcPr>
          <w:p>
            <w:pPr>
              <w:spacing w:line="240" w:lineRule="auto"/>
              <w:ind w:firstLine="0" w:firstLineChars="0"/>
              <w:jc w:val="center"/>
              <w:rPr>
                <w:color w:val="auto"/>
                <w:spacing w:val="-22"/>
                <w:highlight w:val="none"/>
              </w:rPr>
            </w:pPr>
            <w:r>
              <w:rPr>
                <w:rFonts w:hint="eastAsia" w:hAnsi="宋体"/>
                <w:color w:val="auto"/>
                <w:spacing w:val="-22"/>
                <w:highlight w:val="none"/>
              </w:rPr>
              <w:t>总投资</w:t>
            </w:r>
            <w:r>
              <w:rPr>
                <w:rFonts w:hint="eastAsia" w:ascii="宋体" w:hAnsi="宋体" w:cs="宋体"/>
                <w:color w:val="auto"/>
                <w:szCs w:val="21"/>
                <w:highlight w:val="none"/>
              </w:rPr>
              <w:t>（万元）</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10129.63</w:t>
            </w:r>
          </w:p>
        </w:tc>
        <w:tc>
          <w:tcPr>
            <w:tcW w:w="1828" w:type="dxa"/>
            <w:vAlign w:val="center"/>
          </w:tcPr>
          <w:p>
            <w:pPr>
              <w:spacing w:line="240" w:lineRule="auto"/>
              <w:ind w:left="-122" w:leftChars="-51" w:firstLine="0" w:firstLineChars="0"/>
              <w:jc w:val="center"/>
              <w:rPr>
                <w:rFonts w:hint="default" w:eastAsia="宋体"/>
                <w:color w:val="auto"/>
                <w:spacing w:val="-18"/>
                <w:highlight w:val="none"/>
                <w:lang w:val="en-US" w:eastAsia="zh-CN"/>
              </w:rPr>
            </w:pPr>
            <w:r>
              <w:rPr>
                <w:rFonts w:hint="eastAsia"/>
                <w:color w:val="auto"/>
                <w:spacing w:val="-18"/>
                <w:highlight w:val="none"/>
              </w:rPr>
              <w:t>环保投资</w:t>
            </w:r>
            <w:r>
              <w:rPr>
                <w:rFonts w:hint="eastAsia"/>
                <w:color w:val="auto"/>
                <w:spacing w:val="-18"/>
                <w:highlight w:val="none"/>
                <w:lang w:eastAsia="zh-CN"/>
              </w:rPr>
              <w:t>（</w:t>
            </w:r>
            <w:r>
              <w:rPr>
                <w:rFonts w:hint="eastAsia"/>
                <w:color w:val="auto"/>
                <w:spacing w:val="-18"/>
                <w:highlight w:val="none"/>
                <w:lang w:val="en-US" w:eastAsia="zh-CN"/>
              </w:rPr>
              <w:t>万元）</w:t>
            </w:r>
          </w:p>
        </w:tc>
        <w:tc>
          <w:tcPr>
            <w:tcW w:w="2796" w:type="dxa"/>
            <w:vAlign w:val="center"/>
          </w:tcPr>
          <w:p>
            <w:pPr>
              <w:spacing w:line="240" w:lineRule="auto"/>
              <w:ind w:right="-65" w:rightChars="-27" w:firstLine="0" w:firstLineChars="0"/>
              <w:jc w:val="center"/>
              <w:rPr>
                <w:rFonts w:hint="default" w:eastAsia="宋体"/>
                <w:color w:val="auto"/>
                <w:highlight w:val="none"/>
                <w:lang w:val="en-US" w:eastAsia="zh-CN"/>
              </w:rPr>
            </w:pPr>
            <w:r>
              <w:rPr>
                <w:rFonts w:hint="eastAsia"/>
                <w:color w:val="auto"/>
                <w:highlight w:val="none"/>
                <w:lang w:val="en-US" w:eastAsia="zh-CN"/>
              </w:rPr>
              <w:t>76.73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环保投资占比（%）</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0.76</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施工工期</w:t>
            </w:r>
          </w:p>
        </w:tc>
        <w:tc>
          <w:tcPr>
            <w:tcW w:w="2796"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8个月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是否开工建设</w:t>
            </w:r>
          </w:p>
        </w:tc>
        <w:tc>
          <w:tcPr>
            <w:tcW w:w="2499"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0052"/>
            </w:r>
            <w:r>
              <w:rPr>
                <w:rFonts w:hint="eastAsia"/>
                <w:color w:val="auto"/>
                <w:highlight w:val="none"/>
              </w:rPr>
              <w:t>否</w:t>
            </w:r>
          </w:p>
          <w:p>
            <w:pPr>
              <w:spacing w:line="240" w:lineRule="auto"/>
              <w:ind w:firstLine="0" w:firstLineChars="0"/>
              <w:jc w:val="left"/>
              <w:rPr>
                <w:rFonts w:hint="default" w:eastAsia="宋体"/>
                <w:color w:val="auto"/>
                <w:highlight w:val="none"/>
                <w:lang w:val="en-US" w:eastAsia="zh-CN"/>
              </w:rPr>
            </w:pPr>
            <w:r>
              <w:rPr>
                <w:rFonts w:hint="eastAsia" w:asciiTheme="minorEastAsia" w:hAnsiTheme="minorEastAsia" w:eastAsiaTheme="minorEastAsia" w:cstheme="minorEastAsia"/>
                <w:color w:val="auto"/>
                <w:highlight w:val="none"/>
              </w:rPr>
              <w:sym w:font="Wingdings 2" w:char="00A3"/>
            </w:r>
            <w:r>
              <w:rPr>
                <w:rFonts w:hint="eastAsia"/>
                <w:color w:val="auto"/>
                <w:highlight w:val="none"/>
              </w:rPr>
              <w:t>是：</w:t>
            </w:r>
          </w:p>
        </w:tc>
        <w:tc>
          <w:tcPr>
            <w:tcW w:w="1828" w:type="dxa"/>
            <w:vAlign w:val="center"/>
          </w:tcPr>
          <w:p>
            <w:pPr>
              <w:spacing w:line="240" w:lineRule="auto"/>
              <w:ind w:firstLine="0" w:firstLineChars="0"/>
              <w:jc w:val="center"/>
              <w:rPr>
                <w:rFonts w:asciiTheme="minorEastAsia" w:hAnsiTheme="minorEastAsia" w:eastAsiaTheme="minorEastAsia" w:cstheme="minorEastAsia"/>
                <w:color w:val="auto"/>
                <w:highlight w:val="none"/>
              </w:rPr>
            </w:pPr>
            <w:r>
              <w:rPr>
                <w:rFonts w:hint="eastAsia"/>
                <w:color w:val="auto"/>
                <w:highlight w:val="none"/>
              </w:rPr>
              <w:t>用地（用海）面积（m</w:t>
            </w:r>
            <w:r>
              <w:rPr>
                <w:rFonts w:hint="eastAsia"/>
                <w:color w:val="auto"/>
                <w:highlight w:val="none"/>
                <w:vertAlign w:val="superscript"/>
              </w:rPr>
              <w:t>2</w:t>
            </w:r>
            <w:r>
              <w:rPr>
                <w:rFonts w:hint="eastAsia"/>
                <w:color w:val="auto"/>
                <w:highlight w:val="none"/>
              </w:rPr>
              <w:t>）</w:t>
            </w:r>
          </w:p>
        </w:tc>
        <w:tc>
          <w:tcPr>
            <w:tcW w:w="2796" w:type="dxa"/>
            <w:vAlign w:val="center"/>
          </w:tcPr>
          <w:p>
            <w:pPr>
              <w:spacing w:line="240" w:lineRule="auto"/>
              <w:ind w:firstLine="0" w:firstLineChars="0"/>
              <w:jc w:val="center"/>
              <w:rPr>
                <w:rFonts w:hint="default" w:asciiTheme="minorEastAsia" w:hAnsiTheme="minorEastAsia" w:eastAsiaTheme="minorEastAsia" w:cstheme="minorEastAsia"/>
                <w:color w:val="auto"/>
                <w:highlight w:val="none"/>
                <w:lang w:val="en-US" w:eastAsia="zh-CN"/>
              </w:rPr>
            </w:pPr>
            <w:r>
              <w:rPr>
                <w:rFonts w:hint="eastAsia" w:cs="Times New Roman" w:eastAsiaTheme="minorEastAsia"/>
                <w:color w:val="auto"/>
                <w:highlight w:val="none"/>
                <w:lang w:val="en-US" w:eastAsia="zh-CN"/>
              </w:rPr>
              <w:t>6559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vAlign w:val="center"/>
          </w:tcPr>
          <w:p>
            <w:pPr>
              <w:ind w:firstLine="0" w:firstLineChars="0"/>
              <w:jc w:val="center"/>
              <w:rPr>
                <w:color w:val="auto"/>
                <w:highlight w:val="none"/>
              </w:rPr>
            </w:pPr>
            <w:r>
              <w:rPr>
                <w:rFonts w:hint="eastAsia"/>
                <w:color w:val="auto"/>
                <w:highlight w:val="none"/>
              </w:rPr>
              <w:t>专项评价设置情况</w:t>
            </w:r>
          </w:p>
        </w:tc>
        <w:tc>
          <w:tcPr>
            <w:tcW w:w="7123"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表1-1 专项评价设置原则表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3213"/>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专项评价的原则</w:t>
                  </w:r>
                </w:p>
              </w:tc>
              <w:tc>
                <w:tcPr>
                  <w:tcW w:w="32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设置原则</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大气</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排放废气含有毒有害污染物</w:t>
                  </w:r>
                  <w:r>
                    <w:rPr>
                      <w:rFonts w:hint="eastAsia" w:ascii="宋体" w:hAnsi="宋体" w:eastAsia="宋体" w:cs="宋体"/>
                      <w:color w:val="auto"/>
                      <w:kern w:val="0"/>
                      <w:sz w:val="21"/>
                      <w:szCs w:val="21"/>
                      <w:vertAlign w:val="superscript"/>
                      <w:lang w:val="en-US" w:eastAsia="zh-CN" w:bidi="ar"/>
                    </w:rPr>
                    <w:t>1</w:t>
                  </w:r>
                  <w:r>
                    <w:rPr>
                      <w:rFonts w:hint="eastAsia" w:ascii="宋体" w:hAnsi="宋体" w:eastAsia="宋体" w:cs="宋体"/>
                      <w:color w:val="auto"/>
                      <w:kern w:val="0"/>
                      <w:sz w:val="21"/>
                      <w:szCs w:val="21"/>
                      <w:lang w:val="en-US" w:eastAsia="zh-CN" w:bidi="ar"/>
                    </w:rPr>
                    <w:t>、二噁英、苯并[</w:t>
                  </w:r>
                  <w:r>
                    <w:rPr>
                      <w:rFonts w:hint="eastAsia" w:ascii="宋体" w:hAnsi="宋体" w:eastAsia="宋体" w:cs="宋体"/>
                      <w:i/>
                      <w:iCs/>
                      <w:color w:val="auto"/>
                      <w:kern w:val="0"/>
                      <w:sz w:val="21"/>
                      <w:szCs w:val="21"/>
                      <w:lang w:val="en-US" w:eastAsia="zh-CN" w:bidi="ar"/>
                    </w:rPr>
                    <w:t>a</w:t>
                  </w:r>
                  <w:r>
                    <w:rPr>
                      <w:rFonts w:hint="eastAsia" w:ascii="宋体" w:hAnsi="宋体" w:eastAsia="宋体" w:cs="宋体"/>
                      <w:color w:val="auto"/>
                      <w:kern w:val="0"/>
                      <w:sz w:val="21"/>
                      <w:szCs w:val="21"/>
                      <w:lang w:val="en-US" w:eastAsia="zh-CN" w:bidi="ar"/>
                    </w:rPr>
                    <w:t>]芘、氰化物、氯气且厂界外500米范围内有环境空气保护目标</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lang w:val="en-US" w:eastAsia="zh-CN" w:bidi="ar"/>
                    </w:rPr>
                    <w:t>的建设项目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本项目废气不涉及有毒有害污染物，因此无需开展大气专项评价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地表水</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新增工业废水直排建设项目（槽罐车外送污水处理厂的除外）；新增废水直排的污水集中处理厂</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本项目不涉及废水直排</w:t>
                  </w:r>
                  <w:r>
                    <w:rPr>
                      <w:rFonts w:hint="eastAsia" w:ascii="宋体" w:hAnsi="宋体" w:eastAsia="宋体" w:cs="宋体"/>
                      <w:color w:val="auto"/>
                      <w:kern w:val="0"/>
                      <w:sz w:val="21"/>
                      <w:szCs w:val="21"/>
                      <w:lang w:val="en-US" w:eastAsia="zh-CN" w:bidi="ar"/>
                    </w:rPr>
                    <w:t>，因此无需开展地表水专项评价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环境风险</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有毒有害和易燃易爆危险物质存储量超过临界量</w:t>
                  </w:r>
                  <w:r>
                    <w:rPr>
                      <w:rFonts w:hint="eastAsia" w:ascii="宋体" w:hAnsi="宋体" w:eastAsia="宋体" w:cs="宋体"/>
                      <w:color w:val="auto"/>
                      <w:kern w:val="0"/>
                      <w:sz w:val="21"/>
                      <w:szCs w:val="21"/>
                      <w:vertAlign w:val="superscript"/>
                      <w:lang w:val="en-US" w:eastAsia="zh-CN" w:bidi="ar"/>
                    </w:rPr>
                    <w:t>3</w:t>
                  </w:r>
                  <w:r>
                    <w:rPr>
                      <w:rFonts w:hint="eastAsia" w:ascii="宋体" w:hAnsi="宋体" w:eastAsia="宋体" w:cs="宋体"/>
                      <w:color w:val="auto"/>
                      <w:kern w:val="0"/>
                      <w:sz w:val="21"/>
                      <w:szCs w:val="21"/>
                      <w:lang w:val="en-US" w:eastAsia="zh-CN" w:bidi="ar"/>
                    </w:rPr>
                    <w:t>的建设项目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w:t>
                  </w:r>
                  <w:r>
                    <w:rPr>
                      <w:rFonts w:hint="eastAsia" w:ascii="宋体" w:hAnsi="宋体" w:eastAsia="宋体" w:cs="宋体"/>
                      <w:color w:val="auto"/>
                      <w:kern w:val="0"/>
                      <w:sz w:val="21"/>
                      <w:szCs w:val="21"/>
                      <w:lang w:val="en-US" w:eastAsia="zh-CN" w:bidi="ar"/>
                    </w:rPr>
                    <w:t>有毒有害和易燃易爆危险物质存储量未超过临界量，</w:t>
                  </w:r>
                  <w:r>
                    <w:rPr>
                      <w:rFonts w:hint="eastAsia" w:ascii="宋体" w:hAnsi="宋体" w:eastAsia="宋体" w:cs="宋体"/>
                      <w:color w:val="auto"/>
                      <w:kern w:val="2"/>
                      <w:sz w:val="21"/>
                      <w:szCs w:val="21"/>
                      <w:vertAlign w:val="baseline"/>
                      <w:lang w:val="en-US" w:eastAsia="zh-CN" w:bidi="ar-SA"/>
                    </w:rPr>
                    <w:t>因此无需开展环境风险专项评价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生态</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取水口下游500米范围内有重要水生生物的自然产卵场、索饵场、越冬场和洄游通道的新增河道取水的污染类建设项目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本项目不涉及河道取水，因此无需开展生态专项评价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海洋</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直接向海排放污染物的海洋工程建设项目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本项目不属于海洋工程建设项目</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0"/>
                <w:sz w:val="21"/>
                <w:szCs w:val="21"/>
                <w:lang w:val="en-US" w:eastAsia="zh-CN" w:bidi="ar"/>
              </w:rPr>
              <w:t>注：1.废气中有毒有害污染物指纳入《有毒有害大气污染物名录》的污染物（不包括无排放标准的污染物）。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0"/>
                <w:sz w:val="21"/>
                <w:szCs w:val="21"/>
                <w:lang w:val="en-US" w:eastAsia="zh-CN" w:bidi="ar"/>
              </w:rPr>
              <w:t>2.环境空气保护目标指自然保护区、风景名胜区、居住区、文化区和农村地区中人群较集中的区域。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jc w:val="left"/>
              <w:textAlignment w:val="baseline"/>
              <w:rPr>
                <w:rFonts w:hint="default"/>
                <w:color w:val="auto"/>
                <w:highlight w:val="none"/>
                <w:lang w:val="en-US" w:eastAsia="zh-CN"/>
              </w:rPr>
            </w:pPr>
            <w:r>
              <w:rPr>
                <w:rFonts w:hint="eastAsia" w:ascii="宋体" w:hAnsi="宋体" w:eastAsia="宋体" w:cs="宋体"/>
                <w:color w:val="auto"/>
                <w:kern w:val="0"/>
                <w:sz w:val="21"/>
                <w:szCs w:val="21"/>
                <w:lang w:val="en-US" w:eastAsia="zh-CN" w:bidi="ar"/>
              </w:rPr>
              <w:t>3.临界量及其计算方法可参考《建设项目环境风险评价技术导则》（HJ169）附录B、附录C。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tcPr>
          <w:p>
            <w:pPr>
              <w:ind w:firstLine="0" w:firstLineChars="0"/>
              <w:jc w:val="center"/>
              <w:rPr>
                <w:color w:val="auto"/>
                <w:highlight w:val="none"/>
              </w:rPr>
            </w:pPr>
            <w:r>
              <w:rPr>
                <w:rFonts w:hint="eastAsia"/>
                <w:color w:val="auto"/>
                <w:highlight w:val="none"/>
              </w:rPr>
              <w:t>规划情况</w:t>
            </w:r>
          </w:p>
        </w:tc>
        <w:tc>
          <w:tcPr>
            <w:tcW w:w="7123" w:type="dxa"/>
            <w:gridSpan w:val="3"/>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tcPr>
          <w:p>
            <w:pPr>
              <w:ind w:firstLine="0" w:firstLineChars="0"/>
              <w:jc w:val="center"/>
              <w:rPr>
                <w:color w:val="auto"/>
                <w:highlight w:val="none"/>
              </w:rPr>
            </w:pPr>
            <w:r>
              <w:rPr>
                <w:rFonts w:hint="eastAsia"/>
                <w:color w:val="auto"/>
                <w:highlight w:val="none"/>
              </w:rPr>
              <w:t>规划环境影响评价情况</w:t>
            </w:r>
          </w:p>
        </w:tc>
        <w:tc>
          <w:tcPr>
            <w:tcW w:w="7123" w:type="dxa"/>
            <w:gridSpan w:val="3"/>
            <w:vAlign w:val="center"/>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5" w:hRule="atLeast"/>
          <w:jc w:val="center"/>
        </w:trPr>
        <w:tc>
          <w:tcPr>
            <w:tcW w:w="1297" w:type="dxa"/>
          </w:tcPr>
          <w:p>
            <w:pPr>
              <w:ind w:firstLine="0" w:firstLineChars="0"/>
              <w:jc w:val="center"/>
              <w:rPr>
                <w:color w:val="auto"/>
                <w:highlight w:val="none"/>
              </w:rPr>
            </w:pPr>
            <w:r>
              <w:rPr>
                <w:rFonts w:hint="eastAsia"/>
                <w:color w:val="auto"/>
                <w:highlight w:val="none"/>
              </w:rPr>
              <w:t>规划及规划环境影响评价符合性分析</w:t>
            </w:r>
          </w:p>
        </w:tc>
        <w:tc>
          <w:tcPr>
            <w:tcW w:w="7123" w:type="dxa"/>
            <w:gridSpan w:val="3"/>
            <w:vAlign w:val="center"/>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58" w:hRule="atLeast"/>
          <w:jc w:val="center"/>
        </w:trPr>
        <w:tc>
          <w:tcPr>
            <w:tcW w:w="1297" w:type="dxa"/>
            <w:vAlign w:val="center"/>
          </w:tcPr>
          <w:p>
            <w:pPr>
              <w:ind w:firstLine="0" w:firstLineChars="0"/>
              <w:jc w:val="center"/>
              <w:rPr>
                <w:color w:val="auto"/>
                <w:highlight w:val="none"/>
              </w:rPr>
            </w:pPr>
            <w:r>
              <w:rPr>
                <w:rFonts w:hint="eastAsia"/>
                <w:color w:val="auto"/>
                <w:highlight w:val="none"/>
              </w:rPr>
              <w:t>其他符合性分析</w:t>
            </w:r>
          </w:p>
        </w:tc>
        <w:tc>
          <w:tcPr>
            <w:tcW w:w="7123" w:type="dxa"/>
            <w:gridSpan w:val="3"/>
          </w:tcPr>
          <w:p>
            <w:pPr>
              <w:ind w:left="0" w:leftChars="0" w:firstLine="481" w:firstLineChars="200"/>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1、“三线一单”符合性分析</w:t>
            </w:r>
          </w:p>
          <w:p>
            <w:pPr>
              <w:ind w:left="0" w:leftChars="0" w:firstLine="480" w:firstLineChars="200"/>
              <w:rPr>
                <w:rFonts w:hint="eastAsia" w:hAnsi="宋体"/>
                <w:b w:val="0"/>
                <w:bCs/>
                <w:snapToGrid w:val="0"/>
                <w:color w:val="auto"/>
                <w:kern w:val="0"/>
                <w:sz w:val="24"/>
                <w:szCs w:val="24"/>
                <w:highlight w:val="none"/>
              </w:rPr>
            </w:pPr>
            <w:r>
              <w:rPr>
                <w:rFonts w:hint="eastAsia" w:ascii="Times New Roman" w:eastAsia="宋体"/>
                <w:b w:val="0"/>
                <w:bCs/>
                <w:color w:val="auto"/>
                <w:sz w:val="24"/>
                <w:szCs w:val="24"/>
                <w:highlight w:val="none"/>
                <w:lang w:val="en-US" w:eastAsia="zh-CN"/>
              </w:rPr>
              <w:t>2021年11月23日，昆明市人民政府发布了《昆明市人民政府关于昆明市“三线一单”生态环境分区管控的实施意见》（昆政发[2021]21号），</w:t>
            </w:r>
            <w:r>
              <w:rPr>
                <w:rFonts w:hint="eastAsia" w:hAnsi="宋体"/>
                <w:b w:val="0"/>
                <w:bCs/>
                <w:snapToGrid w:val="0"/>
                <w:color w:val="auto"/>
                <w:kern w:val="0"/>
                <w:sz w:val="24"/>
                <w:szCs w:val="24"/>
                <w:highlight w:val="none"/>
              </w:rPr>
              <w:t>本项目属于其附件3中的“宜良县一般管控单元（单元编码：ZH53012530001）。</w:t>
            </w:r>
          </w:p>
          <w:p>
            <w:pPr>
              <w:ind w:left="0" w:leftChars="0" w:firstLine="480" w:firstLineChars="200"/>
              <w:rPr>
                <w:rFonts w:hint="default" w:hAnsi="宋体" w:eastAsia="宋体"/>
                <w:b w:val="0"/>
                <w:bCs/>
                <w:snapToGrid w:val="0"/>
                <w:color w:val="auto"/>
                <w:kern w:val="0"/>
                <w:sz w:val="24"/>
                <w:szCs w:val="24"/>
                <w:highlight w:val="none"/>
                <w:lang w:val="en-US" w:eastAsia="zh-CN"/>
              </w:rPr>
            </w:pPr>
            <w:r>
              <w:rPr>
                <w:rFonts w:hint="eastAsia" w:hAnsi="宋体"/>
                <w:b w:val="0"/>
                <w:bCs/>
                <w:snapToGrid w:val="0"/>
                <w:color w:val="auto"/>
                <w:kern w:val="0"/>
                <w:sz w:val="24"/>
                <w:szCs w:val="24"/>
                <w:highlight w:val="none"/>
                <w:lang w:val="en-US" w:eastAsia="zh-CN"/>
              </w:rPr>
              <w:t>项目与昆明市“三线一单”的符合性分析详见下表。</w:t>
            </w:r>
          </w:p>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表1-</w:t>
            </w:r>
            <w:r>
              <w:rPr>
                <w:rFonts w:hint="eastAsia" w:cs="Times New Roman"/>
                <w:b/>
                <w:bCs w:val="0"/>
                <w:color w:val="auto"/>
                <w:sz w:val="24"/>
                <w:szCs w:val="24"/>
                <w:highlight w:val="none"/>
                <w:lang w:val="en-US" w:eastAsia="zh-CN"/>
              </w:rPr>
              <w:t>2</w:t>
            </w:r>
            <w:r>
              <w:rPr>
                <w:rFonts w:hint="eastAsia" w:ascii="Times New Roman" w:hAnsi="Times New Roman" w:eastAsia="宋体" w:cs="Times New Roman"/>
                <w:b/>
                <w:bCs w:val="0"/>
                <w:color w:val="auto"/>
                <w:sz w:val="24"/>
                <w:szCs w:val="24"/>
                <w:highlight w:val="none"/>
                <w:lang w:val="en-US" w:eastAsia="zh-CN"/>
              </w:rPr>
              <w:t xml:space="preserve"> 与《昆明市人民政府关于昆明市“三线一单”生态环境分区管控的实施意见》符合性</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7"/>
              <w:gridCol w:w="3156"/>
              <w:gridCol w:w="198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2254"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内容要求</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项目情况</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生态保护红线和一般生态空间</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红线区严格执行云南省人民政府发布的《云南省生态保护红线》，全市生态保护红线总面积为4662.53平方公里，占全市国土面积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1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项目位于宜良县，</w:t>
                  </w:r>
                  <w:r>
                    <w:rPr>
                      <w:rFonts w:hint="eastAsia" w:cs="Times New Roman"/>
                      <w:color w:val="auto"/>
                      <w:sz w:val="21"/>
                      <w:szCs w:val="21"/>
                      <w:highlight w:val="none"/>
                      <w:lang w:val="en-US" w:eastAsia="zh-CN"/>
                    </w:rPr>
                    <w:t>涉及永久占地的水厂及取水工程</w:t>
                  </w:r>
                  <w:r>
                    <w:rPr>
                      <w:rFonts w:hint="eastAsia" w:ascii="Times New Roman" w:hAnsi="Times New Roman" w:eastAsia="宋体" w:cs="Times New Roman"/>
                      <w:color w:val="auto"/>
                      <w:sz w:val="21"/>
                      <w:szCs w:val="21"/>
                      <w:highlight w:val="none"/>
                      <w:lang w:val="en-US" w:eastAsia="zh-CN"/>
                    </w:rPr>
                    <w:t>用地</w:t>
                  </w:r>
                  <w:r>
                    <w:rPr>
                      <w:rFonts w:hint="eastAsia" w:cs="Times New Roman"/>
                      <w:color w:val="auto"/>
                      <w:sz w:val="21"/>
                      <w:szCs w:val="21"/>
                      <w:highlight w:val="none"/>
                      <w:lang w:val="en-US" w:eastAsia="zh-CN"/>
                    </w:rPr>
                    <w:t>均属于建设</w:t>
                  </w:r>
                  <w:r>
                    <w:rPr>
                      <w:rFonts w:hint="eastAsia" w:ascii="Times New Roman" w:hAnsi="Times New Roman" w:eastAsia="宋体" w:cs="Times New Roman"/>
                      <w:color w:val="auto"/>
                      <w:sz w:val="21"/>
                      <w:szCs w:val="21"/>
                      <w:highlight w:val="none"/>
                      <w:lang w:val="en-US" w:eastAsia="zh-CN"/>
                    </w:rPr>
                    <w:t>用地。</w:t>
                  </w:r>
                  <w:r>
                    <w:rPr>
                      <w:rFonts w:hint="eastAsia" w:cs="Times New Roman"/>
                      <w:color w:val="auto"/>
                      <w:sz w:val="21"/>
                      <w:szCs w:val="21"/>
                      <w:highlight w:val="none"/>
                      <w:lang w:val="en-US" w:eastAsia="zh-CN"/>
                    </w:rPr>
                    <w:t>根据《宜良县自然资源局关于宜良县南羊片区供水一体化项目选址踏勘论证的意见》及《宜良县自然资源局关于宜良县南羊片区供水一体化项目生态红线查询情况》，本项目不占耕地和永久基本农田，避让了</w:t>
                  </w:r>
                  <w:r>
                    <w:rPr>
                      <w:rFonts w:hint="eastAsia" w:ascii="Times New Roman" w:hAnsi="Times New Roman" w:eastAsia="宋体" w:cs="Times New Roman"/>
                      <w:color w:val="auto"/>
                      <w:sz w:val="21"/>
                      <w:szCs w:val="21"/>
                      <w:highlight w:val="none"/>
                      <w:lang w:val="en-US" w:eastAsia="zh-CN"/>
                    </w:rPr>
                    <w:t>生态保护红线，符合生态保护红线管控要求</w:t>
                  </w:r>
                  <w:r>
                    <w:rPr>
                      <w:rFonts w:hint="eastAsia" w:cs="Times New Roman"/>
                      <w:color w:val="auto"/>
                      <w:sz w:val="21"/>
                      <w:szCs w:val="21"/>
                      <w:highlight w:val="none"/>
                      <w:lang w:val="en-US" w:eastAsia="zh-CN"/>
                    </w:rPr>
                    <w:t>；同时项目不涉及未划入生态保护红线中的一般生态空间。</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环境质量底线</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到2025年，全市生态环境质量持续改善，生态空间得到优化和有效保护，区域生态安全屏障更加牢固。全市环境空气质量总体保持优良，主城建成区空气质量优良天数占比达99%以上，二氧化硫（SO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）和氮氧化物（NOx）排放总量控制在省下达的目标以内，主城区空气中颗粒物（PM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）稳定达《环境空气质量标准》二级标准以上。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tc>
              <w:tc>
                <w:tcPr>
                  <w:tcW w:w="1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根据《202</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年度昆明市生态环境状况公报》，昆明市各县</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市</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区环境空气质量总体保持良好。与2020年相比，安宁市、禄劝县环境空气综合污染指数有所下降，东川区、石林县、嵩明县、富民县、宜良县、寻甸县和阳宗海风景名胜区环境空气综合污染指数有所上升</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全市纳入国考地表水监测的35个水质断面全部达标。其中</w:t>
                  </w:r>
                  <w:r>
                    <w:rPr>
                      <w:rFonts w:hint="eastAsia" w:cs="Times New Roman"/>
                      <w:color w:val="auto"/>
                      <w:sz w:val="21"/>
                      <w:szCs w:val="21"/>
                      <w:highlight w:val="none"/>
                      <w:lang w:val="en-US" w:eastAsia="zh-CN"/>
                    </w:rPr>
                    <w:t>Ⅱ</w:t>
                  </w:r>
                  <w:r>
                    <w:rPr>
                      <w:rFonts w:hint="default" w:ascii="Times New Roman" w:hAnsi="Times New Roman" w:eastAsia="宋体" w:cs="Times New Roman"/>
                      <w:color w:val="auto"/>
                      <w:sz w:val="21"/>
                      <w:szCs w:val="21"/>
                      <w:highlight w:val="none"/>
                      <w:lang w:val="en-US" w:eastAsia="zh-CN"/>
                    </w:rPr>
                    <w:t>类水质断面8个，占22.85%</w:t>
                  </w:r>
                  <w:r>
                    <w:rPr>
                      <w:rFonts w:hint="eastAsia" w:cs="Times New Roman"/>
                      <w:color w:val="auto"/>
                      <w:sz w:val="21"/>
                      <w:szCs w:val="21"/>
                      <w:highlight w:val="none"/>
                      <w:lang w:val="en-US" w:eastAsia="zh-CN"/>
                    </w:rPr>
                    <w:t>；Ⅲ</w:t>
                  </w:r>
                  <w:r>
                    <w:rPr>
                      <w:rFonts w:hint="default" w:ascii="Times New Roman" w:hAnsi="Times New Roman" w:eastAsia="宋体" w:cs="Times New Roman"/>
                      <w:color w:val="auto"/>
                      <w:sz w:val="21"/>
                      <w:szCs w:val="21"/>
                      <w:highlight w:val="none"/>
                      <w:lang w:val="en-US" w:eastAsia="zh-CN"/>
                    </w:rPr>
                    <w:t>类水质断面12个，占34.29%</w:t>
                  </w:r>
                  <w:r>
                    <w:rPr>
                      <w:rFonts w:hint="eastAsia" w:cs="Times New Roman"/>
                      <w:color w:val="auto"/>
                      <w:sz w:val="21"/>
                      <w:szCs w:val="21"/>
                      <w:highlight w:val="none"/>
                      <w:lang w:val="en-US" w:eastAsia="zh-CN"/>
                    </w:rPr>
                    <w:t>；Ⅳ</w:t>
                  </w:r>
                  <w:r>
                    <w:rPr>
                      <w:rFonts w:hint="default" w:ascii="Times New Roman" w:hAnsi="Times New Roman" w:eastAsia="宋体" w:cs="Times New Roman"/>
                      <w:color w:val="auto"/>
                      <w:sz w:val="21"/>
                      <w:szCs w:val="21"/>
                      <w:highlight w:val="none"/>
                      <w:lang w:val="en-US" w:eastAsia="zh-CN"/>
                    </w:rPr>
                    <w:t>类水质断面3个</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占</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57%</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V类水质断面12个，34.29%</w:t>
                  </w:r>
                  <w:r>
                    <w:rPr>
                      <w:rFonts w:hint="eastAsia" w:cs="Times New Roman"/>
                      <w:color w:val="auto"/>
                      <w:sz w:val="21"/>
                      <w:szCs w:val="21"/>
                      <w:highlight w:val="none"/>
                      <w:lang w:val="en-US" w:eastAsia="zh-CN"/>
                    </w:rPr>
                    <w:t>；本项目用地属于建设用地，不涉及耕地，项目不会导致土壤环境污染，土壤环境风险可控。</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资源利用上线</w:t>
                  </w:r>
                </w:p>
              </w:tc>
              <w:tc>
                <w:tcPr>
                  <w:tcW w:w="2254"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项目生产过程</w:t>
                  </w:r>
                  <w:r>
                    <w:rPr>
                      <w:rFonts w:hint="eastAsia" w:cs="Times New Roman"/>
                      <w:color w:val="auto"/>
                      <w:sz w:val="21"/>
                      <w:szCs w:val="21"/>
                      <w:highlight w:val="none"/>
                      <w:lang w:val="en-US" w:eastAsia="zh-CN"/>
                    </w:rPr>
                    <w:t>使用的资料主要为电能；</w:t>
                  </w:r>
                  <w:r>
                    <w:rPr>
                      <w:rFonts w:hint="default" w:ascii="Times New Roman" w:hAnsi="Times New Roman" w:eastAsia="宋体" w:cs="Times New Roman"/>
                      <w:color w:val="auto"/>
                      <w:sz w:val="21"/>
                      <w:szCs w:val="21"/>
                      <w:highlight w:val="none"/>
                    </w:rPr>
                    <w:t>本项目用地性质为建设用地，</w:t>
                  </w:r>
                  <w:r>
                    <w:rPr>
                      <w:rFonts w:hint="eastAsia" w:ascii="Times New Roman" w:hAnsi="Times New Roman" w:eastAsia="宋体" w:cs="Times New Roman"/>
                      <w:color w:val="auto"/>
                      <w:sz w:val="21"/>
                      <w:szCs w:val="21"/>
                      <w:highlight w:val="none"/>
                      <w:lang w:val="en-US" w:eastAsia="zh-CN"/>
                    </w:rPr>
                    <w:t>不占用耕地与基本农田</w:t>
                  </w:r>
                  <w:r>
                    <w:rPr>
                      <w:rFonts w:hint="default" w:ascii="Times New Roman" w:hAnsi="Times New Roman" w:eastAsia="宋体" w:cs="Times New Roman"/>
                      <w:color w:val="auto"/>
                      <w:sz w:val="21"/>
                      <w:szCs w:val="21"/>
                      <w:highlight w:val="none"/>
                    </w:rPr>
                    <w:t>；项目资源消耗量相对区域资源利用总量较少，符合能源控制指标要求。</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宜良县一般管控单元</w:t>
                  </w: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空间布局约束</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1.禁止新建、改扩建《高耗水工艺、技术和装备淘汰目录》中项目，现有企业应限期关停退出。禁止建设不符合《云南省用水定额》标准的项目。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2.新建、扩建和改建《禁止用地项目目录（2012年本）》（国土资发〔2012〕）中建设项目或者采用所列工艺技术、装备、规模的建设项目，国土资源管理部门和投资管理部门不得办理相关手续。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3.新建、改建和扩建《产业结构调整指导目录（2019年本）》（发改委发〔2019〕29号）明令淘汰的落后工艺技术，装备或者生产明令淘汰产品的建设项目，国土资源管理部门和投资管理部门一律不得办理相关手续。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4.新建、扩建和改建《限制用地项目目录（2012年本）》（国土资发〔2012〕）中建设项目，必须符合目录规定条件，国土资源管理部门和投资管理部门方可办理相关手续。</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1、本项目为宜良县南羊片区供水一体化项目，不属于《高耗水工艺、技术和装备淘汰目录》中项目，符合《云南省用水定额》标准的项目；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2、本项目不属于《禁止用地项目目录（2012年本）》（国土资发〔2012〕）中建设项目或者采用所列工艺技术、装备、规模的建设项目，并且该项目已取得宜良县自然资源局意见和宜良县发展和改革局批复；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3、本项目属于《产业结构调整指导目录（2019年本）》中“鼓励类”项目；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4、本项目不属于《限制用地项目目录（2012年本）》（国土资发〔2012〕）中建设项目。</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排放管控</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1.严格控制"两高"行业新增产能，新、改、扩建项目要实行产能等量或减量置换。严格用地准入，工业用地及物流仓储用地供地前，国土部门需对拟供地块进行土壤环境状况调查，评估环境污染风险后方可供地。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2.受重金属污染物或者其他有毒有害污染的农用场地，达不到国家有关标准的，禁止种植使用农产品。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3.禁止使用炸鱼、毒鱼、电鱼等破坏渔业资源方法进行捕捞。禁止在禁渔区、禁渔期进行捕捞。禁止使用小于最小网目尺寸的网具进行捕捞，未依法取得捕捞许可证擅自捕捞。</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1、本项目属于供水工程项目，不属于“两高”项目；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2、本项目属于供水工程项目，不涉及种植使用农产品；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3、本项目不涉及捕捞。</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环境风险防控</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1.严格限制《环境保护综合名录》（2017年版）中“高污染、高环境风险”产品与工艺装备。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2.禁止使用剧毒、高残留以及可能二次中毒的农药。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3.严格污染场地开发利用和流转审批，在影响健康地块修复达标之前，禁止建设居民区、学校、医疗和养老机构。</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1、项目不涉及《环境保护综合名录》（2017年版）中“高污染、高环境风险”产品与工艺装备；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2、项目不涉及使用剧毒、高残留以及可能二次中毒的农药；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3、项目不涉及建设居民区、学校、医疗和养老机构。</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ind w:left="0" w:leftChars="0" w:firstLine="480" w:firstLineChars="200"/>
              <w:rPr>
                <w:rFonts w:hint="eastAsia"/>
                <w:b w:val="0"/>
                <w:bCs/>
                <w:color w:val="auto"/>
                <w:sz w:val="24"/>
                <w:szCs w:val="24"/>
                <w:highlight w:val="none"/>
                <w:lang w:val="en-US" w:eastAsia="zh-CN"/>
              </w:rPr>
            </w:pPr>
            <w:r>
              <w:rPr>
                <w:rFonts w:hint="eastAsia"/>
                <w:color w:val="auto"/>
                <w:sz w:val="24"/>
                <w:szCs w:val="24"/>
                <w:highlight w:val="none"/>
              </w:rPr>
              <w:t>综上，项目总体上符合“昆政发[2021]21号”三线一单的管理要求</w:t>
            </w:r>
            <w:r>
              <w:rPr>
                <w:rFonts w:hint="eastAsia"/>
                <w:b w:val="0"/>
                <w:bCs/>
                <w:color w:val="auto"/>
                <w:sz w:val="24"/>
                <w:szCs w:val="24"/>
                <w:highlight w:val="none"/>
                <w:lang w:val="en-US" w:eastAsia="zh-CN"/>
              </w:rPr>
              <w:t>。</w:t>
            </w:r>
          </w:p>
          <w:p>
            <w:pPr>
              <w:ind w:left="0" w:leftChars="0" w:firstLine="481" w:firstLineChars="200"/>
              <w:rPr>
                <w:b/>
                <w:color w:val="auto"/>
                <w:sz w:val="24"/>
                <w:szCs w:val="24"/>
                <w:highlight w:val="none"/>
              </w:rPr>
            </w:pPr>
            <w:r>
              <w:rPr>
                <w:rFonts w:hint="eastAsia"/>
                <w:b/>
                <w:color w:val="auto"/>
                <w:sz w:val="24"/>
                <w:szCs w:val="24"/>
                <w:highlight w:val="none"/>
                <w:lang w:val="en-US" w:eastAsia="zh-CN"/>
              </w:rPr>
              <w:t>2、</w:t>
            </w:r>
            <w:r>
              <w:rPr>
                <w:rFonts w:hint="eastAsia"/>
                <w:b/>
                <w:color w:val="auto"/>
                <w:sz w:val="24"/>
                <w:szCs w:val="24"/>
                <w:highlight w:val="none"/>
              </w:rPr>
              <w:t>产业政策符合性分析</w:t>
            </w:r>
          </w:p>
          <w:p>
            <w:pPr>
              <w:ind w:firstLine="480" w:firstLineChars="200"/>
              <w:jc w:val="both"/>
              <w:rPr>
                <w:color w:val="auto"/>
                <w:sz w:val="24"/>
                <w:szCs w:val="24"/>
                <w:highlight w:val="none"/>
              </w:rPr>
            </w:pPr>
            <w:r>
              <w:rPr>
                <w:rFonts w:hint="eastAsia"/>
                <w:color w:val="auto"/>
                <w:sz w:val="24"/>
                <w:szCs w:val="24"/>
                <w:highlight w:val="none"/>
              </w:rPr>
              <w:t>本</w:t>
            </w:r>
            <w:r>
              <w:rPr>
                <w:color w:val="auto"/>
                <w:sz w:val="24"/>
                <w:szCs w:val="24"/>
                <w:highlight w:val="none"/>
              </w:rPr>
              <w:t>项目</w:t>
            </w:r>
            <w:r>
              <w:rPr>
                <w:rFonts w:hint="eastAsia"/>
                <w:color w:val="auto"/>
                <w:sz w:val="24"/>
                <w:szCs w:val="24"/>
                <w:highlight w:val="none"/>
                <w:lang w:val="en-US" w:eastAsia="zh-CN"/>
              </w:rPr>
              <w:t>属于</w:t>
            </w:r>
            <w:r>
              <w:rPr>
                <w:rFonts w:hint="eastAsia"/>
                <w:color w:val="auto"/>
                <w:sz w:val="24"/>
                <w:szCs w:val="24"/>
                <w:highlight w:val="none"/>
              </w:rPr>
              <w:t>自来水生产和供应业</w:t>
            </w:r>
            <w:r>
              <w:rPr>
                <w:color w:val="auto"/>
                <w:sz w:val="24"/>
                <w:szCs w:val="24"/>
                <w:highlight w:val="none"/>
              </w:rPr>
              <w:t>，</w:t>
            </w:r>
            <w:r>
              <w:rPr>
                <w:rFonts w:hint="eastAsia"/>
                <w:color w:val="auto"/>
                <w:sz w:val="24"/>
                <w:szCs w:val="24"/>
                <w:highlight w:val="none"/>
              </w:rPr>
              <w:t>对照国家发展和改革委员会第29号令颁布的《产业结构调整指导目录（2019年本）》中的相关规定，本项目设备、产品及规模均不在限制类和淘汰类的范畴，属于</w:t>
            </w:r>
            <w:r>
              <w:rPr>
                <w:rFonts w:hint="eastAsia"/>
                <w:color w:val="auto"/>
                <w:sz w:val="24"/>
                <w:szCs w:val="24"/>
                <w:highlight w:val="none"/>
                <w:lang w:eastAsia="zh-CN"/>
              </w:rPr>
              <w:t>“</w:t>
            </w:r>
            <w:r>
              <w:rPr>
                <w:rFonts w:hint="eastAsia"/>
                <w:color w:val="auto"/>
                <w:sz w:val="24"/>
                <w:szCs w:val="24"/>
                <w:highlight w:val="none"/>
                <w:lang w:val="en-US" w:eastAsia="zh-CN"/>
              </w:rPr>
              <w:t>鼓励类—</w:t>
            </w:r>
            <w:r>
              <w:rPr>
                <w:rFonts w:hint="eastAsia"/>
                <w:color w:val="auto"/>
                <w:sz w:val="24"/>
                <w:szCs w:val="24"/>
                <w:highlight w:val="none"/>
                <w:lang w:eastAsia="zh-CN"/>
              </w:rPr>
              <w:t>二十二、城镇基础设施—</w:t>
            </w:r>
            <w:r>
              <w:rPr>
                <w:rFonts w:hint="eastAsia"/>
                <w:color w:val="auto"/>
                <w:sz w:val="24"/>
                <w:szCs w:val="24"/>
                <w:highlight w:val="none"/>
                <w:lang w:val="en-US" w:eastAsia="zh-CN"/>
              </w:rPr>
              <w:t>7、城镇安全饮水工程、供水水源及净水厂工程</w:t>
            </w:r>
            <w:r>
              <w:rPr>
                <w:rFonts w:hint="eastAsia"/>
                <w:color w:val="auto"/>
                <w:sz w:val="24"/>
                <w:szCs w:val="24"/>
                <w:highlight w:val="none"/>
                <w:lang w:eastAsia="zh-CN"/>
              </w:rPr>
              <w:t>”</w:t>
            </w:r>
            <w:r>
              <w:rPr>
                <w:rFonts w:hint="eastAsia"/>
                <w:color w:val="auto"/>
                <w:sz w:val="24"/>
                <w:szCs w:val="24"/>
                <w:highlight w:val="none"/>
              </w:rPr>
              <w:t>。因此，本项目的建设符合国家有关产业政策</w:t>
            </w:r>
            <w:r>
              <w:rPr>
                <w:color w:val="auto"/>
                <w:sz w:val="24"/>
                <w:szCs w:val="24"/>
                <w:highlight w:val="none"/>
              </w:rPr>
              <w:t>。</w:t>
            </w:r>
          </w:p>
          <w:p>
            <w:pPr>
              <w:ind w:firstLine="420"/>
              <w:rPr>
                <w:color w:val="auto"/>
                <w:sz w:val="24"/>
                <w:szCs w:val="24"/>
                <w:highlight w:val="none"/>
              </w:rPr>
            </w:pPr>
            <w:r>
              <w:rPr>
                <w:rFonts w:hint="eastAsia"/>
                <w:color w:val="auto"/>
                <w:sz w:val="24"/>
                <w:szCs w:val="24"/>
                <w:highlight w:val="none"/>
                <w:lang w:val="en-US" w:eastAsia="zh-CN"/>
              </w:rPr>
              <w:t>项目已取得</w:t>
            </w:r>
            <w:r>
              <w:rPr>
                <w:rFonts w:hint="eastAsia"/>
                <w:color w:val="auto"/>
                <w:sz w:val="24"/>
                <w:szCs w:val="24"/>
                <w:highlight w:val="none"/>
                <w:lang w:eastAsia="zh-CN"/>
              </w:rPr>
              <w:t>宜良县发展和改革局</w:t>
            </w:r>
            <w:r>
              <w:rPr>
                <w:rFonts w:hint="eastAsia"/>
                <w:color w:val="auto"/>
                <w:sz w:val="24"/>
                <w:szCs w:val="24"/>
                <w:highlight w:val="none"/>
                <w:lang w:val="en-US" w:eastAsia="zh-CN"/>
              </w:rPr>
              <w:t>对本项目可行性研究报告的批复（宜发改基【2021】19号）</w:t>
            </w:r>
            <w:r>
              <w:rPr>
                <w:rFonts w:hint="eastAsia"/>
                <w:color w:val="auto"/>
                <w:sz w:val="24"/>
                <w:szCs w:val="24"/>
                <w:highlight w:val="none"/>
              </w:rPr>
              <w:t>，项目代码：</w:t>
            </w:r>
            <w:r>
              <w:rPr>
                <w:rFonts w:hint="eastAsia"/>
                <w:color w:val="auto"/>
                <w:sz w:val="24"/>
                <w:szCs w:val="24"/>
                <w:highlight w:val="none"/>
                <w:lang w:eastAsia="zh-CN"/>
              </w:rPr>
              <w:t>2107-530125-04-01-650169</w:t>
            </w:r>
            <w:r>
              <w:rPr>
                <w:color w:val="auto"/>
                <w:sz w:val="24"/>
                <w:szCs w:val="24"/>
                <w:highlight w:val="none"/>
              </w:rPr>
              <w:t>。</w:t>
            </w:r>
          </w:p>
          <w:p>
            <w:pPr>
              <w:ind w:firstLine="420"/>
              <w:rPr>
                <w:color w:val="auto"/>
                <w:sz w:val="24"/>
                <w:szCs w:val="24"/>
                <w:highlight w:val="none"/>
              </w:rPr>
            </w:pPr>
            <w:r>
              <w:rPr>
                <w:rFonts w:hint="eastAsia"/>
                <w:color w:val="auto"/>
                <w:sz w:val="24"/>
                <w:szCs w:val="24"/>
                <w:highlight w:val="none"/>
              </w:rPr>
              <w:t>综上，本项目的建设符合国家现行产业政策。</w:t>
            </w:r>
          </w:p>
          <w:p>
            <w:pPr>
              <w:ind w:left="0" w:leftChars="0" w:firstLine="481" w:firstLineChars="200"/>
              <w:rPr>
                <w:b/>
                <w:bCs/>
                <w:color w:val="auto"/>
                <w:sz w:val="24"/>
                <w:szCs w:val="24"/>
                <w:highlight w:val="none"/>
              </w:rPr>
            </w:pPr>
            <w:r>
              <w:rPr>
                <w:rFonts w:hint="eastAsia"/>
                <w:b/>
                <w:bCs/>
                <w:color w:val="auto"/>
                <w:sz w:val="24"/>
                <w:szCs w:val="24"/>
                <w:highlight w:val="none"/>
                <w:lang w:val="en-US" w:eastAsia="zh-CN"/>
              </w:rPr>
              <w:t>3、</w:t>
            </w:r>
            <w:r>
              <w:rPr>
                <w:b/>
                <w:bCs/>
                <w:color w:val="auto"/>
                <w:sz w:val="24"/>
                <w:szCs w:val="24"/>
                <w:highlight w:val="none"/>
              </w:rPr>
              <w:t>选址合理性分析</w:t>
            </w:r>
          </w:p>
          <w:p>
            <w:pPr>
              <w:ind w:firstLine="420"/>
              <w:rPr>
                <w:rFonts w:hint="default"/>
                <w:b/>
                <w:bCs/>
                <w:color w:val="auto"/>
                <w:sz w:val="24"/>
                <w:szCs w:val="24"/>
                <w:highlight w:val="none"/>
                <w:lang w:val="en-US" w:eastAsia="zh-CN"/>
              </w:rPr>
            </w:pPr>
            <w:r>
              <w:rPr>
                <w:rFonts w:hint="eastAsia"/>
                <w:b/>
                <w:bCs/>
                <w:color w:val="auto"/>
                <w:sz w:val="24"/>
                <w:szCs w:val="24"/>
                <w:highlight w:val="none"/>
                <w:lang w:val="en-US" w:eastAsia="zh-CN"/>
              </w:rPr>
              <w:t>（1）净水厂选址合理性分析</w:t>
            </w:r>
          </w:p>
          <w:p>
            <w:pPr>
              <w:ind w:firstLine="420"/>
              <w:rPr>
                <w:rFonts w:hint="default"/>
                <w:color w:val="auto"/>
                <w:sz w:val="24"/>
                <w:szCs w:val="24"/>
                <w:highlight w:val="none"/>
                <w:lang w:val="en-US" w:eastAsia="zh-CN"/>
              </w:rPr>
            </w:pPr>
            <w:r>
              <w:rPr>
                <w:rFonts w:hint="eastAsia"/>
                <w:color w:val="auto"/>
                <w:sz w:val="24"/>
                <w:szCs w:val="24"/>
                <w:highlight w:val="none"/>
                <w:lang w:val="en-US" w:eastAsia="zh-CN"/>
              </w:rPr>
              <w:t>本项目</w:t>
            </w:r>
            <w:r>
              <w:rPr>
                <w:rFonts w:hint="default"/>
                <w:color w:val="auto"/>
                <w:sz w:val="24"/>
                <w:szCs w:val="24"/>
                <w:highlight w:val="none"/>
                <w:lang w:val="en-US" w:eastAsia="zh-CN"/>
              </w:rPr>
              <w:t>厂址位于宜良县南羊街道右所社区居民委员会老桃园居民小组西侧，</w:t>
            </w:r>
            <w:r>
              <w:rPr>
                <w:rFonts w:hint="eastAsia"/>
                <w:color w:val="auto"/>
                <w:sz w:val="24"/>
                <w:szCs w:val="24"/>
                <w:highlight w:val="none"/>
                <w:lang w:val="en-US" w:eastAsia="zh-CN"/>
              </w:rPr>
              <w:t>占地类型为建设用地，占地面积6559m</w:t>
            </w:r>
            <w:r>
              <w:rPr>
                <w:rFonts w:hint="eastAsia"/>
                <w:color w:val="auto"/>
                <w:sz w:val="24"/>
                <w:szCs w:val="24"/>
                <w:highlight w:val="none"/>
                <w:vertAlign w:val="superscript"/>
                <w:lang w:val="en-US" w:eastAsia="zh-CN"/>
              </w:rPr>
              <w:t>2</w:t>
            </w:r>
            <w:r>
              <w:rPr>
                <w:rFonts w:hint="eastAsia"/>
                <w:color w:val="auto"/>
                <w:sz w:val="24"/>
                <w:szCs w:val="24"/>
                <w:highlight w:val="none"/>
                <w:lang w:val="en-US" w:eastAsia="zh-CN"/>
              </w:rPr>
              <w:t>，项目所在区域不涉及自然保护区、风景名胜区、重点文物保护区、集中式水源保护区、基本农田等敏感区域，不涉及云南省生态保护红线。</w:t>
            </w:r>
          </w:p>
          <w:p>
            <w:pPr>
              <w:ind w:firstLine="420"/>
              <w:rPr>
                <w:rFonts w:hint="eastAsia"/>
                <w:color w:val="auto"/>
                <w:sz w:val="24"/>
                <w:szCs w:val="24"/>
                <w:highlight w:val="none"/>
              </w:rPr>
            </w:pPr>
            <w:r>
              <w:rPr>
                <w:rFonts w:hint="eastAsia"/>
                <w:color w:val="auto"/>
                <w:sz w:val="24"/>
                <w:szCs w:val="24"/>
                <w:highlight w:val="none"/>
              </w:rPr>
              <w:t>项目所在区域环境质量现状较好，有足够的环境容量。</w:t>
            </w:r>
            <w:r>
              <w:rPr>
                <w:color w:val="auto"/>
                <w:sz w:val="24"/>
                <w:szCs w:val="24"/>
                <w:highlight w:val="none"/>
              </w:rPr>
              <w:t>项目产生的污染物通过采取相应措施处理后，对周边环境影响较小，不会改变该区域环境功能区划</w:t>
            </w:r>
            <w:r>
              <w:rPr>
                <w:rFonts w:hint="eastAsia"/>
                <w:color w:val="auto"/>
                <w:sz w:val="24"/>
                <w:szCs w:val="24"/>
                <w:highlight w:val="none"/>
              </w:rPr>
              <w:t>，对周围环境影响可接受。</w:t>
            </w:r>
          </w:p>
          <w:p>
            <w:pPr>
              <w:ind w:firstLine="42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rPr>
              <w:t>根据现场调查，项目周边</w:t>
            </w:r>
            <w:r>
              <w:rPr>
                <w:rFonts w:hint="eastAsia"/>
                <w:color w:val="auto"/>
                <w:sz w:val="24"/>
                <w:szCs w:val="24"/>
                <w:highlight w:val="none"/>
                <w:lang w:val="en-US" w:eastAsia="zh-CN"/>
              </w:rPr>
              <w:t>主要</w:t>
            </w:r>
            <w:r>
              <w:rPr>
                <w:rFonts w:hint="eastAsia" w:ascii="Times New Roman" w:hAnsi="Times New Roman" w:eastAsia="宋体"/>
                <w:color w:val="auto"/>
                <w:sz w:val="24"/>
                <w:szCs w:val="24"/>
                <w:highlight w:val="none"/>
              </w:rPr>
              <w:t>为农田、</w:t>
            </w:r>
            <w:r>
              <w:rPr>
                <w:rFonts w:hint="eastAsia"/>
                <w:color w:val="auto"/>
                <w:sz w:val="24"/>
                <w:szCs w:val="24"/>
                <w:highlight w:val="none"/>
                <w:lang w:val="en-US" w:eastAsia="zh-CN"/>
              </w:rPr>
              <w:t>山体、居民区等，无生产性工业企业，</w:t>
            </w:r>
            <w:r>
              <w:rPr>
                <w:rFonts w:hint="default" w:ascii="Times New Roman" w:hAnsi="Times New Roman" w:eastAsia="宋体"/>
                <w:color w:val="auto"/>
                <w:sz w:val="24"/>
                <w:szCs w:val="24"/>
                <w:highlight w:val="none"/>
                <w:lang w:val="en-US" w:eastAsia="zh-CN"/>
              </w:rPr>
              <w:t>从对项目周边情况调查可知，</w:t>
            </w:r>
            <w:r>
              <w:rPr>
                <w:rFonts w:hint="eastAsia"/>
                <w:color w:val="auto"/>
                <w:sz w:val="24"/>
                <w:szCs w:val="24"/>
                <w:highlight w:val="none"/>
                <w:lang w:val="en-US" w:eastAsia="zh-CN"/>
              </w:rPr>
              <w:t>周边无</w:t>
            </w:r>
            <w:r>
              <w:rPr>
                <w:rFonts w:hint="default" w:ascii="Times New Roman" w:hAnsi="Times New Roman" w:eastAsia="宋体"/>
                <w:color w:val="auto"/>
                <w:sz w:val="24"/>
                <w:szCs w:val="24"/>
                <w:highlight w:val="none"/>
                <w:lang w:val="en-US" w:eastAsia="zh-CN"/>
              </w:rPr>
              <w:t>对本项目制约性因素</w:t>
            </w:r>
            <w:r>
              <w:rPr>
                <w:rFonts w:hint="eastAsia"/>
                <w:color w:val="auto"/>
                <w:sz w:val="24"/>
                <w:szCs w:val="24"/>
                <w:highlight w:val="none"/>
                <w:lang w:val="en-US" w:eastAsia="zh-CN"/>
              </w:rPr>
              <w:t>，项目的建设与周围环境是相容的</w:t>
            </w:r>
            <w:r>
              <w:rPr>
                <w:rFonts w:hint="eastAsia" w:ascii="Times New Roman" w:hAnsi="Times New Roman" w:eastAsia="宋体"/>
                <w:color w:val="auto"/>
                <w:sz w:val="24"/>
                <w:szCs w:val="24"/>
                <w:highlight w:val="none"/>
                <w:lang w:val="en-US" w:eastAsia="zh-CN"/>
              </w:rPr>
              <w:t>。</w:t>
            </w:r>
          </w:p>
          <w:p>
            <w:pPr>
              <w:ind w:firstLine="420"/>
              <w:rPr>
                <w:rFonts w:hint="eastAsia"/>
                <w:b/>
                <w:bCs/>
                <w:color w:val="auto"/>
                <w:sz w:val="24"/>
                <w:szCs w:val="24"/>
                <w:highlight w:val="none"/>
                <w:lang w:val="en-US" w:eastAsia="zh-CN"/>
              </w:rPr>
            </w:pPr>
            <w:r>
              <w:rPr>
                <w:rFonts w:hint="eastAsia"/>
                <w:b/>
                <w:bCs/>
                <w:color w:val="auto"/>
                <w:sz w:val="24"/>
                <w:szCs w:val="24"/>
                <w:highlight w:val="none"/>
                <w:lang w:val="en-US" w:eastAsia="zh-CN"/>
              </w:rPr>
              <w:t>（2）取水口选址合理性分析</w:t>
            </w:r>
          </w:p>
          <w:p>
            <w:pPr>
              <w:ind w:firstLine="42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根据《宜良县南羊片区供水一体化项目老石山隧道水源点水文水资源调查评价报告》，老石山隧道进口涌水量及阳宗隧道出口涌水量合计164.97L/s（14253.41m</w:t>
            </w:r>
            <w:r>
              <w:rPr>
                <w:rFonts w:hint="eastAsia"/>
                <w:b w:val="0"/>
                <w:bCs w:val="0"/>
                <w:color w:val="auto"/>
                <w:sz w:val="24"/>
                <w:szCs w:val="24"/>
                <w:highlight w:val="none"/>
                <w:vertAlign w:val="superscript"/>
                <w:lang w:val="en-US" w:eastAsia="zh-CN"/>
              </w:rPr>
              <w:t>3</w:t>
            </w:r>
            <w:r>
              <w:rPr>
                <w:rFonts w:hint="eastAsia"/>
                <w:b w:val="0"/>
                <w:bCs w:val="0"/>
                <w:color w:val="auto"/>
                <w:sz w:val="24"/>
                <w:szCs w:val="24"/>
                <w:highlight w:val="none"/>
                <w:lang w:val="en-US" w:eastAsia="zh-CN"/>
              </w:rPr>
              <w:t>/d），采用水源点涌水量的80%作为地下水的可开采量，即老石山隧道进口可开采量与阳宗隧道出口可开采量之和的80%，为10365.53m</w:t>
            </w:r>
            <w:r>
              <w:rPr>
                <w:rFonts w:hint="eastAsia"/>
                <w:b w:val="0"/>
                <w:bCs w:val="0"/>
                <w:color w:val="auto"/>
                <w:sz w:val="24"/>
                <w:szCs w:val="24"/>
                <w:highlight w:val="none"/>
                <w:vertAlign w:val="superscript"/>
                <w:lang w:val="en-US" w:eastAsia="zh-CN"/>
              </w:rPr>
              <w:t>3</w:t>
            </w:r>
            <w:r>
              <w:rPr>
                <w:rFonts w:hint="eastAsia"/>
                <w:b w:val="0"/>
                <w:bCs w:val="0"/>
                <w:color w:val="auto"/>
                <w:sz w:val="24"/>
                <w:szCs w:val="24"/>
                <w:highlight w:val="none"/>
                <w:lang w:val="en-US" w:eastAsia="zh-CN"/>
              </w:rPr>
              <w:t>/d，满足本项目近期供水规模要求，且水源点水质均达到了《生活饮用水卫生标准》（GB5749-2006）水质要求，水质保障程度高。</w:t>
            </w:r>
          </w:p>
          <w:p>
            <w:pPr>
              <w:ind w:firstLine="420"/>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本项目选取老石山隧洞水源与阳宗隧洞水源</w:t>
            </w:r>
            <w:r>
              <w:rPr>
                <w:rFonts w:hint="eastAsia"/>
                <w:b w:val="0"/>
                <w:bCs w:val="0"/>
                <w:color w:val="auto"/>
                <w:sz w:val="24"/>
                <w:szCs w:val="24"/>
                <w:highlight w:val="none"/>
                <w:lang w:val="en-US" w:eastAsia="zh-CN"/>
              </w:rPr>
              <w:t>作为项目水厂供水点</w:t>
            </w:r>
            <w:r>
              <w:rPr>
                <w:rFonts w:hint="default"/>
                <w:b w:val="0"/>
                <w:bCs w:val="0"/>
                <w:color w:val="auto"/>
                <w:sz w:val="24"/>
                <w:szCs w:val="24"/>
                <w:highlight w:val="none"/>
                <w:lang w:val="en-US" w:eastAsia="zh-CN"/>
              </w:rPr>
              <w:t>，其中老石山隧道于2017年12月施工完成，施工期间老坞村附近老石山隧道进口处产生涌水，施工完成仍存在涌水，至2021年年初已经涌水3年，涌水沿老坞村隧道洞口两侧及平硐进口两侧涌出，现状小部分隧道涌水经修建泵站采用水泵抽至下游供白桂庄、老坞村、打桂村居民作为生活用水及灌溉用水，但绝大部分涌水均直接流入溪沟中，未被利用；在老石山隧道南侧正在施工阳宗隧道，现状阳宗隧道出口一侧施工深度约400m，阳宗隧道出口处已经开始产生涌水，隧道涌水经排水渠引入沉淀池沉淀后直接外排，未被利用</w:t>
            </w:r>
            <w:r>
              <w:rPr>
                <w:rFonts w:hint="eastAsia"/>
                <w:b w:val="0"/>
                <w:bCs w:val="0"/>
                <w:color w:val="auto"/>
                <w:sz w:val="24"/>
                <w:szCs w:val="24"/>
                <w:highlight w:val="none"/>
                <w:lang w:val="en-US" w:eastAsia="zh-CN"/>
              </w:rPr>
              <w:t>。</w:t>
            </w:r>
          </w:p>
          <w:p>
            <w:pPr>
              <w:ind w:firstLine="420"/>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本项目利用沉淀池将上述水源中未被利用部分进行收集，蓄积，供给水厂使用。其中老石山隧洞水源小部分采用水泵抽至下游供白桂庄、老坞村、打桂村居民作为生活用水及灌溉用水，本项目不改变其现有泵站，仅收集流入溪沟中未被利用部分涌水，不会对白桂庄、老坞村、打桂村居民生活用水造成影响。</w:t>
            </w:r>
          </w:p>
          <w:p>
            <w:pPr>
              <w:ind w:firstLine="420"/>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本次设计将</w:t>
            </w:r>
            <w:r>
              <w:rPr>
                <w:rFonts w:hint="eastAsia"/>
                <w:b w:val="0"/>
                <w:bCs w:val="0"/>
                <w:color w:val="auto"/>
                <w:sz w:val="24"/>
                <w:szCs w:val="24"/>
                <w:highlight w:val="none"/>
                <w:lang w:val="en-US" w:eastAsia="zh-CN"/>
              </w:rPr>
              <w:t>上述水源</w:t>
            </w:r>
            <w:r>
              <w:rPr>
                <w:rFonts w:hint="default"/>
                <w:b w:val="0"/>
                <w:bCs w:val="0"/>
                <w:color w:val="auto"/>
                <w:sz w:val="24"/>
                <w:szCs w:val="24"/>
                <w:highlight w:val="none"/>
                <w:lang w:val="en-US" w:eastAsia="zh-CN"/>
              </w:rPr>
              <w:t>作为净水厂水源，只是对其进行蓄积，可在一定程度下对原来散乱漫流的水资源进行利用，同时也不会造成其他影响。</w:t>
            </w:r>
          </w:p>
          <w:p>
            <w:pPr>
              <w:ind w:firstLine="420"/>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通过现场踏勘，水源地保护区内无与供水无关的建筑，补给区内没有影响水质的工业企业，水源地水质未发现受污染情况，选址合理。</w:t>
            </w:r>
          </w:p>
          <w:p>
            <w:pPr>
              <w:ind w:firstLine="420"/>
              <w:rPr>
                <w:rFonts w:hint="eastAsia"/>
                <w:color w:val="auto"/>
                <w:sz w:val="24"/>
                <w:szCs w:val="24"/>
                <w:highlight w:val="none"/>
              </w:rPr>
            </w:pPr>
            <w:r>
              <w:rPr>
                <w:color w:val="auto"/>
                <w:sz w:val="24"/>
                <w:szCs w:val="24"/>
                <w:highlight w:val="none"/>
              </w:rPr>
              <w:t>综上所述，本项目用地</w:t>
            </w:r>
            <w:r>
              <w:rPr>
                <w:rFonts w:hint="eastAsia"/>
                <w:color w:val="auto"/>
                <w:sz w:val="24"/>
                <w:szCs w:val="24"/>
                <w:highlight w:val="none"/>
                <w:lang w:eastAsia="zh-CN"/>
              </w:rPr>
              <w:t>符合要求</w:t>
            </w:r>
            <w:r>
              <w:rPr>
                <w:rFonts w:hint="eastAsia"/>
                <w:color w:val="auto"/>
                <w:sz w:val="24"/>
                <w:szCs w:val="24"/>
                <w:highlight w:val="none"/>
              </w:rPr>
              <w:t>，</w:t>
            </w:r>
            <w:r>
              <w:rPr>
                <w:color w:val="auto"/>
                <w:sz w:val="24"/>
                <w:szCs w:val="24"/>
                <w:highlight w:val="none"/>
              </w:rPr>
              <w:t>环境制约因素较小，环境容量满足项目建设</w:t>
            </w:r>
            <w:r>
              <w:rPr>
                <w:rFonts w:hint="eastAsia"/>
                <w:color w:val="auto"/>
                <w:sz w:val="24"/>
                <w:szCs w:val="24"/>
                <w:highlight w:val="none"/>
                <w:lang w:eastAsia="zh-CN"/>
              </w:rPr>
              <w:t>。</w:t>
            </w:r>
            <w:r>
              <w:rPr>
                <w:rFonts w:hint="eastAsia"/>
                <w:color w:val="auto"/>
                <w:sz w:val="24"/>
                <w:szCs w:val="24"/>
                <w:highlight w:val="none"/>
                <w:lang w:val="en-US" w:eastAsia="zh-CN"/>
              </w:rPr>
              <w:t>同时本项目已取得《宜良县自然资源局关于宜良县南羊片区供水一体化项目用地预审与选址意见的报告书》（宜自然资预【2021】1号），本项目</w:t>
            </w:r>
            <w:r>
              <w:rPr>
                <w:color w:val="auto"/>
                <w:sz w:val="24"/>
                <w:szCs w:val="24"/>
                <w:highlight w:val="none"/>
              </w:rPr>
              <w:t>选址合理</w:t>
            </w:r>
            <w:r>
              <w:rPr>
                <w:rFonts w:hint="eastAsia"/>
                <w:color w:val="auto"/>
                <w:sz w:val="24"/>
                <w:szCs w:val="24"/>
                <w:highlight w:val="none"/>
                <w:lang w:val="en-US" w:eastAsia="zh-CN"/>
              </w:rPr>
              <w:t>可行</w:t>
            </w:r>
            <w:r>
              <w:rPr>
                <w:color w:val="auto"/>
                <w:sz w:val="24"/>
                <w:szCs w:val="24"/>
                <w:highlight w:val="none"/>
              </w:rPr>
              <w:t>。</w:t>
            </w:r>
          </w:p>
          <w:p>
            <w:pPr>
              <w:ind w:left="0" w:leftChars="0" w:firstLine="481" w:firstLineChars="200"/>
              <w:rPr>
                <w:rFonts w:hint="default" w:eastAsia="宋体"/>
                <w:b/>
                <w:bCs/>
                <w:color w:val="auto"/>
                <w:highlight w:val="none"/>
                <w:lang w:val="en-US" w:eastAsia="zh-CN"/>
              </w:rPr>
            </w:pPr>
            <w:r>
              <w:rPr>
                <w:rFonts w:hint="eastAsia"/>
                <w:b/>
                <w:bCs/>
                <w:color w:val="auto"/>
                <w:highlight w:val="none"/>
                <w:lang w:val="en-US" w:eastAsia="zh-CN"/>
              </w:rPr>
              <w:t>4、与《云南省主体功能区规划》相符性分析</w:t>
            </w:r>
          </w:p>
          <w:p>
            <w:pPr>
              <w:ind w:firstLine="480"/>
              <w:rPr>
                <w:rFonts w:hint="eastAsia"/>
                <w:color w:val="auto"/>
                <w:highlight w:val="none"/>
              </w:rPr>
            </w:pPr>
            <w:r>
              <w:rPr>
                <w:rFonts w:hint="eastAsia"/>
                <w:color w:val="auto"/>
                <w:highlight w:val="none"/>
              </w:rPr>
              <w:t>根据《云南省主体功能区规划》规定：</w:t>
            </w:r>
          </w:p>
          <w:p>
            <w:pPr>
              <w:ind w:firstLine="480"/>
              <w:rPr>
                <w:rFonts w:hint="eastAsia"/>
                <w:color w:val="auto"/>
                <w:highlight w:val="none"/>
              </w:rPr>
            </w:pPr>
            <w:r>
              <w:rPr>
                <w:rFonts w:hint="eastAsia"/>
                <w:color w:val="auto"/>
                <w:highlight w:val="none"/>
              </w:rPr>
              <w:t>重点开发区域是指有一定经济基础，资源环境承载能力较强，发展潜力较大，聚集人口和经济条件较好，应该重点进行工业化、城镇化开发的城市化地区，其主体功能是提供工业品和服务产品，聚集经济和人口，但也要保护好基本农田、森林、水域，提供一定数量的农产品和生态产品。</w:t>
            </w:r>
          </w:p>
          <w:p>
            <w:pPr>
              <w:ind w:firstLine="480"/>
              <w:rPr>
                <w:rFonts w:hint="eastAsia"/>
                <w:color w:val="auto"/>
                <w:highlight w:val="none"/>
              </w:rPr>
            </w:pPr>
            <w:r>
              <w:rPr>
                <w:rFonts w:hint="eastAsia"/>
                <w:color w:val="auto"/>
                <w:highlight w:val="none"/>
              </w:rPr>
              <w:t>限制开发区主要指关系全省农产品供给安全、生态安全，不应该或不适宜进行大规模、高强度工业化和城镇化开发的农产品主产区和重点生态功能区。限制开发区也可发展符合主体功能定位、当地资源环境可承载的产业。</w:t>
            </w:r>
          </w:p>
          <w:p>
            <w:pPr>
              <w:ind w:firstLine="480"/>
              <w:rPr>
                <w:rFonts w:hint="eastAsia"/>
                <w:color w:val="auto"/>
                <w:highlight w:val="none"/>
              </w:rPr>
            </w:pPr>
            <w:r>
              <w:rPr>
                <w:rFonts w:hint="eastAsia"/>
                <w:color w:val="auto"/>
                <w:highlight w:val="none"/>
              </w:rPr>
              <w:t>禁止开发区域指依法设立的各级各类自然文化资源保护区域，以及其他禁止进行工业化和城镇化开发、需要特殊保护的重点生态功能区。规划中禁止开发区域包括自然保护区、世界遗产、风景名胜区、森林公园、城市饮用水源保护区、湿地公园等。</w:t>
            </w:r>
          </w:p>
          <w:p>
            <w:pPr>
              <w:ind w:firstLine="480"/>
              <w:rPr>
                <w:color w:val="auto"/>
                <w:highlight w:val="none"/>
              </w:rPr>
            </w:pPr>
            <w:r>
              <w:rPr>
                <w:rFonts w:hint="eastAsia"/>
                <w:color w:val="auto"/>
                <w:highlight w:val="none"/>
              </w:rPr>
              <w:t>本项目为</w:t>
            </w:r>
            <w:r>
              <w:rPr>
                <w:rFonts w:hint="eastAsia"/>
                <w:color w:val="auto"/>
                <w:highlight w:val="none"/>
                <w:lang w:eastAsia="zh-CN"/>
              </w:rPr>
              <w:t>宜良县</w:t>
            </w:r>
            <w:r>
              <w:rPr>
                <w:rFonts w:hint="eastAsia"/>
                <w:color w:val="auto"/>
                <w:highlight w:val="none"/>
              </w:rPr>
              <w:t>供水工程</w:t>
            </w:r>
            <w:r>
              <w:rPr>
                <w:rFonts w:hint="eastAsia"/>
                <w:color w:val="auto"/>
                <w:highlight w:val="none"/>
                <w:lang w:eastAsia="zh-CN"/>
              </w:rPr>
              <w:t>，</w:t>
            </w:r>
            <w:r>
              <w:rPr>
                <w:rFonts w:hint="eastAsia"/>
                <w:color w:val="auto"/>
                <w:highlight w:val="none"/>
              </w:rPr>
              <w:t>位于</w:t>
            </w:r>
            <w:r>
              <w:rPr>
                <w:rFonts w:hint="eastAsia"/>
                <w:color w:val="auto"/>
                <w:highlight w:val="none"/>
                <w:lang w:eastAsia="zh-CN"/>
              </w:rPr>
              <w:t>宜良县南羊街道</w:t>
            </w:r>
            <w:r>
              <w:rPr>
                <w:rFonts w:hint="eastAsia"/>
                <w:color w:val="auto"/>
                <w:highlight w:val="none"/>
              </w:rPr>
              <w:t>，</w:t>
            </w:r>
            <w:r>
              <w:rPr>
                <w:rFonts w:hint="eastAsia"/>
                <w:color w:val="auto"/>
                <w:highlight w:val="none"/>
                <w:lang w:val="en-US" w:eastAsia="zh-CN"/>
              </w:rPr>
              <w:t>根据《云南省主体功能区规划》，属于国家重点开发区域。项目不占用基本农田、森林、水域等，符合《云南省主体功能区规划》规定</w:t>
            </w:r>
            <w:r>
              <w:rPr>
                <w:rFonts w:hint="eastAsia"/>
                <w:color w:val="auto"/>
                <w:highlight w:val="none"/>
              </w:rPr>
              <w:t>。</w:t>
            </w:r>
          </w:p>
          <w:p>
            <w:pPr>
              <w:ind w:left="0" w:leftChars="0" w:firstLine="481" w:firstLineChars="200"/>
              <w:rPr>
                <w:rFonts w:hint="eastAsia" w:cs="Times New Roman" w:eastAsiaTheme="minorEastAsia"/>
                <w:b/>
                <w:bCs/>
                <w:color w:val="auto"/>
                <w:kern w:val="0"/>
                <w:szCs w:val="24"/>
                <w:highlight w:val="none"/>
                <w:lang w:val="en-US" w:eastAsia="zh-CN"/>
              </w:rPr>
            </w:pPr>
            <w:r>
              <w:rPr>
                <w:rFonts w:hint="eastAsia" w:cs="Times New Roman" w:eastAsiaTheme="minorEastAsia"/>
                <w:b/>
                <w:bCs/>
                <w:color w:val="auto"/>
                <w:kern w:val="0"/>
                <w:szCs w:val="24"/>
                <w:highlight w:val="none"/>
                <w:lang w:val="en-US" w:eastAsia="zh-CN"/>
              </w:rPr>
              <w:t>5、与《云南省生态功能区划》相符性分析</w:t>
            </w:r>
          </w:p>
          <w:p>
            <w:pPr>
              <w:ind w:left="0" w:leftChars="0" w:firstLine="480" w:firstLineChars="200"/>
              <w:rPr>
                <w:rFonts w:hint="eastAsia" w:cs="Times New Roman" w:eastAsiaTheme="minorEastAsia"/>
                <w:b w:val="0"/>
                <w:bCs w:val="0"/>
                <w:color w:val="auto"/>
                <w:kern w:val="0"/>
                <w:szCs w:val="24"/>
                <w:highlight w:val="none"/>
                <w:lang w:val="en-US" w:eastAsia="zh-CN"/>
              </w:rPr>
            </w:pPr>
            <w:r>
              <w:rPr>
                <w:rFonts w:hint="eastAsia" w:cs="Times New Roman" w:eastAsiaTheme="minorEastAsia"/>
                <w:b w:val="0"/>
                <w:bCs w:val="0"/>
                <w:color w:val="auto"/>
                <w:kern w:val="0"/>
                <w:szCs w:val="24"/>
                <w:highlight w:val="none"/>
                <w:lang w:val="en-US" w:eastAsia="zh-CN"/>
              </w:rPr>
              <w:t>根据《云南省生态功能区划》，本项目属于高原亚热带北部常绿阔叶林生态区（Ⅲ）中的滇中高原谷盆半湿润常绿阔叶林、暖性针叶林生态亚区（Ⅲ1）的曲靖、陆良山原盆地城镇与农业生态功能区（Ⅲ1-11）。该生态功能区的主要特征是以石灰岩盆地地貌为主，降雨量900-1000毫米。地带性植被为半湿润常绿阔叶，现存植被主要为云南松林，土壤以红壤为主；主要生态环境问题是土地利用不合理导致的土地石漠化；生态环境敏感性为石漠化高中度敏感；主要生态系统服务功能是以岩溶地貌为主的生态旅游和以粮食生产为主的生态农业；保护措施与发展方向为开展生态旅游，合理利用土地，推行清洁生产，改善森林的数量，保护岩溶地貌环境和农田生态环境，防止石漠化。</w:t>
            </w:r>
          </w:p>
          <w:p>
            <w:pPr>
              <w:ind w:left="0" w:leftChars="0" w:firstLine="480" w:firstLineChars="200"/>
              <w:rPr>
                <w:rFonts w:hint="default"/>
                <w:color w:val="auto"/>
                <w:highlight w:val="none"/>
                <w:lang w:val="en-US" w:eastAsia="zh-CN"/>
              </w:rPr>
            </w:pPr>
            <w:r>
              <w:rPr>
                <w:rFonts w:hint="eastAsia" w:cs="Times New Roman" w:eastAsiaTheme="minorEastAsia"/>
                <w:b w:val="0"/>
                <w:bCs w:val="0"/>
                <w:color w:val="auto"/>
                <w:kern w:val="0"/>
                <w:szCs w:val="24"/>
                <w:highlight w:val="none"/>
                <w:lang w:val="en-US" w:eastAsia="zh-CN"/>
              </w:rPr>
              <w:t>本项目为宜良县供水工程，与《云南省生态功能区划》相协调。</w:t>
            </w:r>
          </w:p>
          <w:p>
            <w:pPr>
              <w:ind w:left="0" w:leftChars="0" w:firstLine="0" w:firstLineChars="0"/>
              <w:rPr>
                <w:rFonts w:hint="default"/>
                <w:color w:val="auto"/>
                <w:highlight w:val="none"/>
                <w:lang w:val="en-US" w:eastAsia="zh-CN"/>
              </w:rPr>
            </w:pPr>
          </w:p>
        </w:tc>
      </w:tr>
    </w:tbl>
    <w:p>
      <w:pPr>
        <w:pStyle w:val="2"/>
        <w:jc w:val="center"/>
        <w:rPr>
          <w:color w:val="auto"/>
          <w:highlight w:val="none"/>
        </w:rPr>
      </w:pPr>
      <w:r>
        <w:rPr>
          <w:rFonts w:hint="eastAsia"/>
          <w:color w:val="auto"/>
          <w:highlight w:val="none"/>
        </w:rPr>
        <w:br w:type="page"/>
      </w:r>
      <w:bookmarkStart w:id="2" w:name="_Toc20144"/>
      <w:r>
        <w:rPr>
          <w:rFonts w:hint="eastAsia"/>
          <w:color w:val="auto"/>
          <w:highlight w:val="none"/>
        </w:rPr>
        <w:t>二、建设项目工程分析</w:t>
      </w:r>
      <w:bookmarkEnd w:id="2"/>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7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ind w:firstLine="0" w:firstLineChars="0"/>
              <w:jc w:val="center"/>
              <w:rPr>
                <w:color w:val="auto"/>
                <w:highlight w:val="none"/>
              </w:rPr>
            </w:pPr>
            <w:r>
              <w:rPr>
                <w:rFonts w:hint="eastAsia"/>
                <w:color w:val="auto"/>
                <w:highlight w:val="none"/>
              </w:rPr>
              <w:t>建设内容</w:t>
            </w:r>
          </w:p>
        </w:tc>
        <w:tc>
          <w:tcPr>
            <w:tcW w:w="7500" w:type="dxa"/>
            <w:vAlign w:val="center"/>
          </w:tcPr>
          <w:p>
            <w:pPr>
              <w:ind w:firstLine="480"/>
              <w:rPr>
                <w:rFonts w:hint="eastAsia"/>
                <w:b/>
                <w:bCs/>
                <w:color w:val="auto"/>
                <w:highlight w:val="none"/>
                <w:lang w:val="en-US" w:eastAsia="zh-CN"/>
              </w:rPr>
            </w:pPr>
            <w:r>
              <w:rPr>
                <w:rFonts w:hint="eastAsia"/>
                <w:b/>
                <w:bCs/>
                <w:color w:val="auto"/>
                <w:highlight w:val="none"/>
                <w:lang w:val="en-US" w:eastAsia="zh-CN"/>
              </w:rPr>
              <w:t>1、项目由来</w:t>
            </w:r>
          </w:p>
          <w:p>
            <w:pPr>
              <w:ind w:firstLine="480"/>
              <w:rPr>
                <w:rFonts w:hint="default"/>
                <w:b w:val="0"/>
                <w:bCs w:val="0"/>
                <w:color w:val="auto"/>
                <w:highlight w:val="none"/>
                <w:lang w:val="en-US" w:eastAsia="zh-CN"/>
              </w:rPr>
            </w:pPr>
            <w:r>
              <w:rPr>
                <w:rFonts w:hint="default"/>
                <w:b w:val="0"/>
                <w:bCs w:val="0"/>
                <w:color w:val="auto"/>
                <w:highlight w:val="none"/>
                <w:lang w:val="en-US" w:eastAsia="zh-CN"/>
              </w:rPr>
              <w:t>宜良县南羊片区虽然地处宜良境内的主要水资源-南盘江西岸，但是由于其上游的工业废水、生活污水大量排放入内，以及沿岸农田普遍施用农药、化肥，导致南盘江及其支流建设的柴石滩水库水体已严重污染，水质已变为劣V类，不能再作为居民供水水源。加之，宜良县现有的两座自来水厂日生产能力较低，不能满足南羊片区的用水量要求</w:t>
            </w:r>
            <w:r>
              <w:rPr>
                <w:rFonts w:hint="eastAsia"/>
                <w:b w:val="0"/>
                <w:bCs w:val="0"/>
                <w:color w:val="auto"/>
                <w:highlight w:val="none"/>
                <w:lang w:val="en-US" w:eastAsia="zh-CN"/>
              </w:rPr>
              <w:t>。</w:t>
            </w:r>
            <w:r>
              <w:rPr>
                <w:rFonts w:hint="default"/>
                <w:b w:val="0"/>
                <w:bCs w:val="0"/>
                <w:color w:val="auto"/>
                <w:highlight w:val="none"/>
                <w:lang w:val="en-US" w:eastAsia="zh-CN"/>
              </w:rPr>
              <w:t>南羊街道12个社区，除靠近县城城区周边的4个社区主要引水为县第一、第二水厂之外，其他的8个社区至今未能接通自来水，自来水无法有效的供给。</w:t>
            </w:r>
          </w:p>
          <w:p>
            <w:pPr>
              <w:ind w:firstLine="480"/>
              <w:rPr>
                <w:rFonts w:hint="default"/>
                <w:b w:val="0"/>
                <w:bCs w:val="0"/>
                <w:color w:val="auto"/>
                <w:highlight w:val="none"/>
                <w:lang w:val="en-US" w:eastAsia="zh-CN"/>
              </w:rPr>
            </w:pPr>
            <w:r>
              <w:rPr>
                <w:rFonts w:hint="default"/>
                <w:b w:val="0"/>
                <w:bCs w:val="0"/>
                <w:color w:val="auto"/>
                <w:highlight w:val="none"/>
                <w:lang w:val="en-US" w:eastAsia="zh-CN"/>
              </w:rPr>
              <w:t>为解决南羊片区城乡居民供水紧缺以及饮水安全问题，故建设</w:t>
            </w:r>
            <w:r>
              <w:rPr>
                <w:rFonts w:hint="eastAsia"/>
                <w:b w:val="0"/>
                <w:bCs w:val="0"/>
                <w:color w:val="auto"/>
                <w:highlight w:val="none"/>
                <w:lang w:val="en-US" w:eastAsia="zh-CN"/>
              </w:rPr>
              <w:t>本项目</w:t>
            </w:r>
            <w:r>
              <w:rPr>
                <w:rFonts w:hint="default"/>
                <w:b w:val="0"/>
                <w:bCs w:val="0"/>
                <w:color w:val="auto"/>
                <w:highlight w:val="none"/>
                <w:lang w:val="en-US" w:eastAsia="zh-CN"/>
              </w:rPr>
              <w:t>。</w:t>
            </w:r>
          </w:p>
          <w:p>
            <w:pPr>
              <w:ind w:firstLine="480"/>
              <w:rPr>
                <w:rFonts w:hint="default" w:eastAsia="宋体"/>
                <w:b/>
                <w:bCs/>
                <w:color w:val="auto"/>
                <w:highlight w:val="none"/>
                <w:lang w:val="en-US" w:eastAsia="zh-CN"/>
              </w:rPr>
            </w:pPr>
            <w:r>
              <w:rPr>
                <w:rFonts w:hint="eastAsia"/>
                <w:b/>
                <w:bCs/>
                <w:color w:val="auto"/>
                <w:highlight w:val="none"/>
                <w:lang w:val="en-US" w:eastAsia="zh-CN"/>
              </w:rPr>
              <w:t>2、建设内容</w:t>
            </w:r>
          </w:p>
          <w:p>
            <w:pPr>
              <w:ind w:firstLine="480"/>
              <w:rPr>
                <w:rFonts w:hint="eastAsia"/>
                <w:color w:val="auto"/>
                <w:highlight w:val="none"/>
                <w:lang w:val="en-US" w:eastAsia="zh-CN"/>
              </w:rPr>
            </w:pPr>
            <w:r>
              <w:rPr>
                <w:rFonts w:hint="eastAsia"/>
                <w:color w:val="auto"/>
                <w:highlight w:val="none"/>
                <w:lang w:val="en-US" w:eastAsia="zh-CN"/>
              </w:rPr>
              <w:t>本项目净水厂共分别为二期，其中一期占地面积5.25亩，二期占地面积4.59亩，总占地面积9.84亩。本次建设单位仅先实施一期工程，即净水厂近期供水规模为10000m</w:t>
            </w:r>
            <w:r>
              <w:rPr>
                <w:rFonts w:hint="eastAsia"/>
                <w:color w:val="auto"/>
                <w:highlight w:val="none"/>
                <w:vertAlign w:val="superscript"/>
                <w:lang w:val="en-US" w:eastAsia="zh-CN"/>
              </w:rPr>
              <w:t>3</w:t>
            </w:r>
            <w:r>
              <w:rPr>
                <w:rFonts w:hint="eastAsia"/>
                <w:color w:val="auto"/>
                <w:highlight w:val="none"/>
                <w:lang w:val="en-US" w:eastAsia="zh-CN"/>
              </w:rPr>
              <w:t>/d，远期则可达15000m</w:t>
            </w:r>
            <w:r>
              <w:rPr>
                <w:rFonts w:hint="eastAsia"/>
                <w:color w:val="auto"/>
                <w:highlight w:val="none"/>
                <w:vertAlign w:val="superscript"/>
                <w:lang w:val="en-US" w:eastAsia="zh-CN"/>
              </w:rPr>
              <w:t>3</w:t>
            </w:r>
            <w:r>
              <w:rPr>
                <w:rFonts w:hint="eastAsia"/>
                <w:color w:val="auto"/>
                <w:highlight w:val="none"/>
                <w:lang w:val="en-US" w:eastAsia="zh-CN"/>
              </w:rPr>
              <w:t>/d的供水规模。因此，本次环评仅针对首先实施的一期工程（含净水厂、配套取水设施）进行评价，配水管网工程不纳入本次评价范围，二期工程待实施前，须委托有资质的环评单位进行改扩建项目环评。</w:t>
            </w:r>
          </w:p>
          <w:p>
            <w:pPr>
              <w:ind w:firstLine="480"/>
              <w:rPr>
                <w:rFonts w:hint="default" w:eastAsia="宋体"/>
                <w:color w:val="auto"/>
                <w:highlight w:val="none"/>
                <w:lang w:val="en-US" w:eastAsia="zh-CN"/>
              </w:rPr>
            </w:pPr>
            <w:r>
              <w:rPr>
                <w:rFonts w:hint="eastAsia"/>
                <w:color w:val="auto"/>
                <w:highlight w:val="none"/>
                <w:lang w:val="en-US" w:eastAsia="zh-CN"/>
              </w:rPr>
              <w:t>本次新建的自来水厂包括：配水井1座、絮凝沉淀池1座、虹吸滤池2座、清水池2座、回收水池1座、污泥干化场1座、自用水泵井1座、综合楼1栋、加药消毒间1栋、门卫房1栋。具体建设内容见下表。</w:t>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表2-1 项目建设内容一览表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13"/>
              <w:gridCol w:w="1310"/>
              <w:gridCol w:w="397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类别</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规模</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主体工程</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净</w:t>
                  </w:r>
                  <w:r>
                    <w:rPr>
                      <w:rFonts w:hint="default"/>
                      <w:b w:val="0"/>
                      <w:bCs w:val="0"/>
                      <w:color w:val="auto"/>
                      <w:sz w:val="21"/>
                      <w:szCs w:val="21"/>
                      <w:highlight w:val="none"/>
                      <w:vertAlign w:val="baseline"/>
                      <w:lang w:val="en-US" w:eastAsia="zh-CN"/>
                    </w:rPr>
                    <w:t>水厂</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配水井</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地面式钢筋混凝土结构，长5.3m，宽5.25m，高3.6m，处理能力15750m³/d。包含进水井及出水井。</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絮凝沉淀池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设网格絮凝斜管沉淀池1座2组，包括絮凝池和斜管沉淀池两部分，半地下钢筋混凝土结构，长12.8m，宽13.15m，高6.45m。其中絮凝池尺寸：12.8×3.4m，斜管沉淀池尺寸：12.8m×9.75m。设置DN350静态式管道混合器，安装在每组絮凝池进水管上，混凝剂、次氯酸钠投加在管道混合器前端加药口处，混合时间3S。</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虹吸滤池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w:t>
                  </w:r>
                  <w:r>
                    <w:rPr>
                      <w:rFonts w:hint="default"/>
                      <w:b w:val="0"/>
                      <w:bCs w:val="0"/>
                      <w:color w:val="auto"/>
                      <w:sz w:val="21"/>
                      <w:szCs w:val="21"/>
                      <w:highlight w:val="none"/>
                      <w:vertAlign w:val="baseline"/>
                      <w:lang w:val="en-US" w:eastAsia="zh-CN"/>
                    </w:rPr>
                    <w:t>半地下钢筋混凝土结构，长</w:t>
                  </w:r>
                  <w:r>
                    <w:rPr>
                      <w:rFonts w:hint="eastAsia"/>
                      <w:b w:val="0"/>
                      <w:bCs w:val="0"/>
                      <w:color w:val="auto"/>
                      <w:sz w:val="21"/>
                      <w:szCs w:val="21"/>
                      <w:highlight w:val="none"/>
                      <w:vertAlign w:val="baseline"/>
                      <w:lang w:val="en-US" w:eastAsia="zh-CN"/>
                    </w:rPr>
                    <w:t>11.05</w:t>
                  </w:r>
                  <w:r>
                    <w:rPr>
                      <w:rFonts w:hint="default"/>
                      <w:b w:val="0"/>
                      <w:bCs w:val="0"/>
                      <w:color w:val="auto"/>
                      <w:sz w:val="21"/>
                      <w:szCs w:val="21"/>
                      <w:highlight w:val="none"/>
                      <w:vertAlign w:val="baseline"/>
                      <w:lang w:val="en-US" w:eastAsia="zh-CN"/>
                    </w:rPr>
                    <w:t>m，宽</w:t>
                  </w:r>
                  <w:r>
                    <w:rPr>
                      <w:rFonts w:hint="eastAsia"/>
                      <w:b w:val="0"/>
                      <w:bCs w:val="0"/>
                      <w:color w:val="auto"/>
                      <w:sz w:val="21"/>
                      <w:szCs w:val="21"/>
                      <w:highlight w:val="none"/>
                      <w:vertAlign w:val="baseline"/>
                      <w:lang w:val="en-US" w:eastAsia="zh-CN"/>
                    </w:rPr>
                    <w:t>9.9</w:t>
                  </w:r>
                  <w:r>
                    <w:rPr>
                      <w:rFonts w:hint="default"/>
                      <w:b w:val="0"/>
                      <w:bCs w:val="0"/>
                      <w:color w:val="auto"/>
                      <w:sz w:val="21"/>
                      <w:szCs w:val="21"/>
                      <w:highlight w:val="none"/>
                      <w:vertAlign w:val="baseline"/>
                      <w:lang w:val="en-US" w:eastAsia="zh-CN"/>
                    </w:rPr>
                    <w:t>m，高</w:t>
                  </w:r>
                  <w:r>
                    <w:rPr>
                      <w:rFonts w:hint="eastAsia"/>
                      <w:b w:val="0"/>
                      <w:bCs w:val="0"/>
                      <w:color w:val="auto"/>
                      <w:sz w:val="21"/>
                      <w:szCs w:val="21"/>
                      <w:highlight w:val="none"/>
                      <w:vertAlign w:val="baseline"/>
                      <w:lang w:val="en-US" w:eastAsia="zh-CN"/>
                    </w:rPr>
                    <w:t>7.82</w:t>
                  </w:r>
                  <w:r>
                    <w:rPr>
                      <w:rFonts w:hint="default"/>
                      <w:b w:val="0"/>
                      <w:bCs w:val="0"/>
                      <w:color w:val="auto"/>
                      <w:sz w:val="21"/>
                      <w:szCs w:val="21"/>
                      <w:highlight w:val="none"/>
                      <w:vertAlign w:val="baseline"/>
                      <w:lang w:val="en-US" w:eastAsia="zh-CN"/>
                    </w:rPr>
                    <w:t>m，单座滤池水处理能力5250m³/d</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清水池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2座，半地下钢筋混凝土结构，单座长12.2m，宽12.2m，高4m，容积500m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半地下钢筋混凝土结构，</w:t>
                  </w:r>
                  <w:r>
                    <w:rPr>
                      <w:rFonts w:hint="default"/>
                      <w:b w:val="0"/>
                      <w:bCs w:val="0"/>
                      <w:color w:val="auto"/>
                      <w:sz w:val="21"/>
                      <w:szCs w:val="21"/>
                      <w:highlight w:val="none"/>
                      <w:vertAlign w:val="baseline"/>
                      <w:lang w:val="en-US" w:eastAsia="zh-CN"/>
                    </w:rPr>
                    <w:t>长</w:t>
                  </w:r>
                  <w:r>
                    <w:rPr>
                      <w:rFonts w:hint="eastAsia"/>
                      <w:b w:val="0"/>
                      <w:bCs w:val="0"/>
                      <w:color w:val="auto"/>
                      <w:sz w:val="21"/>
                      <w:szCs w:val="21"/>
                      <w:highlight w:val="none"/>
                      <w:vertAlign w:val="baseline"/>
                      <w:lang w:val="en-US" w:eastAsia="zh-CN"/>
                    </w:rPr>
                    <w:t>11.4</w:t>
                  </w:r>
                  <w:r>
                    <w:rPr>
                      <w:rFonts w:hint="default"/>
                      <w:b w:val="0"/>
                      <w:bCs w:val="0"/>
                      <w:color w:val="auto"/>
                      <w:sz w:val="21"/>
                      <w:szCs w:val="21"/>
                      <w:highlight w:val="none"/>
                      <w:vertAlign w:val="baseline"/>
                      <w:lang w:val="en-US" w:eastAsia="zh-CN"/>
                    </w:rPr>
                    <w:t>m，宽</w:t>
                  </w:r>
                  <w:r>
                    <w:rPr>
                      <w:rFonts w:hint="eastAsia"/>
                      <w:b w:val="0"/>
                      <w:bCs w:val="0"/>
                      <w:color w:val="auto"/>
                      <w:sz w:val="21"/>
                      <w:szCs w:val="21"/>
                      <w:highlight w:val="none"/>
                      <w:vertAlign w:val="baseline"/>
                      <w:lang w:val="en-US" w:eastAsia="zh-CN"/>
                    </w:rPr>
                    <w:t>4.8</w:t>
                  </w:r>
                  <w:r>
                    <w:rPr>
                      <w:rFonts w:hint="default"/>
                      <w:b w:val="0"/>
                      <w:bCs w:val="0"/>
                      <w:color w:val="auto"/>
                      <w:sz w:val="21"/>
                      <w:szCs w:val="21"/>
                      <w:highlight w:val="none"/>
                      <w:vertAlign w:val="baseline"/>
                      <w:lang w:val="en-US" w:eastAsia="zh-CN"/>
                    </w:rPr>
                    <w:t>m，高</w:t>
                  </w:r>
                  <w:r>
                    <w:rPr>
                      <w:rFonts w:hint="eastAsia"/>
                      <w:b w:val="0"/>
                      <w:bCs w:val="0"/>
                      <w:color w:val="auto"/>
                      <w:sz w:val="21"/>
                      <w:szCs w:val="21"/>
                      <w:highlight w:val="none"/>
                      <w:vertAlign w:val="baseline"/>
                      <w:lang w:val="en-US" w:eastAsia="zh-CN"/>
                    </w:rPr>
                    <w:t>5.8</w:t>
                  </w:r>
                  <w:r>
                    <w:rPr>
                      <w:rFonts w:hint="default"/>
                      <w:b w:val="0"/>
                      <w:bCs w:val="0"/>
                      <w:color w:val="auto"/>
                      <w:sz w:val="21"/>
                      <w:szCs w:val="21"/>
                      <w:highlight w:val="none"/>
                      <w:vertAlign w:val="baseline"/>
                      <w:lang w:val="en-US" w:eastAsia="zh-CN"/>
                    </w:rPr>
                    <w:t>m</w:t>
                  </w:r>
                  <w:r>
                    <w:rPr>
                      <w:rFonts w:hint="eastAsia"/>
                      <w:b w:val="0"/>
                      <w:bCs w:val="0"/>
                      <w:color w:val="auto"/>
                      <w:sz w:val="21"/>
                      <w:szCs w:val="21"/>
                      <w:highlight w:val="none"/>
                      <w:vertAlign w:val="baseline"/>
                      <w:lang w:val="en-US" w:eastAsia="zh-CN"/>
                    </w:rPr>
                    <w:t>，主要用于收集虹吸滤池反冲洗水、絮凝沉淀池排泥水。</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污泥干化场</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半地下钢筋混凝土结构，长10.6m，宽7.25m，高1.7m，顶部设置阳光棚，四周敞口</w:t>
                  </w:r>
                  <w:r>
                    <w:rPr>
                      <w:rFonts w:hint="eastAsia"/>
                      <w:b w:val="0"/>
                      <w:bCs w:val="0"/>
                      <w:color w:val="auto"/>
                      <w:sz w:val="21"/>
                      <w:szCs w:val="21"/>
                      <w:highlight w:val="none"/>
                      <w:vertAlign w:val="baseline"/>
                      <w:lang w:val="en-US" w:eastAsia="zh-CN"/>
                    </w:rPr>
                    <w:t>。干化场渗滤水随回收水池上清液回到净水系统。</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自用水泵井</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地下式钢筋混凝土结构，长8m，宽5m，高4.65m。</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单层钢筋混凝土结构，建筑面积63.9m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，内部设置储药间、加氯间、加药装置。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取水工程</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初沉池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建设3座初沉池，容积均为54m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原水初沉时间为5min。1#初沉池布置于老石山隧洞北侧，长6.0m，宽3.0m，高3.0m，半地下钢筋混凝土结构；2#初沉池布置于老石山隧洞南侧，长6.0m，宽3.0m，高3.0m，地下钢筋混凝土结构；3#初沉池布置于阳宗隧道南侧，长6.0m，宽3.0m，高3.0m，地下钢筋混凝土结构。</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取水调压池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半地下钢筋混凝土结构，长8.0m，宽4.0m，高3.5m，容积为100m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原水输水管道</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均为重力自流输水管道，分为1#、2#初沉池至调节池段（DN450）、3#初沉池至调节池段（DN200）、调节池至净水厂段（DN500）3部分，共计14.1km。选用Q235B螺旋焊缝钢管，并设置检修阀门、伸缩器、泄水闸阀、排气阀。铺设方式采用地埋式铺设，管道沿现有公路或乡村道路铺设，穿跨越河流、高铁线路、铁路等共计3次。</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辅助工程</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综合楼</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r>
                    <w:rPr>
                      <w:rFonts w:hint="default"/>
                      <w:b w:val="0"/>
                      <w:bCs w:val="0"/>
                      <w:color w:val="auto"/>
                      <w:sz w:val="21"/>
                      <w:szCs w:val="21"/>
                      <w:highlight w:val="none"/>
                      <w:vertAlign w:val="baseline"/>
                      <w:lang w:val="en-US" w:eastAsia="zh-CN"/>
                    </w:rPr>
                    <w:t>层钢筋混凝土结构，建筑面积</w:t>
                  </w:r>
                  <w:r>
                    <w:rPr>
                      <w:rFonts w:hint="eastAsia"/>
                      <w:b w:val="0"/>
                      <w:bCs w:val="0"/>
                      <w:color w:val="auto"/>
                      <w:sz w:val="21"/>
                      <w:szCs w:val="21"/>
                      <w:highlight w:val="none"/>
                      <w:vertAlign w:val="baseline"/>
                      <w:lang w:val="en-US" w:eastAsia="zh-CN"/>
                    </w:rPr>
                    <w:t>637.51</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。含办公</w:t>
                  </w:r>
                  <w:r>
                    <w:rPr>
                      <w:rFonts w:hint="eastAsia"/>
                      <w:b w:val="0"/>
                      <w:bCs w:val="0"/>
                      <w:color w:val="auto"/>
                      <w:sz w:val="21"/>
                      <w:szCs w:val="21"/>
                      <w:highlight w:val="none"/>
                      <w:vertAlign w:val="baseline"/>
                      <w:lang w:val="en-US" w:eastAsia="zh-CN"/>
                    </w:rPr>
                    <w:t>室</w:t>
                  </w:r>
                  <w:r>
                    <w:rPr>
                      <w:rFonts w:hint="default"/>
                      <w:b w:val="0"/>
                      <w:bCs w:val="0"/>
                      <w:color w:val="auto"/>
                      <w:sz w:val="21"/>
                      <w:szCs w:val="21"/>
                      <w:highlight w:val="none"/>
                      <w:vertAlign w:val="baseline"/>
                      <w:lang w:val="en-US" w:eastAsia="zh-CN"/>
                    </w:rPr>
                    <w:t>、食堂、化验</w:t>
                  </w:r>
                  <w:r>
                    <w:rPr>
                      <w:rFonts w:hint="eastAsia"/>
                      <w:b w:val="0"/>
                      <w:bCs w:val="0"/>
                      <w:color w:val="auto"/>
                      <w:sz w:val="21"/>
                      <w:szCs w:val="21"/>
                      <w:highlight w:val="none"/>
                      <w:vertAlign w:val="baseline"/>
                      <w:lang w:val="en-US" w:eastAsia="zh-CN"/>
                    </w:rPr>
                    <w:t>室、加药房</w:t>
                  </w:r>
                  <w:r>
                    <w:rPr>
                      <w:rFonts w:hint="default"/>
                      <w:b w:val="0"/>
                      <w:bCs w:val="0"/>
                      <w:color w:val="auto"/>
                      <w:sz w:val="21"/>
                      <w:szCs w:val="21"/>
                      <w:highlight w:val="none"/>
                      <w:vertAlign w:val="baseline"/>
                      <w:lang w:val="en-US" w:eastAsia="zh-CN"/>
                    </w:rPr>
                    <w:t>及值班宿舍</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门卫室</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单层钢筋混凝土结构，</w:t>
                  </w:r>
                  <w:r>
                    <w:rPr>
                      <w:rFonts w:hint="default"/>
                      <w:b w:val="0"/>
                      <w:bCs w:val="0"/>
                      <w:color w:val="auto"/>
                      <w:sz w:val="21"/>
                      <w:szCs w:val="21"/>
                      <w:highlight w:val="none"/>
                      <w:vertAlign w:val="baseline"/>
                      <w:lang w:val="en-US" w:eastAsia="zh-CN"/>
                    </w:rPr>
                    <w:t>建筑面积</w:t>
                  </w:r>
                  <w:r>
                    <w:rPr>
                      <w:rFonts w:hint="eastAsia"/>
                      <w:b w:val="0"/>
                      <w:bCs w:val="0"/>
                      <w:color w:val="auto"/>
                      <w:sz w:val="21"/>
                      <w:szCs w:val="21"/>
                      <w:highlight w:val="none"/>
                      <w:vertAlign w:val="baseline"/>
                      <w:lang w:val="en-US" w:eastAsia="zh-CN"/>
                    </w:rPr>
                    <w:t>20.35</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公用工程</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给水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生活办公用水</w:t>
                  </w:r>
                  <w:r>
                    <w:rPr>
                      <w:rFonts w:hint="eastAsia"/>
                      <w:b w:val="0"/>
                      <w:bCs w:val="0"/>
                      <w:color w:val="auto"/>
                      <w:sz w:val="21"/>
                      <w:szCs w:val="21"/>
                      <w:highlight w:val="none"/>
                      <w:vertAlign w:val="baseline"/>
                      <w:lang w:val="en-US" w:eastAsia="zh-CN"/>
                    </w:rPr>
                    <w:t>均</w:t>
                  </w:r>
                  <w:r>
                    <w:rPr>
                      <w:rFonts w:hint="default"/>
                      <w:b w:val="0"/>
                      <w:bCs w:val="0"/>
                      <w:color w:val="auto"/>
                      <w:sz w:val="21"/>
                      <w:szCs w:val="21"/>
                      <w:highlight w:val="none"/>
                      <w:vertAlign w:val="baseline"/>
                      <w:lang w:val="en-US" w:eastAsia="zh-CN"/>
                    </w:rPr>
                    <w:t>为</w:t>
                  </w:r>
                  <w:r>
                    <w:rPr>
                      <w:rFonts w:hint="eastAsia"/>
                      <w:b w:val="0"/>
                      <w:bCs w:val="0"/>
                      <w:color w:val="auto"/>
                      <w:sz w:val="21"/>
                      <w:szCs w:val="21"/>
                      <w:highlight w:val="none"/>
                      <w:vertAlign w:val="baseline"/>
                      <w:lang w:val="en-US" w:eastAsia="zh-CN"/>
                    </w:rPr>
                    <w:t>水厂</w:t>
                  </w:r>
                  <w:r>
                    <w:rPr>
                      <w:rFonts w:hint="default"/>
                      <w:b w:val="0"/>
                      <w:bCs w:val="0"/>
                      <w:color w:val="auto"/>
                      <w:sz w:val="21"/>
                      <w:szCs w:val="21"/>
                      <w:highlight w:val="none"/>
                      <w:vertAlign w:val="baseline"/>
                      <w:lang w:val="en-US" w:eastAsia="zh-CN"/>
                    </w:rPr>
                    <w:t>自身生产的自来水。</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排水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水厂均建设完善的“雨污分流”措施。雨水通过厂区雨水管道排入周边雨水沟；废水主要为生产废水及生活污水，生产废水主要为沉淀池排泥水、滤池反冲洗废水、污泥干化场渗滤水，其中沉淀池排泥水、滤池反冲洗废水经回收水池沉淀后上清液与污泥干化场渗滤水一同回到净化工序，不外排；生活污水经隔油池+化粪池处理后定期委托当地环卫部门清掏后外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供电</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厂区设置一座10/0.4kV箱式变电站，经变电站分配到各用电点。</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环保工程</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废水</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化粪池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本项目设置10m</w:t>
                  </w:r>
                  <w:r>
                    <w:rPr>
                      <w:rFonts w:hint="eastAsia" w:ascii="Times New Roman" w:eastAsia="宋体"/>
                      <w:b w:val="0"/>
                      <w:bCs w:val="0"/>
                      <w:color w:val="auto"/>
                      <w:sz w:val="21"/>
                      <w:szCs w:val="21"/>
                      <w:highlight w:val="none"/>
                      <w:vertAlign w:val="superscript"/>
                      <w:lang w:val="en-US" w:eastAsia="zh-CN"/>
                    </w:rPr>
                    <w:t>3</w:t>
                  </w:r>
                  <w:r>
                    <w:rPr>
                      <w:rFonts w:hint="eastAsia" w:ascii="Times New Roman" w:eastAsia="宋体"/>
                      <w:b w:val="0"/>
                      <w:bCs w:val="0"/>
                      <w:color w:val="auto"/>
                      <w:sz w:val="21"/>
                      <w:szCs w:val="21"/>
                      <w:highlight w:val="none"/>
                      <w:vertAlign w:val="baseline"/>
                      <w:lang w:val="en-US" w:eastAsia="zh-CN"/>
                    </w:rPr>
                    <w:t>的化粪池，生活污水经化粪池处理后定期委托当地环卫部门清掏后外运处置。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隔油池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本项目设置0.5m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的隔油池，厨房废水经隔油池处理后进入化粪池。</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废气</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油烟净化器+排气筒</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本项目厨房安装油烟净化器，烹饪过程产生的油烟通过集气罩收集后经油烟净化器处理（处理效率为60%），处理达标后通过10m高排气筒（DA001）排放。</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加强厂区绿化</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本项目污泥干化过程会产生异味，本项目通过强厂区绿化及稀释扩散去除污泥产生的异味。</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固废</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生活垃圾桶</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厂区设置若干生活垃圾收集桶，收集后送至生活垃圾集中收集点，委托环卫部门清运处置。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一般固废暂存间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本项目于综合楼2楼设置一间5m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的一般固废暂存间，用于暂存间项目产生的原料包装袋，定期外售至废品收购站。</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危废暂存间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项目于综合楼2楼</w:t>
                  </w:r>
                  <w:r>
                    <w:rPr>
                      <w:rFonts w:hint="eastAsia"/>
                      <w:b w:val="0"/>
                      <w:bCs w:val="0"/>
                      <w:color w:val="auto"/>
                      <w:sz w:val="21"/>
                      <w:szCs w:val="21"/>
                      <w:highlight w:val="none"/>
                      <w:vertAlign w:val="baseline"/>
                      <w:lang w:val="en-US" w:eastAsia="zh-CN"/>
                    </w:rPr>
                    <w:t>建</w:t>
                  </w:r>
                  <w:r>
                    <w:rPr>
                      <w:rFonts w:hint="default"/>
                      <w:b w:val="0"/>
                      <w:bCs w:val="0"/>
                      <w:color w:val="auto"/>
                      <w:sz w:val="21"/>
                      <w:szCs w:val="21"/>
                      <w:highlight w:val="none"/>
                      <w:vertAlign w:val="baseline"/>
                      <w:lang w:val="en-US" w:eastAsia="zh-CN"/>
                    </w:rPr>
                    <w:t>设一间</w:t>
                  </w:r>
                  <w:r>
                    <w:rPr>
                      <w:rFonts w:hint="eastAsia"/>
                      <w:b w:val="0"/>
                      <w:bCs w:val="0"/>
                      <w:color w:val="auto"/>
                      <w:sz w:val="21"/>
                      <w:szCs w:val="21"/>
                      <w:highlight w:val="none"/>
                      <w:vertAlign w:val="baseline"/>
                      <w:lang w:val="en-US" w:eastAsia="zh-CN"/>
                    </w:rPr>
                    <w:t>5</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危废暂存间，用于</w:t>
                  </w:r>
                  <w:r>
                    <w:rPr>
                      <w:rFonts w:hint="eastAsia"/>
                      <w:b w:val="0"/>
                      <w:bCs w:val="0"/>
                      <w:color w:val="auto"/>
                      <w:sz w:val="21"/>
                      <w:szCs w:val="21"/>
                      <w:highlight w:val="none"/>
                      <w:vertAlign w:val="baseline"/>
                      <w:lang w:val="en-US" w:eastAsia="zh-CN"/>
                    </w:rPr>
                    <w:t>分类分区</w:t>
                  </w:r>
                  <w:r>
                    <w:rPr>
                      <w:rFonts w:hint="default"/>
                      <w:b w:val="0"/>
                      <w:bCs w:val="0"/>
                      <w:color w:val="auto"/>
                      <w:sz w:val="21"/>
                      <w:szCs w:val="21"/>
                      <w:highlight w:val="none"/>
                      <w:vertAlign w:val="baseline"/>
                      <w:lang w:val="en-US" w:eastAsia="zh-CN"/>
                    </w:rPr>
                    <w:t>暂存废机油</w:t>
                  </w:r>
                  <w:r>
                    <w:rPr>
                      <w:rFonts w:hint="eastAsia"/>
                      <w:b w:val="0"/>
                      <w:bCs w:val="0"/>
                      <w:color w:val="auto"/>
                      <w:sz w:val="21"/>
                      <w:szCs w:val="21"/>
                      <w:highlight w:val="none"/>
                      <w:vertAlign w:val="baseline"/>
                      <w:lang w:val="en-US" w:eastAsia="zh-CN"/>
                    </w:rPr>
                    <w:t>及化验室废液，并设置实验室废液桶</w:t>
                  </w:r>
                  <w:r>
                    <w:rPr>
                      <w:rFonts w:hint="default"/>
                      <w:b w:val="0"/>
                      <w:bCs w:val="0"/>
                      <w:color w:val="auto"/>
                      <w:sz w:val="21"/>
                      <w:szCs w:val="21"/>
                      <w:highlight w:val="none"/>
                      <w:vertAlign w:val="baseline"/>
                      <w:lang w:val="en-US" w:eastAsia="zh-CN"/>
                    </w:rPr>
                    <w:t>。危废暂存间做好</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三防</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措施，按《危险废物贮存污染控制标准》（GB18597-2001）及修改单的要求进行建设，应建设堵截泄露的裙角，地面与裙角所围建的容积不低于总储量的五分之一，地面与裙角进行</w:t>
                  </w:r>
                  <w:r>
                    <w:rPr>
                      <w:rFonts w:hint="eastAsia" w:ascii="Times New Roman" w:eastAsia="宋体"/>
                      <w:b w:val="0"/>
                      <w:bCs w:val="0"/>
                      <w:color w:val="auto"/>
                      <w:sz w:val="21"/>
                      <w:szCs w:val="21"/>
                      <w:highlight w:val="none"/>
                      <w:vertAlign w:val="baseline"/>
                      <w:lang w:val="en-US" w:eastAsia="zh-CN"/>
                    </w:rPr>
                    <w:t>混凝土</w:t>
                  </w:r>
                  <w:r>
                    <w:rPr>
                      <w:rFonts w:hint="default"/>
                      <w:b w:val="0"/>
                      <w:bCs w:val="0"/>
                      <w:color w:val="auto"/>
                      <w:sz w:val="21"/>
                      <w:szCs w:val="21"/>
                      <w:highlight w:val="none"/>
                      <w:vertAlign w:val="baseline"/>
                      <w:lang w:val="en-US" w:eastAsia="zh-CN"/>
                    </w:rPr>
                    <w:t>硬化并采用2.0mm厚HDPE膜进行防渗，使其单元渗透系数≤1×10</w:t>
                  </w:r>
                  <w:r>
                    <w:rPr>
                      <w:rFonts w:hint="default"/>
                      <w:b w:val="0"/>
                      <w:bCs w:val="0"/>
                      <w:color w:val="auto"/>
                      <w:sz w:val="21"/>
                      <w:szCs w:val="21"/>
                      <w:highlight w:val="none"/>
                      <w:vertAlign w:val="superscript"/>
                      <w:lang w:val="en-US" w:eastAsia="zh-CN"/>
                    </w:rPr>
                    <w:t>-10</w:t>
                  </w:r>
                  <w:r>
                    <w:rPr>
                      <w:rFonts w:hint="default"/>
                      <w:b w:val="0"/>
                      <w:bCs w:val="0"/>
                      <w:color w:val="auto"/>
                      <w:sz w:val="21"/>
                      <w:szCs w:val="21"/>
                      <w:highlight w:val="none"/>
                      <w:vertAlign w:val="baseline"/>
                      <w:lang w:val="en-US" w:eastAsia="zh-CN"/>
                    </w:rPr>
                    <w:t>cm/s。</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噪声</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营运期设备噪声采取基础减振、隔声、加强绿化等措施。</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标识、标牌</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项目</w:t>
                  </w:r>
                  <w:r>
                    <w:rPr>
                      <w:rFonts w:hint="eastAsia"/>
                      <w:b w:val="0"/>
                      <w:bCs w:val="0"/>
                      <w:color w:val="auto"/>
                      <w:sz w:val="21"/>
                      <w:szCs w:val="21"/>
                      <w:highlight w:val="none"/>
                      <w:vertAlign w:val="baseline"/>
                      <w:lang w:val="en-US" w:eastAsia="zh-CN"/>
                    </w:rPr>
                    <w:t>污泥干化场</w:t>
                  </w:r>
                  <w:r>
                    <w:rPr>
                      <w:rFonts w:hint="default"/>
                      <w:b w:val="0"/>
                      <w:bCs w:val="0"/>
                      <w:color w:val="auto"/>
                      <w:sz w:val="21"/>
                      <w:szCs w:val="21"/>
                      <w:highlight w:val="none"/>
                      <w:vertAlign w:val="baseline"/>
                      <w:lang w:val="en-US" w:eastAsia="zh-CN"/>
                    </w:rPr>
                    <w:t>、</w:t>
                  </w:r>
                  <w:r>
                    <w:rPr>
                      <w:rFonts w:hint="eastAsia"/>
                      <w:b w:val="0"/>
                      <w:bCs w:val="0"/>
                      <w:color w:val="auto"/>
                      <w:sz w:val="21"/>
                      <w:szCs w:val="21"/>
                      <w:highlight w:val="none"/>
                      <w:vertAlign w:val="baseline"/>
                      <w:lang w:val="en-US" w:eastAsia="zh-CN"/>
                    </w:rPr>
                    <w:t>排气筒、一般固废暂存间</w:t>
                  </w:r>
                  <w:r>
                    <w:rPr>
                      <w:rFonts w:hint="default"/>
                      <w:b w:val="0"/>
                      <w:bCs w:val="0"/>
                      <w:color w:val="auto"/>
                      <w:sz w:val="21"/>
                      <w:szCs w:val="21"/>
                      <w:highlight w:val="none"/>
                      <w:vertAlign w:val="baseline"/>
                      <w:lang w:val="en-US" w:eastAsia="zh-CN"/>
                    </w:rPr>
                    <w:t>等</w:t>
                  </w:r>
                  <w:r>
                    <w:rPr>
                      <w:rFonts w:hint="eastAsia"/>
                      <w:b w:val="0"/>
                      <w:bCs w:val="0"/>
                      <w:color w:val="auto"/>
                      <w:sz w:val="21"/>
                      <w:szCs w:val="21"/>
                      <w:highlight w:val="none"/>
                      <w:vertAlign w:val="baseline"/>
                      <w:lang w:val="en-US" w:eastAsia="zh-CN"/>
                    </w:rPr>
                    <w:t>位置</w:t>
                  </w:r>
                  <w:r>
                    <w:rPr>
                      <w:rFonts w:hint="default"/>
                      <w:b w:val="0"/>
                      <w:bCs w:val="0"/>
                      <w:color w:val="auto"/>
                      <w:sz w:val="21"/>
                      <w:szCs w:val="21"/>
                      <w:highlight w:val="none"/>
                      <w:vertAlign w:val="baseline"/>
                      <w:lang w:val="en-US" w:eastAsia="zh-CN"/>
                    </w:rPr>
                    <w:t>设置</w:t>
                  </w:r>
                  <w:r>
                    <w:rPr>
                      <w:rFonts w:hint="eastAsia"/>
                      <w:b w:val="0"/>
                      <w:bCs w:val="0"/>
                      <w:color w:val="auto"/>
                      <w:sz w:val="21"/>
                      <w:szCs w:val="21"/>
                      <w:highlight w:val="none"/>
                      <w:vertAlign w:val="baseline"/>
                      <w:lang w:val="en-US" w:eastAsia="zh-CN"/>
                    </w:rPr>
                    <w:t>环保</w:t>
                  </w:r>
                  <w:r>
                    <w:rPr>
                      <w:rFonts w:hint="default"/>
                      <w:b w:val="0"/>
                      <w:bCs w:val="0"/>
                      <w:color w:val="auto"/>
                      <w:sz w:val="21"/>
                      <w:szCs w:val="21"/>
                      <w:highlight w:val="none"/>
                      <w:vertAlign w:val="baseline"/>
                      <w:lang w:val="en-US" w:eastAsia="zh-CN"/>
                    </w:rPr>
                    <w:t>标识标牌。</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厂区绿化</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厂区绿化面积1666.02m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3、水厂供水规模</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本项目服务范围为南羊街道，包括南羊街社区、福谊社区、中乐社区、右所社区、花园社区、黄堡社区、新庄社区、葡萄社区、起春社区、土桥社区、五星社区、黑羊社区12个社区</w:t>
            </w:r>
            <w:r>
              <w:rPr>
                <w:rFonts w:hint="eastAsia"/>
                <w:b w:val="0"/>
                <w:bCs w:val="0"/>
                <w:color w:val="auto"/>
                <w:highlight w:val="none"/>
                <w:lang w:val="en-US" w:eastAsia="zh-CN"/>
              </w:rPr>
              <w:t>。近期规划水平年（2025 年）人口为58929人。</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w:t>
            </w:r>
            <w:r>
              <w:rPr>
                <w:rFonts w:hint="eastAsia"/>
                <w:b w:val="0"/>
                <w:bCs w:val="0"/>
                <w:color w:val="auto"/>
                <w:highlight w:val="none"/>
                <w:lang w:val="en-US" w:eastAsia="zh-CN"/>
              </w:rPr>
              <w:t>项目</w:t>
            </w:r>
            <w:r>
              <w:rPr>
                <w:rFonts w:hint="default"/>
                <w:b w:val="0"/>
                <w:bCs w:val="0"/>
                <w:color w:val="auto"/>
                <w:highlight w:val="none"/>
                <w:lang w:val="en-US" w:eastAsia="zh-CN"/>
              </w:rPr>
              <w:t>建成后</w:t>
            </w:r>
            <w:r>
              <w:rPr>
                <w:rFonts w:hint="eastAsia"/>
                <w:b w:val="0"/>
                <w:bCs w:val="0"/>
                <w:color w:val="auto"/>
                <w:highlight w:val="none"/>
                <w:lang w:val="en-US" w:eastAsia="zh-CN"/>
              </w:rPr>
              <w:t>供水规模见下表</w:t>
            </w:r>
            <w:r>
              <w:rPr>
                <w:rFonts w:hint="default"/>
                <w:b w:val="0"/>
                <w:bCs w:val="0"/>
                <w:color w:val="auto"/>
                <w:highlight w:val="none"/>
                <w:lang w:val="en-US" w:eastAsia="zh-CN"/>
              </w:rPr>
              <w:t>。</w:t>
            </w:r>
          </w:p>
          <w:p>
            <w:pPr>
              <w:spacing w:line="240" w:lineRule="auto"/>
              <w:ind w:left="0" w:leftChars="0" w:firstLine="0" w:firstLineChars="0"/>
              <w:jc w:val="center"/>
              <w:rPr>
                <w:rFonts w:hint="default"/>
                <w:b/>
                <w:bCs/>
                <w:color w:val="auto"/>
                <w:highlight w:val="none"/>
                <w:shd w:val="clear" w:color="auto" w:fill="auto"/>
                <w:lang w:val="en-US" w:eastAsia="zh-CN"/>
              </w:rPr>
            </w:pPr>
            <w:r>
              <w:rPr>
                <w:rFonts w:hint="eastAsia"/>
                <w:b/>
                <w:bCs/>
                <w:color w:val="auto"/>
                <w:highlight w:val="none"/>
                <w:shd w:val="clear" w:color="auto" w:fill="auto"/>
                <w:lang w:val="en-US" w:eastAsia="zh-CN"/>
              </w:rPr>
              <w:t>表2-2 水厂设计供水规模一览表  单位：m³/d</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96"/>
              <w:gridCol w:w="2677"/>
              <w:gridCol w:w="205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序号</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供水规模</w:t>
                  </w:r>
                </w:p>
              </w:tc>
              <w:tc>
                <w:tcPr>
                  <w:tcW w:w="47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取水水源</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1</w:t>
                  </w:r>
                </w:p>
              </w:tc>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10000</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老石山隧洞水源点（取水点坐标：东经103°4′23.83″，北纬24°49′4.33″）</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设置1#初沉池、2#初沉池两座沉淀池蓄积老石山隧洞水源点涌水</w:t>
                  </w:r>
                </w:p>
              </w:tc>
              <w:tc>
                <w:tcPr>
                  <w:tcW w:w="12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出水水质满足《生活饮用水卫生标准》（GB5749-2006）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阳宗隧洞水源点（取水点坐标：东经103°4′8.63″，北纬24°48′35.24″）</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设置3#初沉池蓄积阳宗隧洞水源点涌水</w:t>
                  </w:r>
                </w:p>
              </w:tc>
              <w:tc>
                <w:tcPr>
                  <w:tcW w:w="12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p>
              </w:tc>
            </w:tr>
          </w:tbl>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注：根据《宜良县南羊片区供水一体化项目老石山隧道水源点水文水资源调查评价报告》，本项目选取的老石山隧洞水源点、阳宗隧洞水源点各涌水点水质检测结果均满足《生活饮用水卫生标准》（GB5749-2006）。</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本项目配套新建原水输水管道共计14.1km，其中包括输水前段管线1.55km、输水后段管线12.55km。</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4、本项目取水情况</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根据《宜良县南羊片区供水一体化项目老石山隧道水源点水文水资源调查评价报告》。</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本项目天然状态下水源点位于新庄村水文地质单元补给径流区，单元内主要地层为∈2s、∈1l、∈2d、S2mc、S2ma、S2mb、∈1c、∈1q这8套含水层地层，干旱年（95%降雨保证率）地下水资源量为400.19万m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/a，天然状态下平均排泄量为323.24万m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/a，枯季天然排泄量为239.67万m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老石山隧道涌水点现状平均排泄量为128.26L/s（11081.84m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/d），现状最大使用量为1296.67m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/d，剩余可开采量为9785.17m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在建阳宗隧道出口平均流量36.71L/s（3171.74m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/d），现状使用量为0，剩余可开采量为3171.74m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老石山隧道进口涌水量及阳宗隧道出口涌水量合计164.97L/s（14253.41m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/d），建议采用水源点涌水量的80%作为地下水的可开采量，即老石山隧道进口可开采量与阳宗隧道出口可开采量之和的80%，为10365.53m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/d，折合年流量为378.34万m³/a。</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综上，本项目水源点可开采量满足本项目取水需求。</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5、原辅材料及能源消耗</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本项目工程原料主要为原水，其余辅料主要为净水过程的消耗品及化验室相关药剂。本项目原辅材料及能源消耗情况详见下表。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表2-3 主要原辅材料年用量一览表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85"/>
              <w:gridCol w:w="1044"/>
              <w:gridCol w:w="1309"/>
              <w:gridCol w:w="937"/>
              <w:gridCol w:w="135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年用量</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最大储存量</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形态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储存位置</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PAC</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58.04t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2.39t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NaCl</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49.06t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2.02t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盐酸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氨水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硝酸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三氯甲烷</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8</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冰乙酸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9</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硫酸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铬酸钾</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0.1kg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11</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柴油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200kg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50kg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工具间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12</w:t>
                  </w:r>
                </w:p>
              </w:tc>
              <w:tc>
                <w:tcPr>
                  <w:tcW w:w="10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机油</w:t>
                  </w:r>
                </w:p>
              </w:tc>
              <w:tc>
                <w:tcPr>
                  <w:tcW w:w="10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50kg</w:t>
                  </w:r>
                </w:p>
              </w:tc>
              <w:tc>
                <w:tcPr>
                  <w:tcW w:w="13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不储存</w:t>
                  </w:r>
                </w:p>
              </w:tc>
              <w:tc>
                <w:tcPr>
                  <w:tcW w:w="9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13</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696.5万kw·h</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14</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1970m</w:t>
                  </w:r>
                  <w:r>
                    <w:rPr>
                      <w:rFonts w:hint="eastAsia"/>
                      <w:b w:val="0"/>
                      <w:bCs w:val="0"/>
                      <w:color w:val="auto"/>
                      <w:sz w:val="21"/>
                      <w:szCs w:val="21"/>
                      <w:highlight w:val="none"/>
                      <w:vertAlign w:val="superscript"/>
                      <w:lang w:val="en-US" w:eastAsia="zh-CN"/>
                    </w:rPr>
                    <w:t>3</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厂内供给</w:t>
                  </w:r>
                </w:p>
              </w:tc>
            </w:tr>
          </w:tbl>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注：本项目化验室涉及的化学品部分属于危险化学品，需按照《危险化学品安全管理条例》进行严格管理。</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本项目主要原辅材料理化特性见下表。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表2-4 项目涉及主要原辅材料理化性质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17"/>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PAC</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聚合氯化铝</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无机高分子混凝剂，介于AlCl</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和Al（OH）</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之间的一种水溶性无机高分子聚合物，颜色呈黄色或淡黄色、深褐色、深灰色树脂状固体。该产品有较强的架桥吸附性能，在水解过程中，伴随发生凝聚，吸附和沉淀等物理化学过程。聚合氯化铝与传统无机混凝剂的根本区别在于传统无机混凝剂为低分子结晶盐，而聚合氯化铝的结构由形态多变的多元羧基络合物组成，絮凝沉淀速度快，适用值范围宽，对管道设备无腐蚀性，净水效果明显，能有效去除水中色质SS、COD、BOD及砷、汞等重金属离子，该产品广泛用于饮用水、工业用水和污水处理领域。聚合氯化铝稳定性差，有腐蚀性，如不慎溅到皮肤上要立即用水冲洗干净。生产人员要穿工作服，戴口罩、手套、穿长筒胶靴。生产设备要密闭，车间通风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NaCl</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是一种无机离子化合物，化学式NaCl，无色立方结晶或细小结晶粉末，味咸。外观是白色晶体状，其来源主要是海水，是食盐的主要成分。易溶于水、甘油，微溶于乙醇（酒精）、液氨；不溶于浓盐酸。不纯的氯化钠在空气中有潮解性。稳定性比较好，其水溶液呈中性，工业上一般采用电解饱和氯化钠溶液的方法来生产氢气、氯气和烧碱（氢氧化钠）及其他化工产品（一般称为氯碱工业）也可用于矿石冶炼（电解熔融的氯化钠晶体生产活泼金属钠），医疗上用来配制生理盐水，生活上可用于调味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盐酸</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盐酸是氯化氢的水溶液，工业用途广泛。盐酸的性状为无色透明的液体，有强烈的刺鼻气味，具有较高的腐蚀性。盐酸与水、乙醇任意混溶，氯化氢能溶于许多有机溶剂。浓盐酸稀释有热量放出。浓盐酸（发烟盐酸）会挥发出酸雾。盐酸本身和酸雾都会腐蚀人体组织，可能会不可逆地损伤呼吸器官、眼部、皮肤和胃肠等。在将盐酸与氧化剂（例如漂白剂次氯酸钠或高锰酸钾等）混合时，会产生有毒气体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氨水</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氨水，指氨的水溶液，有强烈刺鼻气味，具弱碱性。氨水是实验室中氨的常用来源。它可与含铜离子的溶液作用生成深蓝色的配合物，也可用于配置银氨溶液等分析化学试剂。易分解放出氨气，温度越高，分解速度越快，可形成爆炸性气氛。若遇高热，容器内压增大，有开裂和爆炸的危险。与强氧化剂和酸剧烈反应。与卤素、氧化汞、氧化银接触会形成对震动敏感的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硝酸</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硝酸，是一种具有强氧化性、腐蚀性的一元无机强酸，是六大无机强酸之一，也是一种重要的化工原料，化学式为HNO</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分子量为63.01，其水溶液俗称硝镪水或氨氮水。在工业上可用于制化肥、农药、炸药、染料等；在有机化学中，浓硝酸与浓硫酸的混合液是重要的硝化试剂。纯硝酸为无色透明液体，浓硝酸为淡黄色液体，正常情况下为无色透明液体，有窒息性刺激气味。浓硝酸中的硝酸含量为68%左右，易挥发，在空气中产生白雾，是硝酸蒸汽与水蒸汽结合而形成的硝酸小液滴。能与水混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溴</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深红棕色发烟挥发性液体。有刺激性气味，其烟雾能强烈地刺激眼睛和呼吸道。在空气中迅速挥发。易溶于乙醇、乙醚、氯仿、二硫化碳、四氯化碳、浓盐酸和溴化物水溶液，可溶于水。溴的熔点是-7.2°C，而沸点是58.8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三氯甲烷</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一种有机化合物，化学式为CHCl</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为无色透明液体，有特殊气味，味甜，高折光，不燃，质重，易挥发。对光敏感，遇光照会与空气中的氧作用，逐渐分解而生成剧毒的光气（碳酰氯）和氯化氢。可加入0.6%～1%的乙醇作稳定剂。能与乙醇、苯、乙醚、石油醚、四氯化碳、二硫化碳和油类等混溶、25℃时1mL溶于200mL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8</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冰乙酸</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也叫醋酸，是一种有机化合物，化学式CH</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COOH，是一种有机一元酸，为食醋主要成分。纯的无水乙酸（冰醋酸）是无色的吸湿性液体，凝固点为16.6℃（62℉），凝固后为无色晶体，其水溶液中弱酸性且腐蚀性强，对金属有强烈腐蚀性，蒸汽对眼和鼻有刺激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9</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硫酸</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一种无机化合物，化学式是H</w:t>
                  </w:r>
                  <w:r>
                    <w:rPr>
                      <w:rFonts w:hint="default"/>
                      <w:b w:val="0"/>
                      <w:bCs w:val="0"/>
                      <w:color w:val="auto"/>
                      <w:sz w:val="21"/>
                      <w:szCs w:val="21"/>
                      <w:highlight w:val="none"/>
                      <w:vertAlign w:val="subscript"/>
                      <w:lang w:val="en-US" w:eastAsia="zh-CN"/>
                    </w:rPr>
                    <w:t>2</w:t>
                  </w:r>
                  <w:r>
                    <w:rPr>
                      <w:rFonts w:hint="default"/>
                      <w:b w:val="0"/>
                      <w:bCs w:val="0"/>
                      <w:color w:val="auto"/>
                      <w:sz w:val="21"/>
                      <w:szCs w:val="21"/>
                      <w:highlight w:val="none"/>
                      <w:vertAlign w:val="baseline"/>
                      <w:lang w:val="en-US" w:eastAsia="zh-CN"/>
                    </w:rPr>
                    <w:t>SO</w:t>
                  </w:r>
                  <w:r>
                    <w:rPr>
                      <w:rFonts w:hint="default"/>
                      <w:b w:val="0"/>
                      <w:bCs w:val="0"/>
                      <w:color w:val="auto"/>
                      <w:sz w:val="21"/>
                      <w:szCs w:val="21"/>
                      <w:highlight w:val="none"/>
                      <w:vertAlign w:val="subscript"/>
                      <w:lang w:val="en-US" w:eastAsia="zh-CN"/>
                    </w:rPr>
                    <w:t>4</w:t>
                  </w:r>
                  <w:r>
                    <w:rPr>
                      <w:rFonts w:hint="default"/>
                      <w:b w:val="0"/>
                      <w:bCs w:val="0"/>
                      <w:color w:val="auto"/>
                      <w:sz w:val="21"/>
                      <w:szCs w:val="21"/>
                      <w:highlight w:val="none"/>
                      <w:vertAlign w:val="baseline"/>
                      <w:lang w:val="en-US" w:eastAsia="zh-CN"/>
                    </w:rPr>
                    <w:t>，是硫的最重要的含氧酸。纯净的硫酸为无色油状液体，10.36℃时结晶，通常使用的是它的各种不同浓度的水溶液，用塔式法和接触法制取。前者所得为粗制稀硫酸，质量分数一般在75%左右；后者可得质量分数98.3%的浓硫酸，沸点338℃，相对密度1.84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能和绝大多数金属发生反应。高浓度的硫酸有强烈吸水性，可用作脱水剂，碳化木材、纸张、棉麻织物及生物皮肉等含碳水化合物的物质。与水混合时，亦会放出大量热能。其具有强烈的腐蚀性和氧化性，故需谨慎使用。是一种重要的工业原料，可用于制造肥料、药物、炸药、颜料、洗涤剂、蓄电池等，也广泛应用于净化石油、金属冶炼以及染料等工业中。常用作化学试剂，在有机合成中可用作脱水剂和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铬酸钾</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一种无机化合物，化学式为K</w:t>
                  </w:r>
                  <w:r>
                    <w:rPr>
                      <w:rFonts w:hint="default"/>
                      <w:b w:val="0"/>
                      <w:bCs w:val="0"/>
                      <w:color w:val="auto"/>
                      <w:sz w:val="21"/>
                      <w:szCs w:val="21"/>
                      <w:highlight w:val="none"/>
                      <w:vertAlign w:val="subscript"/>
                      <w:lang w:val="en-US" w:eastAsia="zh-CN"/>
                    </w:rPr>
                    <w:t>2</w:t>
                  </w:r>
                  <w:r>
                    <w:rPr>
                      <w:rFonts w:hint="default"/>
                      <w:b w:val="0"/>
                      <w:bCs w:val="0"/>
                      <w:color w:val="auto"/>
                      <w:sz w:val="21"/>
                      <w:szCs w:val="21"/>
                      <w:highlight w:val="none"/>
                      <w:vertAlign w:val="baseline"/>
                      <w:lang w:val="en-US" w:eastAsia="zh-CN"/>
                    </w:rPr>
                    <w:t>CrO</w:t>
                  </w:r>
                  <w:r>
                    <w:rPr>
                      <w:rFonts w:hint="default"/>
                      <w:b w:val="0"/>
                      <w:bCs w:val="0"/>
                      <w:color w:val="auto"/>
                      <w:sz w:val="21"/>
                      <w:szCs w:val="21"/>
                      <w:highlight w:val="none"/>
                      <w:vertAlign w:val="subscript"/>
                      <w:lang w:val="en-US" w:eastAsia="zh-CN"/>
                    </w:rPr>
                    <w:t>4</w:t>
                  </w:r>
                  <w:r>
                    <w:rPr>
                      <w:rFonts w:hint="default"/>
                      <w:b w:val="0"/>
                      <w:bCs w:val="0"/>
                      <w:color w:val="auto"/>
                      <w:sz w:val="21"/>
                      <w:szCs w:val="21"/>
                      <w:highlight w:val="none"/>
                      <w:vertAlign w:val="baseline"/>
                      <w:lang w:val="en-US" w:eastAsia="zh-CN"/>
                    </w:rPr>
                    <w:t>，为黄色结晶性粉末，是铬酸所成的钾盐，用于鉴别氯离子，铬酸钾中铬为六价，属于一级致癌物质，吸入或吞食会导致癌症。</w:t>
                  </w: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6、主要生产设备、设施</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本项目主要涉及构筑物见下表。</w:t>
            </w:r>
          </w:p>
          <w:p>
            <w:pPr>
              <w:spacing w:line="360" w:lineRule="auto"/>
              <w:ind w:left="0" w:leftChars="0" w:firstLine="0" w:firstLineChars="0"/>
              <w:jc w:val="center"/>
              <w:rPr>
                <w:rFonts w:hint="default"/>
                <w:b w:val="0"/>
                <w:bCs w:val="0"/>
                <w:color w:val="auto"/>
                <w:highlight w:val="none"/>
                <w:lang w:val="en-US" w:eastAsia="zh-CN"/>
              </w:rPr>
            </w:pPr>
            <w:r>
              <w:rPr>
                <w:rFonts w:hint="eastAsia"/>
                <w:b w:val="0"/>
                <w:bCs w:val="0"/>
                <w:color w:val="auto"/>
                <w:highlight w:val="none"/>
                <w:lang w:val="en-US" w:eastAsia="zh-CN"/>
              </w:rPr>
              <w:t>表2-5 主要构筑物一览表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93"/>
              <w:gridCol w:w="68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数量</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配水井</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处理能力：15000×（1+5%）=15750m³/d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尺寸：LxBxH=5.3×5.25×3.6m；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网格絮凝斜管沉淀池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1座2组</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平面尺寸为12.8×13.15m，包括絮凝池和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斜管沉淀池两部分。其中絮凝池尺寸：12.8×3.4m；斜管沉淀池尺寸：12.8m×9.75m。混合设备采用静态式管道混合器。设计流量：Q=1.05×10000m³/d=0.122m³/s（水厂自用水系数1.05）。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虹吸滤池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单座滤池水处理能力：5000×（1+5%）=5250m³/d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尺寸：LxBxH=11.05m×9.9m×7.82m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尺寸：LxBxH=11.4m×4.8m×5.8m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单格单次反冲洗水量：Q=33.75m</w:t>
                  </w:r>
                  <w:r>
                    <w:rPr>
                      <w:rFonts w:hint="eastAsia"/>
                      <w:b w:val="0"/>
                      <w:bCs w:val="0"/>
                      <w:color w:val="auto"/>
                      <w:sz w:val="21"/>
                      <w:szCs w:val="21"/>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单格回收水池宽度B为2m，长度L为10.8m，深度H=2.8m，集泥坑宽度与水池宽度一致，长度L=1.5m,深度为1m。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回收水池单个容积V单=B×L×H=2×10.8×2.8+2×1.5=63.48m³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干化场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尺寸：LxBxH=10.6m×7.25m×1.7m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加药间</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PAC投加点分别位于单组絮凝沉淀池进水管上（配水井后），采用静态混合器混合。两个加药池分别设置一个出药口，出药口设置电磁阀，电磁阀根据池中液位控制开或关，两个水池出药口混至一根主管上，加药泵进水管与该主管连接，同时该主管预留远期加药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加氯间</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采用次氯酸钠消毒。由电解法次氯酸钠发生器制备，原料为工业食盐。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投加方式：前加氯和后加氯，使用计量泵投加。</w:t>
                  </w:r>
                </w:p>
              </w:tc>
            </w:tr>
          </w:tbl>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项目主要生产设备见下表。</w:t>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表2-6 主要生产设备一览表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04"/>
              <w:gridCol w:w="2361"/>
              <w:gridCol w:w="122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序号</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设备名称</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型号</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数量（台）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1#初沉池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w:t>
                  </w:r>
                </w:p>
              </w:tc>
              <w:tc>
                <w:tcPr>
                  <w:tcW w:w="2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9</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w:t>
                  </w:r>
                  <w:r>
                    <w:rPr>
                      <w:rFonts w:hint="eastAsia" w:cs="Times New Roman"/>
                      <w:b w:val="0"/>
                      <w:bCs w:val="0"/>
                      <w:color w:val="auto"/>
                      <w:sz w:val="21"/>
                      <w:szCs w:val="21"/>
                      <w:highlight w:val="none"/>
                      <w:vertAlign w:val="baseline"/>
                      <w:lang w:val="en-US" w:eastAsia="zh-CN"/>
                    </w:rPr>
                    <w:t>20</w:t>
                  </w:r>
                  <w:r>
                    <w:rPr>
                      <w:rFonts w:hint="default" w:ascii="Times New Roman" w:hAnsi="Times New Roman" w:cs="Times New Roman"/>
                      <w:b w:val="0"/>
                      <w:bCs w:val="0"/>
                      <w:color w:val="auto"/>
                      <w:sz w:val="21"/>
                      <w:szCs w:val="21"/>
                      <w:highlight w:val="none"/>
                      <w:vertAlign w:val="baseline"/>
                      <w:lang w:val="en-US" w:eastAsia="zh-CN"/>
                    </w:rPr>
                    <w:t>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3#初沉池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w:t>
                  </w:r>
                  <w:r>
                    <w:rPr>
                      <w:rFonts w:hint="eastAsia" w:cs="Times New Roman"/>
                      <w:b w:val="0"/>
                      <w:bCs w:val="0"/>
                      <w:color w:val="auto"/>
                      <w:sz w:val="21"/>
                      <w:szCs w:val="21"/>
                      <w:highlight w:val="none"/>
                      <w:vertAlign w:val="baseline"/>
                      <w:lang w:val="en-US" w:eastAsia="zh-CN"/>
                    </w:rPr>
                    <w:t>20</w:t>
                  </w:r>
                  <w:r>
                    <w:rPr>
                      <w:rFonts w:hint="default" w:ascii="Times New Roman" w:hAnsi="Times New Roman" w:cs="Times New Roman"/>
                      <w:b w:val="0"/>
                      <w:bCs w:val="0"/>
                      <w:color w:val="auto"/>
                      <w:sz w:val="21"/>
                      <w:szCs w:val="21"/>
                      <w:highlight w:val="none"/>
                      <w:vertAlign w:val="baseline"/>
                      <w:lang w:val="en-US" w:eastAsia="zh-CN"/>
                    </w:rPr>
                    <w:t>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取水调压池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伸缩式法兰蝶阀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水源点~调压池管线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复合式进气排气阀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调压池~水厂管线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弹性座封闸阀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复合式进气排气阀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净水厂配水井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w:t>
                  </w:r>
                  <w:r>
                    <w:rPr>
                      <w:rFonts w:hint="eastAsia" w:cs="Times New Roman"/>
                      <w:b w:val="0"/>
                      <w:bCs w:val="0"/>
                      <w:color w:val="auto"/>
                      <w:sz w:val="21"/>
                      <w:szCs w:val="21"/>
                      <w:highlight w:val="none"/>
                      <w:vertAlign w:val="baseline"/>
                      <w:lang w:val="en-US" w:eastAsia="zh-CN"/>
                    </w:rPr>
                    <w:t>回收</w:t>
                  </w:r>
                  <w:r>
                    <w:rPr>
                      <w:rFonts w:hint="default" w:cs="Times New Roman"/>
                      <w:b w:val="0"/>
                      <w:bCs w:val="0"/>
                      <w:color w:val="auto"/>
                      <w:sz w:val="21"/>
                      <w:szCs w:val="21"/>
                      <w:highlight w:val="none"/>
                      <w:vertAlign w:val="baseline"/>
                      <w:lang w:val="en-US" w:eastAsia="zh-CN"/>
                    </w:rPr>
                    <w:t>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出水微阻缓闭止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回阀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潜水排污泵（排</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泥泵）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Q=20m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/h，H=11m，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N=1.5KW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潜水排污泵（回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用水泵）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Q=65m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/h，H=20m，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N=7.5KW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手电一体双偏心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净水厂工艺管线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智能电磁流量计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静态管道混合器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0.6Mpa，加药口DN32</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DN32</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可曲挠橡胶接头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净水厂虹吸池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直通式DN15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手动调节阀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次氯酸钠发生器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主机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GTL-2000；有效氯产量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2kg/h，N=16kw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净水厂加氯加药间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软水器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1m³/h，自动型，双罐单阀</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软水罐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500L，食品级PE，φ780×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1240mm</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溶盐罐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1500L，食品级PE</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加盐机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1T/h，316L不锈钢，3kw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脱氢储存罐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V=1m³，φ1070×1420mm，食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品级PE</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排氢风机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Q=5m³/min，全压500Pa，0.2KW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氢气探测仪</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0-10%LEL，24V，40W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酸洗系统</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罐:250L，酸洗泵:90L/min，0.18kw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投加泵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Q=210L/h，H=10bar，P=0.25kw，PVC泵头，数字隔膜计量泵</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0-200L/h，一体式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精密过滤器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PP材质，dn25</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搅拌机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D=750mm，1.5kw，316L不锈钢</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格网</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900×1500，PVC</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投加计量泵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Q=150L/h，H=5bar，P=0.37kw，PVC泵头，数字隔膜计量泵</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0-200L/h，一体式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超声波液位计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0-5m，一体式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轴流风机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2339m³/h，192Pa，0.25kW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快速淋浴设施</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含洗眼器</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拖布池</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不锈钢，600×410×550</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磷酸铵盐干粉灭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火器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MF/ABC3</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控制柜/配电柜</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配套管材附件</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净水厂清水池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DN400，Pn=1.0MPa，4x0.72kw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遥控浮球阀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水位传示装置</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净水厂网格絮凝沉淀池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w:t>
                  </w:r>
                  <w:r>
                    <w:rPr>
                      <w:rFonts w:hint="eastAsia" w:cs="Times New Roman"/>
                      <w:b w:val="0"/>
                      <w:bCs w:val="0"/>
                      <w:color w:val="auto"/>
                      <w:sz w:val="21"/>
                      <w:szCs w:val="21"/>
                      <w:highlight w:val="none"/>
                      <w:vertAlign w:val="baseline"/>
                      <w:lang w:val="en-US" w:eastAsia="zh-CN"/>
                    </w:rPr>
                    <w:t>模块</w:t>
                  </w:r>
                  <w:r>
                    <w:rPr>
                      <w:rFonts w:hint="default" w:ascii="Times New Roman" w:hAnsi="Times New Roman" w:cs="Times New Roman"/>
                      <w:b w:val="0"/>
                      <w:bCs w:val="0"/>
                      <w:color w:val="auto"/>
                      <w:sz w:val="21"/>
                      <w:szCs w:val="21"/>
                      <w:highlight w:val="none"/>
                      <w:vertAlign w:val="baseline"/>
                      <w:lang w:val="en-US" w:eastAsia="zh-CN"/>
                    </w:rPr>
                    <w:t>开排泥阀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LCP排泥阀控制</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自动控制柜</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变频立式离心泵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N=15.0KW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净水厂自用水泵井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单机立式离心泵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H=80m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N=11.0KW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潜水式排污泵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手自一体闸阀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手自一体闸阀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缓闭止回阀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7、劳动定员及工作制度</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本项目劳动定员</w:t>
            </w:r>
            <w:r>
              <w:rPr>
                <w:rFonts w:hint="eastAsia"/>
                <w:b w:val="0"/>
                <w:bCs w:val="0"/>
                <w:color w:val="auto"/>
                <w:highlight w:val="none"/>
                <w:lang w:val="en-US" w:eastAsia="zh-CN"/>
              </w:rPr>
              <w:t>为8</w:t>
            </w:r>
            <w:r>
              <w:rPr>
                <w:rFonts w:hint="default"/>
                <w:b w:val="0"/>
                <w:bCs w:val="0"/>
                <w:color w:val="auto"/>
                <w:highlight w:val="none"/>
                <w:lang w:val="en-US" w:eastAsia="zh-CN"/>
              </w:rPr>
              <w:t>人，均在</w:t>
            </w:r>
            <w:r>
              <w:rPr>
                <w:rFonts w:hint="eastAsia"/>
                <w:b w:val="0"/>
                <w:bCs w:val="0"/>
                <w:color w:val="auto"/>
                <w:highlight w:val="none"/>
                <w:lang w:val="en-US" w:eastAsia="zh-CN"/>
              </w:rPr>
              <w:t>厂</w:t>
            </w:r>
            <w:r>
              <w:rPr>
                <w:rFonts w:hint="default"/>
                <w:b w:val="0"/>
                <w:bCs w:val="0"/>
                <w:color w:val="auto"/>
                <w:highlight w:val="none"/>
                <w:lang w:val="en-US" w:eastAsia="zh-CN"/>
              </w:rPr>
              <w:t>区内食宿，实行三班制，每班工作8小时，年工作365天。</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施工工期：本项目设计开工时间为2023年2月28日，设计竣工时间为2023年10月30日。</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8、项目平面布置</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（1）水厂平面布置</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项目厂区整体布局根据工艺流程由厂区西侧向东侧布设，厂区大门位于项目区东北侧，项目最西侧布置综合楼（综合楼内部设置加药间、一般固废暂存间、危废暂存间）、消毒房、变电站，厂区南侧由西向东依次布置配水井、絮凝沉淀池、虹吸滤池、回收水池、污泥干化厂，项目区东侧布置清水池、自用水泵井，厂区中部预留远期深度处理、絮凝沉淀池、虹吸滤池用地。水厂总体上分成三个区域：生产区、辅助生产区、办公管理区。整体布置充分利用自然地形，结合净水工艺要求采用功能分区，构筑物紧凑布置，合理预留。</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（2）管网平面布置</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原水输水管道从位于老坞村的老石山隧洞和阳宗隧洞地下水涌水两处水源点取水，向南沿地形进行敷设，途径小庄村、新庄村、徐家庄、虎丰村，在虎丰村跨越新庄小河后沿地形向东北方向进行敷设，途径枸杞村、麻栗营、葡萄村、常家庄、烂泥沟村后进入新建自来水厂，原水输水管道基本沿地形进行敷设，建成后可实现全程重力自流。</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管线工程基本沿地形和现有道路进行地埋式敷设，根据主体设计及施工资料，本项目原水输水管道在虎丰村上跨新庄小河1次，在老坞村水源点附近下穿高铁线路1次，在葡萄村附近下穿高铁线路1次。</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本项目取水管道根据宜良县城市总体规划路网、地形和现状供水管网，合理布置输水管线，减少临时占地及植被破坏。同时布置时考虑给水系统分期建设的可能，并留有充分的发展余地。</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综上，该项目</w:t>
            </w:r>
            <w:r>
              <w:rPr>
                <w:rFonts w:hint="eastAsia"/>
                <w:b w:val="0"/>
                <w:bCs w:val="0"/>
                <w:color w:val="auto"/>
                <w:highlight w:val="none"/>
                <w:lang w:val="en-US" w:eastAsia="zh-CN"/>
              </w:rPr>
              <w:t>的</w:t>
            </w:r>
            <w:r>
              <w:rPr>
                <w:rFonts w:hint="default"/>
                <w:b w:val="0"/>
                <w:bCs w:val="0"/>
                <w:color w:val="auto"/>
                <w:highlight w:val="none"/>
                <w:lang w:val="en-US" w:eastAsia="zh-CN"/>
              </w:rPr>
              <w:t>平面布局合理可行，项目平面布置详见附图</w:t>
            </w:r>
            <w:r>
              <w:rPr>
                <w:rFonts w:hint="eastAsia"/>
                <w:b w:val="0"/>
                <w:bCs w:val="0"/>
                <w:color w:val="auto"/>
                <w:highlight w:val="none"/>
                <w:lang w:val="en-US" w:eastAsia="zh-CN"/>
              </w:rPr>
              <w:t>3</w:t>
            </w:r>
            <w:r>
              <w:rPr>
                <w:rFonts w:hint="default"/>
                <w:b w:val="0"/>
                <w:bCs w:val="0"/>
                <w:color w:val="auto"/>
                <w:highlight w:val="none"/>
                <w:lang w:val="en-US" w:eastAsia="zh-CN"/>
              </w:rPr>
              <w:t>。</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9、水平衡</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本次环评主要针对净水厂运营期进行分析，废水主要为絮凝沉淀池排泥水、滤池反冲洗废水、污泥干化场渗滤水和员工生活污水。</w:t>
            </w:r>
          </w:p>
          <w:p>
            <w:pPr>
              <w:spacing w:line="360" w:lineRule="auto"/>
              <w:jc w:val="both"/>
              <w:rPr>
                <w:rFonts w:hint="eastAsia"/>
                <w:b/>
                <w:bCs/>
                <w:color w:val="auto"/>
                <w:highlight w:val="none"/>
                <w:lang w:val="en-US" w:eastAsia="zh-CN"/>
              </w:rPr>
            </w:pPr>
            <w:r>
              <w:rPr>
                <w:rFonts w:hint="eastAsia"/>
                <w:b/>
                <w:bCs/>
                <w:color w:val="auto"/>
                <w:highlight w:val="none"/>
                <w:lang w:val="en-US" w:eastAsia="zh-CN"/>
              </w:rPr>
              <w:t>（1）沉淀池排泥水、滤池反冲洗废水、污泥干化场渗滤水</w:t>
            </w:r>
          </w:p>
          <w:p>
            <w:pPr>
              <w:spacing w:line="360" w:lineRule="auto"/>
              <w:jc w:val="both"/>
              <w:rPr>
                <w:rFonts w:hint="eastAsia"/>
                <w:b w:val="0"/>
                <w:bCs w:val="0"/>
                <w:color w:val="auto"/>
                <w:highlight w:val="none"/>
                <w:lang w:val="en-US" w:eastAsia="zh-CN"/>
              </w:rPr>
            </w:pPr>
            <w:r>
              <w:rPr>
                <w:rFonts w:hint="default"/>
                <w:b w:val="0"/>
                <w:bCs w:val="0"/>
                <w:color w:val="auto"/>
                <w:highlight w:val="none"/>
                <w:lang w:val="en-US" w:eastAsia="zh-CN"/>
              </w:rPr>
              <w:t>根据生态环境部2021年06月11日发布的《排放源统计调查产排污核算方法和系数手册》中</w:t>
            </w:r>
            <w:r>
              <w:rPr>
                <w:rFonts w:hint="eastAsia"/>
                <w:b w:val="0"/>
                <w:bCs w:val="0"/>
                <w:color w:val="auto"/>
                <w:highlight w:val="none"/>
                <w:lang w:val="en-US" w:eastAsia="zh-CN"/>
              </w:rPr>
              <w:t>“</w:t>
            </w:r>
            <w:r>
              <w:rPr>
                <w:rFonts w:hint="default"/>
                <w:b w:val="0"/>
                <w:bCs w:val="0"/>
                <w:color w:val="auto"/>
                <w:highlight w:val="none"/>
                <w:lang w:val="en-US" w:eastAsia="zh-CN"/>
              </w:rPr>
              <w:t>4610 自来水生产和供应行业系数表</w:t>
            </w:r>
            <w:r>
              <w:rPr>
                <w:rFonts w:hint="eastAsia"/>
                <w:b w:val="0"/>
                <w:bCs w:val="0"/>
                <w:color w:val="auto"/>
                <w:highlight w:val="none"/>
                <w:lang w:val="en-US" w:eastAsia="zh-CN"/>
              </w:rPr>
              <w:t>”</w:t>
            </w:r>
            <w:r>
              <w:rPr>
                <w:rFonts w:hint="default"/>
                <w:b w:val="0"/>
                <w:bCs w:val="0"/>
                <w:color w:val="auto"/>
                <w:highlight w:val="none"/>
                <w:lang w:val="en-US" w:eastAsia="zh-CN"/>
              </w:rPr>
              <w:t>，</w:t>
            </w:r>
            <w:r>
              <w:rPr>
                <w:rFonts w:hint="eastAsia"/>
                <w:b w:val="0"/>
                <w:bCs w:val="0"/>
                <w:color w:val="auto"/>
                <w:highlight w:val="none"/>
                <w:lang w:val="en-US" w:eastAsia="zh-CN"/>
              </w:rPr>
              <w:t>使用</w:t>
            </w:r>
            <w:r>
              <w:rPr>
                <w:rFonts w:hint="default"/>
                <w:b w:val="0"/>
                <w:bCs w:val="0"/>
                <w:color w:val="auto"/>
                <w:highlight w:val="none"/>
                <w:lang w:val="en-US" w:eastAsia="zh-CN"/>
              </w:rPr>
              <w:t>混凝沉淀（或澄清）过滤消毒工艺</w:t>
            </w:r>
            <w:r>
              <w:rPr>
                <w:rFonts w:hint="eastAsia"/>
                <w:b w:val="0"/>
                <w:bCs w:val="0"/>
                <w:color w:val="auto"/>
                <w:highlight w:val="none"/>
                <w:lang w:val="en-US" w:eastAsia="zh-CN"/>
              </w:rPr>
              <w:t>的≤5万t/d的地表水自来水厂，工业废水产污系数为0.0616t/t-产品，本项目供水规模为10000t/d，则本项目废水生产废水产生量为616t/d。</w:t>
            </w:r>
          </w:p>
          <w:p>
            <w:pPr>
              <w:spacing w:line="360" w:lineRule="auto"/>
              <w:jc w:val="both"/>
              <w:rPr>
                <w:rFonts w:hint="default"/>
                <w:b w:val="0"/>
                <w:bCs w:val="0"/>
                <w:color w:val="auto"/>
                <w:highlight w:val="none"/>
                <w:lang w:val="en-US" w:eastAsia="zh-CN"/>
              </w:rPr>
            </w:pPr>
            <w:r>
              <w:rPr>
                <w:rFonts w:hint="eastAsia"/>
                <w:b w:val="0"/>
                <w:bCs w:val="0"/>
                <w:color w:val="auto"/>
                <w:highlight w:val="none"/>
                <w:lang w:val="en-US" w:eastAsia="zh-CN"/>
              </w:rPr>
              <w:t>根据后文固废章节，本项目干污泥产生量为0.32t/d。本项目污泥主要来自沉淀池排泥水，根据项目初设报告，本项目沉淀池排泥水含水率为99.3%，含固率为0.7%，则本项目沉淀池排泥水的产生量为45.7t/d，滤池反冲洗废水产生量为570.3t/d。</w:t>
            </w:r>
          </w:p>
          <w:p>
            <w:pPr>
              <w:spacing w:line="360" w:lineRule="auto"/>
              <w:jc w:val="both"/>
              <w:rPr>
                <w:rFonts w:hint="default"/>
                <w:b w:val="0"/>
                <w:bCs w:val="0"/>
                <w:color w:val="auto"/>
                <w:highlight w:val="none"/>
                <w:lang w:val="en-US" w:eastAsia="zh-CN"/>
              </w:rPr>
            </w:pPr>
            <w:r>
              <w:rPr>
                <w:rFonts w:hint="eastAsia"/>
                <w:b w:val="0"/>
                <w:bCs w:val="0"/>
                <w:color w:val="auto"/>
                <w:highlight w:val="none"/>
                <w:lang w:val="en-US" w:eastAsia="zh-CN"/>
              </w:rPr>
              <w:t>本项目沉淀池排泥水、滤池反冲洗废水均进入回收水池进行沉淀，沉淀后上清液返回配水井，底部污泥由排泥泵抽升至污泥干化池。经沉淀后的污泥含水率约99%，经2~3d的渗透脱水，污泥的含水率约85%，其中14%的水分透过干化场底部渗滤层渗透，返回配水井，则本项目污泥干化场渗滤水的产生量为4.48t/d。剩余污泥经自然蒸发至含水率为83%时清运处置，其中有0.96t/d的水分蒸发损耗。</w:t>
            </w:r>
          </w:p>
          <w:p>
            <w:pPr>
              <w:keepNext w:val="0"/>
              <w:keepLines w:val="0"/>
              <w:suppressLineNumbers w:val="0"/>
              <w:spacing w:before="0" w:beforeAutospacing="0" w:after="0" w:afterAutospacing="0" w:line="360" w:lineRule="auto"/>
              <w:ind w:left="0" w:right="0" w:firstLine="481" w:firstLineChars="200"/>
              <w:jc w:val="both"/>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（2）化验室用水</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szCs w:val="22"/>
                <w:highlight w:val="none"/>
                <w:lang w:val="en-US" w:eastAsia="zh-CN"/>
              </w:rPr>
            </w:pPr>
            <w:r>
              <w:rPr>
                <w:rFonts w:hint="default" w:ascii="Times New Roman" w:hAnsi="Times New Roman" w:eastAsia="宋体" w:cs="Times New Roman"/>
                <w:b w:val="0"/>
                <w:bCs w:val="0"/>
                <w:color w:val="auto"/>
                <w:szCs w:val="22"/>
                <w:highlight w:val="none"/>
                <w:lang w:val="en-US" w:eastAsia="zh-CN"/>
              </w:rPr>
              <w:t>项目运营期将每天对产品水质进行检测，在净水厂内的化验室进行，设备清洗</w:t>
            </w:r>
            <w:r>
              <w:rPr>
                <w:rFonts w:hint="eastAsia" w:ascii="Times New Roman" w:hAnsi="Times New Roman" w:eastAsia="宋体" w:cs="Times New Roman"/>
                <w:b w:val="0"/>
                <w:bCs w:val="0"/>
                <w:color w:val="auto"/>
                <w:szCs w:val="22"/>
                <w:highlight w:val="none"/>
                <w:lang w:val="en-US" w:eastAsia="zh-CN"/>
              </w:rPr>
              <w:t>过程</w:t>
            </w:r>
            <w:r>
              <w:rPr>
                <w:rFonts w:hint="default" w:ascii="Times New Roman" w:hAnsi="Times New Roman" w:eastAsia="宋体" w:cs="Times New Roman"/>
                <w:b w:val="0"/>
                <w:bCs w:val="0"/>
                <w:color w:val="auto"/>
                <w:szCs w:val="22"/>
                <w:highlight w:val="none"/>
                <w:lang w:val="en-US" w:eastAsia="zh-CN"/>
              </w:rPr>
              <w:t>将产生清洗用水。</w:t>
            </w:r>
            <w:r>
              <w:rPr>
                <w:rFonts w:hint="eastAsia" w:ascii="Times New Roman" w:hAnsi="Times New Roman" w:eastAsia="宋体" w:cs="Times New Roman"/>
                <w:b w:val="0"/>
                <w:bCs w:val="0"/>
                <w:color w:val="auto"/>
                <w:szCs w:val="22"/>
                <w:highlight w:val="none"/>
                <w:lang w:val="en-US" w:eastAsia="zh-CN"/>
              </w:rPr>
              <w:t>设备清洗用水量为0.3t/d，产污系数取1，则本项目化验室清洗废水产生量0.3t/d</w:t>
            </w:r>
            <w:r>
              <w:rPr>
                <w:rFonts w:hint="eastAsia" w:cs="Times New Roman"/>
                <w:b w:val="0"/>
                <w:bCs w:val="0"/>
                <w:color w:val="auto"/>
                <w:szCs w:val="22"/>
                <w:highlight w:val="none"/>
                <w:lang w:val="en-US" w:eastAsia="zh-CN"/>
              </w:rPr>
              <w:t>、109.5t/a</w:t>
            </w:r>
            <w:r>
              <w:rPr>
                <w:rFonts w:hint="eastAsia" w:ascii="Times New Roman" w:hAnsi="Times New Roman" w:eastAsia="宋体" w:cs="Times New Roman"/>
                <w:b w:val="0"/>
                <w:bCs w:val="0"/>
                <w:color w:val="auto"/>
                <w:szCs w:val="22"/>
                <w:highlight w:val="none"/>
                <w:lang w:val="en-US" w:eastAsia="zh-CN"/>
              </w:rPr>
              <w:t>，经化验室中和桶收集后全部用于项目绿化。</w:t>
            </w:r>
          </w:p>
          <w:p>
            <w:pPr>
              <w:spacing w:line="360" w:lineRule="auto"/>
              <w:jc w:val="both"/>
              <w:rPr>
                <w:rFonts w:hint="eastAsia"/>
                <w:b/>
                <w:bCs/>
                <w:color w:val="auto"/>
                <w:highlight w:val="none"/>
                <w:lang w:val="en-US" w:eastAsia="zh-CN"/>
              </w:rPr>
            </w:pPr>
            <w:r>
              <w:rPr>
                <w:rFonts w:hint="eastAsia"/>
                <w:b/>
                <w:bCs/>
                <w:color w:val="auto"/>
                <w:highlight w:val="none"/>
                <w:lang w:val="en-US" w:eastAsia="zh-CN"/>
              </w:rPr>
              <w:t>（3）绿化</w:t>
            </w:r>
          </w:p>
          <w:p>
            <w:pPr>
              <w:spacing w:line="360" w:lineRule="auto"/>
              <w:jc w:val="both"/>
              <w:rPr>
                <w:rFonts w:hint="eastAsia"/>
                <w:b w:val="0"/>
                <w:bCs w:val="0"/>
                <w:color w:val="auto"/>
                <w:highlight w:val="none"/>
                <w:lang w:val="en-US" w:eastAsia="zh-CN"/>
              </w:rPr>
            </w:pPr>
            <w:r>
              <w:rPr>
                <w:rFonts w:hint="default"/>
                <w:b w:val="0"/>
                <w:bCs w:val="0"/>
                <w:color w:val="auto"/>
                <w:highlight w:val="none"/>
                <w:lang w:val="en-US" w:eastAsia="zh-CN"/>
              </w:rPr>
              <w:t>根据《云南省地方标准 用水定额》（DB53/T168-2019）</w:t>
            </w:r>
            <w:r>
              <w:rPr>
                <w:rFonts w:hint="eastAsia"/>
                <w:b w:val="0"/>
                <w:bCs w:val="0"/>
                <w:color w:val="auto"/>
                <w:highlight w:val="none"/>
                <w:lang w:val="en-US" w:eastAsia="zh-CN"/>
              </w:rPr>
              <w:t>“</w:t>
            </w:r>
            <w:r>
              <w:rPr>
                <w:rFonts w:hint="default"/>
                <w:b w:val="0"/>
                <w:bCs w:val="0"/>
                <w:color w:val="auto"/>
                <w:highlight w:val="none"/>
                <w:lang w:val="en-US" w:eastAsia="zh-CN"/>
              </w:rPr>
              <w:t>园林绿化中小区绿化、道路绿化浇灌</w:t>
            </w:r>
            <w:r>
              <w:rPr>
                <w:rFonts w:hint="eastAsia"/>
                <w:b w:val="0"/>
                <w:bCs w:val="0"/>
                <w:color w:val="auto"/>
                <w:highlight w:val="none"/>
                <w:lang w:val="en-US" w:eastAsia="zh-CN"/>
              </w:rPr>
              <w:t>”</w:t>
            </w:r>
            <w:r>
              <w:rPr>
                <w:rFonts w:hint="default"/>
                <w:b w:val="0"/>
                <w:bCs w:val="0"/>
                <w:color w:val="auto"/>
                <w:highlight w:val="none"/>
                <w:lang w:val="en-US" w:eastAsia="zh-CN"/>
              </w:rPr>
              <w:t>为3L/m</w:t>
            </w:r>
            <w:r>
              <w:rPr>
                <w:rFonts w:hint="default"/>
                <w:b w:val="0"/>
                <w:bCs w:val="0"/>
                <w:color w:val="auto"/>
                <w:highlight w:val="none"/>
                <w:vertAlign w:val="superscript"/>
                <w:lang w:val="en-US" w:eastAsia="zh-CN"/>
              </w:rPr>
              <w:t>2</w:t>
            </w:r>
            <w:r>
              <w:rPr>
                <w:rFonts w:hint="default"/>
                <w:b w:val="0"/>
                <w:bCs w:val="0"/>
                <w:color w:val="auto"/>
                <w:highlight w:val="none"/>
                <w:lang w:val="en-US" w:eastAsia="zh-CN"/>
              </w:rPr>
              <w:t>·次，一天1次，雨天不浇水</w:t>
            </w:r>
            <w:r>
              <w:rPr>
                <w:rFonts w:hint="eastAsia"/>
                <w:b w:val="0"/>
                <w:bCs w:val="0"/>
                <w:color w:val="auto"/>
                <w:highlight w:val="none"/>
                <w:lang w:val="en-US" w:eastAsia="zh-CN"/>
              </w:rPr>
              <w:t>，本次环评雨天考虑133天。根据本项目水土保持方案，本项目绿化面积1666.02m</w:t>
            </w:r>
            <w:r>
              <w:rPr>
                <w:rFonts w:hint="eastAsia"/>
                <w:b w:val="0"/>
                <w:bCs w:val="0"/>
                <w:color w:val="auto"/>
                <w:highlight w:val="none"/>
                <w:vertAlign w:val="superscript"/>
                <w:lang w:val="en-US" w:eastAsia="zh-CN"/>
              </w:rPr>
              <w:t>2</w:t>
            </w:r>
            <w:r>
              <w:rPr>
                <w:rFonts w:hint="eastAsia"/>
                <w:b w:val="0"/>
                <w:bCs w:val="0"/>
                <w:color w:val="auto"/>
                <w:highlight w:val="none"/>
                <w:lang w:val="en-US" w:eastAsia="zh-CN"/>
              </w:rPr>
              <w:t>，则本项目绿化用水量为4.998t/d。</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（4）员工办公生活</w:t>
            </w:r>
          </w:p>
          <w:p>
            <w:pPr>
              <w:ind w:left="0" w:leftChars="0" w:firstLine="480" w:firstLineChars="200"/>
              <w:rPr>
                <w:rFonts w:hint="default" w:ascii="Times New Roman" w:eastAsia="宋体"/>
                <w:b w:val="0"/>
                <w:bCs w:val="0"/>
                <w:color w:val="auto"/>
                <w:highlight w:val="none"/>
                <w:lang w:val="en-US" w:eastAsia="zh-CN"/>
              </w:rPr>
            </w:pPr>
            <w:r>
              <w:rPr>
                <w:rFonts w:hint="eastAsia"/>
                <w:b w:val="0"/>
                <w:bCs w:val="0"/>
                <w:color w:val="auto"/>
                <w:highlight w:val="none"/>
                <w:lang w:val="en-US" w:eastAsia="zh-CN"/>
              </w:rPr>
              <w:t>根据</w:t>
            </w:r>
            <w:r>
              <w:rPr>
                <w:rFonts w:hint="default"/>
                <w:b w:val="0"/>
                <w:bCs w:val="0"/>
                <w:color w:val="auto"/>
                <w:highlight w:val="none"/>
                <w:lang w:val="en-US" w:eastAsia="zh-CN"/>
              </w:rPr>
              <w:t>《云南省用水定额》（DB53/T168-2019），</w:t>
            </w:r>
            <w:r>
              <w:rPr>
                <w:rFonts w:hint="eastAsia"/>
                <w:b w:val="0"/>
                <w:bCs w:val="0"/>
                <w:color w:val="auto"/>
                <w:highlight w:val="none"/>
                <w:lang w:val="en-US" w:eastAsia="zh-CN"/>
              </w:rPr>
              <w:t>住宿人员生活用水量按0.1m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/人·d计，食堂用水量以0.02m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/人·d计。本项目生活污水产污系数取0.9，本项目水厂定员人数为8人，均在厂区内住宿，</w:t>
            </w:r>
            <w:r>
              <w:rPr>
                <w:rFonts w:hint="default"/>
                <w:b w:val="0"/>
                <w:bCs w:val="0"/>
                <w:color w:val="auto"/>
                <w:highlight w:val="none"/>
                <w:lang w:val="en-US" w:eastAsia="zh-CN"/>
              </w:rPr>
              <w:t>则</w:t>
            </w:r>
            <w:r>
              <w:rPr>
                <w:rFonts w:hint="eastAsia"/>
                <w:b w:val="0"/>
                <w:bCs w:val="0"/>
                <w:color w:val="auto"/>
                <w:highlight w:val="none"/>
                <w:lang w:val="en-US" w:eastAsia="zh-CN"/>
              </w:rPr>
              <w:t>本</w:t>
            </w:r>
            <w:r>
              <w:rPr>
                <w:rFonts w:hint="default"/>
                <w:b w:val="0"/>
                <w:bCs w:val="0"/>
                <w:color w:val="auto"/>
                <w:highlight w:val="none"/>
                <w:lang w:val="en-US" w:eastAsia="zh-CN"/>
              </w:rPr>
              <w:t>项目生活用水</w:t>
            </w:r>
            <w:r>
              <w:rPr>
                <w:rFonts w:hint="eastAsia"/>
                <w:b w:val="0"/>
                <w:bCs w:val="0"/>
                <w:color w:val="auto"/>
                <w:highlight w:val="none"/>
                <w:lang w:val="en-US" w:eastAsia="zh-CN"/>
              </w:rPr>
              <w:t>量为0.8t/d、食堂用水量为0.16t/d，总生活</w:t>
            </w:r>
            <w:r>
              <w:rPr>
                <w:rFonts w:hint="eastAsia" w:ascii="Times New Roman" w:eastAsia="宋体"/>
                <w:b w:val="0"/>
                <w:bCs w:val="0"/>
                <w:color w:val="auto"/>
                <w:highlight w:val="none"/>
                <w:lang w:val="en-US" w:eastAsia="zh-CN"/>
              </w:rPr>
              <w:t>污水产生</w:t>
            </w:r>
            <w:r>
              <w:rPr>
                <w:rFonts w:hint="eastAsia"/>
                <w:b w:val="0"/>
                <w:bCs w:val="0"/>
                <w:color w:val="auto"/>
                <w:highlight w:val="none"/>
                <w:lang w:val="en-US" w:eastAsia="zh-CN"/>
              </w:rPr>
              <w:t>量为0.864t/d</w:t>
            </w:r>
            <w:r>
              <w:rPr>
                <w:rFonts w:hint="eastAsia" w:ascii="Times New Roman" w:eastAsia="宋体"/>
                <w:b w:val="0"/>
                <w:bCs w:val="0"/>
                <w:color w:val="auto"/>
                <w:highlight w:val="none"/>
                <w:lang w:val="en-US" w:eastAsia="zh-CN"/>
              </w:rPr>
              <w:t>。</w:t>
            </w:r>
            <w:r>
              <w:rPr>
                <w:rFonts w:hint="eastAsia"/>
                <w:b w:val="0"/>
                <w:bCs w:val="0"/>
                <w:color w:val="auto"/>
                <w:highlight w:val="none"/>
                <w:lang w:val="en-US" w:eastAsia="zh-CN"/>
              </w:rPr>
              <w:t>本项目产生的食堂废水经隔油池预处理后与其他生活污水一同进入化粪池处理，定期委托当地环卫部门外运处置。</w:t>
            </w:r>
          </w:p>
          <w:p>
            <w:pPr>
              <w:ind w:firstLine="480"/>
              <w:rPr>
                <w:rFonts w:hint="default"/>
                <w:color w:val="auto"/>
                <w:highlight w:val="none"/>
                <w:lang w:val="en-US" w:eastAsia="zh-CN"/>
              </w:rPr>
            </w:pPr>
            <w:r>
              <w:rPr>
                <w:rFonts w:hint="eastAsia"/>
                <w:color w:val="auto"/>
                <w:highlight w:val="none"/>
                <w:lang w:val="en-US" w:eastAsia="zh-CN"/>
              </w:rPr>
              <w:t>本项目非雨天</w:t>
            </w:r>
            <w:r>
              <w:rPr>
                <w:rFonts w:hint="default"/>
                <w:color w:val="auto"/>
                <w:highlight w:val="none"/>
                <w:lang w:val="en-US" w:eastAsia="zh-CN"/>
              </w:rPr>
              <w:t>水平衡图</w:t>
            </w:r>
            <w:r>
              <w:rPr>
                <w:rFonts w:hint="eastAsia"/>
                <w:color w:val="auto"/>
                <w:highlight w:val="none"/>
                <w:lang w:val="en-US" w:eastAsia="zh-CN"/>
              </w:rPr>
              <w:t>如下</w:t>
            </w:r>
            <w:r>
              <w:rPr>
                <w:rFonts w:hint="default"/>
                <w:color w:val="auto"/>
                <w:highlight w:val="none"/>
                <w:lang w:val="en-US" w:eastAsia="zh-CN"/>
              </w:rPr>
              <w:t>。</w:t>
            </w:r>
          </w:p>
          <w:p>
            <w:pPr>
              <w:ind w:left="0" w:leftChars="0" w:firstLine="0" w:firstLineChars="0"/>
              <w:jc w:val="center"/>
              <w:rPr>
                <w:color w:val="auto"/>
                <w:highlight w:val="none"/>
              </w:rPr>
            </w:pPr>
            <w:r>
              <w:rPr>
                <w:rFonts w:hint="default"/>
                <w:color w:val="auto"/>
              </w:rPr>
              <w:drawing>
                <wp:inline distT="0" distB="0" distL="114300" distR="114300">
                  <wp:extent cx="4633595" cy="3362960"/>
                  <wp:effectExtent l="0" t="0" r="4445" b="381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4"/>
                          <a:stretch>
                            <a:fillRect/>
                          </a:stretch>
                        </pic:blipFill>
                        <pic:spPr>
                          <a:xfrm>
                            <a:off x="0" y="0"/>
                            <a:ext cx="4633595" cy="3362960"/>
                          </a:xfrm>
                          <a:prstGeom prst="rect">
                            <a:avLst/>
                          </a:prstGeom>
                          <a:noFill/>
                          <a:ln>
                            <a:noFill/>
                          </a:ln>
                        </pic:spPr>
                      </pic:pic>
                    </a:graphicData>
                  </a:graphic>
                </wp:inline>
              </w:drawing>
            </w:r>
          </w:p>
          <w:p>
            <w:pPr>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图</w:t>
            </w:r>
            <w:r>
              <w:rPr>
                <w:rFonts w:hint="eastAsia"/>
                <w:b/>
                <w:bCs/>
                <w:color w:val="auto"/>
                <w:highlight w:val="none"/>
                <w:lang w:val="en-US" w:eastAsia="zh-CN"/>
              </w:rPr>
              <w:t>2-1</w:t>
            </w:r>
            <w:r>
              <w:rPr>
                <w:rFonts w:hint="default"/>
                <w:b/>
                <w:bCs/>
                <w:color w:val="auto"/>
                <w:highlight w:val="none"/>
                <w:lang w:val="en-US" w:eastAsia="zh-CN"/>
              </w:rPr>
              <w:t xml:space="preserve"> </w:t>
            </w:r>
            <w:r>
              <w:rPr>
                <w:rFonts w:hint="eastAsia"/>
                <w:b/>
                <w:bCs/>
                <w:color w:val="auto"/>
                <w:highlight w:val="none"/>
                <w:lang w:val="en-US" w:eastAsia="zh-CN"/>
              </w:rPr>
              <w:t>本项目非雨天</w:t>
            </w:r>
            <w:r>
              <w:rPr>
                <w:rFonts w:hint="default"/>
                <w:b/>
                <w:bCs/>
                <w:color w:val="auto"/>
                <w:highlight w:val="none"/>
                <w:lang w:val="en-US" w:eastAsia="zh-CN"/>
              </w:rPr>
              <w:t>水平衡图</w:t>
            </w:r>
            <w:r>
              <w:rPr>
                <w:rFonts w:hint="eastAsia"/>
                <w:b/>
                <w:bCs/>
                <w:color w:val="auto"/>
                <w:highlight w:val="none"/>
                <w:lang w:val="en-US" w:eastAsia="zh-CN"/>
              </w:rPr>
              <w:t xml:space="preserve">  单位：</w:t>
            </w:r>
            <w:r>
              <w:rPr>
                <w:rFonts w:hint="default"/>
                <w:b/>
                <w:bCs/>
                <w:color w:val="auto"/>
                <w:highlight w:val="none"/>
                <w:lang w:val="en-US" w:eastAsia="zh-CN"/>
              </w:rPr>
              <w:t>t/d</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本项目雨天水平衡图如下。</w:t>
            </w:r>
          </w:p>
          <w:p>
            <w:pPr>
              <w:spacing w:line="240" w:lineRule="auto"/>
              <w:ind w:left="0" w:leftChars="0" w:firstLine="0" w:firstLineChars="0"/>
              <w:jc w:val="both"/>
              <w:rPr>
                <w:color w:val="auto"/>
              </w:rPr>
            </w:pPr>
            <w:r>
              <w:rPr>
                <w:rFonts w:hint="default"/>
                <w:color w:val="auto"/>
              </w:rPr>
              <w:drawing>
                <wp:inline distT="0" distB="0" distL="114300" distR="114300">
                  <wp:extent cx="4705985" cy="2982595"/>
                  <wp:effectExtent l="0" t="0" r="1905" b="6985"/>
                  <wp:docPr id="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true"/>
                          </pic:cNvPicPr>
                        </pic:nvPicPr>
                        <pic:blipFill>
                          <a:blip r:embed="rId15"/>
                          <a:stretch>
                            <a:fillRect/>
                          </a:stretch>
                        </pic:blipFill>
                        <pic:spPr>
                          <a:xfrm>
                            <a:off x="0" y="0"/>
                            <a:ext cx="4705985" cy="2982595"/>
                          </a:xfrm>
                          <a:prstGeom prst="rect">
                            <a:avLst/>
                          </a:prstGeom>
                          <a:noFill/>
                          <a:ln>
                            <a:noFill/>
                          </a:ln>
                        </pic:spPr>
                      </pic:pic>
                    </a:graphicData>
                  </a:graphic>
                </wp:inline>
              </w:drawing>
            </w:r>
          </w:p>
          <w:p>
            <w:pPr>
              <w:spacing w:line="240" w:lineRule="auto"/>
              <w:ind w:left="0" w:leftChars="0" w:firstLine="0" w:firstLineChars="0"/>
              <w:jc w:val="center"/>
              <w:rPr>
                <w:rFonts w:hint="default"/>
                <w:b/>
                <w:bCs/>
                <w:color w:val="auto"/>
                <w:lang w:val="en-US" w:eastAsia="zh-CN"/>
              </w:rPr>
            </w:pPr>
            <w:r>
              <w:rPr>
                <w:rFonts w:hint="default"/>
                <w:b/>
                <w:bCs/>
                <w:color w:val="auto"/>
                <w:lang w:val="en-US" w:eastAsia="zh-CN"/>
              </w:rPr>
              <w:t>图2-</w:t>
            </w:r>
            <w:r>
              <w:rPr>
                <w:rFonts w:hint="eastAsia"/>
                <w:b/>
                <w:bCs/>
                <w:color w:val="auto"/>
                <w:lang w:val="en-US" w:eastAsia="zh-CN"/>
              </w:rPr>
              <w:t>2</w:t>
            </w:r>
            <w:r>
              <w:rPr>
                <w:rFonts w:hint="default"/>
                <w:b/>
                <w:bCs/>
                <w:color w:val="auto"/>
                <w:lang w:val="en-US" w:eastAsia="zh-CN"/>
              </w:rPr>
              <w:t xml:space="preserve"> 本项目</w:t>
            </w:r>
            <w:r>
              <w:rPr>
                <w:rFonts w:hint="eastAsia"/>
                <w:b/>
                <w:bCs/>
                <w:color w:val="auto"/>
                <w:lang w:val="en-US" w:eastAsia="zh-CN"/>
              </w:rPr>
              <w:t>雨天</w:t>
            </w:r>
            <w:r>
              <w:rPr>
                <w:rFonts w:hint="default"/>
                <w:b/>
                <w:bCs/>
                <w:color w:val="auto"/>
                <w:lang w:val="en-US" w:eastAsia="zh-CN"/>
              </w:rPr>
              <w:t>水平衡图  单位：t/d</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9、环保投资</w:t>
            </w:r>
          </w:p>
          <w:p>
            <w:pPr>
              <w:bidi w:val="0"/>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项目总投资</w:t>
            </w:r>
            <w:r>
              <w:rPr>
                <w:rFonts w:hint="eastAsia"/>
                <w:b w:val="0"/>
                <w:bCs w:val="0"/>
                <w:color w:val="auto"/>
                <w:highlight w:val="none"/>
                <w:lang w:val="en-US" w:eastAsia="zh-CN"/>
              </w:rPr>
              <w:t>10129.63</w:t>
            </w:r>
            <w:r>
              <w:rPr>
                <w:rFonts w:hint="default"/>
                <w:b w:val="0"/>
                <w:bCs w:val="0"/>
                <w:color w:val="auto"/>
                <w:highlight w:val="none"/>
                <w:lang w:val="en-US" w:eastAsia="zh-CN"/>
              </w:rPr>
              <w:t>万元，其中环保投资</w:t>
            </w:r>
            <w:r>
              <w:rPr>
                <w:rFonts w:hint="eastAsia" w:ascii="Times New Roman" w:eastAsia="宋体"/>
                <w:b w:val="0"/>
                <w:bCs w:val="0"/>
                <w:color w:val="auto"/>
                <w:highlight w:val="none"/>
                <w:lang w:val="en-US" w:eastAsia="zh-CN"/>
              </w:rPr>
              <w:t>为</w:t>
            </w:r>
            <w:r>
              <w:rPr>
                <w:rFonts w:hint="eastAsia"/>
                <w:b w:val="0"/>
                <w:bCs w:val="0"/>
                <w:color w:val="auto"/>
                <w:highlight w:val="none"/>
                <w:lang w:val="en-US" w:eastAsia="zh-CN"/>
              </w:rPr>
              <w:t>76.73</w:t>
            </w:r>
            <w:r>
              <w:rPr>
                <w:rFonts w:hint="default"/>
                <w:b w:val="0"/>
                <w:bCs w:val="0"/>
                <w:color w:val="auto"/>
                <w:highlight w:val="none"/>
                <w:lang w:val="en-US" w:eastAsia="zh-CN"/>
              </w:rPr>
              <w:t>万元，占工程总投资的</w:t>
            </w:r>
            <w:r>
              <w:rPr>
                <w:rFonts w:hint="eastAsia"/>
                <w:b w:val="0"/>
                <w:bCs w:val="0"/>
                <w:color w:val="auto"/>
                <w:highlight w:val="none"/>
                <w:lang w:val="en-US" w:eastAsia="zh-CN"/>
              </w:rPr>
              <w:t>0.76</w:t>
            </w:r>
            <w:r>
              <w:rPr>
                <w:rFonts w:hint="default"/>
                <w:b w:val="0"/>
                <w:bCs w:val="0"/>
                <w:color w:val="auto"/>
                <w:highlight w:val="none"/>
                <w:lang w:val="en-US" w:eastAsia="zh-CN"/>
              </w:rPr>
              <w:t>%，项目环保投资见</w:t>
            </w:r>
            <w:r>
              <w:rPr>
                <w:rFonts w:hint="eastAsia" w:ascii="Times New Roman" w:eastAsia="宋体"/>
                <w:b w:val="0"/>
                <w:bCs w:val="0"/>
                <w:color w:val="auto"/>
                <w:highlight w:val="none"/>
                <w:lang w:val="en-US" w:eastAsia="zh-CN"/>
              </w:rPr>
              <w:t>下</w:t>
            </w:r>
            <w:r>
              <w:rPr>
                <w:rFonts w:hint="default"/>
                <w:b w:val="0"/>
                <w:bCs w:val="0"/>
                <w:color w:val="auto"/>
                <w:highlight w:val="none"/>
                <w:lang w:val="en-US" w:eastAsia="zh-CN"/>
              </w:rPr>
              <w:t>表。</w:t>
            </w:r>
          </w:p>
          <w:p>
            <w:pPr>
              <w:bidi w:val="0"/>
              <w:spacing w:line="240" w:lineRule="auto"/>
              <w:ind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表2-</w:t>
            </w:r>
            <w:r>
              <w:rPr>
                <w:rFonts w:hint="eastAsia"/>
                <w:b/>
                <w:bCs/>
                <w:color w:val="auto"/>
                <w:highlight w:val="none"/>
                <w:lang w:val="en-US" w:eastAsia="zh-CN"/>
              </w:rPr>
              <w:t>7</w:t>
            </w:r>
            <w:r>
              <w:rPr>
                <w:rFonts w:hint="eastAsia" w:ascii="Times New Roman" w:eastAsia="宋体"/>
                <w:b/>
                <w:bCs/>
                <w:color w:val="auto"/>
                <w:highlight w:val="none"/>
                <w:lang w:val="en-US" w:eastAsia="zh-CN"/>
              </w:rPr>
              <w:t xml:space="preserve"> 项目环保投资一览表</w:t>
            </w:r>
          </w:p>
          <w:tbl>
            <w:tblPr>
              <w:tblStyle w:val="15"/>
              <w:tblW w:w="72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925"/>
              <w:gridCol w:w="2859"/>
              <w:gridCol w:w="1011"/>
              <w:gridCol w:w="1011"/>
              <w:gridCol w:w="10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317"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时段</w:t>
                  </w: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eastAsia="zh-CN"/>
                    </w:rPr>
                    <w:t>治理对象</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投资具体内容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数量</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规模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投资（万元）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施工期</w:t>
                  </w: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生态</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环保宣传培训费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环保宣传牌</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eastAsia="zh-CN"/>
                    </w:rPr>
                    <w:t>废</w:t>
                  </w:r>
                  <w:r>
                    <w:rPr>
                      <w:rFonts w:hint="eastAsia" w:cs="Times New Roman"/>
                      <w:b w:val="0"/>
                      <w:bCs w:val="0"/>
                      <w:color w:val="auto"/>
                      <w:kern w:val="0"/>
                      <w:sz w:val="21"/>
                      <w:szCs w:val="21"/>
                      <w:highlight w:val="none"/>
                      <w:lang w:val="en-US" w:eastAsia="zh-CN"/>
                    </w:rPr>
                    <w:t>水</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机械冲洗废水处理</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简易机修区油桶</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1只</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200L</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旱厕建设及拆除费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旱厕清掏费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生活污水沉淀池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5m</w:t>
                  </w:r>
                  <w:r>
                    <w:rPr>
                      <w:rFonts w:hint="eastAsia" w:cs="Times New Roman"/>
                      <w:b w:val="0"/>
                      <w:bCs w:val="0"/>
                      <w:color w:val="auto"/>
                      <w:kern w:val="0"/>
                      <w:sz w:val="21"/>
                      <w:szCs w:val="21"/>
                      <w:highlight w:val="none"/>
                      <w:vertAlign w:val="superscript"/>
                      <w:lang w:val="en-US" w:eastAsia="zh-CN"/>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噪声</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eastAsia" w:cs="Times New Roman"/>
                      <w:b w:val="0"/>
                      <w:bCs w:val="0"/>
                      <w:color w:val="auto"/>
                      <w:kern w:val="0"/>
                      <w:sz w:val="21"/>
                      <w:szCs w:val="21"/>
                      <w:highlight w:val="none"/>
                      <w:lang w:val="en-US" w:eastAsia="zh-CN"/>
                    </w:rPr>
                    <w:t>施工机械</w:t>
                  </w:r>
                  <w:r>
                    <w:rPr>
                      <w:rFonts w:hint="default" w:ascii="Times New Roman" w:hAnsi="Times New Roman" w:eastAsia="宋体" w:cs="Times New Roman"/>
                      <w:b w:val="0"/>
                      <w:bCs w:val="0"/>
                      <w:color w:val="auto"/>
                      <w:kern w:val="0"/>
                      <w:sz w:val="21"/>
                      <w:szCs w:val="21"/>
                      <w:highlight w:val="none"/>
                    </w:rPr>
                    <w:t>设备基础减震</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废气</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eastAsia" w:cs="Times New Roman"/>
                      <w:b w:val="0"/>
                      <w:bCs w:val="0"/>
                      <w:color w:val="auto"/>
                      <w:kern w:val="0"/>
                      <w:sz w:val="21"/>
                      <w:szCs w:val="21"/>
                      <w:highlight w:val="none"/>
                      <w:lang w:val="en-US" w:eastAsia="zh-CN"/>
                    </w:rPr>
                    <w:t>项目区沿厂界布置</w:t>
                  </w:r>
                  <w:r>
                    <w:rPr>
                      <w:rFonts w:hint="default" w:ascii="Times New Roman" w:hAnsi="Times New Roman" w:eastAsia="宋体" w:cs="Times New Roman"/>
                      <w:b w:val="0"/>
                      <w:bCs w:val="0"/>
                      <w:color w:val="auto"/>
                      <w:kern w:val="0"/>
                      <w:sz w:val="21"/>
                      <w:szCs w:val="21"/>
                      <w:highlight w:val="none"/>
                    </w:rPr>
                    <w:t>施工围挡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场地清扫</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洒水降尘运行费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固废</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生活垃圾处理费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渣土清运费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其他</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环境监测费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环保技术咨询费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33.47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运营期</w:t>
                  </w: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废气</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油烟净化设备+1根10m高排气筒</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sz w:val="21"/>
                      <w:szCs w:val="21"/>
                      <w:highlight w:val="none"/>
                      <w:lang w:val="en-US" w:eastAsia="zh-CN"/>
                    </w:rPr>
                    <w:t>1套</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废水</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化粪池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10m</w:t>
                  </w:r>
                  <w:r>
                    <w:rPr>
                      <w:rFonts w:hint="eastAsia" w:cs="Times New Roman"/>
                      <w:color w:val="auto"/>
                      <w:kern w:val="2"/>
                      <w:sz w:val="21"/>
                      <w:szCs w:val="21"/>
                      <w:highlight w:val="none"/>
                      <w:vertAlign w:val="superscript"/>
                      <w:lang w:val="en-US" w:eastAsia="zh-CN" w:bidi="ar"/>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隔油池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0.5m</w:t>
                  </w:r>
                  <w:r>
                    <w:rPr>
                      <w:rFonts w:hint="eastAsia" w:cs="Times New Roman"/>
                      <w:color w:val="auto"/>
                      <w:kern w:val="2"/>
                      <w:sz w:val="21"/>
                      <w:szCs w:val="21"/>
                      <w:highlight w:val="none"/>
                      <w:vertAlign w:val="superscript"/>
                      <w:lang w:val="en-US" w:eastAsia="zh-CN" w:bidi="ar"/>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厂区雨污分流管网</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噪声</w:t>
                  </w:r>
                </w:p>
              </w:tc>
              <w:tc>
                <w:tcPr>
                  <w:tcW w:w="1963" w:type="pct"/>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eastAsia="zh-CN"/>
                    </w:rPr>
                    <w:t>设备</w:t>
                  </w:r>
                  <w:r>
                    <w:rPr>
                      <w:rFonts w:hint="default" w:ascii="Times New Roman" w:hAnsi="Times New Roman" w:eastAsia="宋体" w:cs="Times New Roman"/>
                      <w:color w:val="auto"/>
                      <w:sz w:val="21"/>
                      <w:szCs w:val="21"/>
                      <w:highlight w:val="none"/>
                    </w:rPr>
                    <w:t>基础减震</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固废</w:t>
                  </w: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生活垃圾桶若干</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一般固废暂存间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1间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5m</w:t>
                  </w:r>
                  <w:r>
                    <w:rPr>
                      <w:rFonts w:hint="eastAsia" w:cs="Times New Roman"/>
                      <w:color w:val="auto"/>
                      <w:sz w:val="21"/>
                      <w:szCs w:val="21"/>
                      <w:highlight w:val="none"/>
                      <w:vertAlign w:val="superscript"/>
                      <w:lang w:val="en-US" w:eastAsia="zh-CN"/>
                    </w:rPr>
                    <w:t>2</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危险废物暂存间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1间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5m</w:t>
                  </w:r>
                  <w:r>
                    <w:rPr>
                      <w:rFonts w:hint="eastAsia" w:cs="Times New Roman"/>
                      <w:color w:val="auto"/>
                      <w:sz w:val="21"/>
                      <w:szCs w:val="21"/>
                      <w:highlight w:val="none"/>
                      <w:vertAlign w:val="superscript"/>
                      <w:lang w:val="en-US" w:eastAsia="zh-CN"/>
                    </w:rPr>
                    <w:t>2</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其他</w:t>
                  </w: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环保标识标牌</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4块</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环境管理及检测</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2599"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总计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bCs/>
                      <w:color w:val="auto"/>
                      <w:kern w:val="0"/>
                      <w:sz w:val="21"/>
                      <w:szCs w:val="21"/>
                      <w:highlight w:val="none"/>
                      <w:lang w:val="en-US" w:eastAsia="zh-CN"/>
                    </w:rPr>
                  </w:pP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bCs/>
                      <w:color w:val="auto"/>
                      <w:kern w:val="0"/>
                      <w:sz w:val="21"/>
                      <w:szCs w:val="21"/>
                      <w:highlight w:val="none"/>
                      <w:lang w:val="en-US" w:eastAsia="zh-CN"/>
                    </w:rPr>
                  </w:pP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76.73</w:t>
                  </w:r>
                </w:p>
              </w:tc>
            </w:tr>
          </w:tbl>
          <w:p>
            <w:pPr>
              <w:ind w:left="0" w:leftChars="0" w:firstLine="0" w:firstLineChars="0"/>
              <w:jc w:val="both"/>
              <w:rPr>
                <w:rFonts w:hint="default"/>
                <w:b w:val="0"/>
                <w:bCs w:val="0"/>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ind w:firstLine="0" w:firstLineChars="0"/>
              <w:rPr>
                <w:color w:val="auto"/>
                <w:highlight w:val="none"/>
              </w:rPr>
            </w:pPr>
            <w:r>
              <w:rPr>
                <w:rFonts w:hint="eastAsia"/>
                <w:color w:val="auto"/>
                <w:highlight w:val="none"/>
              </w:rPr>
              <w:t>工艺流程和产排污环节</w:t>
            </w:r>
          </w:p>
        </w:tc>
        <w:tc>
          <w:tcPr>
            <w:tcW w:w="7500" w:type="dxa"/>
            <w:vAlign w:val="center"/>
          </w:tcPr>
          <w:p>
            <w:pPr>
              <w:ind w:left="0" w:leftChars="0" w:firstLine="481" w:firstLineChars="200"/>
              <w:rPr>
                <w:rFonts w:hint="default"/>
                <w:b/>
                <w:bCs/>
                <w:color w:val="auto"/>
                <w:highlight w:val="none"/>
                <w:lang w:val="en-US" w:eastAsia="zh-CN"/>
              </w:rPr>
            </w:pPr>
            <w:r>
              <w:rPr>
                <w:rFonts w:hint="eastAsia"/>
                <w:b/>
                <w:bCs/>
                <w:color w:val="auto"/>
                <w:highlight w:val="none"/>
                <w:lang w:val="en-US" w:eastAsia="zh-CN"/>
              </w:rPr>
              <w:t>1、施工期工艺流程及产污情况</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由原水输水管线工程、净水厂工程组成。项目施工期主要建设初沉池、调节池、净水厂。施工期工艺主要包括基础施工、主体施工、环保工程施工、安装调试等，施工工艺流程及产污环节详见下图。施工期对环境的影响具有时间短，工程结束后施工产生的扬尘、噪声等对环境影响即随之消失的特点。</w:t>
            </w:r>
          </w:p>
          <w:p>
            <w:pPr>
              <w:keepNext w:val="0"/>
              <w:keepLines w:val="0"/>
              <w:suppressLineNumbers w:val="0"/>
              <w:spacing w:before="0" w:beforeAutospacing="0" w:after="0" w:afterAutospacing="0" w:line="360" w:lineRule="auto"/>
              <w:ind w:left="0" w:leftChars="0" w:right="0" w:firstLine="481" w:firstLineChars="200"/>
              <w:rPr>
                <w:rFonts w:hint="eastAsia"/>
                <w:b/>
                <w:bCs/>
                <w:color w:val="auto"/>
                <w:szCs w:val="22"/>
                <w:highlight w:val="none"/>
                <w:lang w:val="en-US" w:eastAsia="zh-CN"/>
              </w:rPr>
            </w:pPr>
            <w:r>
              <w:rPr>
                <w:rFonts w:hint="eastAsia" w:ascii="Times New Roman" w:eastAsia="宋体"/>
                <w:b/>
                <w:bCs/>
                <w:color w:val="auto"/>
                <w:szCs w:val="22"/>
                <w:highlight w:val="none"/>
                <w:lang w:val="en-US" w:eastAsia="zh-CN"/>
              </w:rPr>
              <w:t>（1）输水管线工程施工工艺流程</w:t>
            </w:r>
          </w:p>
          <w:p>
            <w:pPr>
              <w:keepNext w:val="0"/>
              <w:keepLines w:val="0"/>
              <w:suppressLineNumbers w:val="0"/>
              <w:spacing w:before="0" w:beforeAutospacing="0" w:after="0" w:afterAutospacing="0" w:line="360" w:lineRule="auto"/>
              <w:ind w:left="0" w:leftChars="0" w:right="0" w:firstLine="480" w:firstLineChars="200"/>
              <w:rPr>
                <w:rFonts w:hint="default"/>
                <w:b w:val="0"/>
                <w:bCs w:val="0"/>
                <w:color w:val="auto"/>
                <w:szCs w:val="22"/>
                <w:highlight w:val="none"/>
                <w:lang w:val="en-US" w:eastAsia="zh-CN"/>
              </w:rPr>
            </w:pPr>
            <w:r>
              <w:rPr>
                <w:rFonts w:hint="eastAsia" w:ascii="Times New Roman" w:eastAsia="宋体"/>
                <w:b w:val="0"/>
                <w:bCs w:val="0"/>
                <w:color w:val="auto"/>
                <w:szCs w:val="22"/>
                <w:highlight w:val="none"/>
                <w:lang w:val="en-US" w:eastAsia="zh-CN"/>
              </w:rPr>
              <w:t>本项目原水输水管线工程铺设方式采用地埋式铺设，管线工程施工过程工艺流程及产污环节详见下图。</w:t>
            </w:r>
          </w:p>
          <w:p>
            <w:pPr>
              <w:keepNext w:val="0"/>
              <w:keepLines w:val="0"/>
              <w:suppressLineNumbers w:val="0"/>
              <w:spacing w:before="0" w:beforeAutospacing="0" w:after="0" w:afterAutospacing="0" w:line="240" w:lineRule="auto"/>
              <w:ind w:left="0" w:leftChars="0" w:right="0" w:firstLine="0" w:firstLineChars="0"/>
              <w:jc w:val="center"/>
              <w:rPr>
                <w:rFonts w:hint="default"/>
                <w:color w:val="auto"/>
                <w:szCs w:val="22"/>
              </w:rPr>
            </w:pPr>
            <w:r>
              <w:rPr>
                <w:rFonts w:hint="default"/>
                <w:color w:val="auto"/>
                <w:szCs w:val="22"/>
              </w:rPr>
              <w:drawing>
                <wp:inline distT="0" distB="0" distL="114300" distR="114300">
                  <wp:extent cx="3457575" cy="3866515"/>
                  <wp:effectExtent l="0" t="0" r="6985" b="3175"/>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6"/>
                          <a:stretch>
                            <a:fillRect/>
                          </a:stretch>
                        </pic:blipFill>
                        <pic:spPr>
                          <a:xfrm>
                            <a:off x="0" y="0"/>
                            <a:ext cx="3457575" cy="3866515"/>
                          </a:xfrm>
                          <a:prstGeom prst="rect">
                            <a:avLst/>
                          </a:prstGeom>
                          <a:noFill/>
                          <a:ln>
                            <a:noFill/>
                          </a:ln>
                        </pic:spPr>
                      </pic:pic>
                    </a:graphicData>
                  </a:graphic>
                </wp:inline>
              </w:drawing>
            </w:r>
          </w:p>
          <w:p>
            <w:pPr>
              <w:keepNext w:val="0"/>
              <w:keepLines w:val="0"/>
              <w:suppressLineNumbers w:val="0"/>
              <w:spacing w:before="0" w:beforeAutospacing="0" w:after="0" w:afterAutospacing="0" w:line="240" w:lineRule="auto"/>
              <w:ind w:left="0" w:leftChars="0" w:right="0" w:firstLine="0" w:firstLineChars="0"/>
              <w:jc w:val="center"/>
              <w:rPr>
                <w:rFonts w:hint="eastAsia"/>
                <w:b/>
                <w:bCs/>
                <w:color w:val="auto"/>
                <w:szCs w:val="22"/>
                <w:lang w:val="en-US" w:eastAsia="zh-CN"/>
              </w:rPr>
            </w:pPr>
            <w:r>
              <w:rPr>
                <w:rFonts w:hint="eastAsia" w:ascii="Times New Roman" w:eastAsia="宋体"/>
                <w:b/>
                <w:bCs/>
                <w:color w:val="auto"/>
                <w:szCs w:val="22"/>
                <w:lang w:val="en-US" w:eastAsia="zh-CN"/>
              </w:rPr>
              <w:t>图2-3 项目管线工程施工流程及产污环节图</w:t>
            </w:r>
          </w:p>
          <w:p>
            <w:pPr>
              <w:keepNext w:val="0"/>
              <w:keepLines w:val="0"/>
              <w:suppressLineNumbers w:val="0"/>
              <w:spacing w:before="0" w:beforeAutospacing="0" w:after="0" w:afterAutospacing="0" w:line="360" w:lineRule="auto"/>
              <w:ind w:left="0" w:leftChars="0" w:right="0" w:firstLine="481" w:firstLineChars="200"/>
              <w:jc w:val="both"/>
              <w:rPr>
                <w:rFonts w:hint="default"/>
                <w:b/>
                <w:bCs/>
                <w:color w:val="auto"/>
                <w:szCs w:val="22"/>
                <w:lang w:val="en-US" w:eastAsia="zh-CN"/>
              </w:rPr>
            </w:pPr>
            <w:r>
              <w:rPr>
                <w:rFonts w:hint="default"/>
                <w:b/>
                <w:bCs/>
                <w:color w:val="auto"/>
                <w:szCs w:val="22"/>
                <w:lang w:val="en-US" w:eastAsia="zh-CN"/>
              </w:rPr>
              <w:t>工艺流程说明：</w:t>
            </w:r>
          </w:p>
          <w:p>
            <w:pPr>
              <w:keepNext w:val="0"/>
              <w:keepLines w:val="0"/>
              <w:suppressLineNumbers w:val="0"/>
              <w:spacing w:before="0" w:beforeAutospacing="0" w:after="0" w:afterAutospacing="0" w:line="360" w:lineRule="auto"/>
              <w:ind w:left="0" w:leftChars="0" w:right="0" w:firstLine="480" w:firstLineChars="200"/>
              <w:jc w:val="both"/>
              <w:rPr>
                <w:rFonts w:hint="default"/>
                <w:b w:val="0"/>
                <w:bCs w:val="0"/>
                <w:color w:val="auto"/>
                <w:szCs w:val="22"/>
                <w:lang w:val="en-US" w:eastAsia="zh-CN"/>
              </w:rPr>
            </w:pPr>
            <w:r>
              <w:rPr>
                <w:rFonts w:hint="default"/>
                <w:b w:val="0"/>
                <w:bCs w:val="0"/>
                <w:color w:val="auto"/>
                <w:szCs w:val="22"/>
                <w:lang w:val="en-US" w:eastAsia="zh-CN"/>
              </w:rPr>
              <w:t>①路线清理</w:t>
            </w:r>
            <w:r>
              <w:rPr>
                <w:rFonts w:hint="eastAsia" w:ascii="Times New Roman" w:eastAsia="宋体"/>
                <w:b w:val="0"/>
                <w:bCs w:val="0"/>
                <w:color w:val="auto"/>
                <w:szCs w:val="22"/>
                <w:lang w:val="en-US" w:eastAsia="zh-CN"/>
              </w:rPr>
              <w:t>：</w:t>
            </w:r>
            <w:r>
              <w:rPr>
                <w:rFonts w:hint="default"/>
                <w:b w:val="0"/>
                <w:bCs w:val="0"/>
                <w:color w:val="auto"/>
                <w:szCs w:val="22"/>
                <w:lang w:val="en-US" w:eastAsia="zh-CN"/>
              </w:rPr>
              <w:t>根据管网开挖路线进行沿线清理</w:t>
            </w:r>
            <w:r>
              <w:rPr>
                <w:rFonts w:hint="eastAsia" w:ascii="Times New Roman" w:eastAsia="宋体"/>
                <w:b w:val="0"/>
                <w:bCs w:val="0"/>
                <w:color w:val="auto"/>
                <w:szCs w:val="22"/>
                <w:lang w:val="en-US" w:eastAsia="zh-CN"/>
              </w:rPr>
              <w:t>。该过程会产生固废与扬尘，固废</w:t>
            </w:r>
            <w:r>
              <w:rPr>
                <w:rFonts w:hint="default"/>
                <w:b w:val="0"/>
                <w:bCs w:val="0"/>
                <w:color w:val="auto"/>
                <w:szCs w:val="22"/>
                <w:lang w:val="en-US" w:eastAsia="zh-CN"/>
              </w:rPr>
              <w:t>主要为废弃土石</w:t>
            </w:r>
            <w:r>
              <w:rPr>
                <w:rFonts w:hint="eastAsia" w:ascii="Times New Roman" w:eastAsia="宋体"/>
                <w:b w:val="0"/>
                <w:bCs w:val="0"/>
                <w:color w:val="auto"/>
                <w:szCs w:val="22"/>
                <w:lang w:val="en-US" w:eastAsia="zh-CN"/>
              </w:rPr>
              <w:t>方</w:t>
            </w:r>
            <w:r>
              <w:rPr>
                <w:rFonts w:hint="default"/>
                <w:b w:val="0"/>
                <w:bCs w:val="0"/>
                <w:color w:val="auto"/>
                <w:szCs w:val="22"/>
                <w:lang w:val="en-US" w:eastAsia="zh-CN"/>
              </w:rPr>
              <w:t>，产生量少，临时堆放于管沟旁，可用于回填，不得随意丢弃污染环境</w:t>
            </w:r>
            <w:r>
              <w:rPr>
                <w:rFonts w:hint="eastAsia" w:ascii="Times New Roman" w:eastAsia="宋体"/>
                <w:b w:val="0"/>
                <w:bCs w:val="0"/>
                <w:color w:val="auto"/>
                <w:szCs w:val="22"/>
                <w:lang w:val="en-US" w:eastAsia="zh-CN"/>
              </w:rPr>
              <w:t>。</w:t>
            </w:r>
          </w:p>
          <w:p>
            <w:pPr>
              <w:keepNext w:val="0"/>
              <w:keepLines w:val="0"/>
              <w:suppressLineNumbers w:val="0"/>
              <w:spacing w:before="0" w:beforeAutospacing="0" w:after="0" w:afterAutospacing="0" w:line="360" w:lineRule="auto"/>
              <w:ind w:left="0" w:leftChars="0" w:right="0" w:firstLine="480" w:firstLineChars="200"/>
              <w:jc w:val="both"/>
              <w:rPr>
                <w:rFonts w:hint="eastAsia"/>
                <w:b w:val="0"/>
                <w:bCs w:val="0"/>
                <w:color w:val="auto"/>
                <w:szCs w:val="22"/>
                <w:lang w:val="en-US" w:eastAsia="zh-CN"/>
              </w:rPr>
            </w:pPr>
            <w:r>
              <w:rPr>
                <w:rFonts w:hint="default"/>
                <w:b w:val="0"/>
                <w:bCs w:val="0"/>
                <w:color w:val="auto"/>
                <w:szCs w:val="22"/>
                <w:lang w:val="en-US" w:eastAsia="zh-CN"/>
              </w:rPr>
              <w:t>②管沟开挖</w:t>
            </w:r>
            <w:r>
              <w:rPr>
                <w:rFonts w:hint="eastAsia" w:ascii="Times New Roman" w:eastAsia="宋体"/>
                <w:b w:val="0"/>
                <w:bCs w:val="0"/>
                <w:color w:val="auto"/>
                <w:szCs w:val="22"/>
                <w:lang w:val="en-US" w:eastAsia="zh-CN"/>
              </w:rPr>
              <w:t>：根据设计图纸中的参数现场放样施工，由于管沟宽度不大，管沟开挖以人工开挖为主，机械为辅。该过程会产生固废、噪声、扬尘、废气等。固废主要为废弃土石方，临时堆放于管沟旁，用于后期回填；噪声主要为施工机械噪声；废气主要为施工机械尾气。</w:t>
            </w:r>
          </w:p>
          <w:p>
            <w:pPr>
              <w:keepNext w:val="0"/>
              <w:keepLines w:val="0"/>
              <w:suppressLineNumbers w:val="0"/>
              <w:spacing w:before="0" w:beforeAutospacing="0" w:after="0" w:afterAutospacing="0" w:line="360" w:lineRule="auto"/>
              <w:ind w:left="0" w:leftChars="0" w:right="0" w:firstLine="480" w:firstLineChars="200"/>
              <w:jc w:val="both"/>
              <w:rPr>
                <w:rFonts w:hint="eastAsia"/>
                <w:b w:val="0"/>
                <w:bCs w:val="0"/>
                <w:color w:val="auto"/>
                <w:szCs w:val="22"/>
                <w:lang w:val="en-US" w:eastAsia="zh-CN"/>
              </w:rPr>
            </w:pPr>
            <w:r>
              <w:rPr>
                <w:rFonts w:hint="default"/>
                <w:b w:val="0"/>
                <w:bCs w:val="0"/>
                <w:color w:val="auto"/>
                <w:szCs w:val="22"/>
                <w:lang w:val="en-US" w:eastAsia="zh-CN"/>
              </w:rPr>
              <w:t>③现场围挡</w:t>
            </w:r>
            <w:r>
              <w:rPr>
                <w:rFonts w:hint="eastAsia" w:ascii="Times New Roman" w:eastAsia="宋体"/>
                <w:b w:val="0"/>
                <w:bCs w:val="0"/>
                <w:color w:val="auto"/>
                <w:szCs w:val="22"/>
                <w:lang w:val="en-US" w:eastAsia="zh-CN"/>
              </w:rPr>
              <w:t>：在村庄、居民区等人口集中区布设管线时，采取临时围挡措施，减少扬尘、噪声影响。</w:t>
            </w:r>
          </w:p>
          <w:p>
            <w:pPr>
              <w:keepNext w:val="0"/>
              <w:keepLines w:val="0"/>
              <w:suppressLineNumbers w:val="0"/>
              <w:spacing w:before="0" w:beforeAutospacing="0" w:after="0" w:afterAutospacing="0" w:line="360" w:lineRule="auto"/>
              <w:ind w:left="0" w:leftChars="0" w:right="0" w:firstLine="480" w:firstLineChars="200"/>
              <w:jc w:val="both"/>
              <w:rPr>
                <w:rFonts w:hint="default"/>
                <w:b w:val="0"/>
                <w:bCs w:val="0"/>
                <w:color w:val="auto"/>
                <w:szCs w:val="22"/>
                <w:lang w:val="en-US" w:eastAsia="zh-CN"/>
              </w:rPr>
            </w:pPr>
            <w:r>
              <w:rPr>
                <w:rFonts w:hint="default"/>
                <w:b w:val="0"/>
                <w:bCs w:val="0"/>
                <w:color w:val="auto"/>
                <w:szCs w:val="22"/>
                <w:lang w:val="en-US" w:eastAsia="zh-CN"/>
              </w:rPr>
              <w:t>④管道安装</w:t>
            </w:r>
            <w:r>
              <w:rPr>
                <w:rFonts w:hint="eastAsia" w:ascii="Times New Roman" w:eastAsia="宋体"/>
                <w:b w:val="0"/>
                <w:bCs w:val="0"/>
                <w:color w:val="auto"/>
                <w:szCs w:val="22"/>
                <w:lang w:val="en-US" w:eastAsia="zh-CN"/>
              </w:rPr>
              <w:t>：管道安装包括管道焊接、下管入沟，本工程管材采用汽车运到施工场地，沿线堆放，安装时用人工搬运至工作面，管道组焊接采用埋弧焊方式，焊接好了后根据放线定位路线下管入沟，进行覆土填方，对沿线进行表面恢复。该过程会产生固废、噪声、废气、扬尘。固废主要为废弃土石方与焊渣，废弃土石方临时堆放于管沟旁，用于后期回填，焊渣收集后统一外售；噪声主要为施工机械噪声；废气主要为施工机械尾气与焊接烟尘。</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default"/>
                <w:b w:val="0"/>
                <w:bCs w:val="0"/>
                <w:color w:val="auto"/>
                <w:szCs w:val="22"/>
                <w:lang w:val="en-US" w:eastAsia="zh-CN"/>
              </w:rPr>
              <w:t>⑤试压生产</w:t>
            </w:r>
            <w:r>
              <w:rPr>
                <w:rFonts w:hint="eastAsia" w:ascii="Times New Roman" w:eastAsia="宋体"/>
                <w:b w:val="0"/>
                <w:bCs w:val="0"/>
                <w:color w:val="auto"/>
                <w:szCs w:val="22"/>
                <w:lang w:val="en-US" w:eastAsia="zh-CN"/>
              </w:rPr>
              <w:t>：管道安装完成后须进行试压试验。该过程会产生试压废水，废水收集后用于场地洒水降尘。</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根据主体设计及施工资料，本项目原水输水管道在虎丰村上跨新庄小河1次，在老坞村水源点附近下穿高铁线路1次，在葡萄村附近下穿高铁线路1次。各穿跨越施工方式如下：</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①在虎丰村跨越新庄小河时主体设计采用支墩架空形式上跨通过，跨越长度37m，支墩设置在新庄小河两侧的道路旁。</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支墩架空形式上跨山涧沟道：首先在施工图设计的支墩位置进行测量放线，确定支墩位置及支墩标高，再按照施工图设计进行支墩的基础开挖，基础开挖完成后进行支墩基础的浇筑，基础完成后进行支墩地上部分施工，支墩施工过程中同时进行架空管道的架设。</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②在老坞村水源点附近下穿高铁线路1次，在葡萄村附近下穿高铁线路1次，下穿地点高铁线路均采用架桥方式通过，下方留有道路，本项目管线沿现有道路边埋设，不对高铁线路造成影响。</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eastAsia="宋体"/>
                <w:b w:val="0"/>
                <w:bCs w:val="0"/>
                <w:color w:val="auto"/>
                <w:szCs w:val="22"/>
                <w:lang w:val="en-US" w:eastAsia="zh-CN"/>
              </w:rPr>
            </w:pPr>
            <w:r>
              <w:rPr>
                <w:rFonts w:hint="default" w:ascii="Times New Roman" w:eastAsia="宋体"/>
                <w:b w:val="0"/>
                <w:bCs w:val="0"/>
                <w:color w:val="auto"/>
                <w:szCs w:val="22"/>
                <w:lang w:val="en-US" w:eastAsia="zh-CN"/>
              </w:rPr>
              <w:t>本项目新建输水管道中除特定穿跨越管段外，其余管段均采用开挖管沟的形式进行敷设。</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eastAsia="宋体"/>
                <w:b w:val="0"/>
                <w:bCs w:val="0"/>
                <w:color w:val="auto"/>
                <w:szCs w:val="22"/>
                <w:lang w:val="en-US" w:eastAsia="zh-CN"/>
              </w:rPr>
            </w:pPr>
            <w:r>
              <w:rPr>
                <w:rFonts w:hint="default" w:ascii="Times New Roman" w:eastAsia="宋体"/>
                <w:b w:val="0"/>
                <w:bCs w:val="0"/>
                <w:color w:val="auto"/>
                <w:szCs w:val="22"/>
                <w:lang w:val="en-US" w:eastAsia="zh-CN"/>
              </w:rPr>
              <w:t>1、管沟开挖：本项目管沟开挖分为放坡和直槽两种形式。其中放坡管沟开挖过程沟底宽为管道外径加300mm，边坡率为1：0.3，开挖管沟时，沟底设计标高以上0.2~0.3m采用砂土或合乎要求的原土填补并分层夯实；直槽管沟开挖过程沟底宽为管道外径加500mm，开挖管沟时，沟底设计标高以上0.2~0.3m采用砂土或合乎要求的原土填补并分层夯实。在条件允许情况下优先采用放坡开挖，如管道在穿越公路敷设时采用直槽开挖。</w:t>
            </w:r>
          </w:p>
          <w:p>
            <w:pPr>
              <w:ind w:left="0" w:leftChars="0" w:firstLine="480" w:firstLineChars="200"/>
              <w:rPr>
                <w:rFonts w:hint="eastAsia"/>
                <w:b w:val="0"/>
                <w:bCs w:val="0"/>
                <w:color w:val="auto"/>
                <w:highlight w:val="none"/>
                <w:lang w:val="en-US" w:eastAsia="zh-CN"/>
              </w:rPr>
            </w:pPr>
            <w:r>
              <w:rPr>
                <w:rFonts w:hint="default" w:ascii="Times New Roman" w:eastAsia="宋体"/>
                <w:b w:val="0"/>
                <w:bCs w:val="0"/>
                <w:color w:val="auto"/>
                <w:szCs w:val="22"/>
                <w:lang w:val="en-US" w:eastAsia="zh-CN"/>
              </w:rPr>
              <w:t>2、管沟回填：在管道安装与铺设完毕后应尽快回填，回填的时间宜在一昼夜中气温最低的时刻，回填土中不应含有砾石、冻土块及其它杂硬物体。在管道试压前，管顶以上回填厚度不少于0.8m，以防试压时管道系统产生推移。管沟回填结束后对管沟开挖区域进行迹地恢复。</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（2）净水厂施工工艺流程</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本项目净水厂施工期工艺流程及产污环节见下图。</w:t>
            </w:r>
          </w:p>
          <w:p>
            <w:pPr>
              <w:ind w:left="0" w:leftChars="0" w:firstLine="0" w:firstLineChars="0"/>
              <w:jc w:val="center"/>
              <w:rPr>
                <w:rFonts w:hint="default"/>
                <w:b w:val="0"/>
                <w:bCs w:val="0"/>
                <w:color w:val="auto"/>
                <w:highlight w:val="none"/>
                <w:lang w:val="en-US" w:eastAsia="zh-CN"/>
              </w:rPr>
            </w:pPr>
            <w:r>
              <w:rPr>
                <w:color w:val="auto"/>
              </w:rPr>
              <w:drawing>
                <wp:inline distT="0" distB="0" distL="114300" distR="114300">
                  <wp:extent cx="3621405" cy="4044950"/>
                  <wp:effectExtent l="0" t="0" r="7620" b="3175"/>
                  <wp:docPr id="9"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true"/>
                          </pic:cNvPicPr>
                        </pic:nvPicPr>
                        <pic:blipFill>
                          <a:blip r:embed="rId17"/>
                          <a:stretch>
                            <a:fillRect/>
                          </a:stretch>
                        </pic:blipFill>
                        <pic:spPr>
                          <a:xfrm>
                            <a:off x="0" y="0"/>
                            <a:ext cx="3621405" cy="4044950"/>
                          </a:xfrm>
                          <a:prstGeom prst="rect">
                            <a:avLst/>
                          </a:prstGeom>
                          <a:noFill/>
                          <a:ln>
                            <a:noFill/>
                          </a:ln>
                        </pic:spPr>
                      </pic:pic>
                    </a:graphicData>
                  </a:graphic>
                </wp:inline>
              </w:drawing>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图2-4 水厂施工期工艺流程及产污环节示意图</w:t>
            </w:r>
          </w:p>
          <w:p>
            <w:pPr>
              <w:spacing w:line="360" w:lineRule="auto"/>
              <w:ind w:left="0" w:leftChars="0" w:firstLine="481" w:firstLineChars="200"/>
              <w:jc w:val="both"/>
              <w:rPr>
                <w:rFonts w:hint="default"/>
                <w:b/>
                <w:bCs/>
                <w:color w:val="auto"/>
                <w:highlight w:val="none"/>
                <w:lang w:val="en-US" w:eastAsia="zh-CN"/>
              </w:rPr>
            </w:pPr>
            <w:r>
              <w:rPr>
                <w:rFonts w:hint="default"/>
                <w:b/>
                <w:bCs/>
                <w:color w:val="auto"/>
                <w:highlight w:val="none"/>
                <w:lang w:val="en-US" w:eastAsia="zh-CN"/>
              </w:rPr>
              <w:t>工艺流程说明：</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①三通一平：“三通”主要为通电、通水、通路的施工。项目厂区施工用电搭接市政电网，用水从项目区附近的自来水管接入，项目区已有乡村道路接入，三通容易实现。</w:t>
            </w:r>
            <w:r>
              <w:rPr>
                <w:rFonts w:hint="eastAsia"/>
                <w:b w:val="0"/>
                <w:bCs w:val="0"/>
                <w:color w:val="auto"/>
                <w:highlight w:val="none"/>
                <w:lang w:val="en-US" w:eastAsia="zh-CN"/>
              </w:rPr>
              <w:t>“</w:t>
            </w:r>
            <w:r>
              <w:rPr>
                <w:rFonts w:hint="default"/>
                <w:b w:val="0"/>
                <w:bCs w:val="0"/>
                <w:color w:val="auto"/>
                <w:highlight w:val="none"/>
                <w:lang w:val="en-US" w:eastAsia="zh-CN"/>
              </w:rPr>
              <w:t>一平</w:t>
            </w:r>
            <w:r>
              <w:rPr>
                <w:rFonts w:hint="eastAsia"/>
                <w:b w:val="0"/>
                <w:bCs w:val="0"/>
                <w:color w:val="auto"/>
                <w:highlight w:val="none"/>
                <w:lang w:val="en-US" w:eastAsia="zh-CN"/>
              </w:rPr>
              <w:t>”</w:t>
            </w:r>
            <w:r>
              <w:rPr>
                <w:rFonts w:hint="default"/>
                <w:b w:val="0"/>
                <w:bCs w:val="0"/>
                <w:color w:val="auto"/>
                <w:highlight w:val="none"/>
                <w:lang w:val="en-US" w:eastAsia="zh-CN"/>
              </w:rPr>
              <w:t>为平整项目区场地，主要根据地坪设计标高，采用推土机分台阶平整场地。</w:t>
            </w:r>
            <w:r>
              <w:rPr>
                <w:rFonts w:hint="eastAsia"/>
                <w:b w:val="0"/>
                <w:bCs w:val="0"/>
                <w:color w:val="auto"/>
                <w:highlight w:val="none"/>
                <w:lang w:val="en-US" w:eastAsia="zh-CN"/>
              </w:rPr>
              <w:t>该过程会产生施工废水、施工人员生活垃圾、设备噪声、扬尘、机械尾气等。</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②土石方工程：土方开挖工程采用挖掘机开挖建筑物基础，挖方部分堆放到合适地点，准备建筑物封顶后回填基础，其余按照地坪设计标高回填地表及绿化。基础开挖后进行基础施工和混凝土浇灌，并进行养护。该过程会产生废弃土石方、设备噪声、扬尘、机械尾气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③主体结构施工：主体结构主要进行各水池地下构筑物施工以及综合楼、加氯间、门卫室等建筑物上部建筑施工。该过程会产生施工废水、施工人员生活垃圾、设备噪声、扬尘、机械尾气等。</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④配套工程施工：配套工程施工主要进行厂区道路、化粪池、室外管沟线的施工。该过程会产生施工废水、施工人员生活垃圾、设备噪声、扬尘、机械尾气等。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⑤</w:t>
            </w:r>
            <w:r>
              <w:rPr>
                <w:rFonts w:hint="default"/>
                <w:b w:val="0"/>
                <w:bCs w:val="0"/>
                <w:color w:val="auto"/>
                <w:highlight w:val="none"/>
                <w:lang w:val="en-US" w:eastAsia="zh-CN"/>
              </w:rPr>
              <w:t>装饰工程</w:t>
            </w:r>
            <w:r>
              <w:rPr>
                <w:rFonts w:hint="eastAsia"/>
                <w:b w:val="0"/>
                <w:bCs w:val="0"/>
                <w:color w:val="auto"/>
                <w:highlight w:val="none"/>
                <w:lang w:val="en-US" w:eastAsia="zh-CN"/>
              </w:rPr>
              <w:t>：</w:t>
            </w:r>
            <w:r>
              <w:rPr>
                <w:rFonts w:hint="default"/>
                <w:b w:val="0"/>
                <w:bCs w:val="0"/>
                <w:color w:val="auto"/>
                <w:highlight w:val="none"/>
                <w:lang w:val="en-US" w:eastAsia="zh-CN"/>
              </w:rPr>
              <w:t>装饰工程主要为办公楼、食堂、加氯间等根据设计方案进行隔断、处理门、窗、柱、梁外观以及墙面，地坪等，进行粉刷、贴砖、包木、贴纸，装修卫生间，布置安装办公用具、灯具等</w:t>
            </w:r>
            <w:r>
              <w:rPr>
                <w:rFonts w:hint="eastAsia"/>
                <w:b w:val="0"/>
                <w:bCs w:val="0"/>
                <w:color w:val="auto"/>
                <w:highlight w:val="none"/>
                <w:lang w:val="en-US" w:eastAsia="zh-CN"/>
              </w:rPr>
              <w:t>。该过程会产生施工人员生活垃圾、设备噪声等。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⑥设备安装、试压生产及竣工验收：根据设计，安装项目运行所需设备，如管道混合器、次氯酸钠发生器等。待管网建成后，试压正常后，即可投入正常生产。该过程会产生施工人员生活垃圾、设备噪声等。</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2、运营期工艺流程及产污情况</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本项目水厂营运期生产工艺流程及产污环节见下图。</w:t>
            </w:r>
          </w:p>
          <w:p>
            <w:pPr>
              <w:ind w:left="0" w:leftChars="0" w:firstLine="0" w:firstLineChars="0"/>
              <w:jc w:val="center"/>
              <w:rPr>
                <w:rFonts w:hint="eastAsia"/>
                <w:color w:val="auto"/>
                <w:highlight w:val="none"/>
                <w:lang w:val="en-US" w:eastAsia="zh-CN"/>
              </w:rPr>
            </w:pPr>
            <w:r>
              <w:rPr>
                <w:color w:val="auto"/>
              </w:rPr>
              <w:drawing>
                <wp:inline distT="0" distB="0" distL="114300" distR="114300">
                  <wp:extent cx="4620895" cy="5523230"/>
                  <wp:effectExtent l="0" t="0" r="3175" b="8890"/>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18"/>
                          <a:stretch>
                            <a:fillRect/>
                          </a:stretch>
                        </pic:blipFill>
                        <pic:spPr>
                          <a:xfrm>
                            <a:off x="0" y="0"/>
                            <a:ext cx="4620895" cy="5523230"/>
                          </a:xfrm>
                          <a:prstGeom prst="rect">
                            <a:avLst/>
                          </a:prstGeom>
                          <a:noFill/>
                          <a:ln>
                            <a:noFill/>
                          </a:ln>
                        </pic:spPr>
                      </pic:pic>
                    </a:graphicData>
                  </a:graphic>
                </wp:inline>
              </w:drawing>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图2-5 运营期水处理工艺流程及产污环节示意图</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工艺流程说明：</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①初沉池：原水从泉点涌出后进如初沉池，进行初步沉淀，使大块固体沉淀，防止堵塞原水输水管道。该过程会产生少量沉沙，定期进行清掏，并委托处置。</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②调节池：本项目共设置3座初沉池，原水经初沉池沉淀后进入调节池，原水由调节池进入输水管道。</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③配水井：原水通过输水管道输送至水厂，经过给水管道进入配水井，通过配水井内提升泵将原水输送至管道混合器。</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④管道混合：在管道混合器中投加絮凝剂及消毒剂，使投入水中的混凝剂能迅速而均匀地扩散于水体，使水中的胶体脱稳，提高凝聚效果。</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⑤絮凝沉淀：在水流作用下使微絮粒相互碰撞，形成絮粒，使其沉淀。本项目絮凝采用网格絮凝池，由多种竖井串联而成。絮凝池分成许多面积相等的方格，进水流顺序从一格流向下一格，上下交错流动，直至出口。在全池三分之二的分格内，水平放置网格或栅条。通过网格或栅条的孔隙时，水流收缩，过网孔后水流扩大，形成良好絮凝条件；本项目沉淀采用斜管沉淀池，在沉淀池内装置许多直径较小的平行倾斜管，让在絮凝池产生的矾花在沉淀池中分离出来，沉淀池底部设置排泥泵，将沉淀至底部的污泥泵至回收水池。该过程会产生排泥水，排泥水进入回收水池沉淀后，上清液返回配水井，底部污泥通过排泥泵排至污泥干化场，经过自然干燥后运出厂区，委托处置。</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⑥虹吸滤池：让沉淀处理后未分离的絮体经滤池过滤后比较彻底的分离，保证产水的浊度指标要求。虹吸滤池需要定期进行反冲洗，防止堵塞。该过程会产生反冲洗废水，反冲洗废水进入回收水池沉淀后，上清液返回配水井，底部污泥通过排泥泵排至污泥干化场，经过自然干燥后运出厂区，委托处置。</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⑦清水池：过滤后的水进入清水池，再清水池底部供水管网供向各用水区域。</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⑧消毒剂制备：本项目采用次氯酸钠发生器制备次氯酸钠。首先，自来水进水经软水器软化后，水中的钙、镁离子被去除，生成软化水。一部分软化水进入软化水箱存贮，为次氯酸钠发生器的进水提供稀释水；另一部分进入溶盐箱溶解精制盐，成为浓度30％的饱和食盐水，饱和食盐水经计量泵与稀释水精确配水混合至盐水浓度为3％，进入次氯酸钠发生器。溶液在直流电作用下被电解反应生成次氯酸钠溶液。</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⑨化验室抽检：经水处理工序处理后的原水需要定期抽检，确保水质满足《生活饮用水卫生标准》（GB5749-2006）。该过程会产生少量清洗废水、化验室废液及沾染药剂的废弃包装物，其中化验室清洗废水经中和处理后用于厂区绿化，化验室废液及沾染药剂的废弃包装物暂存于危废暂存间内，定期委托有资质单位进行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spacing w:line="360" w:lineRule="auto"/>
              <w:ind w:firstLine="0" w:firstLineChars="0"/>
              <w:rPr>
                <w:color w:val="auto"/>
                <w:highlight w:val="none"/>
              </w:rPr>
            </w:pPr>
            <w:r>
              <w:rPr>
                <w:rFonts w:hint="eastAsia"/>
                <w:color w:val="auto"/>
                <w:highlight w:val="none"/>
              </w:rPr>
              <w:t>与项目有关的原有环境污染和生态破坏问题</w:t>
            </w:r>
          </w:p>
        </w:tc>
        <w:tc>
          <w:tcPr>
            <w:tcW w:w="7500" w:type="dxa"/>
            <w:vAlign w:val="center"/>
          </w:tcPr>
          <w:p>
            <w:pPr>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本项目属于新建项目，经现场踏勘，无任何原有环境污染及生态破坏问题。</w:t>
            </w:r>
          </w:p>
        </w:tc>
      </w:tr>
    </w:tbl>
    <w:p>
      <w:pPr>
        <w:pStyle w:val="2"/>
        <w:jc w:val="center"/>
        <w:rPr>
          <w:color w:val="auto"/>
          <w:highlight w:val="none"/>
        </w:rPr>
      </w:pPr>
      <w:r>
        <w:rPr>
          <w:rFonts w:hint="eastAsia"/>
          <w:color w:val="auto"/>
          <w:highlight w:val="none"/>
        </w:rPr>
        <w:br w:type="page"/>
      </w:r>
      <w:bookmarkStart w:id="3" w:name="_Toc31593"/>
      <w:r>
        <w:rPr>
          <w:rFonts w:hint="eastAsia"/>
          <w:color w:val="auto"/>
          <w:highlight w:val="none"/>
        </w:rPr>
        <w:t>三、区域环境质量现状、保护目标及评价标准</w:t>
      </w:r>
      <w:bookmarkEnd w:id="3"/>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75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区域环境质量现状</w:t>
            </w:r>
          </w:p>
        </w:tc>
        <w:tc>
          <w:tcPr>
            <w:tcW w:w="7511" w:type="dxa"/>
            <w:vAlign w:val="center"/>
          </w:tcPr>
          <w:p>
            <w:pPr>
              <w:numPr>
                <w:ilvl w:val="0"/>
                <w:numId w:val="0"/>
              </w:numPr>
              <w:ind w:firstLine="481" w:firstLineChars="200"/>
              <w:rPr>
                <w:rFonts w:hint="default" w:eastAsia="宋体"/>
                <w:b/>
                <w:bCs/>
                <w:color w:val="auto"/>
                <w:highlight w:val="none"/>
                <w:lang w:val="en-US" w:eastAsia="zh-CN"/>
              </w:rPr>
            </w:pPr>
            <w:r>
              <w:rPr>
                <w:rFonts w:hint="eastAsia"/>
                <w:b/>
                <w:bCs/>
                <w:color w:val="auto"/>
                <w:highlight w:val="none"/>
                <w:lang w:val="en-US" w:eastAsia="zh-CN"/>
              </w:rPr>
              <w:t>1、</w:t>
            </w:r>
            <w:r>
              <w:rPr>
                <w:rFonts w:hint="eastAsia"/>
                <w:b/>
                <w:bCs/>
                <w:color w:val="auto"/>
                <w:highlight w:val="none"/>
              </w:rPr>
              <w:t>大气环境</w:t>
            </w:r>
          </w:p>
          <w:p>
            <w:pPr>
              <w:numPr>
                <w:ilvl w:val="0"/>
                <w:numId w:val="0"/>
              </w:numPr>
              <w:ind w:firstLine="480" w:firstLineChars="200"/>
              <w:rPr>
                <w:rFonts w:hint="eastAsia" w:eastAsia="宋体"/>
                <w:color w:val="auto"/>
                <w:highlight w:val="none"/>
                <w:lang w:val="en-US" w:eastAsia="zh-CN"/>
              </w:rPr>
            </w:pPr>
            <w:r>
              <w:rPr>
                <w:rFonts w:hint="eastAsia" w:eastAsia="宋体"/>
                <w:color w:val="auto"/>
                <w:highlight w:val="none"/>
                <w:lang w:val="en-US" w:eastAsia="zh-CN"/>
              </w:rPr>
              <w:t>本项目位于云南省</w:t>
            </w:r>
            <w:r>
              <w:rPr>
                <w:rFonts w:hint="eastAsia"/>
                <w:color w:val="auto"/>
                <w:highlight w:val="none"/>
                <w:lang w:val="en-US" w:eastAsia="zh-CN"/>
              </w:rPr>
              <w:t>昆明市宜良县</w:t>
            </w:r>
            <w:r>
              <w:rPr>
                <w:rFonts w:hint="eastAsia" w:eastAsia="宋体"/>
                <w:color w:val="auto"/>
                <w:highlight w:val="none"/>
                <w:lang w:val="en-US" w:eastAsia="zh-CN"/>
              </w:rPr>
              <w:t>，根据《云南省环境空气质量功能区划分》，项目区属于环境空气功能区二类区，执行《环境空气质量标准》（GB3095-2012）二级标准。</w:t>
            </w:r>
          </w:p>
          <w:p>
            <w:pPr>
              <w:numPr>
                <w:ilvl w:val="0"/>
                <w:numId w:val="0"/>
              </w:numPr>
              <w:ind w:firstLine="480" w:firstLineChars="200"/>
              <w:rPr>
                <w:rFonts w:hint="eastAsia" w:eastAsia="宋体"/>
                <w:color w:val="auto"/>
                <w:highlight w:val="none"/>
                <w:lang w:val="en-US" w:eastAsia="zh-CN"/>
              </w:rPr>
            </w:pPr>
            <w:r>
              <w:rPr>
                <w:rFonts w:hint="eastAsia" w:eastAsia="宋体"/>
                <w:color w:val="auto"/>
                <w:highlight w:val="none"/>
                <w:lang w:val="en-US" w:eastAsia="zh-CN"/>
              </w:rPr>
              <w:t>根据昆明市生态环境局2022年5月31日发布的《2021年度昆明市生态环境状况公报》，</w:t>
            </w:r>
            <w:r>
              <w:rPr>
                <w:rFonts w:hint="eastAsia"/>
                <w:color w:val="auto"/>
                <w:highlight w:val="none"/>
                <w:lang w:val="en-US" w:eastAsia="zh-CN"/>
              </w:rPr>
              <w:t>昆明市各县（市）区环境空气质量总体保持良好</w:t>
            </w:r>
            <w:r>
              <w:rPr>
                <w:rFonts w:hint="eastAsia" w:eastAsia="宋体"/>
                <w:color w:val="auto"/>
                <w:highlight w:val="none"/>
                <w:lang w:val="en-US" w:eastAsia="zh-CN"/>
              </w:rPr>
              <w:t>。与2020年相比，</w:t>
            </w:r>
            <w:r>
              <w:rPr>
                <w:rFonts w:hint="eastAsia"/>
                <w:color w:val="auto"/>
                <w:highlight w:val="none"/>
                <w:lang w:val="en-US" w:eastAsia="zh-CN"/>
              </w:rPr>
              <w:t>安宁市、禄劝县环境空气综合污染指数有所下降，东川区、石林县、嵩明县、富民县、宜良县、寻甸县和阳宗海风景名胜区环境空气综合污染指数有所上升</w:t>
            </w:r>
            <w:r>
              <w:rPr>
                <w:rFonts w:hint="eastAsia" w:eastAsia="宋体"/>
                <w:color w:val="auto"/>
                <w:highlight w:val="none"/>
                <w:lang w:val="en-US" w:eastAsia="zh-CN"/>
              </w:rPr>
              <w:t>。</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2、地表水环境</w:t>
            </w:r>
          </w:p>
          <w:p>
            <w:pPr>
              <w:numPr>
                <w:ilvl w:val="0"/>
                <w:numId w:val="0"/>
              </w:numPr>
              <w:ind w:firstLine="481" w:firstLineChars="200"/>
              <w:rPr>
                <w:rFonts w:hint="default" w:cs="Times New Roman"/>
                <w:b/>
                <w:bCs/>
                <w:color w:val="auto"/>
                <w:highlight w:val="none"/>
                <w:lang w:val="en-US" w:eastAsia="zh-CN"/>
              </w:rPr>
            </w:pPr>
            <w:r>
              <w:rPr>
                <w:rFonts w:hint="eastAsia" w:cs="Times New Roman"/>
                <w:b/>
                <w:bCs/>
                <w:color w:val="auto"/>
                <w:highlight w:val="none"/>
                <w:lang w:val="en-US" w:eastAsia="zh-CN"/>
              </w:rPr>
              <w:t>（1）项目所在区域地表水环境现状</w:t>
            </w:r>
          </w:p>
          <w:p>
            <w:pPr>
              <w:numPr>
                <w:ilvl w:val="0"/>
                <w:numId w:val="0"/>
              </w:numPr>
              <w:ind w:firstLine="480" w:firstLineChars="200"/>
              <w:rPr>
                <w:rFonts w:hint="default"/>
                <w:color w:val="auto"/>
                <w:highlight w:val="none"/>
                <w:lang w:val="en-US" w:eastAsia="zh-CN"/>
              </w:rPr>
            </w:pPr>
            <w:r>
              <w:rPr>
                <w:rFonts w:hint="eastAsia" w:cs="Times New Roman"/>
                <w:color w:val="auto"/>
                <w:highlight w:val="none"/>
                <w:lang w:val="en-US" w:eastAsia="zh-CN"/>
              </w:rPr>
              <w:t>项目所在区域最近的水体为项目水厂东</w:t>
            </w:r>
            <w:r>
              <w:rPr>
                <w:rFonts w:hint="default" w:ascii="Times New Roman" w:hAnsi="Times New Roman" w:cs="Times New Roman"/>
                <w:color w:val="auto"/>
                <w:highlight w:val="none"/>
                <w:lang w:val="en-US" w:eastAsia="zh-CN"/>
              </w:rPr>
              <w:t>侧的</w:t>
            </w:r>
            <w:r>
              <w:rPr>
                <w:rFonts w:hint="eastAsia" w:cs="Times New Roman"/>
                <w:color w:val="auto"/>
                <w:highlight w:val="none"/>
                <w:lang w:val="en-US" w:eastAsia="zh-CN"/>
              </w:rPr>
              <w:t>新塘子沟</w:t>
            </w:r>
            <w:r>
              <w:rPr>
                <w:rFonts w:hint="default" w:ascii="Times New Roman" w:hAnsi="Times New Roman" w:cs="Times New Roman"/>
                <w:color w:val="auto"/>
                <w:highlight w:val="none"/>
                <w:lang w:val="en-US" w:eastAsia="zh-CN"/>
              </w:rPr>
              <w:t>，距离项目约</w:t>
            </w:r>
            <w:r>
              <w:rPr>
                <w:rFonts w:hint="eastAsia" w:cs="Times New Roman"/>
                <w:color w:val="auto"/>
                <w:highlight w:val="none"/>
                <w:lang w:val="en-US" w:eastAsia="zh-CN"/>
              </w:rPr>
              <w:t>40</w:t>
            </w:r>
            <w:r>
              <w:rPr>
                <w:rFonts w:hint="default" w:ascii="Times New Roman" w:hAnsi="Times New Roman" w:cs="Times New Roman"/>
                <w:color w:val="auto"/>
                <w:highlight w:val="none"/>
                <w:lang w:val="en-US" w:eastAsia="zh-CN"/>
              </w:rPr>
              <w:t>m</w:t>
            </w:r>
            <w:r>
              <w:rPr>
                <w:rFonts w:hint="eastAsia" w:cs="Times New Roman"/>
                <w:color w:val="auto"/>
                <w:highlight w:val="none"/>
                <w:lang w:val="en-US" w:eastAsia="zh-CN"/>
              </w:rPr>
              <w:t>，同时本项目引水管线采用支墩架空形式跨越新庄小河</w:t>
            </w:r>
            <w:r>
              <w:rPr>
                <w:rFonts w:hint="default" w:ascii="Times New Roman" w:hAnsi="Times New Roman" w:cs="Times New Roman"/>
                <w:color w:val="auto"/>
                <w:highlight w:val="none"/>
                <w:lang w:val="en-US" w:eastAsia="zh-CN"/>
              </w:rPr>
              <w:t>。新塘子沟</w:t>
            </w:r>
            <w:r>
              <w:rPr>
                <w:rFonts w:hint="eastAsia" w:cs="Times New Roman"/>
                <w:color w:val="auto"/>
                <w:highlight w:val="none"/>
                <w:lang w:val="en-US" w:eastAsia="zh-CN"/>
              </w:rPr>
              <w:t>属于南盘江二级支流，</w:t>
            </w:r>
            <w:r>
              <w:rPr>
                <w:rFonts w:hint="default" w:ascii="Times New Roman" w:hAnsi="Times New Roman" w:cs="Times New Roman"/>
                <w:color w:val="auto"/>
                <w:highlight w:val="none"/>
                <w:lang w:val="en-US" w:eastAsia="zh-CN"/>
              </w:rPr>
              <w:t>根据《云南省水功能区划（2014年修订）》，项目区地表水</w:t>
            </w:r>
            <w:r>
              <w:rPr>
                <w:rFonts w:hint="eastAsia" w:cs="Times New Roman"/>
                <w:color w:val="auto"/>
                <w:highlight w:val="none"/>
                <w:lang w:val="en-US" w:eastAsia="zh-CN"/>
              </w:rPr>
              <w:t>属于</w:t>
            </w:r>
            <w:r>
              <w:rPr>
                <w:rFonts w:hint="default" w:ascii="Times New Roman" w:hAnsi="Times New Roman" w:cs="Times New Roman"/>
                <w:color w:val="auto"/>
                <w:highlight w:val="none"/>
                <w:lang w:val="en-US" w:eastAsia="zh-CN"/>
              </w:rPr>
              <w:t>南盘江宜良-弥勒保留区，由宜良县高古马水文站至</w:t>
            </w:r>
            <w:r>
              <w:rPr>
                <w:rFonts w:hint="eastAsia" w:cs="Times New Roman"/>
                <w:color w:val="auto"/>
                <w:highlight w:val="none"/>
                <w:lang w:val="en-US" w:eastAsia="zh-CN"/>
              </w:rPr>
              <w:t>弥勒市</w:t>
            </w:r>
            <w:r>
              <w:rPr>
                <w:rFonts w:hint="default" w:ascii="Times New Roman" w:hAnsi="Times New Roman" w:cs="Times New Roman"/>
                <w:color w:val="auto"/>
                <w:highlight w:val="none"/>
                <w:lang w:val="en-US" w:eastAsia="zh-CN"/>
              </w:rPr>
              <w:t>木林柏，全长235.0km，</w:t>
            </w:r>
            <w:r>
              <w:rPr>
                <w:rFonts w:hint="eastAsia" w:cs="Times New Roman"/>
                <w:color w:val="auto"/>
                <w:highlight w:val="none"/>
                <w:lang w:val="en-US" w:eastAsia="zh-CN"/>
              </w:rPr>
              <w:t>2030年</w:t>
            </w:r>
            <w:r>
              <w:rPr>
                <w:rFonts w:hint="default" w:ascii="Times New Roman" w:hAnsi="Times New Roman" w:cs="Times New Roman"/>
                <w:color w:val="auto"/>
                <w:highlight w:val="none"/>
                <w:lang w:val="en-US" w:eastAsia="zh-CN"/>
              </w:rPr>
              <w:t>规划水平年水质目标为Ⅲ类。</w:t>
            </w:r>
            <w:r>
              <w:rPr>
                <w:rFonts w:hint="default"/>
                <w:color w:val="auto"/>
                <w:highlight w:val="none"/>
                <w:lang w:val="en-US" w:eastAsia="zh-CN"/>
              </w:rPr>
              <w:t>水环境执行《地表水环境质量标准》</w:t>
            </w:r>
            <w:r>
              <w:rPr>
                <w:rFonts w:hint="eastAsia"/>
                <w:color w:val="auto"/>
                <w:highlight w:val="none"/>
                <w:lang w:val="en-US" w:eastAsia="zh-CN"/>
              </w:rPr>
              <w:t>（</w:t>
            </w:r>
            <w:r>
              <w:rPr>
                <w:rFonts w:hint="default"/>
                <w:color w:val="auto"/>
                <w:highlight w:val="none"/>
                <w:lang w:val="en-US" w:eastAsia="zh-CN"/>
              </w:rPr>
              <w:t>GB3838-2002</w:t>
            </w:r>
            <w:r>
              <w:rPr>
                <w:rFonts w:hint="eastAsia"/>
                <w:color w:val="auto"/>
                <w:highlight w:val="none"/>
                <w:lang w:val="en-US" w:eastAsia="zh-CN"/>
              </w:rPr>
              <w:t>）</w:t>
            </w:r>
            <w:r>
              <w:rPr>
                <w:rFonts w:hint="default"/>
                <w:color w:val="auto"/>
                <w:highlight w:val="none"/>
                <w:lang w:val="en-US" w:eastAsia="zh-CN"/>
              </w:rPr>
              <w:t>中的Ⅲ类水质标准。</w:t>
            </w:r>
          </w:p>
          <w:p>
            <w:pPr>
              <w:numPr>
                <w:ilvl w:val="0"/>
                <w:numId w:val="0"/>
              </w:numPr>
              <w:ind w:firstLine="48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根据</w:t>
            </w:r>
            <w:r>
              <w:rPr>
                <w:rFonts w:hint="eastAsia" w:cs="Times New Roman"/>
                <w:b w:val="0"/>
                <w:bCs w:val="0"/>
                <w:color w:val="auto"/>
                <w:highlight w:val="none"/>
                <w:lang w:val="en-US" w:eastAsia="zh-CN"/>
              </w:rPr>
              <w:t>《2021年度昆明市生态环境状况公报》，与2020年相比，南盘江2021年禄丰村断面水质类别保持Ⅲ类不变，本项目所涉及地表水体与南盘江汇合处位于南盘江禄丰村断面上游</w:t>
            </w:r>
            <w:r>
              <w:rPr>
                <w:rFonts w:hint="default" w:ascii="Times New Roman" w:hAnsi="Times New Roman" w:cs="Times New Roman"/>
                <w:b w:val="0"/>
                <w:bCs w:val="0"/>
                <w:color w:val="auto"/>
                <w:highlight w:val="none"/>
                <w:lang w:val="en-US" w:eastAsia="zh-CN"/>
              </w:rPr>
              <w:t>，</w:t>
            </w:r>
            <w:r>
              <w:rPr>
                <w:rFonts w:hint="eastAsia" w:cs="Times New Roman"/>
                <w:b w:val="0"/>
                <w:bCs w:val="0"/>
                <w:color w:val="auto"/>
                <w:highlight w:val="none"/>
                <w:lang w:val="en-US" w:eastAsia="zh-CN"/>
              </w:rPr>
              <w:t>因此本项目所在区域地表水满足</w:t>
            </w:r>
            <w:r>
              <w:rPr>
                <w:rFonts w:hint="default" w:ascii="Times New Roman" w:hAnsi="Times New Roman" w:cs="Times New Roman"/>
                <w:b w:val="0"/>
                <w:bCs w:val="0"/>
                <w:color w:val="auto"/>
                <w:highlight w:val="none"/>
                <w:lang w:val="en-US" w:eastAsia="zh-CN"/>
              </w:rPr>
              <w:t>《地表水环境质量标准》（GB3838-2002）中的Ⅲ类水质标准。</w:t>
            </w:r>
          </w:p>
          <w:p>
            <w:pPr>
              <w:numPr>
                <w:ilvl w:val="0"/>
                <w:numId w:val="0"/>
              </w:numPr>
              <w:ind w:firstLine="481" w:firstLineChars="200"/>
              <w:rPr>
                <w:rFonts w:hint="eastAsia" w:cs="Times New Roman"/>
                <w:b/>
                <w:bCs/>
                <w:color w:val="auto"/>
                <w:highlight w:val="none"/>
                <w:lang w:val="en-US" w:eastAsia="zh-CN"/>
              </w:rPr>
            </w:pPr>
            <w:r>
              <w:rPr>
                <w:rFonts w:hint="eastAsia" w:cs="Times New Roman"/>
                <w:b/>
                <w:bCs/>
                <w:color w:val="auto"/>
                <w:highlight w:val="none"/>
                <w:lang w:val="en-US" w:eastAsia="zh-CN"/>
              </w:rPr>
              <w:t>（2）项目水源点水质现状</w:t>
            </w:r>
          </w:p>
          <w:p>
            <w:pPr>
              <w:numPr>
                <w:ilvl w:val="0"/>
                <w:numId w:val="0"/>
              </w:numPr>
              <w:ind w:firstLine="480" w:firstLineChars="200"/>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根据《宜良县南羊片区供水一体化项目老石山隧道水源点水文水资源调查报告》，建设单位2021年6月6日分别对老石山隧道涌水点涌水及阳宗隧洞水源涌水点涌水进行取样检测。检测检测结果详见下表。</w:t>
            </w:r>
          </w:p>
          <w:p>
            <w:pPr>
              <w:numPr>
                <w:ilvl w:val="0"/>
                <w:numId w:val="0"/>
              </w:numPr>
              <w:spacing w:line="240" w:lineRule="auto"/>
              <w:jc w:val="center"/>
              <w:rPr>
                <w:rFonts w:hint="eastAsia" w:cs="Times New Roman"/>
                <w:b/>
                <w:bCs/>
                <w:color w:val="auto"/>
                <w:highlight w:val="none"/>
                <w:lang w:val="en-US" w:eastAsia="zh-CN"/>
              </w:rPr>
            </w:pPr>
            <w:r>
              <w:rPr>
                <w:rFonts w:hint="eastAsia" w:cs="Times New Roman"/>
                <w:b/>
                <w:bCs/>
                <w:color w:val="auto"/>
                <w:highlight w:val="none"/>
                <w:lang w:val="en-US" w:eastAsia="zh-CN"/>
              </w:rPr>
              <w:t>表3-1 水源点水质检测结果一览表</w:t>
            </w:r>
          </w:p>
          <w:tbl>
            <w:tblPr>
              <w:tblStyle w:val="35"/>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1276"/>
              <w:gridCol w:w="1009"/>
              <w:gridCol w:w="859"/>
              <w:gridCol w:w="1052"/>
              <w:gridCol w:w="2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老石山隧道</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阳宗隧洞</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标准GB5749-2006</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限值</w:t>
                  </w:r>
                  <w:r>
                    <w:rPr>
                      <w:rFonts w:hint="eastAsia" w:ascii="Times New Roman" w:hAnsi="Times New Roman" w:eastAsia="宋体" w:cs="Times New Roman"/>
                      <w:b/>
                      <w:bCs/>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度</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铂钴色度单位，15度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浑浊度</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NTU</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1，水源与净水技术条件限制时为3度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臭和味</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无异臭、异味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肉眼可见物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菌落总数</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CUF/mL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100CUF/mL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总大肠菌群</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MPN/100mL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不得检出MPN/100mL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CODMn</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以O2计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0.36</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水源限制</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原水耗氧量&gt;6mg/L时为5mg/L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铝</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硝酸盐</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以氮计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0.43</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地下水源限制时为20mg/L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总硬度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以碳酸钙计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156.65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铁</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溶解性总固体</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209</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82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硫酸盐</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16.19</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0.38</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挥发酚类</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以苯酚计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氰化物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阴离子合成洗涤剂</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0.0006</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锌</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铬</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六价</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锰</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硒</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0.001mg/L</w:t>
                  </w:r>
                </w:p>
              </w:tc>
            </w:tr>
          </w:tbl>
          <w:p>
            <w:pPr>
              <w:numPr>
                <w:ilvl w:val="0"/>
                <w:numId w:val="0"/>
              </w:numPr>
              <w:spacing w:line="360" w:lineRule="auto"/>
              <w:ind w:firstLine="480" w:firstLineChars="200"/>
              <w:jc w:val="both"/>
              <w:rPr>
                <w:rFonts w:hint="default" w:cs="Times New Roman"/>
                <w:b w:val="0"/>
                <w:bCs w:val="0"/>
                <w:color w:val="auto"/>
                <w:highlight w:val="none"/>
                <w:lang w:val="en-US" w:eastAsia="zh-CN"/>
              </w:rPr>
            </w:pPr>
            <w:r>
              <w:rPr>
                <w:rFonts w:hint="eastAsia" w:cs="Times New Roman"/>
                <w:b w:val="0"/>
                <w:bCs w:val="0"/>
                <w:color w:val="auto"/>
                <w:highlight w:val="none"/>
                <w:lang w:val="en-US" w:eastAsia="zh-CN"/>
              </w:rPr>
              <w:t>综上，本项目水源点水质满足《生活饮用水卫生标准》（GB5749-2006）。</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3、声环境</w:t>
            </w:r>
          </w:p>
          <w:p>
            <w:pPr>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项目位于</w:t>
            </w:r>
            <w:r>
              <w:rPr>
                <w:rFonts w:hint="eastAsia"/>
                <w:color w:val="auto"/>
                <w:highlight w:val="none"/>
                <w:lang w:val="en-US" w:eastAsia="zh-CN"/>
              </w:rPr>
              <w:t>云南省昆明市宜良县</w:t>
            </w:r>
            <w:r>
              <w:rPr>
                <w:rFonts w:hint="default"/>
                <w:color w:val="auto"/>
                <w:highlight w:val="none"/>
                <w:lang w:val="en-US" w:eastAsia="zh-CN"/>
              </w:rPr>
              <w:t>，区域声环境功能为</w:t>
            </w:r>
            <w:r>
              <w:rPr>
                <w:rFonts w:hint="eastAsia"/>
                <w:color w:val="auto"/>
                <w:highlight w:val="none"/>
                <w:lang w:val="en-US" w:eastAsia="zh-CN"/>
              </w:rPr>
              <w:t>2</w:t>
            </w:r>
            <w:r>
              <w:rPr>
                <w:rFonts w:hint="default"/>
                <w:color w:val="auto"/>
                <w:highlight w:val="none"/>
                <w:lang w:val="en-US" w:eastAsia="zh-CN"/>
              </w:rPr>
              <w:t>类区，按《声环境质量标准》（GB3096-2008）</w:t>
            </w:r>
            <w:r>
              <w:rPr>
                <w:rFonts w:hint="eastAsia"/>
                <w:color w:val="auto"/>
                <w:highlight w:val="none"/>
                <w:lang w:val="en-US" w:eastAsia="zh-CN"/>
              </w:rPr>
              <w:t>2</w:t>
            </w:r>
            <w:r>
              <w:rPr>
                <w:rFonts w:hint="default"/>
                <w:color w:val="auto"/>
                <w:highlight w:val="none"/>
                <w:lang w:val="en-US" w:eastAsia="zh-CN"/>
              </w:rPr>
              <w:t>类标准进行控制。</w:t>
            </w:r>
          </w:p>
          <w:p>
            <w:pPr>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根据现场踏勘，本项目周边50m范围内不存在声环境保护目标，因此本项目不对声环境现状进行监测。根据《2021年度昆明市生态环境状况公报》，</w:t>
            </w:r>
            <w:r>
              <w:rPr>
                <w:rFonts w:hint="eastAsia"/>
                <w:color w:val="auto"/>
                <w:highlight w:val="none"/>
                <w:lang w:val="en-US" w:eastAsia="zh-CN"/>
              </w:rPr>
              <w:t>2021</w:t>
            </w:r>
            <w:r>
              <w:rPr>
                <w:rFonts w:hint="default"/>
                <w:color w:val="auto"/>
                <w:highlight w:val="none"/>
                <w:lang w:val="en-US" w:eastAsia="zh-CN"/>
              </w:rPr>
              <w:t>年</w:t>
            </w:r>
            <w:r>
              <w:rPr>
                <w:rFonts w:hint="eastAsia"/>
                <w:color w:val="auto"/>
                <w:highlight w:val="none"/>
                <w:lang w:val="en-US" w:eastAsia="zh-CN"/>
              </w:rPr>
              <w:t>宜良县</w:t>
            </w:r>
            <w:r>
              <w:rPr>
                <w:rFonts w:hint="default"/>
                <w:color w:val="auto"/>
                <w:highlight w:val="none"/>
                <w:lang w:val="en-US" w:eastAsia="zh-CN"/>
              </w:rPr>
              <w:t>区域</w:t>
            </w:r>
            <w:r>
              <w:rPr>
                <w:rFonts w:hint="eastAsia"/>
                <w:color w:val="auto"/>
                <w:highlight w:val="none"/>
                <w:lang w:val="en-US" w:eastAsia="zh-CN"/>
              </w:rPr>
              <w:t>环境（昼间）噪声平均等效声级为56.1分贝，</w:t>
            </w:r>
            <w:r>
              <w:rPr>
                <w:rFonts w:hint="default"/>
                <w:color w:val="auto"/>
                <w:highlight w:val="none"/>
                <w:lang w:val="en-US" w:eastAsia="zh-CN"/>
              </w:rPr>
              <w:t>水平等级为二级。</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4、生态环境</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（1）净水厂</w:t>
            </w:r>
          </w:p>
          <w:p>
            <w:pPr>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项目净水厂周边区域人类活动频繁，植被类型为半湿性常绿阔叶林与针叶林，主要植被分布有滇朴，云南松，五节芒，类芦等。没有发现珍稀濒危植物及古树名木等的分布。净水厂所在区域动物极少，经常出没的动物为常见的小型野生动物。净水厂200m范围内无国家级和省级保护物种、珍稀濒危物种和地方特有种，无国家级和省级规定保护的古树名木。工程区域内生物多样性单一，生物多样性较差，生态环境自身调控能力较低，受人为影响较大。</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（2）取水口</w:t>
            </w:r>
          </w:p>
          <w:p>
            <w:pPr>
              <w:numPr>
                <w:ilvl w:val="0"/>
                <w:numId w:val="0"/>
              </w:numPr>
              <w:ind w:firstLine="480" w:firstLineChars="200"/>
              <w:rPr>
                <w:rFonts w:hint="default"/>
                <w:b/>
                <w:bCs/>
                <w:color w:val="auto"/>
                <w:highlight w:val="none"/>
                <w:lang w:val="en-US" w:eastAsia="zh-CN"/>
              </w:rPr>
            </w:pPr>
            <w:r>
              <w:rPr>
                <w:rFonts w:hint="eastAsia"/>
                <w:color w:val="auto"/>
                <w:highlight w:val="none"/>
                <w:lang w:val="en-US" w:eastAsia="zh-CN"/>
              </w:rPr>
              <w:t>本项目水源取水口主要为老石山隧洞水源及阳宗隧洞水源，均为隧道修建后，因隧道标高低于地下水水位，地下水涌入隧道，沿隧道排水渠排出形成的涌水。根据现状调查，取水口所在地经隧道修建过程的破坏及人工硬化后，天然植被较少，工程范围内无国家级和省级保护物种、珍稀濒危物种和地方特有种，无国家级和省级规定保护的古树名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环境保护目标</w:t>
            </w:r>
          </w:p>
        </w:tc>
        <w:tc>
          <w:tcPr>
            <w:tcW w:w="7511" w:type="dxa"/>
            <w:vAlign w:val="center"/>
          </w:tcPr>
          <w:p>
            <w:pPr>
              <w:ind w:left="0" w:leftChars="0" w:firstLine="481" w:firstLineChars="200"/>
              <w:rPr>
                <w:rFonts w:hint="eastAsia"/>
                <w:b/>
                <w:bCs/>
                <w:color w:val="auto"/>
                <w:highlight w:val="none"/>
              </w:rPr>
            </w:pPr>
            <w:r>
              <w:rPr>
                <w:rFonts w:hint="eastAsia"/>
                <w:b/>
                <w:bCs/>
                <w:color w:val="auto"/>
                <w:highlight w:val="none"/>
              </w:rPr>
              <w:t>1、大气环境保护目标</w:t>
            </w:r>
          </w:p>
          <w:p>
            <w:pPr>
              <w:ind w:firstLine="480" w:firstLineChars="200"/>
              <w:rPr>
                <w:rFonts w:hint="eastAsia"/>
                <w:color w:val="auto"/>
                <w:highlight w:val="none"/>
                <w:lang w:val="en-US" w:eastAsia="zh-CN"/>
              </w:rPr>
            </w:pPr>
            <w:r>
              <w:rPr>
                <w:rFonts w:hint="eastAsia"/>
                <w:color w:val="auto"/>
                <w:highlight w:val="none"/>
                <w:lang w:val="en-US" w:eastAsia="zh-CN"/>
              </w:rPr>
              <w:t>本项目水厂厂界外500米范围内无自然保护区、风景名胜区、居住区、文化区和农村地区中人群较集中的区域等，故无大气环境保护目标。</w:t>
            </w:r>
          </w:p>
          <w:p>
            <w:pPr>
              <w:ind w:firstLine="480" w:firstLineChars="200"/>
              <w:rPr>
                <w:rFonts w:hint="eastAsia"/>
                <w:color w:val="auto"/>
                <w:highlight w:val="none"/>
                <w:lang w:val="en-US" w:eastAsia="zh-CN"/>
              </w:rPr>
            </w:pPr>
            <w:r>
              <w:rPr>
                <w:rFonts w:hint="eastAsia"/>
                <w:color w:val="auto"/>
                <w:highlight w:val="none"/>
                <w:lang w:val="en-US" w:eastAsia="zh-CN"/>
              </w:rPr>
              <w:t>本项目取水设施周边大气环境保护目标见下表。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表3-3 取水设施周边大气保护目标一览表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650"/>
              <w:gridCol w:w="1033"/>
              <w:gridCol w:w="943"/>
              <w:gridCol w:w="844"/>
              <w:gridCol w:w="1044"/>
              <w:gridCol w:w="782"/>
              <w:gridCol w:w="68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序号</w:t>
                  </w:r>
                </w:p>
              </w:tc>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名称</w:t>
                  </w:r>
                </w:p>
              </w:tc>
              <w:tc>
                <w:tcPr>
                  <w:tcW w:w="19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坐标</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保护对象</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保护内容</w:t>
                  </w:r>
                </w:p>
              </w:tc>
              <w:tc>
                <w:tcPr>
                  <w:tcW w:w="7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环境功能区</w:t>
                  </w:r>
                </w:p>
              </w:tc>
              <w:tc>
                <w:tcPr>
                  <w:tcW w:w="6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相对厂址方位</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经度</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纬度</w:t>
                  </w: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7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老坞村</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103°04′10.907″</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24°49′18.386″</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w:t>
                  </w:r>
                  <w:r>
                    <w:rPr>
                      <w:rFonts w:hint="default" w:ascii="Times New Roman" w:hAnsi="Times New Roman" w:cs="Times New Roman"/>
                      <w:color w:val="auto"/>
                      <w:sz w:val="21"/>
                      <w:szCs w:val="21"/>
                      <w:highlight w:val="none"/>
                      <w:vertAlign w:val="baseline"/>
                      <w:lang w:val="en-US" w:eastAsia="zh-CN"/>
                    </w:rPr>
                    <w:t>户</w:t>
                  </w:r>
                  <w:r>
                    <w:rPr>
                      <w:rFonts w:hint="eastAsia" w:cs="Times New Roman"/>
                      <w:color w:val="auto"/>
                      <w:sz w:val="21"/>
                      <w:szCs w:val="21"/>
                      <w:highlight w:val="none"/>
                      <w:vertAlign w:val="baseline"/>
                      <w:lang w:val="en-US" w:eastAsia="zh-CN"/>
                    </w:rPr>
                    <w:t>70</w:t>
                  </w:r>
                  <w:r>
                    <w:rPr>
                      <w:rFonts w:hint="default" w:ascii="Times New Roman" w:hAnsi="Times New Roman" w:cs="Times New Roman"/>
                      <w:color w:val="auto"/>
                      <w:sz w:val="21"/>
                      <w:szCs w:val="21"/>
                      <w:highlight w:val="none"/>
                      <w:vertAlign w:val="baseline"/>
                      <w:lang w:val="en-US" w:eastAsia="zh-CN"/>
                    </w:rPr>
                    <w:t>人</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环境空气质量达标</w:t>
                  </w:r>
                </w:p>
              </w:tc>
              <w:tc>
                <w:tcPr>
                  <w:tcW w:w="7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二类区</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西侧</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黄家庄</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103°04′29.794″</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24°49′3.6313″</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110人</w:t>
                  </w: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7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东南侧</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320</w:t>
                  </w:r>
                </w:p>
              </w:tc>
            </w:tr>
          </w:tbl>
          <w:p>
            <w:pPr>
              <w:ind w:left="0" w:leftChars="0" w:firstLine="481" w:firstLineChars="200"/>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、声环境保护目标</w:t>
            </w:r>
          </w:p>
          <w:p>
            <w:pPr>
              <w:ind w:left="0" w:leftChars="0" w:firstLine="480" w:firstLineChars="200"/>
              <w:rPr>
                <w:rFonts w:hint="eastAsia"/>
                <w:color w:val="auto"/>
                <w:highlight w:val="none"/>
                <w:lang w:val="en-US" w:eastAsia="zh-CN"/>
              </w:rPr>
            </w:pPr>
            <w:r>
              <w:rPr>
                <w:rFonts w:hint="eastAsia" w:ascii="Times New Roman" w:eastAsia="宋体"/>
                <w:color w:val="auto"/>
                <w:highlight w:val="none"/>
                <w:lang w:val="en-US" w:eastAsia="zh-CN"/>
              </w:rPr>
              <w:t>本项目厂界外50m范围内无医院、学校、机关、科研单位、住宅、自然保护区等对噪声敏感的建筑物或区域，故无声环境保护目标。</w:t>
            </w:r>
          </w:p>
          <w:p>
            <w:pPr>
              <w:ind w:left="0" w:leftChars="0" w:firstLine="481" w:firstLineChars="200"/>
              <w:rPr>
                <w:rFonts w:hint="eastAsia"/>
                <w:b/>
                <w:bCs/>
                <w:color w:val="auto"/>
                <w:highlight w:val="none"/>
              </w:rPr>
            </w:pPr>
            <w:r>
              <w:rPr>
                <w:rFonts w:hint="eastAsia"/>
                <w:b/>
                <w:bCs/>
                <w:color w:val="auto"/>
                <w:highlight w:val="none"/>
                <w:lang w:val="en-US" w:eastAsia="zh-CN"/>
              </w:rPr>
              <w:t>3</w:t>
            </w:r>
            <w:r>
              <w:rPr>
                <w:rFonts w:hint="eastAsia"/>
                <w:b/>
                <w:bCs/>
                <w:color w:val="auto"/>
                <w:highlight w:val="none"/>
              </w:rPr>
              <w:t>、地下水环境保护目标</w:t>
            </w:r>
          </w:p>
          <w:p>
            <w:pPr>
              <w:ind w:firstLine="480" w:firstLineChars="200"/>
              <w:rPr>
                <w:rFonts w:hint="eastAsia"/>
                <w:color w:val="auto"/>
                <w:highlight w:val="none"/>
                <w:lang w:eastAsia="zh-CN"/>
              </w:rPr>
            </w:pPr>
            <w:r>
              <w:rPr>
                <w:rFonts w:hint="eastAsia"/>
                <w:color w:val="auto"/>
                <w:highlight w:val="none"/>
              </w:rPr>
              <w:t>本项目厂界外500m范围内无地下水集中式使用</w:t>
            </w:r>
            <w:r>
              <w:rPr>
                <w:rFonts w:hint="eastAsia"/>
                <w:color w:val="auto"/>
                <w:highlight w:val="none"/>
                <w:lang w:eastAsia="zh-CN"/>
              </w:rPr>
              <w:t>水</w:t>
            </w:r>
            <w:r>
              <w:rPr>
                <w:rFonts w:hint="eastAsia"/>
                <w:color w:val="auto"/>
                <w:highlight w:val="none"/>
              </w:rPr>
              <w:t>源和热水、矿泉水、温泉等特殊地下水资源，</w:t>
            </w:r>
            <w:r>
              <w:rPr>
                <w:rFonts w:hint="eastAsia"/>
                <w:color w:val="auto"/>
                <w:highlight w:val="none"/>
                <w:lang w:val="en-US" w:eastAsia="zh-CN"/>
              </w:rPr>
              <w:t>同时本项目选取的取水点不属于周边村镇的集中式饮用水源地</w:t>
            </w:r>
            <w:r>
              <w:rPr>
                <w:rFonts w:hint="eastAsia"/>
                <w:color w:val="auto"/>
                <w:highlight w:val="none"/>
                <w:lang w:eastAsia="zh-CN"/>
              </w:rPr>
              <w:t>，</w:t>
            </w:r>
            <w:r>
              <w:rPr>
                <w:rFonts w:hint="eastAsia"/>
                <w:color w:val="auto"/>
                <w:highlight w:val="none"/>
              </w:rPr>
              <w:t>因此本项目不设置地下水环境保护目标</w:t>
            </w:r>
            <w:r>
              <w:rPr>
                <w:rFonts w:hint="eastAsia"/>
                <w:color w:val="auto"/>
                <w:highlight w:val="none"/>
                <w:lang w:eastAsia="zh-CN"/>
              </w:rPr>
              <w:t>。</w:t>
            </w:r>
          </w:p>
          <w:p>
            <w:pPr>
              <w:ind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4、地表水环境保护目标</w:t>
            </w:r>
          </w:p>
          <w:p>
            <w:pPr>
              <w:ind w:left="0" w:leftChars="0" w:firstLine="480" w:firstLineChars="200"/>
              <w:rPr>
                <w:rFonts w:hint="default"/>
                <w:color w:val="auto"/>
                <w:highlight w:val="none"/>
                <w:lang w:val="en-US" w:eastAsia="zh-CN"/>
              </w:rPr>
            </w:pPr>
            <w:r>
              <w:rPr>
                <w:rFonts w:hint="default"/>
                <w:color w:val="auto"/>
                <w:highlight w:val="none"/>
                <w:lang w:val="en-US" w:eastAsia="zh-CN"/>
              </w:rPr>
              <w:t>本项目地表水环境保护目标见下表。</w:t>
            </w:r>
          </w:p>
          <w:p>
            <w:pPr>
              <w:spacing w:line="240" w:lineRule="auto"/>
              <w:ind w:left="0" w:leftChars="0"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表3-</w:t>
            </w:r>
            <w:r>
              <w:rPr>
                <w:rFonts w:hint="eastAsia"/>
                <w:b/>
                <w:bCs/>
                <w:color w:val="auto"/>
                <w:highlight w:val="none"/>
                <w:lang w:val="en-US" w:eastAsia="zh-CN"/>
              </w:rPr>
              <w:t>4</w:t>
            </w:r>
            <w:r>
              <w:rPr>
                <w:rFonts w:hint="eastAsia" w:ascii="Times New Roman" w:eastAsia="宋体"/>
                <w:b/>
                <w:bCs/>
                <w:color w:val="auto"/>
                <w:highlight w:val="none"/>
                <w:lang w:val="en-US" w:eastAsia="zh-CN"/>
              </w:rPr>
              <w:t xml:space="preserve"> 地表水保护目标一览表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51"/>
              <w:gridCol w:w="1100"/>
              <w:gridCol w:w="1050"/>
              <w:gridCol w:w="113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环境要素</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保护目标</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性质</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相对厂址方位</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相对厂界距离/m</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水环境</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新塘子沟</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河流</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水厂东侧</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40</w:t>
                  </w:r>
                </w:p>
              </w:tc>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新庄小河</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河流</w:t>
                  </w:r>
                </w:p>
              </w:tc>
              <w:tc>
                <w:tcPr>
                  <w:tcW w:w="21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原水输水管道采用支墩架空形式上跨通过</w:t>
                  </w:r>
                </w:p>
              </w:tc>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bl>
          <w:p>
            <w:pPr>
              <w:ind w:left="0" w:leftChars="0" w:firstLine="481" w:firstLineChars="200"/>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、生态环境</w:t>
            </w:r>
          </w:p>
          <w:p>
            <w:pPr>
              <w:ind w:firstLine="480" w:firstLineChars="200"/>
              <w:rPr>
                <w:rFonts w:hint="eastAsia" w:eastAsia="宋体"/>
                <w:color w:val="auto"/>
                <w:highlight w:val="none"/>
                <w:lang w:val="en-US" w:eastAsia="zh-CN"/>
              </w:rPr>
            </w:pPr>
            <w:r>
              <w:rPr>
                <w:rFonts w:hint="eastAsia"/>
                <w:color w:val="auto"/>
                <w:highlight w:val="none"/>
                <w:lang w:val="en-US" w:eastAsia="zh-CN"/>
              </w:rPr>
              <w:t>本项目生态环境保护目标主要为水厂周边植被，农田、林地等生态资源</w:t>
            </w:r>
            <w:r>
              <w:rPr>
                <w:rFonts w:hint="eastAsia"/>
                <w:color w:val="auto"/>
                <w:highlight w:val="none"/>
              </w:rPr>
              <w:t>。保护周边生态环境不受到损坏</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jc w:val="center"/>
              <w:rPr>
                <w:color w:val="auto"/>
                <w:highlight w:val="none"/>
              </w:rPr>
            </w:pPr>
            <w:r>
              <w:rPr>
                <w:rFonts w:hint="eastAsia"/>
                <w:color w:val="auto"/>
                <w:highlight w:val="none"/>
              </w:rPr>
              <w:t>污染物排放控制标准</w:t>
            </w:r>
          </w:p>
        </w:tc>
        <w:tc>
          <w:tcPr>
            <w:tcW w:w="7511" w:type="dxa"/>
            <w:vAlign w:val="center"/>
          </w:tcPr>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1、废水</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（1）施工期</w:t>
            </w:r>
          </w:p>
          <w:p>
            <w:pPr>
              <w:numPr>
                <w:ilvl w:val="0"/>
                <w:numId w:val="0"/>
              </w:numPr>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本项目施工期废水经收集沉淀处理后全部回用于施工过程和场地洒水抑尘，不外排。</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（2）运营期</w:t>
            </w:r>
          </w:p>
          <w:p>
            <w:pPr>
              <w:widowControl w:val="0"/>
              <w:numPr>
                <w:ilvl w:val="0"/>
                <w:numId w:val="0"/>
              </w:numPr>
              <w:spacing w:line="360" w:lineRule="auto"/>
              <w:ind w:leftChars="0" w:firstLine="480" w:firstLineChars="200"/>
              <w:jc w:val="both"/>
              <w:rPr>
                <w:rFonts w:hint="eastAsia"/>
                <w:color w:val="auto"/>
                <w:highlight w:val="none"/>
                <w:lang w:val="en-US" w:eastAsia="zh-CN"/>
              </w:rPr>
            </w:pPr>
            <w:r>
              <w:rPr>
                <w:rFonts w:hint="eastAsia"/>
                <w:color w:val="auto"/>
                <w:highlight w:val="none"/>
                <w:lang w:val="en-US" w:eastAsia="zh-CN"/>
              </w:rPr>
              <w:t>本项目生产废水经回收池沉淀处理后，上清液泵回配水井继续利用，不外排；生活污水经化粪池处理后定期委托当地环卫部门清运处置，不外排；实验室清洗废水经中和桶中和处理后回用于厂区绿化，不外排，回用水执行《城市污水再生利用 城市杂用水水质》（GB/T18920-2020）中城市绿化标准限值，具体限值详见下表。</w:t>
            </w:r>
          </w:p>
          <w:p>
            <w:pPr>
              <w:widowControl w:val="0"/>
              <w:numPr>
                <w:ilvl w:val="0"/>
                <w:numId w:val="0"/>
              </w:numPr>
              <w:spacing w:line="240" w:lineRule="auto"/>
              <w:jc w:val="center"/>
              <w:rPr>
                <w:rFonts w:hint="default"/>
                <w:b/>
                <w:bCs/>
                <w:color w:val="auto"/>
                <w:highlight w:val="none"/>
                <w:lang w:val="en-US" w:eastAsia="zh-CN"/>
              </w:rPr>
            </w:pPr>
            <w:r>
              <w:rPr>
                <w:rFonts w:hint="default"/>
                <w:b/>
                <w:bCs/>
                <w:color w:val="auto"/>
                <w:highlight w:val="none"/>
                <w:lang w:val="en-US" w:eastAsia="zh-CN"/>
              </w:rPr>
              <w:t xml:space="preserve">表3-5 </w:t>
            </w:r>
            <w:r>
              <w:rPr>
                <w:rFonts w:hint="eastAsia"/>
                <w:b/>
                <w:bCs/>
                <w:color w:val="auto"/>
                <w:highlight w:val="none"/>
                <w:lang w:val="en-US" w:eastAsia="zh-CN"/>
              </w:rPr>
              <w:t>回用水</w:t>
            </w:r>
            <w:r>
              <w:rPr>
                <w:rFonts w:hint="default"/>
                <w:b/>
                <w:bCs/>
                <w:color w:val="auto"/>
                <w:highlight w:val="none"/>
                <w:lang w:val="en-US" w:eastAsia="zh-CN"/>
              </w:rPr>
              <w:t>排放标准限值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338"/>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序号</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项目</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pH</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default" w:cs="Times New Roman"/>
                      <w:color w:val="auto"/>
                      <w:sz w:val="21"/>
                      <w:szCs w:val="21"/>
                      <w:highlight w:val="none"/>
                      <w:vertAlign w:val="baseline"/>
                      <w:lang w:val="en-US" w:eastAsia="zh-CN"/>
                    </w:rPr>
                    <w:t>色度</w:t>
                  </w:r>
                  <w:r>
                    <w:rPr>
                      <w:rFonts w:hint="eastAsia" w:cs="Times New Roman"/>
                      <w:color w:val="auto"/>
                      <w:sz w:val="21"/>
                      <w:szCs w:val="21"/>
                      <w:highlight w:val="none"/>
                      <w:vertAlign w:val="baseline"/>
                      <w:lang w:val="en-US" w:eastAsia="zh-CN"/>
                    </w:rPr>
                    <w:t>，</w:t>
                  </w:r>
                  <w:r>
                    <w:rPr>
                      <w:rFonts w:hint="default" w:cs="Times New Roman"/>
                      <w:color w:val="auto"/>
                      <w:sz w:val="21"/>
                      <w:szCs w:val="21"/>
                      <w:highlight w:val="none"/>
                      <w:vertAlign w:val="baseline"/>
                      <w:lang w:val="en-US" w:eastAsia="zh-CN"/>
                    </w:rPr>
                    <w:t>铂钴色度单位</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嗅</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浊度/NTU</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BOD</w:t>
                  </w:r>
                  <w:r>
                    <w:rPr>
                      <w:rFonts w:hint="eastAsia" w:cs="Times New Roman"/>
                      <w:color w:val="auto"/>
                      <w:sz w:val="21"/>
                      <w:szCs w:val="21"/>
                      <w:highlight w:val="none"/>
                      <w:vertAlign w:val="subscript"/>
                      <w:lang w:val="en-US" w:eastAsia="zh-CN"/>
                    </w:rPr>
                    <w:t>5</w:t>
                  </w:r>
                  <w:r>
                    <w:rPr>
                      <w:rFonts w:hint="eastAsia" w:cs="Times New Roman"/>
                      <w:color w:val="auto"/>
                      <w:sz w:val="21"/>
                      <w:szCs w:val="21"/>
                      <w:highlight w:val="none"/>
                      <w:vertAlign w:val="baseline"/>
                      <w:lang w:val="en-US" w:eastAsia="zh-CN"/>
                    </w:rPr>
                    <w:t>/（mg/L）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6</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氨氮/（mg/L）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7</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LAS/（mg/L）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8</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溶解性总固体/（mg/L）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9</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溶解氧/（mg/L）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总氯/（mg/L）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11</w:t>
                  </w:r>
                </w:p>
              </w:tc>
              <w:tc>
                <w:tcPr>
                  <w:tcW w:w="333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大肠埃希氏菌/（MPN/100mL）</w:t>
                  </w:r>
                </w:p>
              </w:tc>
              <w:tc>
                <w:tcPr>
                  <w:tcW w:w="294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无</w:t>
                  </w:r>
                </w:p>
              </w:tc>
            </w:tr>
          </w:tbl>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2、废气</w:t>
            </w:r>
          </w:p>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（1）施工期</w:t>
            </w:r>
          </w:p>
          <w:p>
            <w:pPr>
              <w:widowControl w:val="0"/>
              <w:numPr>
                <w:ilvl w:val="0"/>
                <w:numId w:val="0"/>
              </w:numPr>
              <w:spacing w:line="360" w:lineRule="auto"/>
              <w:ind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施工期污染物主要为扬尘，执行GB16297-1996《大气污染物综合排放标准》无组织排放限值，厂界外浓度最高点≤1.0mg/m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w:t>
            </w:r>
          </w:p>
          <w:p>
            <w:pPr>
              <w:widowControl w:val="0"/>
              <w:numPr>
                <w:ilvl w:val="0"/>
                <w:numId w:val="0"/>
              </w:numPr>
              <w:spacing w:line="360" w:lineRule="auto"/>
              <w:ind w:leftChars="0" w:firstLine="481" w:firstLineChars="200"/>
              <w:jc w:val="both"/>
              <w:rPr>
                <w:rFonts w:hint="default"/>
                <w:b/>
                <w:bCs/>
                <w:color w:val="auto"/>
                <w:highlight w:val="none"/>
                <w:lang w:val="en-US" w:eastAsia="zh-CN"/>
              </w:rPr>
            </w:pPr>
            <w:r>
              <w:rPr>
                <w:rFonts w:hint="eastAsia"/>
                <w:b/>
                <w:bCs/>
                <w:color w:val="auto"/>
                <w:highlight w:val="none"/>
                <w:lang w:val="en-US" w:eastAsia="zh-CN"/>
              </w:rPr>
              <w:t>（2）运营期</w:t>
            </w:r>
          </w:p>
          <w:p>
            <w:pPr>
              <w:widowControl w:val="0"/>
              <w:numPr>
                <w:ilvl w:val="0"/>
                <w:numId w:val="0"/>
              </w:numPr>
              <w:spacing w:line="360" w:lineRule="auto"/>
              <w:ind w:firstLine="480" w:firstLineChars="200"/>
              <w:jc w:val="both"/>
              <w:rPr>
                <w:rFonts w:hint="eastAsia"/>
                <w:color w:val="auto"/>
                <w:highlight w:val="none"/>
                <w:lang w:val="en-US" w:eastAsia="zh-CN"/>
              </w:rPr>
            </w:pPr>
            <w:r>
              <w:rPr>
                <w:rFonts w:hint="default"/>
                <w:color w:val="auto"/>
                <w:highlight w:val="none"/>
                <w:lang w:val="en-US" w:eastAsia="zh-CN"/>
              </w:rPr>
              <w:t>项目运营期</w:t>
            </w:r>
            <w:r>
              <w:rPr>
                <w:rFonts w:hint="eastAsia"/>
                <w:color w:val="auto"/>
                <w:highlight w:val="none"/>
                <w:lang w:val="en-US" w:eastAsia="zh-CN"/>
              </w:rPr>
              <w:t>生产过程</w:t>
            </w:r>
            <w:r>
              <w:rPr>
                <w:rFonts w:hint="default"/>
                <w:color w:val="auto"/>
                <w:highlight w:val="none"/>
                <w:lang w:val="en-US" w:eastAsia="zh-CN"/>
              </w:rPr>
              <w:t>产生的废气主要为</w:t>
            </w:r>
            <w:r>
              <w:rPr>
                <w:rFonts w:hint="eastAsia"/>
                <w:color w:val="auto"/>
                <w:highlight w:val="none"/>
                <w:lang w:val="en-US" w:eastAsia="zh-CN"/>
              </w:rPr>
              <w:t>食堂油烟与污泥干化场异味。食堂油烟排放执行《饮食业油烟排放标准》（GB18483-2001）表2中小型标准要求；污泥干化场异味执行《恶臭污染物排放标准》（GB14554-1993）相关要求，具体限制见下表。</w:t>
            </w:r>
          </w:p>
          <w:p>
            <w:pPr>
              <w:widowControl w:val="0"/>
              <w:numPr>
                <w:ilvl w:val="0"/>
                <w:numId w:val="0"/>
              </w:numPr>
              <w:spacing w:line="240" w:lineRule="auto"/>
              <w:jc w:val="center"/>
              <w:rPr>
                <w:rFonts w:hint="eastAsia"/>
                <w:b/>
                <w:bCs/>
                <w:color w:val="auto"/>
                <w:highlight w:val="none"/>
                <w:lang w:val="en-US" w:eastAsia="zh-CN"/>
              </w:rPr>
            </w:pPr>
            <w:r>
              <w:rPr>
                <w:rFonts w:hint="eastAsia"/>
                <w:b/>
                <w:bCs/>
                <w:color w:val="auto"/>
                <w:highlight w:val="none"/>
                <w:lang w:val="en-US" w:eastAsia="zh-CN"/>
              </w:rPr>
              <w:t>表3-6 大气污染物排放标准限值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963"/>
              <w:gridCol w:w="17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污染物</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最高允许排放浓度</w:t>
                  </w:r>
                  <w:r>
                    <w:rPr>
                      <w:rFonts w:hint="eastAsia" w:cs="Times New Roman"/>
                      <w:b/>
                      <w:bCs/>
                      <w:color w:val="auto"/>
                      <w:sz w:val="21"/>
                      <w:szCs w:val="21"/>
                      <w:highlight w:val="none"/>
                      <w:vertAlign w:val="baseline"/>
                      <w:lang w:val="en-US" w:eastAsia="zh-CN"/>
                    </w:rPr>
                    <w:t>，</w:t>
                  </w:r>
                  <w:r>
                    <w:rPr>
                      <w:rFonts w:hint="default" w:ascii="Times New Roman" w:hAnsi="Times New Roman" w:cs="Times New Roman"/>
                      <w:b/>
                      <w:bCs/>
                      <w:color w:val="auto"/>
                      <w:sz w:val="21"/>
                      <w:szCs w:val="21"/>
                      <w:highlight w:val="none"/>
                      <w:vertAlign w:val="baseline"/>
                      <w:lang w:val="en-US" w:eastAsia="zh-CN"/>
                    </w:rPr>
                    <w:t>mg/m</w:t>
                  </w:r>
                  <w:r>
                    <w:rPr>
                      <w:rFonts w:hint="default" w:ascii="Times New Roman" w:hAnsi="Times New Roman" w:cs="Times New Roman"/>
                      <w:b/>
                      <w:bCs/>
                      <w:color w:val="auto"/>
                      <w:sz w:val="21"/>
                      <w:szCs w:val="21"/>
                      <w:highlight w:val="none"/>
                      <w:vertAlign w:val="superscript"/>
                      <w:lang w:val="en-US" w:eastAsia="zh-CN"/>
                    </w:rPr>
                    <w:t>3</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无组织排放限值，</w:t>
                  </w:r>
                  <w:r>
                    <w:rPr>
                      <w:rFonts w:hint="default" w:ascii="Times New Roman" w:hAnsi="Times New Roman" w:cs="Times New Roman"/>
                      <w:b/>
                      <w:bCs/>
                      <w:color w:val="auto"/>
                      <w:sz w:val="21"/>
                      <w:szCs w:val="21"/>
                      <w:highlight w:val="none"/>
                      <w:vertAlign w:val="baseline"/>
                      <w:lang w:val="en-US" w:eastAsia="zh-CN"/>
                    </w:rPr>
                    <w:t>mg/m</w:t>
                  </w:r>
                  <w:r>
                    <w:rPr>
                      <w:rFonts w:hint="default" w:ascii="Times New Roman" w:hAnsi="Times New Roman" w:cs="Times New Roman"/>
                      <w:b/>
                      <w:bCs/>
                      <w:color w:val="auto"/>
                      <w:sz w:val="21"/>
                      <w:szCs w:val="21"/>
                      <w:highlight w:val="none"/>
                      <w:vertAlign w:val="superscript"/>
                      <w:lang w:val="en-US" w:eastAsia="zh-CN"/>
                    </w:rPr>
                    <w:t>3</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油烟</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臭气浓度</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20（无量纲）</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《恶臭污染物排放标准》（GB14554-1993）</w:t>
                  </w:r>
                </w:p>
              </w:tc>
            </w:tr>
          </w:tbl>
          <w:p>
            <w:pPr>
              <w:widowControl w:val="0"/>
              <w:numPr>
                <w:ilvl w:val="0"/>
                <w:numId w:val="0"/>
              </w:numPr>
              <w:spacing w:line="360" w:lineRule="auto"/>
              <w:ind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注：根据《昆明市餐饮业环境污染防治管理办法》，配置废气（油烟）净化装置和专门的油烟排气筒，油烟排气筒的设置应高于自身建筑物1.5米以上，排气筒出口朝向应避开易受影响的建筑物，本项目自身建筑物高度为8.5米，因此本项目油烟排气筒高度取10m。</w:t>
            </w:r>
          </w:p>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3、噪声</w:t>
            </w:r>
          </w:p>
          <w:p>
            <w:pPr>
              <w:widowControl w:val="0"/>
              <w:numPr>
                <w:ilvl w:val="0"/>
                <w:numId w:val="0"/>
              </w:numPr>
              <w:spacing w:line="360" w:lineRule="auto"/>
              <w:ind w:firstLine="481" w:firstLineChars="200"/>
              <w:jc w:val="both"/>
              <w:rPr>
                <w:rFonts w:hint="default"/>
                <w:b/>
                <w:bCs/>
                <w:color w:val="auto"/>
                <w:highlight w:val="none"/>
                <w:lang w:val="en-US" w:eastAsia="zh-CN"/>
              </w:rPr>
            </w:pPr>
            <w:r>
              <w:rPr>
                <w:rFonts w:hint="eastAsia"/>
                <w:b/>
                <w:bCs/>
                <w:color w:val="auto"/>
                <w:highlight w:val="none"/>
                <w:lang w:val="en-US" w:eastAsia="zh-CN"/>
              </w:rPr>
              <w:t>（1）</w:t>
            </w:r>
            <w:r>
              <w:rPr>
                <w:rFonts w:hint="default"/>
                <w:b/>
                <w:bCs/>
                <w:color w:val="auto"/>
                <w:highlight w:val="none"/>
                <w:lang w:val="en-US" w:eastAsia="zh-CN"/>
              </w:rPr>
              <w:t>施工期标准</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施工噪声执行《建筑施工场界环境噪声排放标准》（GB12523-2011），噪声排放限值见下表。</w:t>
            </w:r>
          </w:p>
          <w:p>
            <w:pPr>
              <w:widowControl w:val="0"/>
              <w:numPr>
                <w:ilvl w:val="0"/>
                <w:numId w:val="0"/>
              </w:numPr>
              <w:spacing w:line="240" w:lineRule="auto"/>
              <w:ind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表3-</w:t>
            </w:r>
            <w:r>
              <w:rPr>
                <w:rFonts w:hint="eastAsia"/>
                <w:b/>
                <w:bCs/>
                <w:color w:val="auto"/>
                <w:highlight w:val="none"/>
                <w:lang w:val="en-US" w:eastAsia="zh-CN"/>
              </w:rPr>
              <w:t>7</w:t>
            </w:r>
            <w:r>
              <w:rPr>
                <w:rFonts w:hint="eastAsia" w:ascii="Times New Roman" w:eastAsia="宋体"/>
                <w:b/>
                <w:bCs/>
                <w:color w:val="auto"/>
                <w:highlight w:val="none"/>
                <w:lang w:val="en-US" w:eastAsia="zh-CN"/>
              </w:rPr>
              <w:t xml:space="preserve"> 建筑施工场界环境噪声排放标准限值  单位：dB（A）</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118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昼间</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《建筑施工场界环境噪声排放标准》（GB12523-2011）中标准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70</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55</w:t>
                  </w:r>
                </w:p>
              </w:tc>
            </w:tr>
          </w:tbl>
          <w:p>
            <w:pPr>
              <w:widowControl w:val="0"/>
              <w:numPr>
                <w:ilvl w:val="0"/>
                <w:numId w:val="0"/>
              </w:numPr>
              <w:spacing w:line="360" w:lineRule="auto"/>
              <w:ind w:firstLine="481" w:firstLineChars="200"/>
              <w:jc w:val="both"/>
              <w:rPr>
                <w:rFonts w:hint="default"/>
                <w:b/>
                <w:bCs/>
                <w:color w:val="auto"/>
                <w:highlight w:val="none"/>
                <w:lang w:val="en-US" w:eastAsia="zh-CN"/>
              </w:rPr>
            </w:pPr>
            <w:r>
              <w:rPr>
                <w:rFonts w:hint="eastAsia"/>
                <w:b/>
                <w:bCs/>
                <w:color w:val="auto"/>
                <w:highlight w:val="none"/>
                <w:lang w:val="en-US" w:eastAsia="zh-CN"/>
              </w:rPr>
              <w:t>（2）</w:t>
            </w:r>
            <w:r>
              <w:rPr>
                <w:rFonts w:hint="default"/>
                <w:b/>
                <w:bCs/>
                <w:color w:val="auto"/>
                <w:highlight w:val="none"/>
                <w:lang w:val="en-US" w:eastAsia="zh-CN"/>
              </w:rPr>
              <w:t>运营期标准</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项目区域声环境功能为</w:t>
            </w:r>
            <w:r>
              <w:rPr>
                <w:rFonts w:hint="eastAsia"/>
                <w:color w:val="auto"/>
                <w:highlight w:val="none"/>
                <w:lang w:val="en-US" w:eastAsia="zh-CN"/>
              </w:rPr>
              <w:t>2</w:t>
            </w:r>
            <w:r>
              <w:rPr>
                <w:rFonts w:hint="default"/>
                <w:color w:val="auto"/>
                <w:highlight w:val="none"/>
                <w:lang w:val="en-US" w:eastAsia="zh-CN"/>
              </w:rPr>
              <w:t>类区，项目厂界噪声执行《工业企业厂界环境噪声排放标准》（GB12348-2008）表1中</w:t>
            </w:r>
            <w:r>
              <w:rPr>
                <w:rFonts w:hint="eastAsia"/>
                <w:color w:val="auto"/>
                <w:highlight w:val="none"/>
                <w:lang w:val="en-US" w:eastAsia="zh-CN"/>
              </w:rPr>
              <w:t>2</w:t>
            </w:r>
            <w:r>
              <w:rPr>
                <w:rFonts w:hint="default"/>
                <w:color w:val="auto"/>
                <w:highlight w:val="none"/>
                <w:lang w:val="en-US" w:eastAsia="zh-CN"/>
              </w:rPr>
              <w:t>类标准，具体标准值详见</w:t>
            </w:r>
            <w:r>
              <w:rPr>
                <w:rFonts w:hint="eastAsia"/>
                <w:color w:val="auto"/>
                <w:highlight w:val="none"/>
                <w:lang w:val="en-US" w:eastAsia="zh-CN"/>
              </w:rPr>
              <w:t>下</w:t>
            </w:r>
            <w:r>
              <w:rPr>
                <w:rFonts w:hint="default"/>
                <w:color w:val="auto"/>
                <w:highlight w:val="none"/>
                <w:lang w:val="en-US" w:eastAsia="zh-CN"/>
              </w:rPr>
              <w:t>表。</w:t>
            </w:r>
          </w:p>
          <w:p>
            <w:pPr>
              <w:widowControl w:val="0"/>
              <w:numPr>
                <w:ilvl w:val="0"/>
                <w:numId w:val="0"/>
              </w:numPr>
              <w:spacing w:line="240" w:lineRule="auto"/>
              <w:jc w:val="center"/>
              <w:rPr>
                <w:rFonts w:hint="default"/>
                <w:b/>
                <w:bCs/>
                <w:color w:val="auto"/>
                <w:highlight w:val="none"/>
                <w:lang w:val="en-US" w:eastAsia="zh-CN"/>
              </w:rPr>
            </w:pPr>
            <w:r>
              <w:rPr>
                <w:rFonts w:hint="eastAsia"/>
                <w:b/>
                <w:bCs/>
                <w:color w:val="auto"/>
                <w:highlight w:val="none"/>
                <w:lang w:val="en-US" w:eastAsia="zh-CN"/>
              </w:rPr>
              <w:t>表3-8 环境噪声排放限值  单位：dB（A）</w:t>
            </w:r>
          </w:p>
          <w:tbl>
            <w:tblPr>
              <w:tblStyle w:val="15"/>
              <w:tblW w:w="7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6"/>
              <w:gridCol w:w="11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昼间</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《工业企业厂界环境噪声排放标</w:t>
                  </w:r>
                  <w:r>
                    <w:rPr>
                      <w:rFonts w:hint="eastAsia"/>
                      <w:color w:val="auto"/>
                      <w:sz w:val="21"/>
                      <w:szCs w:val="21"/>
                      <w:highlight w:val="none"/>
                      <w:lang w:val="en-US" w:eastAsia="zh-CN"/>
                    </w:rPr>
                    <w:t>准</w:t>
                  </w:r>
                  <w:r>
                    <w:rPr>
                      <w:color w:val="auto"/>
                      <w:sz w:val="21"/>
                      <w:szCs w:val="21"/>
                      <w:highlight w:val="none"/>
                    </w:rPr>
                    <w:t>》（GB212348-2008）</w:t>
                  </w:r>
                  <w:r>
                    <w:rPr>
                      <w:rFonts w:hint="eastAsia"/>
                      <w:color w:val="auto"/>
                      <w:sz w:val="21"/>
                      <w:szCs w:val="21"/>
                      <w:highlight w:val="none"/>
                      <w:lang w:val="en-US" w:eastAsia="zh-CN"/>
                    </w:rPr>
                    <w:t>2</w:t>
                  </w:r>
                  <w:r>
                    <w:rPr>
                      <w:color w:val="auto"/>
                      <w:sz w:val="21"/>
                      <w:szCs w:val="21"/>
                      <w:highlight w:val="none"/>
                    </w:rPr>
                    <w:t>类标准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50</w:t>
                  </w:r>
                </w:p>
              </w:tc>
            </w:tr>
          </w:tbl>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4、固体废物</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项目产生的一般固体废物贮存、处置过程执行《一般工业固体废物贮存和填埋污染控制标准》（GB18599-2020）相关规定</w:t>
            </w:r>
            <w:r>
              <w:rPr>
                <w:rFonts w:hint="eastAsia"/>
                <w:color w:val="auto"/>
                <w:highlight w:val="none"/>
                <w:lang w:val="en-US" w:eastAsia="zh-CN"/>
              </w:rPr>
              <w:t>；危险废物贮存、处置过程执行《危险废物贮存污染控制标准》（GB18597-2001）及其2013年修改单、《危险废物污染防治技术政策》和《危险废物转移联单管理办法》中的有关规定。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总量控制指标</w:t>
            </w:r>
          </w:p>
        </w:tc>
        <w:tc>
          <w:tcPr>
            <w:tcW w:w="7511" w:type="dxa"/>
            <w:vAlign w:val="center"/>
          </w:tcPr>
          <w:p>
            <w:pPr>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根据本项目的具体情况，结合国家污染物排放总量控制原则，提出污染物总量控制指标如下：</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1、废气</w:t>
            </w:r>
          </w:p>
          <w:p>
            <w:pPr>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根据工程分析，本项目运营期产生的废气中，食堂油烟有组织废气量为292万m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。上述指标仅作为厂内污染物排放核算指标，不纳入总量控制指标。</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2、废水</w:t>
            </w:r>
          </w:p>
          <w:p>
            <w:pPr>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本项目废水产生量为214795.2t/a，产生的废水全部回用，不外排，无需申请总量指标。</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3、固体废物</w:t>
            </w:r>
            <w:r>
              <w:rPr>
                <w:rFonts w:hint="eastAsia"/>
                <w:b/>
                <w:bCs/>
                <w:color w:val="auto"/>
                <w:highlight w:val="none"/>
                <w:lang w:val="en-US" w:eastAsia="zh-CN"/>
              </w:rPr>
              <w:tab/>
            </w:r>
          </w:p>
          <w:p>
            <w:pPr>
              <w:ind w:left="0" w:leftChars="0" w:firstLine="480" w:firstLineChars="200"/>
              <w:jc w:val="both"/>
              <w:rPr>
                <w:rFonts w:hint="default"/>
                <w:color w:val="auto"/>
                <w:highlight w:val="none"/>
                <w:vertAlign w:val="baseline"/>
                <w:lang w:val="en-US" w:eastAsia="zh-CN"/>
              </w:rPr>
            </w:pPr>
            <w:r>
              <w:rPr>
                <w:rFonts w:hint="eastAsia"/>
                <w:b w:val="0"/>
                <w:bCs w:val="0"/>
                <w:color w:val="auto"/>
                <w:highlight w:val="none"/>
                <w:lang w:val="en-US" w:eastAsia="zh-CN"/>
              </w:rPr>
              <w:t>项目产生的固体废物得到合理处置，处置率达100%，故不设总量控制指标。</w:t>
            </w:r>
          </w:p>
        </w:tc>
      </w:tr>
    </w:tbl>
    <w:p>
      <w:pPr>
        <w:pStyle w:val="2"/>
        <w:jc w:val="center"/>
        <w:rPr>
          <w:color w:val="auto"/>
          <w:highlight w:val="none"/>
        </w:rPr>
      </w:pPr>
      <w:r>
        <w:rPr>
          <w:rFonts w:hint="eastAsia"/>
          <w:color w:val="auto"/>
          <w:highlight w:val="none"/>
        </w:rPr>
        <w:br w:type="page"/>
      </w:r>
      <w:bookmarkStart w:id="4" w:name="_Toc11318"/>
      <w:r>
        <w:rPr>
          <w:rFonts w:hint="eastAsia"/>
          <w:color w:val="auto"/>
          <w:highlight w:val="none"/>
        </w:rPr>
        <w:t>四、主要环境影响和保护措施</w:t>
      </w:r>
      <w:bookmarkEnd w:id="4"/>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7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010" w:type="dxa"/>
            <w:vAlign w:val="center"/>
          </w:tcPr>
          <w:p>
            <w:pPr>
              <w:ind w:firstLine="0" w:firstLineChars="0"/>
              <w:jc w:val="center"/>
              <w:rPr>
                <w:color w:val="auto"/>
                <w:highlight w:val="none"/>
              </w:rPr>
            </w:pPr>
            <w:r>
              <w:rPr>
                <w:rFonts w:hint="eastAsia"/>
                <w:color w:val="auto"/>
                <w:highlight w:val="none"/>
              </w:rPr>
              <w:t>施工期环境保护措施</w:t>
            </w:r>
          </w:p>
        </w:tc>
        <w:tc>
          <w:tcPr>
            <w:tcW w:w="7512" w:type="dxa"/>
            <w:vAlign w:val="center"/>
          </w:tcPr>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（一）大气保护措施</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1、扬尘</w:t>
            </w:r>
          </w:p>
          <w:p>
            <w:pPr>
              <w:ind w:left="0" w:leftChars="0" w:firstLine="480" w:firstLineChars="200"/>
              <w:rPr>
                <w:rFonts w:hint="default"/>
                <w:color w:val="auto"/>
                <w:highlight w:val="none"/>
                <w:lang w:val="en-US" w:eastAsia="zh-CN"/>
              </w:rPr>
            </w:pPr>
            <w:r>
              <w:rPr>
                <w:rFonts w:hint="eastAsia"/>
                <w:color w:val="auto"/>
                <w:highlight w:val="none"/>
                <w:lang w:val="en-US" w:eastAsia="zh-CN"/>
              </w:rPr>
              <w:t>项目建设过程施工扬尘主要来源于场地开挖、土方堆放、回填、建设材料装卸、堆放和运输、建筑垃圾堆放和运出、施工车辆和施工机械行驶等</w:t>
            </w:r>
            <w:r>
              <w:rPr>
                <w:rFonts w:hint="default"/>
                <w:color w:val="auto"/>
                <w:highlight w:val="none"/>
                <w:lang w:val="en-US" w:eastAsia="zh-CN"/>
              </w:rPr>
              <w:t>。主要污染物为TSP，不含有毒有害的特殊污染物质，对施工环境有一定的影响。粉尘呈无组织排放，其产生强度与施工方式、气象条件有关，一般风大时产生扬尘较多，影响较大。</w:t>
            </w:r>
          </w:p>
          <w:p>
            <w:pPr>
              <w:ind w:left="0" w:leftChars="0" w:firstLine="480" w:firstLineChars="200"/>
              <w:rPr>
                <w:rFonts w:hint="default"/>
                <w:color w:val="auto"/>
                <w:highlight w:val="none"/>
                <w:lang w:val="en-US" w:eastAsia="zh-CN"/>
              </w:rPr>
            </w:pPr>
            <w:r>
              <w:rPr>
                <w:rFonts w:hint="default"/>
                <w:color w:val="auto"/>
                <w:highlight w:val="none"/>
                <w:lang w:val="en-US" w:eastAsia="zh-CN"/>
              </w:rPr>
              <w:t>建设单位在施工场地进行洒水降尘、运输车辆控制车速、物料封闭堆存等措施，可大大降低扬尘对周围空气环境的影响。在采取有效措施的前提下，项目施工扬尘对周边村民影响不大。但为进一步减小施工扬尘对环境空气的影响，本环评要求建设方在施工时应做到以下几点：</w:t>
            </w:r>
          </w:p>
          <w:p>
            <w:pPr>
              <w:ind w:left="0" w:leftChars="0" w:firstLine="480" w:firstLineChars="200"/>
              <w:rPr>
                <w:rFonts w:hint="default"/>
                <w:color w:val="auto"/>
                <w:highlight w:val="none"/>
                <w:lang w:val="en-US" w:eastAsia="zh-CN"/>
              </w:rPr>
            </w:pPr>
            <w:r>
              <w:rPr>
                <w:rFonts w:hint="default"/>
                <w:color w:val="auto"/>
                <w:highlight w:val="none"/>
                <w:lang w:val="en-US" w:eastAsia="zh-CN"/>
              </w:rPr>
              <w:t>①工程建设施工现场</w:t>
            </w:r>
            <w:r>
              <w:rPr>
                <w:rFonts w:hint="eastAsia"/>
                <w:color w:val="auto"/>
                <w:highlight w:val="none"/>
                <w:lang w:val="en-US" w:eastAsia="zh-CN"/>
              </w:rPr>
              <w:t>周界</w:t>
            </w:r>
            <w:r>
              <w:rPr>
                <w:rFonts w:hint="default"/>
                <w:color w:val="auto"/>
                <w:highlight w:val="none"/>
                <w:lang w:val="en-US" w:eastAsia="zh-CN"/>
              </w:rPr>
              <w:t>设置不低于2.5m的围挡墙、施工围网、防风抑尘网，严禁敞开式作业</w:t>
            </w:r>
            <w:r>
              <w:rPr>
                <w:rFonts w:hint="eastAsia"/>
                <w:color w:val="auto"/>
                <w:highlight w:val="none"/>
                <w:lang w:val="en-US" w:eastAsia="zh-CN"/>
              </w:rPr>
              <w:t>；</w:t>
            </w:r>
          </w:p>
          <w:p>
            <w:pPr>
              <w:ind w:left="0" w:leftChars="0" w:firstLine="480" w:firstLineChars="200"/>
              <w:rPr>
                <w:rFonts w:hint="default"/>
                <w:color w:val="auto"/>
                <w:highlight w:val="none"/>
                <w:lang w:val="en-US" w:eastAsia="zh-CN"/>
              </w:rPr>
            </w:pPr>
            <w:r>
              <w:rPr>
                <w:rFonts w:hint="eastAsia"/>
                <w:color w:val="auto"/>
                <w:highlight w:val="none"/>
                <w:lang w:val="en-US" w:eastAsia="zh-CN"/>
              </w:rPr>
              <w:t>②</w:t>
            </w:r>
            <w:r>
              <w:rPr>
                <w:rFonts w:hint="default"/>
                <w:color w:val="auto"/>
                <w:highlight w:val="none"/>
                <w:lang w:val="en-US" w:eastAsia="zh-CN"/>
              </w:rPr>
              <w:t>在施工过程中，对施工场地洒水以减少扬尘的飞扬，洒水次数根据天气情况而定，当风速大于3级、夏季晴好的天气应每隔2个小时洒水一次；</w:t>
            </w:r>
          </w:p>
          <w:p>
            <w:pPr>
              <w:ind w:left="0" w:leftChars="0" w:firstLine="480" w:firstLineChars="200"/>
              <w:rPr>
                <w:rFonts w:hint="default"/>
                <w:color w:val="auto"/>
                <w:highlight w:val="none"/>
                <w:lang w:val="en-US" w:eastAsia="zh-CN"/>
              </w:rPr>
            </w:pPr>
            <w:r>
              <w:rPr>
                <w:rFonts w:hint="eastAsia"/>
                <w:color w:val="auto"/>
                <w:highlight w:val="none"/>
                <w:lang w:val="en-US" w:eastAsia="zh-CN"/>
              </w:rPr>
              <w:t>③在施工场地上设置专人负责弃土、建筑垃圾处置、清运，及时清理场地，改善施工场地的环境；</w:t>
            </w:r>
          </w:p>
          <w:p>
            <w:pPr>
              <w:ind w:left="0" w:leftChars="0" w:firstLine="480" w:firstLineChars="200"/>
              <w:rPr>
                <w:rFonts w:hint="default"/>
                <w:color w:val="auto"/>
                <w:highlight w:val="none"/>
                <w:lang w:val="en-US" w:eastAsia="zh-CN"/>
              </w:rPr>
            </w:pPr>
            <w:r>
              <w:rPr>
                <w:rFonts w:hint="eastAsia"/>
                <w:color w:val="auto"/>
                <w:highlight w:val="none"/>
                <w:lang w:val="en-US" w:eastAsia="zh-CN"/>
              </w:rPr>
              <w:t>④</w:t>
            </w:r>
            <w:r>
              <w:rPr>
                <w:rFonts w:hint="default"/>
                <w:color w:val="auto"/>
                <w:highlight w:val="none"/>
                <w:lang w:val="en-US" w:eastAsia="zh-CN"/>
              </w:rPr>
              <w:t>易起尘物料料堆采取篷布遮盖，对无包装的料堆要定期洒水使之保持不易被风吹扬的状态；</w:t>
            </w:r>
          </w:p>
          <w:p>
            <w:pPr>
              <w:ind w:left="0" w:leftChars="0" w:firstLine="480" w:firstLineChars="200"/>
              <w:rPr>
                <w:rFonts w:hint="default"/>
                <w:color w:val="auto"/>
                <w:highlight w:val="none"/>
                <w:lang w:val="en-US" w:eastAsia="zh-CN"/>
              </w:rPr>
            </w:pPr>
            <w:r>
              <w:rPr>
                <w:rFonts w:hint="eastAsia"/>
                <w:color w:val="auto"/>
                <w:highlight w:val="none"/>
                <w:lang w:val="en-US" w:eastAsia="zh-CN"/>
              </w:rPr>
              <w:t>⑤</w:t>
            </w:r>
            <w:r>
              <w:rPr>
                <w:rFonts w:hint="default"/>
                <w:color w:val="auto"/>
                <w:highlight w:val="none"/>
                <w:lang w:val="en-US" w:eastAsia="zh-CN"/>
              </w:rPr>
              <w:t>规范车辆装载方式，运输过程采取密闭措施，并按照指定路线运输，杜绝沿路洒漏现象，减少对外环境的影响；</w:t>
            </w:r>
          </w:p>
          <w:p>
            <w:pPr>
              <w:ind w:left="0" w:leftChars="0" w:firstLine="480" w:firstLineChars="200"/>
              <w:rPr>
                <w:rFonts w:hint="default"/>
                <w:color w:val="auto"/>
                <w:highlight w:val="none"/>
                <w:lang w:val="en-US" w:eastAsia="zh-CN"/>
              </w:rPr>
            </w:pPr>
            <w:r>
              <w:rPr>
                <w:rFonts w:hint="eastAsia"/>
                <w:color w:val="auto"/>
                <w:highlight w:val="none"/>
                <w:lang w:val="en-US" w:eastAsia="zh-CN"/>
              </w:rPr>
              <w:t>⑥施工现场进出道路应进行硬化，并在施工场地车辆出口处设置车辆轮胎清洗装置，运输车辆必须冲洗后出场。</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2、燃油机械废气</w:t>
            </w:r>
          </w:p>
          <w:p>
            <w:pPr>
              <w:ind w:left="0" w:leftChars="0" w:firstLine="480" w:firstLineChars="200"/>
              <w:rPr>
                <w:rFonts w:hint="eastAsia"/>
                <w:color w:val="auto"/>
                <w:highlight w:val="none"/>
                <w:lang w:val="en-US" w:eastAsia="zh-CN"/>
              </w:rPr>
            </w:pPr>
            <w:r>
              <w:rPr>
                <w:rFonts w:hint="eastAsia"/>
                <w:color w:val="auto"/>
                <w:highlight w:val="none"/>
                <w:lang w:val="en-US" w:eastAsia="zh-CN"/>
              </w:rPr>
              <w:t>施工机械运行产生的废气及运输车辆运输过程中产生的尾气均是动力燃料柴油和汽油燃烧后所产生，是影响空气环境的主要污染物之一，主要成分是烯烃类、CO和NOx，属无组织间歇式排放。施工机械排放废气属点源污染，其具有间断性产生、产生量较小、产生点相对分散、易被稀释扩散等特点。本项目工程量较小，使用的燃油机械较少，持续时间较短，在空气环境中经一定的距离自然扩散、稀释后，对评价区域空气质量影响不大。</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3、焊接废气</w:t>
            </w:r>
          </w:p>
          <w:p>
            <w:pPr>
              <w:ind w:left="0" w:leftChars="0" w:firstLine="480" w:firstLineChars="200"/>
              <w:rPr>
                <w:rFonts w:hint="default"/>
                <w:color w:val="auto"/>
                <w:highlight w:val="none"/>
                <w:lang w:val="en-US" w:eastAsia="zh-CN"/>
              </w:rPr>
            </w:pPr>
            <w:r>
              <w:rPr>
                <w:rFonts w:hint="default"/>
                <w:color w:val="auto"/>
                <w:highlight w:val="none"/>
                <w:lang w:val="en-US" w:eastAsia="zh-CN"/>
              </w:rPr>
              <w:t>本工程管道组焊采用埋弧焊方式，焊接作业时会产生各种有害气体，因本项目施工范围广，分段施工，该影响只会对沿路有居民的地方才会有影响，具有暂时性；施工现场较开阔，且经大气稀释扩散及绿化吸收后，焊接烟尘对作业点周围环境影响较小。</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（二）水环境保护措施</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1、施工废水</w:t>
            </w:r>
          </w:p>
          <w:p>
            <w:pPr>
              <w:ind w:left="0" w:leftChars="0" w:firstLine="480" w:firstLineChars="200"/>
              <w:rPr>
                <w:rFonts w:hint="eastAsia"/>
                <w:color w:val="auto"/>
                <w:highlight w:val="none"/>
                <w:lang w:val="en-US" w:eastAsia="zh-CN"/>
              </w:rPr>
            </w:pPr>
            <w:r>
              <w:rPr>
                <w:rFonts w:hint="eastAsia"/>
                <w:color w:val="auto"/>
                <w:highlight w:val="none"/>
                <w:lang w:val="en-US" w:eastAsia="zh-CN"/>
              </w:rPr>
              <w:t>（1）建设方于项目施工场地内设置临时废水沉淀池，将施工期产生的施工废水引入临时沉淀池进行沉淀处理后回用于施工用水或施工场地内降尘用水，不直接排放至附近的地表水中；</w:t>
            </w:r>
          </w:p>
          <w:p>
            <w:pPr>
              <w:ind w:left="0" w:leftChars="0" w:firstLine="480" w:firstLineChars="200"/>
              <w:rPr>
                <w:rFonts w:hint="eastAsia"/>
                <w:color w:val="auto"/>
                <w:highlight w:val="none"/>
                <w:lang w:val="en-US" w:eastAsia="zh-CN"/>
              </w:rPr>
            </w:pPr>
            <w:r>
              <w:rPr>
                <w:rFonts w:hint="eastAsia"/>
                <w:color w:val="auto"/>
                <w:highlight w:val="none"/>
                <w:lang w:val="en-US" w:eastAsia="zh-CN"/>
              </w:rPr>
              <w:t>（2）施工机械冲洗废水引入临时沉淀池处理后可回用于施工过程和场地、进场道路洒水抑尘，不外排；</w:t>
            </w:r>
          </w:p>
          <w:p>
            <w:pPr>
              <w:ind w:left="0" w:leftChars="0" w:firstLine="480" w:firstLineChars="200"/>
              <w:rPr>
                <w:rFonts w:hint="eastAsia"/>
                <w:color w:val="auto"/>
                <w:highlight w:val="none"/>
                <w:lang w:val="en-US" w:eastAsia="zh-CN"/>
              </w:rPr>
            </w:pPr>
            <w:r>
              <w:rPr>
                <w:rFonts w:hint="eastAsia"/>
                <w:color w:val="auto"/>
                <w:highlight w:val="none"/>
                <w:lang w:val="en-US" w:eastAsia="zh-CN"/>
              </w:rPr>
              <w:t>（3）雨季前优先建设排水沟、围墙、围挡及沉淀池，将产生的地表径流引入的沉淀池沉淀后，回用于施工过程或施工场地内降尘用水；</w:t>
            </w:r>
          </w:p>
          <w:p>
            <w:pPr>
              <w:ind w:left="0" w:leftChars="0" w:firstLine="480" w:firstLineChars="200"/>
              <w:rPr>
                <w:rFonts w:hint="eastAsia"/>
                <w:color w:val="auto"/>
                <w:highlight w:val="none"/>
                <w:lang w:val="en-US" w:eastAsia="zh-CN"/>
              </w:rPr>
            </w:pPr>
            <w:r>
              <w:rPr>
                <w:rFonts w:hint="eastAsia"/>
                <w:color w:val="auto"/>
                <w:highlight w:val="none"/>
                <w:lang w:val="en-US" w:eastAsia="zh-CN"/>
              </w:rPr>
              <w:t>（4）建筑材料应分类集中堆放，且雨天顶部覆盖篷布；</w:t>
            </w:r>
          </w:p>
          <w:p>
            <w:pPr>
              <w:ind w:left="0" w:leftChars="0" w:firstLine="480" w:firstLineChars="200"/>
              <w:rPr>
                <w:rFonts w:hint="eastAsia"/>
                <w:color w:val="auto"/>
                <w:highlight w:val="none"/>
                <w:lang w:val="en-US" w:eastAsia="zh-CN"/>
              </w:rPr>
            </w:pPr>
            <w:r>
              <w:rPr>
                <w:rFonts w:hint="eastAsia"/>
                <w:color w:val="auto"/>
                <w:highlight w:val="none"/>
                <w:lang w:val="en-US" w:eastAsia="zh-CN"/>
              </w:rPr>
              <w:t>（5）水泥、砂石等建筑材料应适量堆放，尽量减少存放时间；</w:t>
            </w:r>
          </w:p>
          <w:p>
            <w:pPr>
              <w:ind w:left="0" w:leftChars="0" w:firstLine="480" w:firstLineChars="200"/>
              <w:rPr>
                <w:rFonts w:hint="eastAsia"/>
                <w:color w:val="auto"/>
                <w:highlight w:val="none"/>
                <w:lang w:val="en-US" w:eastAsia="zh-CN"/>
              </w:rPr>
            </w:pPr>
            <w:r>
              <w:rPr>
                <w:rFonts w:hint="eastAsia"/>
                <w:color w:val="auto"/>
                <w:highlight w:val="none"/>
                <w:lang w:val="en-US" w:eastAsia="zh-CN"/>
              </w:rPr>
              <w:t>（6）合理安排施工计划，将基建期避开雨季进行；</w:t>
            </w:r>
          </w:p>
          <w:p>
            <w:pPr>
              <w:ind w:left="0" w:leftChars="0" w:firstLine="480" w:firstLineChars="200"/>
              <w:rPr>
                <w:rFonts w:hint="eastAsia"/>
                <w:color w:val="auto"/>
                <w:highlight w:val="none"/>
                <w:lang w:val="en-US" w:eastAsia="zh-CN"/>
              </w:rPr>
            </w:pPr>
            <w:r>
              <w:rPr>
                <w:rFonts w:hint="eastAsia"/>
                <w:color w:val="auto"/>
                <w:highlight w:val="none"/>
                <w:lang w:val="en-US" w:eastAsia="zh-CN"/>
              </w:rPr>
              <w:t>（7）养护浇筑面时，做到少量、多次洒水，以减少养护废水的产生量；</w:t>
            </w:r>
          </w:p>
          <w:p>
            <w:pPr>
              <w:ind w:left="0" w:leftChars="0" w:firstLine="480" w:firstLineChars="200"/>
              <w:rPr>
                <w:rFonts w:hint="default"/>
                <w:color w:val="auto"/>
                <w:highlight w:val="none"/>
                <w:lang w:val="en-US" w:eastAsia="zh-CN"/>
              </w:rPr>
            </w:pPr>
            <w:r>
              <w:rPr>
                <w:rFonts w:hint="eastAsia"/>
                <w:color w:val="auto"/>
                <w:highlight w:val="none"/>
                <w:lang w:val="en-US" w:eastAsia="zh-CN"/>
              </w:rPr>
              <w:t>（8）在固定的停放场，对施工机械进行定期的修检维护，尽量减少施工机械在施工过程中发生燃油的跑、冒、漏、滴现象。</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2、施工人员生活污水</w:t>
            </w:r>
          </w:p>
          <w:p>
            <w:pPr>
              <w:ind w:left="0" w:leftChars="0" w:firstLine="480" w:firstLineChars="200"/>
              <w:rPr>
                <w:rFonts w:hint="default"/>
                <w:color w:val="auto"/>
                <w:highlight w:val="none"/>
                <w:lang w:val="en-US" w:eastAsia="zh-CN"/>
              </w:rPr>
            </w:pPr>
            <w:r>
              <w:rPr>
                <w:rFonts w:hint="eastAsia"/>
                <w:color w:val="auto"/>
                <w:highlight w:val="none"/>
                <w:lang w:val="en-US" w:eastAsia="zh-CN"/>
              </w:rPr>
              <w:t>项目施工高峰期施工人员数量达50人，生活污水产生量为4.8m</w:t>
            </w:r>
            <w:r>
              <w:rPr>
                <w:rFonts w:hint="eastAsia"/>
                <w:color w:val="auto"/>
                <w:highlight w:val="none"/>
                <w:vertAlign w:val="superscript"/>
                <w:lang w:val="en-US" w:eastAsia="zh-CN"/>
              </w:rPr>
              <w:t>3</w:t>
            </w:r>
            <w:r>
              <w:rPr>
                <w:rFonts w:hint="eastAsia"/>
                <w:color w:val="auto"/>
                <w:highlight w:val="none"/>
                <w:lang w:val="en-US" w:eastAsia="zh-CN"/>
              </w:rPr>
              <w:t>/d。施工人员食宿依托设置的施工生产生活区，在各个施工区及生产生活区设置旱厕，定期清淘用作农肥，洗手等生活污水拟在各个施工区及生产生活区设置沉淀池沉淀处理后应回用于车辆冲洗、道路清扫等。</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（三）声环境保护措施</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本项目建设期主要噪声来源是各类施工机械设备噪声。施工噪声具有阶段性、临时性和不固定性，不同的施工设备产生的噪声不同。在多台机械设备同时作业时，各台设备产生的噪声会产生叠加。</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施工过程主要分为土石方阶段、基础阶段、主体阶段和设备安装阶段等。这几个阶段所占施工时间较长，采用的施工机械较多，噪声污染较为严重。不同的施工阶段又有其独立的噪声特性，其影响程度及范围也不尽相同。</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本次环评提出以下措施较少施工期噪声对周边环境的影响：</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①施工期间，施工单位应选用低噪声的施工设备，从源头上控制噪声排放；加强施工机械的维修、管理，保证施工机械处于低噪声、高效率的良好工作状态。</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②合理布置噪声源，合理安排施工时间，禁止在中午（12:00～14:00）和夜间（22:00～次日6:00）施工，厂房进行隔声控制。</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③施工车辆出入施工场地及经过居民区时，应低速、禁鸣，减少对周围居民的影响。</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本项目在采取了上述措施后，只要加强管理，合理施工，认真落实各项防治措施，项目施工噪声对周围环境影响小。施工期结束后，相应的噪声污染即随之消失，不会对周围环境产生长期不良影响。</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（四）固体废物</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项目施工期固体废物主要为土石方、建筑垃圾、施工人员生活垃圾及旱厕粪污。</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1、土石方</w:t>
            </w:r>
          </w:p>
          <w:p>
            <w:pPr>
              <w:ind w:left="0" w:leftChars="0" w:firstLine="480" w:firstLineChars="200"/>
              <w:rPr>
                <w:rFonts w:hint="eastAsia"/>
                <w:b w:val="0"/>
                <w:bCs w:val="0"/>
                <w:color w:val="auto"/>
                <w:highlight w:val="none"/>
                <w:lang w:val="en-US" w:eastAsia="zh-CN"/>
              </w:rPr>
            </w:pPr>
            <w:r>
              <w:rPr>
                <w:rFonts w:hint="eastAsia" w:ascii="Times New Roman" w:hAnsi="Times New Roman" w:eastAsia="宋体" w:cs="Times New Roman"/>
                <w:b w:val="0"/>
                <w:bCs w:val="0"/>
                <w:color w:val="auto"/>
                <w:szCs w:val="22"/>
                <w:highlight w:val="none"/>
                <w:lang w:val="en-US" w:eastAsia="zh-CN"/>
              </w:rPr>
              <w:t>根据本项目水土保持方案报告书，本工程共计土石方开挖12.37万m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（其中包括表土剥离2.91万m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、场地平整0.41万m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、基础开挖9.05万m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），回填利用11.85万m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（其中包括绿化覆土2.91万m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、场地回填3.81万m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、基础回填5.13万m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），项目内部调运3.19万m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，无外借土石方，废弃0.52万m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，废弃土石方去向为：运往宜良县北古城镇工业园区建荣消纳场作为矿坑修复回填土，本项目不设置取土（石、砂）场，弃渣（土、石）场。</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2、建筑垃圾</w:t>
            </w:r>
          </w:p>
          <w:p>
            <w:pPr>
              <w:ind w:left="0" w:leftChars="0" w:firstLine="480" w:firstLineChars="200"/>
              <w:rPr>
                <w:rFonts w:hint="eastAsia"/>
                <w:color w:val="auto"/>
                <w:highlight w:val="none"/>
                <w:lang w:val="en-US" w:eastAsia="zh-CN"/>
              </w:rPr>
            </w:pPr>
            <w:r>
              <w:rPr>
                <w:rFonts w:hint="eastAsia"/>
                <w:color w:val="auto"/>
                <w:highlight w:val="none"/>
                <w:lang w:val="en-US" w:eastAsia="zh-CN"/>
              </w:rPr>
              <w:t>施工期间产生的建筑垃圾采取分类清理收集后部分回用，如钢材和塑料，可回收利用的尽量进行回收利用，对残余混凝土等不可回收的建筑垃圾集中收集后当地管理部门要求进行处置。</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3、施工人员生活垃圾</w:t>
            </w:r>
          </w:p>
          <w:p>
            <w:pPr>
              <w:ind w:left="0" w:leftChars="0" w:firstLine="480" w:firstLineChars="200"/>
              <w:rPr>
                <w:rFonts w:hint="eastAsia"/>
                <w:color w:val="auto"/>
                <w:highlight w:val="none"/>
                <w:lang w:val="en-US" w:eastAsia="zh-CN"/>
              </w:rPr>
            </w:pPr>
            <w:r>
              <w:rPr>
                <w:rFonts w:hint="eastAsia"/>
                <w:color w:val="auto"/>
                <w:highlight w:val="none"/>
                <w:lang w:val="en-US" w:eastAsia="zh-CN"/>
              </w:rPr>
              <w:t>项目施工高峰期施工人员为50人，生活垃圾产生量按每人每天0.5kg计，即生活垃圾产生量为25kg/d，施工期为8个月，则施工期产生的生活垃圾约6t。施工人员生活垃圾经垃圾桶收集后送生活垃圾收集点，并由环卫部门统一清运、处置。</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4、旱厕粪污</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w:t>
            </w:r>
            <w:r>
              <w:rPr>
                <w:rFonts w:hint="eastAsia"/>
                <w:b w:val="0"/>
                <w:bCs w:val="0"/>
                <w:color w:val="auto"/>
                <w:highlight w:val="none"/>
                <w:lang w:val="en-US" w:eastAsia="zh-CN"/>
              </w:rPr>
              <w:t>在</w:t>
            </w:r>
            <w:r>
              <w:rPr>
                <w:rFonts w:hint="default"/>
                <w:b w:val="0"/>
                <w:bCs w:val="0"/>
                <w:color w:val="auto"/>
                <w:highlight w:val="none"/>
                <w:lang w:val="en-US" w:eastAsia="zh-CN"/>
              </w:rPr>
              <w:t>施工生活区新建旱厕</w:t>
            </w:r>
            <w:r>
              <w:rPr>
                <w:rFonts w:hint="eastAsia"/>
                <w:b w:val="0"/>
                <w:bCs w:val="0"/>
                <w:color w:val="auto"/>
                <w:highlight w:val="none"/>
                <w:lang w:val="en-US" w:eastAsia="zh-CN"/>
              </w:rPr>
              <w:t>，旱厕粪污定期清掏用作周边农田农肥</w:t>
            </w:r>
            <w:r>
              <w:rPr>
                <w:rFonts w:hint="default"/>
                <w:b w:val="0"/>
                <w:bCs w:val="0"/>
                <w:color w:val="auto"/>
                <w:highlight w:val="none"/>
                <w:lang w:val="en-US" w:eastAsia="zh-CN"/>
              </w:rPr>
              <w:t>。</w:t>
            </w:r>
          </w:p>
          <w:p>
            <w:pPr>
              <w:ind w:left="0" w:leftChars="0" w:firstLine="0" w:firstLineChars="0"/>
              <w:rPr>
                <w:rFonts w:hint="default"/>
                <w:b/>
                <w:bCs/>
                <w:color w:val="auto"/>
                <w:highlight w:val="none"/>
                <w:lang w:val="en-US" w:eastAsia="zh-CN"/>
              </w:rPr>
            </w:pPr>
            <w:r>
              <w:rPr>
                <w:rFonts w:hint="default"/>
                <w:b/>
                <w:bCs/>
                <w:color w:val="auto"/>
                <w:highlight w:val="none"/>
                <w:lang w:val="en-US" w:eastAsia="zh-CN"/>
              </w:rPr>
              <w:t>（四）生态</w:t>
            </w:r>
            <w:r>
              <w:rPr>
                <w:rFonts w:hint="eastAsia"/>
                <w:b/>
                <w:bCs/>
                <w:color w:val="auto"/>
                <w:highlight w:val="none"/>
                <w:lang w:val="en-US" w:eastAsia="zh-CN"/>
              </w:rPr>
              <w:t>保护</w:t>
            </w:r>
            <w:r>
              <w:rPr>
                <w:rFonts w:hint="default"/>
                <w:b/>
                <w:bCs/>
                <w:color w:val="auto"/>
                <w:highlight w:val="none"/>
                <w:lang w:val="en-US" w:eastAsia="zh-CN"/>
              </w:rPr>
              <w:t>措施</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对生态环境产生的不利影响主要发生在施工期，主要是土石方开挖、对动植物的影响、水土流失等。施工便道开挖，会造成地表松散，在地表径流的冲刷的作用下易造成水土流失，暴雨季节尤为突出。但其影响是局部的、暂时的，随着施工结束后可恢复。施工过程中应尽量减少植被的破坏，施工结束后</w:t>
            </w:r>
            <w:r>
              <w:rPr>
                <w:rFonts w:hint="eastAsia"/>
                <w:b w:val="0"/>
                <w:bCs w:val="0"/>
                <w:color w:val="auto"/>
                <w:highlight w:val="none"/>
                <w:lang w:val="en-US" w:eastAsia="zh-CN"/>
              </w:rPr>
              <w:t>应</w:t>
            </w:r>
            <w:r>
              <w:rPr>
                <w:rFonts w:hint="default"/>
                <w:b w:val="0"/>
                <w:bCs w:val="0"/>
                <w:color w:val="auto"/>
                <w:highlight w:val="none"/>
                <w:lang w:val="en-US" w:eastAsia="zh-CN"/>
              </w:rPr>
              <w:t>采取</w:t>
            </w:r>
            <w:r>
              <w:rPr>
                <w:rFonts w:hint="eastAsia"/>
                <w:b w:val="0"/>
                <w:bCs w:val="0"/>
                <w:color w:val="auto"/>
                <w:highlight w:val="none"/>
                <w:lang w:val="en-US" w:eastAsia="zh-CN"/>
              </w:rPr>
              <w:t>以下</w:t>
            </w:r>
            <w:r>
              <w:rPr>
                <w:rFonts w:hint="default"/>
                <w:b w:val="0"/>
                <w:bCs w:val="0"/>
                <w:color w:val="auto"/>
                <w:highlight w:val="none"/>
                <w:lang w:val="en-US" w:eastAsia="zh-CN"/>
              </w:rPr>
              <w:t>措施，</w:t>
            </w:r>
            <w:r>
              <w:rPr>
                <w:rFonts w:hint="eastAsia"/>
                <w:b w:val="0"/>
                <w:bCs w:val="0"/>
                <w:color w:val="auto"/>
                <w:highlight w:val="none"/>
                <w:lang w:val="en-US" w:eastAsia="zh-CN"/>
              </w:rPr>
              <w:t>减小本项目施工过程对生态的影响</w:t>
            </w:r>
            <w:r>
              <w:rPr>
                <w:rFonts w:hint="default"/>
                <w:b w:val="0"/>
                <w:bCs w:val="0"/>
                <w:color w:val="auto"/>
                <w:highlight w:val="none"/>
                <w:lang w:val="en-US" w:eastAsia="zh-CN"/>
              </w:rPr>
              <w:t>。</w:t>
            </w:r>
          </w:p>
          <w:p>
            <w:pPr>
              <w:ind w:left="0" w:leftChars="0" w:firstLine="480" w:firstLineChars="200"/>
              <w:rPr>
                <w:rFonts w:hint="eastAsia"/>
                <w:b w:val="0"/>
                <w:bCs w:val="0"/>
                <w:color w:val="auto"/>
                <w:highlight w:val="none"/>
                <w:lang w:val="en-US" w:eastAsia="zh-CN"/>
              </w:rPr>
            </w:pPr>
            <w:r>
              <w:rPr>
                <w:rFonts w:hint="default"/>
                <w:b w:val="0"/>
                <w:bCs w:val="0"/>
                <w:color w:val="auto"/>
                <w:highlight w:val="none"/>
                <w:lang w:val="en-US" w:eastAsia="zh-CN"/>
              </w:rPr>
              <w:t>（1）结合水土保持工程</w:t>
            </w:r>
            <w:r>
              <w:rPr>
                <w:rFonts w:hint="eastAsia"/>
                <w:b w:val="0"/>
                <w:bCs w:val="0"/>
                <w:color w:val="auto"/>
                <w:highlight w:val="none"/>
                <w:lang w:val="en-US" w:eastAsia="zh-CN"/>
              </w:rPr>
              <w:t>，严格落实水土保持措施</w:t>
            </w:r>
            <w:r>
              <w:rPr>
                <w:rFonts w:hint="default"/>
                <w:b w:val="0"/>
                <w:bCs w:val="0"/>
                <w:color w:val="auto"/>
                <w:highlight w:val="none"/>
                <w:lang w:val="en-US" w:eastAsia="zh-CN"/>
              </w:rPr>
              <w:t>，避免雨天施工，减少水土流失量</w:t>
            </w:r>
            <w:r>
              <w:rPr>
                <w:rFonts w:hint="eastAsia"/>
                <w:b w:val="0"/>
                <w:bCs w:val="0"/>
                <w:color w:val="auto"/>
                <w:highlight w:val="none"/>
                <w:lang w:val="en-US" w:eastAsia="zh-CN"/>
              </w:rPr>
              <w:t>；</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（2）</w:t>
            </w:r>
            <w:r>
              <w:rPr>
                <w:rFonts w:hint="default"/>
                <w:b w:val="0"/>
                <w:bCs w:val="0"/>
                <w:color w:val="auto"/>
                <w:highlight w:val="none"/>
                <w:lang w:val="en-US" w:eastAsia="zh-CN"/>
              </w:rPr>
              <w:t>加强植被保护和景观维持，对各类临时施工迹地实施植被恢复</w:t>
            </w:r>
            <w:r>
              <w:rPr>
                <w:rFonts w:hint="eastAsia"/>
                <w:b w:val="0"/>
                <w:bCs w:val="0"/>
                <w:color w:val="auto"/>
                <w:highlight w:val="none"/>
                <w:lang w:val="en-US" w:eastAsia="zh-CN"/>
              </w:rPr>
              <w:t>；</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（3）</w:t>
            </w:r>
            <w:r>
              <w:rPr>
                <w:rFonts w:hint="default"/>
                <w:b w:val="0"/>
                <w:bCs w:val="0"/>
                <w:color w:val="auto"/>
                <w:highlight w:val="none"/>
                <w:lang w:val="en-US" w:eastAsia="zh-CN"/>
              </w:rPr>
              <w:t>施工尽量保留或移栽优势树种，施工结束后尽快恢复植被。</w:t>
            </w:r>
          </w:p>
          <w:p>
            <w:pPr>
              <w:ind w:left="0" w:leftChars="0" w:firstLine="480" w:firstLineChars="200"/>
              <w:rPr>
                <w:rFonts w:hint="eastAsia"/>
                <w:b w:val="0"/>
                <w:bCs w:val="0"/>
                <w:color w:val="auto"/>
                <w:highlight w:val="none"/>
                <w:lang w:val="en-US" w:eastAsia="zh-CN"/>
              </w:rPr>
            </w:pPr>
            <w:r>
              <w:rPr>
                <w:rFonts w:hint="default"/>
                <w:b w:val="0"/>
                <w:bCs w:val="0"/>
                <w:color w:val="auto"/>
                <w:highlight w:val="none"/>
                <w:lang w:val="en-US" w:eastAsia="zh-CN"/>
              </w:rPr>
              <w:t>（</w:t>
            </w:r>
            <w:r>
              <w:rPr>
                <w:rFonts w:hint="eastAsia"/>
                <w:b w:val="0"/>
                <w:bCs w:val="0"/>
                <w:color w:val="auto"/>
                <w:highlight w:val="none"/>
                <w:lang w:val="en-US" w:eastAsia="zh-CN"/>
              </w:rPr>
              <w:t>4</w:t>
            </w:r>
            <w:r>
              <w:rPr>
                <w:rFonts w:hint="default"/>
                <w:b w:val="0"/>
                <w:bCs w:val="0"/>
                <w:color w:val="auto"/>
                <w:highlight w:val="none"/>
                <w:lang w:val="en-US" w:eastAsia="zh-CN"/>
              </w:rPr>
              <w:t>）因地制宜、合理地布置施工临时占地</w:t>
            </w:r>
            <w:r>
              <w:rPr>
                <w:rFonts w:hint="eastAsia"/>
                <w:b w:val="0"/>
                <w:bCs w:val="0"/>
                <w:color w:val="auto"/>
                <w:highlight w:val="none"/>
                <w:lang w:val="en-US" w:eastAsia="zh-CN"/>
              </w:rPr>
              <w:t>，</w:t>
            </w:r>
            <w:r>
              <w:rPr>
                <w:rFonts w:hint="default"/>
                <w:b w:val="0"/>
                <w:bCs w:val="0"/>
                <w:color w:val="auto"/>
                <w:highlight w:val="none"/>
                <w:lang w:val="en-US" w:eastAsia="zh-CN"/>
              </w:rPr>
              <w:t>尽量减少占用</w:t>
            </w:r>
            <w:r>
              <w:rPr>
                <w:rFonts w:hint="eastAsia"/>
                <w:b w:val="0"/>
                <w:bCs w:val="0"/>
                <w:color w:val="auto"/>
                <w:highlight w:val="none"/>
                <w:lang w:val="en-US" w:eastAsia="zh-CN"/>
              </w:rPr>
              <w:t>临时占地；</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w:t>
            </w:r>
            <w:r>
              <w:rPr>
                <w:rFonts w:hint="eastAsia"/>
                <w:b w:val="0"/>
                <w:bCs w:val="0"/>
                <w:color w:val="auto"/>
                <w:highlight w:val="none"/>
                <w:lang w:val="en-US" w:eastAsia="zh-CN"/>
              </w:rPr>
              <w:t>5</w:t>
            </w:r>
            <w:r>
              <w:rPr>
                <w:rFonts w:hint="default"/>
                <w:b w:val="0"/>
                <w:bCs w:val="0"/>
                <w:color w:val="auto"/>
                <w:highlight w:val="none"/>
                <w:lang w:val="en-US" w:eastAsia="zh-CN"/>
              </w:rPr>
              <w:t>）加强对工程实施的相关领导、技术人员和施工人员的环保意识教育，明确环境保护的重要性，禁止轰赶、捕杀野生动物；</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（6）</w:t>
            </w:r>
            <w:r>
              <w:rPr>
                <w:rFonts w:hint="default"/>
                <w:b w:val="0"/>
                <w:bCs w:val="0"/>
                <w:color w:val="auto"/>
                <w:highlight w:val="none"/>
                <w:lang w:val="en-US" w:eastAsia="zh-CN"/>
              </w:rPr>
              <w:t>禁止超计划占地，禁止将临时占地布设在植被较好的地方，尽量避免对野生动物的生境造成破坏。</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（7）对施工期间破坏的各种植被和生境及施工场地造成的各种施工迹地，工程结束后要及时采取生态恢复措施，使生态环境逐步得到恢复。</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采取以上措施后，可以使项目建设过程对周边生态环境的影响程度降至最低。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10" w:type="dxa"/>
            <w:vAlign w:val="center"/>
          </w:tcPr>
          <w:p>
            <w:pPr>
              <w:ind w:firstLine="0" w:firstLineChars="0"/>
              <w:jc w:val="center"/>
              <w:rPr>
                <w:color w:val="auto"/>
                <w:highlight w:val="none"/>
              </w:rPr>
            </w:pPr>
            <w:r>
              <w:rPr>
                <w:rFonts w:hint="eastAsia"/>
                <w:color w:val="auto"/>
                <w:highlight w:val="none"/>
              </w:rPr>
              <w:t>运营期环境影响和保护措施</w:t>
            </w:r>
          </w:p>
        </w:tc>
        <w:tc>
          <w:tcPr>
            <w:tcW w:w="7512" w:type="dxa"/>
            <w:vAlign w:val="center"/>
          </w:tcPr>
          <w:p>
            <w:pPr>
              <w:ind w:firstLine="0" w:firstLineChars="0"/>
              <w:rPr>
                <w:rFonts w:hint="eastAsia"/>
                <w:b/>
                <w:bCs/>
                <w:color w:val="auto"/>
                <w:highlight w:val="none"/>
                <w:lang w:val="en-US" w:eastAsia="zh-CN"/>
              </w:rPr>
            </w:pPr>
            <w:r>
              <w:rPr>
                <w:rFonts w:hint="eastAsia"/>
                <w:b/>
                <w:bCs/>
                <w:color w:val="auto"/>
                <w:highlight w:val="none"/>
                <w:lang w:val="en-US" w:eastAsia="zh-CN"/>
              </w:rPr>
              <w:t>（一）废气</w:t>
            </w:r>
          </w:p>
          <w:p>
            <w:pPr>
              <w:ind w:firstLine="481" w:firstLineChars="200"/>
              <w:rPr>
                <w:rFonts w:hint="default"/>
                <w:b/>
                <w:bCs/>
                <w:color w:val="auto"/>
                <w:highlight w:val="none"/>
                <w:lang w:val="en-US" w:eastAsia="zh-CN"/>
              </w:rPr>
            </w:pPr>
            <w:r>
              <w:rPr>
                <w:rFonts w:hint="eastAsia"/>
                <w:b/>
                <w:bCs/>
                <w:color w:val="auto"/>
                <w:highlight w:val="none"/>
                <w:lang w:val="en-US" w:eastAsia="zh-CN"/>
              </w:rPr>
              <w:t>1、污染工序及源强分析</w:t>
            </w:r>
          </w:p>
          <w:p>
            <w:pPr>
              <w:ind w:firstLine="480" w:firstLineChars="200"/>
              <w:rPr>
                <w:rFonts w:hint="eastAsia"/>
                <w:b w:val="0"/>
                <w:bCs w:val="0"/>
                <w:color w:val="auto"/>
                <w:highlight w:val="none"/>
              </w:rPr>
            </w:pPr>
            <w:r>
              <w:rPr>
                <w:rFonts w:hint="eastAsia"/>
                <w:b w:val="0"/>
                <w:bCs w:val="0"/>
                <w:color w:val="auto"/>
                <w:highlight w:val="none"/>
              </w:rPr>
              <w:t>本项目</w:t>
            </w:r>
            <w:r>
              <w:rPr>
                <w:rFonts w:hint="eastAsia"/>
                <w:b w:val="0"/>
                <w:bCs w:val="0"/>
                <w:color w:val="auto"/>
                <w:highlight w:val="none"/>
                <w:lang w:val="en-US" w:eastAsia="zh-CN"/>
              </w:rPr>
              <w:t>运营期产生的废气主要为厨房油烟、污泥干化场异味及备用发电机废气</w:t>
            </w:r>
            <w:r>
              <w:rPr>
                <w:rFonts w:hint="eastAsia"/>
                <w:b w:val="0"/>
                <w:bCs w:val="0"/>
                <w:color w:val="auto"/>
                <w:highlight w:val="none"/>
              </w:rPr>
              <w:t>。</w:t>
            </w:r>
          </w:p>
          <w:p>
            <w:pPr>
              <w:ind w:firstLine="481" w:firstLineChars="200"/>
              <w:rPr>
                <w:rFonts w:hint="eastAsia" w:eastAsia="宋体"/>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）厨房油烟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rPr>
              <w:t>本项目年</w:t>
            </w:r>
            <w:r>
              <w:rPr>
                <w:rFonts w:hint="eastAsia" w:ascii="Times New Roman" w:hAnsi="Times New Roman" w:eastAsia="宋体" w:cs="Times New Roman"/>
                <w:b w:val="0"/>
                <w:bCs w:val="0"/>
                <w:color w:val="auto"/>
                <w:szCs w:val="22"/>
                <w:highlight w:val="none"/>
                <w:lang w:val="en-US" w:eastAsia="zh-CN"/>
              </w:rPr>
              <w:t>运营</w:t>
            </w:r>
            <w:r>
              <w:rPr>
                <w:rFonts w:hint="eastAsia" w:ascii="Times New Roman" w:hAnsi="Times New Roman" w:eastAsia="宋体" w:cs="Times New Roman"/>
                <w:b w:val="0"/>
                <w:bCs w:val="0"/>
                <w:color w:val="auto"/>
                <w:szCs w:val="22"/>
                <w:highlight w:val="none"/>
              </w:rPr>
              <w:t>天数为</w:t>
            </w:r>
            <w:r>
              <w:rPr>
                <w:rFonts w:hint="eastAsia" w:ascii="Times New Roman" w:hAnsi="Times New Roman" w:eastAsia="宋体" w:cs="Times New Roman"/>
                <w:b w:val="0"/>
                <w:bCs w:val="0"/>
                <w:color w:val="auto"/>
                <w:szCs w:val="22"/>
                <w:highlight w:val="none"/>
                <w:lang w:val="en-US" w:eastAsia="zh-CN"/>
              </w:rPr>
              <w:t>365</w:t>
            </w:r>
            <w:r>
              <w:rPr>
                <w:rFonts w:hint="eastAsia" w:ascii="Times New Roman" w:hAnsi="Times New Roman" w:eastAsia="宋体" w:cs="Times New Roman"/>
                <w:b w:val="0"/>
                <w:bCs w:val="0"/>
                <w:color w:val="auto"/>
                <w:szCs w:val="22"/>
                <w:highlight w:val="none"/>
              </w:rPr>
              <w:t>天，</w:t>
            </w:r>
            <w:r>
              <w:rPr>
                <w:rFonts w:hint="eastAsia" w:ascii="Times New Roman" w:hAnsi="Times New Roman" w:eastAsia="宋体" w:cs="Times New Roman"/>
                <w:b w:val="0"/>
                <w:bCs w:val="0"/>
                <w:color w:val="auto"/>
                <w:szCs w:val="22"/>
                <w:highlight w:val="none"/>
                <w:lang w:val="en-US" w:eastAsia="zh-CN"/>
              </w:rPr>
              <w:t>水厂8</w:t>
            </w:r>
            <w:r>
              <w:rPr>
                <w:rFonts w:hint="eastAsia" w:ascii="Times New Roman" w:hAnsi="Times New Roman" w:eastAsia="宋体" w:cs="Times New Roman"/>
                <w:b w:val="0"/>
                <w:bCs w:val="0"/>
                <w:color w:val="auto"/>
                <w:szCs w:val="22"/>
                <w:highlight w:val="none"/>
              </w:rPr>
              <w:t>名员工</w:t>
            </w:r>
            <w:r>
              <w:rPr>
                <w:rFonts w:hint="eastAsia" w:ascii="Times New Roman" w:hAnsi="Times New Roman" w:eastAsia="宋体" w:cs="Times New Roman"/>
                <w:b w:val="0"/>
                <w:bCs w:val="0"/>
                <w:color w:val="auto"/>
                <w:szCs w:val="22"/>
                <w:highlight w:val="none"/>
                <w:lang w:eastAsia="zh-CN"/>
              </w:rPr>
              <w:t>均在</w:t>
            </w:r>
            <w:r>
              <w:rPr>
                <w:rFonts w:hint="eastAsia" w:ascii="Times New Roman" w:hAnsi="Times New Roman" w:eastAsia="宋体" w:cs="Times New Roman"/>
                <w:b w:val="0"/>
                <w:bCs w:val="0"/>
                <w:color w:val="auto"/>
                <w:szCs w:val="22"/>
                <w:highlight w:val="none"/>
              </w:rPr>
              <w:t>食堂内就餐。厨房使用电作为燃料，为清洁能源，食堂废气主要为少量的油烟废气，根据《中国居民膳食指南（20</w:t>
            </w:r>
            <w:r>
              <w:rPr>
                <w:rFonts w:hint="eastAsia" w:ascii="Times New Roman" w:hAnsi="Times New Roman" w:eastAsia="宋体" w:cs="Times New Roman"/>
                <w:b w:val="0"/>
                <w:bCs w:val="0"/>
                <w:color w:val="auto"/>
                <w:szCs w:val="22"/>
                <w:highlight w:val="none"/>
                <w:lang w:val="en-US" w:eastAsia="zh-CN"/>
              </w:rPr>
              <w:t>22</w:t>
            </w:r>
            <w:r>
              <w:rPr>
                <w:rFonts w:hint="eastAsia" w:ascii="Times New Roman" w:hAnsi="Times New Roman" w:eastAsia="宋体" w:cs="Times New Roman"/>
                <w:b w:val="0"/>
                <w:bCs w:val="0"/>
                <w:color w:val="auto"/>
                <w:szCs w:val="22"/>
                <w:highlight w:val="none"/>
              </w:rPr>
              <w:t>）》</w:t>
            </w:r>
            <w:r>
              <w:rPr>
                <w:rFonts w:hint="eastAsia" w:ascii="Times New Roman" w:hAnsi="Times New Roman" w:eastAsia="宋体" w:cs="Times New Roman"/>
                <w:b w:val="0"/>
                <w:bCs w:val="0"/>
                <w:color w:val="auto"/>
                <w:szCs w:val="22"/>
                <w:highlight w:val="none"/>
                <w:lang w:eastAsia="zh-CN"/>
              </w:rPr>
              <w:t>，</w:t>
            </w:r>
            <w:r>
              <w:rPr>
                <w:rFonts w:hint="eastAsia" w:ascii="Times New Roman" w:hAnsi="Times New Roman" w:eastAsia="宋体" w:cs="Times New Roman"/>
                <w:b w:val="0"/>
                <w:bCs w:val="0"/>
                <w:color w:val="auto"/>
                <w:szCs w:val="22"/>
                <w:highlight w:val="none"/>
              </w:rPr>
              <w:t>食用油用量约30g/人•天，则食堂消耗食用油0.</w:t>
            </w:r>
            <w:r>
              <w:rPr>
                <w:rFonts w:hint="eastAsia" w:ascii="Times New Roman" w:hAnsi="Times New Roman" w:eastAsia="宋体" w:cs="Times New Roman"/>
                <w:b w:val="0"/>
                <w:bCs w:val="0"/>
                <w:color w:val="auto"/>
                <w:szCs w:val="22"/>
                <w:highlight w:val="none"/>
                <w:lang w:val="en-US" w:eastAsia="zh-CN"/>
              </w:rPr>
              <w:t>24</w:t>
            </w:r>
            <w:r>
              <w:rPr>
                <w:rFonts w:hint="eastAsia" w:ascii="Times New Roman" w:hAnsi="Times New Roman" w:eastAsia="宋体" w:cs="Times New Roman"/>
                <w:b w:val="0"/>
                <w:bCs w:val="0"/>
                <w:color w:val="auto"/>
                <w:szCs w:val="22"/>
                <w:highlight w:val="none"/>
              </w:rPr>
              <w:t>kg/d，年消耗食用油</w:t>
            </w:r>
            <w:r>
              <w:rPr>
                <w:rFonts w:hint="eastAsia" w:ascii="Times New Roman" w:hAnsi="Times New Roman" w:eastAsia="宋体" w:cs="Times New Roman"/>
                <w:b w:val="0"/>
                <w:bCs w:val="0"/>
                <w:color w:val="auto"/>
                <w:szCs w:val="22"/>
                <w:highlight w:val="none"/>
                <w:lang w:val="en-US" w:eastAsia="zh-CN"/>
              </w:rPr>
              <w:t>87.6</w:t>
            </w:r>
            <w:r>
              <w:rPr>
                <w:rFonts w:hint="eastAsia" w:ascii="Times New Roman" w:hAnsi="Times New Roman" w:eastAsia="宋体" w:cs="Times New Roman"/>
                <w:b w:val="0"/>
                <w:bCs w:val="0"/>
                <w:color w:val="auto"/>
                <w:szCs w:val="22"/>
                <w:highlight w:val="none"/>
              </w:rPr>
              <w:t>kg，一般油烟挥发量总占耗油量的2～4%，本项目取4%，则</w:t>
            </w:r>
            <w:r>
              <w:rPr>
                <w:rFonts w:hint="eastAsia" w:ascii="Times New Roman" w:hAnsi="Times New Roman" w:eastAsia="宋体" w:cs="Times New Roman"/>
                <w:b w:val="0"/>
                <w:bCs w:val="0"/>
                <w:color w:val="auto"/>
                <w:szCs w:val="22"/>
                <w:highlight w:val="none"/>
                <w:lang w:val="en-US" w:eastAsia="zh-CN"/>
              </w:rPr>
              <w:t>各水厂</w:t>
            </w:r>
            <w:r>
              <w:rPr>
                <w:rFonts w:hint="eastAsia" w:ascii="Times New Roman" w:hAnsi="Times New Roman" w:eastAsia="宋体" w:cs="Times New Roman"/>
                <w:b w:val="0"/>
                <w:bCs w:val="0"/>
                <w:color w:val="auto"/>
                <w:szCs w:val="22"/>
                <w:highlight w:val="none"/>
              </w:rPr>
              <w:t>油烟产生量为0.0</w:t>
            </w:r>
            <w:r>
              <w:rPr>
                <w:rFonts w:hint="eastAsia" w:ascii="Times New Roman" w:hAnsi="Times New Roman" w:eastAsia="宋体" w:cs="Times New Roman"/>
                <w:b w:val="0"/>
                <w:bCs w:val="0"/>
                <w:color w:val="auto"/>
                <w:szCs w:val="22"/>
                <w:highlight w:val="none"/>
                <w:lang w:val="en-US" w:eastAsia="zh-CN"/>
              </w:rPr>
              <w:t>096</w:t>
            </w:r>
            <w:r>
              <w:rPr>
                <w:rFonts w:hint="eastAsia" w:ascii="Times New Roman" w:hAnsi="Times New Roman" w:eastAsia="宋体" w:cs="Times New Roman"/>
                <w:b w:val="0"/>
                <w:bCs w:val="0"/>
                <w:color w:val="auto"/>
                <w:szCs w:val="22"/>
                <w:highlight w:val="none"/>
              </w:rPr>
              <w:t>kg/d、</w:t>
            </w:r>
            <w:r>
              <w:rPr>
                <w:rFonts w:hint="eastAsia" w:ascii="Times New Roman" w:hAnsi="Times New Roman" w:eastAsia="宋体" w:cs="Times New Roman"/>
                <w:b w:val="0"/>
                <w:bCs w:val="0"/>
                <w:color w:val="auto"/>
                <w:szCs w:val="22"/>
                <w:highlight w:val="none"/>
                <w:lang w:val="en-US" w:eastAsia="zh-CN"/>
              </w:rPr>
              <w:t>3.504</w:t>
            </w:r>
            <w:r>
              <w:rPr>
                <w:rFonts w:hint="eastAsia" w:ascii="Times New Roman" w:hAnsi="Times New Roman" w:eastAsia="宋体" w:cs="Times New Roman"/>
                <w:b w:val="0"/>
                <w:bCs w:val="0"/>
                <w:color w:val="auto"/>
                <w:szCs w:val="22"/>
                <w:highlight w:val="none"/>
              </w:rPr>
              <w:t>kg/a。</w:t>
            </w:r>
          </w:p>
          <w:p>
            <w:pPr>
              <w:ind w:firstLine="480" w:firstLineChars="200"/>
              <w:rPr>
                <w:rFonts w:hint="eastAsia"/>
                <w:b w:val="0"/>
                <w:bCs w:val="0"/>
                <w:color w:val="auto"/>
                <w:highlight w:val="none"/>
                <w:lang w:eastAsia="zh-CN"/>
              </w:rPr>
            </w:pPr>
            <w:r>
              <w:rPr>
                <w:rFonts w:hint="eastAsia" w:ascii="Times New Roman" w:hAnsi="Times New Roman" w:eastAsia="宋体" w:cs="Times New Roman"/>
                <w:b w:val="0"/>
                <w:bCs w:val="0"/>
                <w:color w:val="auto"/>
                <w:szCs w:val="22"/>
                <w:highlight w:val="none"/>
                <w:lang w:val="en-US" w:eastAsia="zh-CN"/>
              </w:rPr>
              <w:t>本项目烹饪过程产生的油烟经集气罩收集，收集效率为70%，则经集气罩收集的油烟为0.0067kg/d，收集后的油烟通过净化效率为60%的油烟净化器进行处理，处理后通过排气筒排放。</w:t>
            </w:r>
            <w:r>
              <w:rPr>
                <w:rFonts w:hint="eastAsia" w:ascii="Times New Roman" w:hAnsi="Times New Roman" w:eastAsia="宋体" w:cs="Times New Roman"/>
                <w:b w:val="0"/>
                <w:bCs w:val="0"/>
                <w:color w:val="auto"/>
                <w:szCs w:val="22"/>
                <w:highlight w:val="none"/>
              </w:rPr>
              <w:t>经处理后</w:t>
            </w:r>
            <w:r>
              <w:rPr>
                <w:rFonts w:hint="eastAsia" w:ascii="Times New Roman" w:hAnsi="Times New Roman" w:eastAsia="宋体" w:cs="Times New Roman"/>
                <w:b w:val="0"/>
                <w:bCs w:val="0"/>
                <w:color w:val="auto"/>
                <w:szCs w:val="22"/>
                <w:highlight w:val="none"/>
                <w:lang w:val="en-US" w:eastAsia="zh-CN"/>
              </w:rPr>
              <w:t>的</w:t>
            </w:r>
            <w:r>
              <w:rPr>
                <w:rFonts w:hint="eastAsia" w:ascii="Times New Roman" w:hAnsi="Times New Roman" w:eastAsia="宋体" w:cs="Times New Roman"/>
                <w:b w:val="0"/>
                <w:bCs w:val="0"/>
                <w:color w:val="auto"/>
                <w:szCs w:val="22"/>
                <w:highlight w:val="none"/>
              </w:rPr>
              <w:t>油烟排放量为0.00</w:t>
            </w:r>
            <w:r>
              <w:rPr>
                <w:rFonts w:hint="eastAsia" w:ascii="Times New Roman" w:hAnsi="Times New Roman" w:eastAsia="宋体" w:cs="Times New Roman"/>
                <w:b w:val="0"/>
                <w:bCs w:val="0"/>
                <w:color w:val="auto"/>
                <w:szCs w:val="22"/>
                <w:highlight w:val="none"/>
                <w:lang w:val="en-US" w:eastAsia="zh-CN"/>
              </w:rPr>
              <w:t>27</w:t>
            </w:r>
            <w:r>
              <w:rPr>
                <w:rFonts w:hint="eastAsia" w:ascii="Times New Roman" w:hAnsi="Times New Roman" w:eastAsia="宋体" w:cs="Times New Roman"/>
                <w:b w:val="0"/>
                <w:bCs w:val="0"/>
                <w:color w:val="auto"/>
                <w:szCs w:val="22"/>
                <w:highlight w:val="none"/>
              </w:rPr>
              <w:t>kg/d、</w:t>
            </w:r>
            <w:r>
              <w:rPr>
                <w:rFonts w:hint="eastAsia" w:ascii="Times New Roman" w:hAnsi="Times New Roman" w:eastAsia="宋体" w:cs="Times New Roman"/>
                <w:b w:val="0"/>
                <w:bCs w:val="0"/>
                <w:color w:val="auto"/>
                <w:szCs w:val="22"/>
                <w:highlight w:val="none"/>
                <w:lang w:val="en-US" w:eastAsia="zh-CN"/>
              </w:rPr>
              <w:t>0.9855</w:t>
            </w:r>
            <w:r>
              <w:rPr>
                <w:rFonts w:hint="eastAsia" w:ascii="Times New Roman" w:hAnsi="Times New Roman" w:eastAsia="宋体" w:cs="Times New Roman"/>
                <w:b w:val="0"/>
                <w:bCs w:val="0"/>
                <w:color w:val="auto"/>
                <w:szCs w:val="22"/>
                <w:highlight w:val="none"/>
              </w:rPr>
              <w:t>kg/a</w:t>
            </w:r>
            <w:r>
              <w:rPr>
                <w:rFonts w:hint="eastAsia" w:ascii="Times New Roman" w:hAnsi="Times New Roman" w:eastAsia="宋体" w:cs="Times New Roman"/>
                <w:b w:val="0"/>
                <w:bCs w:val="0"/>
                <w:color w:val="auto"/>
                <w:szCs w:val="22"/>
                <w:highlight w:val="none"/>
                <w:lang w:eastAsia="zh-CN"/>
              </w:rPr>
              <w:t>，</w:t>
            </w:r>
            <w:r>
              <w:rPr>
                <w:rFonts w:hint="eastAsia" w:ascii="Times New Roman" w:hAnsi="Times New Roman" w:eastAsia="宋体" w:cs="Times New Roman"/>
                <w:b w:val="0"/>
                <w:bCs w:val="0"/>
                <w:color w:val="auto"/>
                <w:szCs w:val="22"/>
                <w:highlight w:val="none"/>
                <w:lang w:val="en-US" w:eastAsia="zh-CN"/>
              </w:rPr>
              <w:t>排放速率为0.0007kg/h</w:t>
            </w:r>
            <w:r>
              <w:rPr>
                <w:rFonts w:hint="eastAsia" w:ascii="Times New Roman" w:hAnsi="Times New Roman" w:eastAsia="宋体" w:cs="Times New Roman"/>
                <w:b w:val="0"/>
                <w:bCs w:val="0"/>
                <w:color w:val="auto"/>
                <w:szCs w:val="22"/>
                <w:highlight w:val="none"/>
              </w:rPr>
              <w:t>。油烟净化器处理风量为2000m</w:t>
            </w:r>
            <w:r>
              <w:rPr>
                <w:rFonts w:hint="eastAsia" w:ascii="Times New Roman" w:hAnsi="Times New Roman" w:eastAsia="宋体" w:cs="Times New Roman"/>
                <w:b w:val="0"/>
                <w:bCs w:val="0"/>
                <w:color w:val="auto"/>
                <w:szCs w:val="22"/>
                <w:highlight w:val="none"/>
                <w:vertAlign w:val="superscript"/>
              </w:rPr>
              <w:t>3</w:t>
            </w:r>
            <w:r>
              <w:rPr>
                <w:rFonts w:hint="eastAsia" w:ascii="Times New Roman" w:hAnsi="Times New Roman" w:eastAsia="宋体" w:cs="Times New Roman"/>
                <w:b w:val="0"/>
                <w:bCs w:val="0"/>
                <w:color w:val="auto"/>
                <w:szCs w:val="22"/>
                <w:highlight w:val="none"/>
              </w:rPr>
              <w:t>/h，</w:t>
            </w:r>
            <w:r>
              <w:rPr>
                <w:rFonts w:hint="eastAsia" w:ascii="Times New Roman" w:hAnsi="Times New Roman" w:eastAsia="宋体" w:cs="Times New Roman"/>
                <w:b w:val="0"/>
                <w:bCs w:val="0"/>
                <w:color w:val="auto"/>
                <w:szCs w:val="22"/>
                <w:highlight w:val="none"/>
                <w:lang w:val="en-US" w:eastAsia="zh-CN"/>
              </w:rPr>
              <w:t>则</w:t>
            </w:r>
            <w:r>
              <w:rPr>
                <w:rFonts w:hint="eastAsia" w:ascii="Times New Roman" w:hAnsi="Times New Roman" w:eastAsia="宋体" w:cs="Times New Roman"/>
                <w:b w:val="0"/>
                <w:bCs w:val="0"/>
                <w:color w:val="auto"/>
                <w:szCs w:val="22"/>
                <w:highlight w:val="none"/>
              </w:rPr>
              <w:t>经处理后</w:t>
            </w:r>
            <w:r>
              <w:rPr>
                <w:rFonts w:hint="eastAsia" w:ascii="Times New Roman" w:hAnsi="Times New Roman" w:eastAsia="宋体" w:cs="Times New Roman"/>
                <w:b w:val="0"/>
                <w:bCs w:val="0"/>
                <w:color w:val="auto"/>
                <w:szCs w:val="22"/>
                <w:highlight w:val="none"/>
                <w:lang w:val="en-US" w:eastAsia="zh-CN"/>
              </w:rPr>
              <w:t>油烟</w:t>
            </w:r>
            <w:r>
              <w:rPr>
                <w:rFonts w:hint="eastAsia" w:ascii="Times New Roman" w:hAnsi="Times New Roman" w:eastAsia="宋体" w:cs="Times New Roman"/>
                <w:b w:val="0"/>
                <w:bCs w:val="0"/>
                <w:color w:val="auto"/>
                <w:szCs w:val="22"/>
                <w:highlight w:val="none"/>
              </w:rPr>
              <w:t>排放浓度为</w:t>
            </w:r>
            <w:r>
              <w:rPr>
                <w:rFonts w:hint="eastAsia" w:ascii="Times New Roman" w:hAnsi="Times New Roman" w:eastAsia="宋体" w:cs="Times New Roman"/>
                <w:b w:val="0"/>
                <w:bCs w:val="0"/>
                <w:color w:val="auto"/>
                <w:szCs w:val="22"/>
                <w:highlight w:val="none"/>
                <w:lang w:val="en-US" w:eastAsia="zh-CN"/>
              </w:rPr>
              <w:t>0.35</w:t>
            </w:r>
            <w:r>
              <w:rPr>
                <w:rFonts w:hint="eastAsia" w:ascii="Times New Roman" w:hAnsi="Times New Roman" w:eastAsia="宋体" w:cs="Times New Roman"/>
                <w:b w:val="0"/>
                <w:bCs w:val="0"/>
                <w:color w:val="auto"/>
                <w:szCs w:val="22"/>
                <w:highlight w:val="none"/>
              </w:rPr>
              <w:t>mg/m</w:t>
            </w:r>
            <w:r>
              <w:rPr>
                <w:rFonts w:hint="eastAsia" w:ascii="Times New Roman" w:hAnsi="Times New Roman" w:eastAsia="宋体" w:cs="Times New Roman"/>
                <w:b w:val="0"/>
                <w:bCs w:val="0"/>
                <w:color w:val="auto"/>
                <w:szCs w:val="22"/>
                <w:highlight w:val="none"/>
                <w:vertAlign w:val="superscript"/>
              </w:rPr>
              <w:t>3</w:t>
            </w:r>
            <w:r>
              <w:rPr>
                <w:rFonts w:hint="eastAsia" w:ascii="Times New Roman" w:hAnsi="Times New Roman" w:eastAsia="宋体" w:cs="Times New Roman"/>
                <w:b w:val="0"/>
                <w:bCs w:val="0"/>
                <w:color w:val="auto"/>
                <w:szCs w:val="22"/>
                <w:highlight w:val="none"/>
                <w:lang w:eastAsia="zh-CN"/>
              </w:rPr>
              <w:t>。</w:t>
            </w:r>
          </w:p>
          <w:p>
            <w:pPr>
              <w:ind w:firstLine="481" w:firstLineChars="20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）污泥干化场异味</w:t>
            </w:r>
          </w:p>
          <w:p>
            <w:pPr>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在净水厂设置污泥干化场，在污泥干化过程中将会产生一定量的恶臭。根据同类型净水厂的生产经验，污泥的主要成分为SS和PAC，其中有机物的含量的低，产生的异味较小，为无组织排放。泥沙通过干化处理后送至填埋场填埋，每10天清运一次。污泥产生的异味经过厂区绿化吸收、空气稀释后对周围环境影响不大。</w:t>
            </w:r>
          </w:p>
          <w:p>
            <w:pPr>
              <w:ind w:firstLine="481" w:firstLineChars="200"/>
              <w:rPr>
                <w:rFonts w:hint="eastAsia"/>
                <w:b/>
                <w:bCs/>
                <w:color w:val="auto"/>
                <w:highlight w:val="none"/>
                <w:lang w:val="en-US" w:eastAsia="zh-CN"/>
              </w:rPr>
            </w:pPr>
            <w:r>
              <w:rPr>
                <w:rFonts w:hint="eastAsia"/>
                <w:b/>
                <w:bCs/>
                <w:color w:val="auto"/>
                <w:highlight w:val="none"/>
                <w:lang w:val="en-US" w:eastAsia="zh-CN"/>
              </w:rPr>
              <w:t>（3）备用发电机废气</w:t>
            </w:r>
          </w:p>
          <w:p>
            <w:pPr>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本项目设置一台备用柴油发电机，当水厂停电时作为应急电源使用。柴油发电机运转时会产生少量废气，</w:t>
            </w:r>
            <w:r>
              <w:rPr>
                <w:rFonts w:hint="default"/>
                <w:b w:val="0"/>
                <w:bCs w:val="0"/>
                <w:color w:val="auto"/>
                <w:highlight w:val="none"/>
                <w:lang w:val="en-US" w:eastAsia="zh-CN"/>
              </w:rPr>
              <w:t>主要成分是烯烃类、CO和NOx，属无组织间歇式排放。</w:t>
            </w:r>
            <w:r>
              <w:rPr>
                <w:rFonts w:hint="eastAsia"/>
                <w:b w:val="0"/>
                <w:bCs w:val="0"/>
                <w:color w:val="auto"/>
                <w:highlight w:val="none"/>
                <w:lang w:val="en-US" w:eastAsia="zh-CN"/>
              </w:rPr>
              <w:t>仅水厂停电时会使用，持续</w:t>
            </w:r>
            <w:r>
              <w:rPr>
                <w:rFonts w:hint="default"/>
                <w:b w:val="0"/>
                <w:bCs w:val="0"/>
                <w:color w:val="auto"/>
                <w:highlight w:val="none"/>
                <w:lang w:val="en-US" w:eastAsia="zh-CN"/>
              </w:rPr>
              <w:t>时间较短，</w:t>
            </w:r>
            <w:r>
              <w:rPr>
                <w:rFonts w:hint="eastAsia"/>
                <w:b w:val="0"/>
                <w:bCs w:val="0"/>
                <w:color w:val="auto"/>
                <w:highlight w:val="none"/>
                <w:lang w:val="en-US" w:eastAsia="zh-CN"/>
              </w:rPr>
              <w:t>具有偶发性，</w:t>
            </w:r>
            <w:r>
              <w:rPr>
                <w:rFonts w:hint="default"/>
                <w:b w:val="0"/>
                <w:bCs w:val="0"/>
                <w:color w:val="auto"/>
                <w:highlight w:val="none"/>
                <w:lang w:val="en-US" w:eastAsia="zh-CN"/>
              </w:rPr>
              <w:t>在空气环境中经一定的距离自然扩散、稀释后，对评价区域空气质量影响不大。</w:t>
            </w:r>
          </w:p>
          <w:p>
            <w:pPr>
              <w:ind w:left="0" w:leftChars="0" w:firstLine="480" w:firstLineChars="200"/>
              <w:rPr>
                <w:rFonts w:hint="default" w:eastAsia="宋体"/>
                <w:color w:val="auto"/>
                <w:highlight w:val="none"/>
                <w:lang w:val="en-US" w:eastAsia="zh-CN"/>
              </w:rPr>
            </w:pPr>
            <w:r>
              <w:rPr>
                <w:rFonts w:hint="eastAsia" w:ascii="Times New Roman" w:eastAsia="宋体"/>
                <w:color w:val="auto"/>
                <w:highlight w:val="none"/>
                <w:lang w:val="en-US" w:eastAsia="zh-CN"/>
              </w:rPr>
              <w:t>综上，本项目废气排放情况汇总见下表。</w:t>
            </w:r>
          </w:p>
          <w:p>
            <w:pPr>
              <w:spacing w:line="240" w:lineRule="auto"/>
              <w:ind w:left="0" w:leftChars="0"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1</w:t>
            </w:r>
            <w:r>
              <w:rPr>
                <w:rFonts w:hint="eastAsia" w:ascii="Times New Roman" w:eastAsia="宋体"/>
                <w:b/>
                <w:bCs/>
                <w:color w:val="auto"/>
                <w:highlight w:val="none"/>
                <w:lang w:val="en-US" w:eastAsia="zh-CN"/>
              </w:rPr>
              <w:t xml:space="preserve"> 项目运营期废气产生及排放情况一览表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954"/>
              <w:gridCol w:w="272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产</w:t>
                  </w:r>
                  <w:r>
                    <w:rPr>
                      <w:rFonts w:hint="eastAsia" w:cs="Times New Roman"/>
                      <w:b/>
                      <w:color w:val="auto"/>
                      <w:kern w:val="2"/>
                      <w:sz w:val="21"/>
                      <w:szCs w:val="21"/>
                      <w:highlight w:val="none"/>
                      <w:lang w:val="en-US" w:eastAsia="zh-CN" w:bidi="ar"/>
                    </w:rPr>
                    <w:t>污环节</w:t>
                  </w:r>
                  <w:r>
                    <w:rPr>
                      <w:rFonts w:hint="default" w:ascii="Times New Roman" w:hAnsi="Times New Roman" w:eastAsia="宋体" w:cs="Times New Roman"/>
                      <w:b/>
                      <w:color w:val="auto"/>
                      <w:kern w:val="2"/>
                      <w:sz w:val="21"/>
                      <w:szCs w:val="21"/>
                      <w:highlight w:val="none"/>
                      <w:lang w:val="en-US" w:eastAsia="zh-CN" w:bidi="ar"/>
                    </w:rPr>
                    <w:t xml:space="preserve">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厨房油烟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污泥干化场异味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 xml:space="preserve">污染物种类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污染物产生量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2.4455</w:t>
                  </w:r>
                  <w:r>
                    <w:rPr>
                      <w:rFonts w:hint="default" w:cs="Times New Roman"/>
                      <w:bCs/>
                      <w:color w:val="auto"/>
                      <w:kern w:val="2"/>
                      <w:sz w:val="21"/>
                      <w:szCs w:val="21"/>
                      <w:highlight w:val="none"/>
                      <w:lang w:val="en-US" w:eastAsia="zh-CN" w:bidi="ar"/>
                    </w:rPr>
                    <w:t>kg/a</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污染物产生浓度mg/m</w:t>
                  </w:r>
                  <w:r>
                    <w:rPr>
                      <w:rFonts w:hint="default" w:ascii="Times New Roman" w:hAnsi="Times New Roman" w:eastAsia="宋体" w:cs="Times New Roman"/>
                      <w:b/>
                      <w:color w:val="auto"/>
                      <w:kern w:val="2"/>
                      <w:sz w:val="21"/>
                      <w:szCs w:val="21"/>
                      <w:highlight w:val="none"/>
                      <w:vertAlign w:val="superscript"/>
                      <w:lang w:val="en-US" w:eastAsia="zh-CN" w:bidi="ar"/>
                    </w:rPr>
                    <w:t xml:space="preserve">3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0.84</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废气量m</w:t>
                  </w:r>
                  <w:r>
                    <w:rPr>
                      <w:rFonts w:hint="eastAsia" w:cs="Times New Roman"/>
                      <w:b/>
                      <w:color w:val="auto"/>
                      <w:kern w:val="2"/>
                      <w:sz w:val="21"/>
                      <w:szCs w:val="21"/>
                      <w:highlight w:val="none"/>
                      <w:vertAlign w:val="superscript"/>
                      <w:lang w:val="en-US" w:eastAsia="zh-CN" w:bidi="ar"/>
                    </w:rPr>
                    <w:t>3</w:t>
                  </w:r>
                  <w:r>
                    <w:rPr>
                      <w:rFonts w:hint="eastAsia" w:cs="Times New Roman"/>
                      <w:b/>
                      <w:color w:val="auto"/>
                      <w:kern w:val="2"/>
                      <w:sz w:val="21"/>
                      <w:szCs w:val="21"/>
                      <w:highlight w:val="none"/>
                      <w:lang w:val="en-US" w:eastAsia="zh-CN" w:bidi="ar"/>
                    </w:rPr>
                    <w:t>/h</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2000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排放形式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有组织</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治理设施</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收集效率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70%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治理工艺</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油烟净化器</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绿化吸收、空气稀释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治理工艺去除效率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60%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是否为可行技术</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是</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污染物排放浓度 mg/m</w:t>
                  </w:r>
                  <w:r>
                    <w:rPr>
                      <w:rFonts w:hint="default" w:ascii="Times New Roman" w:hAnsi="Times New Roman" w:eastAsia="宋体" w:cs="Times New Roman"/>
                      <w:b/>
                      <w:color w:val="auto"/>
                      <w:kern w:val="2"/>
                      <w:sz w:val="21"/>
                      <w:szCs w:val="21"/>
                      <w:highlight w:val="none"/>
                      <w:vertAlign w:val="superscript"/>
                      <w:lang w:val="en-US" w:eastAsia="zh-CN" w:bidi="ar"/>
                    </w:rPr>
                    <w:t xml:space="preserve">3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default" w:cs="Times New Roman"/>
                      <w:bCs/>
                      <w:color w:val="auto"/>
                      <w:kern w:val="2"/>
                      <w:sz w:val="21"/>
                      <w:szCs w:val="21"/>
                      <w:highlight w:val="none"/>
                      <w:lang w:val="en-US" w:eastAsia="zh-CN" w:bidi="ar"/>
                    </w:rPr>
                    <w:t>0.35</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污染物排放速率 kg/h</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0.0007</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0.9855kg/a</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排放口基本情况</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排气筒高度</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10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排气筒内径</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0.4</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温度</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25</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编号</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DA001</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类型</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一般排放口</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地理坐标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103°06′24.816″</w:t>
                  </w:r>
                  <w:r>
                    <w:rPr>
                      <w:rFonts w:hint="eastAsia" w:cs="Times New Roman"/>
                      <w:bCs/>
                      <w:color w:val="auto"/>
                      <w:kern w:val="2"/>
                      <w:sz w:val="21"/>
                      <w:szCs w:val="21"/>
                      <w:highlight w:val="none"/>
                      <w:lang w:val="en-US" w:eastAsia="zh-CN" w:bidi="ar"/>
                    </w:rPr>
                    <w:t>，</w:t>
                  </w:r>
                  <w:r>
                    <w:rPr>
                      <w:rFonts w:hint="default" w:ascii="Times New Roman" w:hAnsi="Times New Roman" w:eastAsia="宋体" w:cs="Times New Roman"/>
                      <w:bCs/>
                      <w:color w:val="auto"/>
                      <w:kern w:val="2"/>
                      <w:sz w:val="21"/>
                      <w:szCs w:val="21"/>
                      <w:highlight w:val="none"/>
                      <w:lang w:val="en-US" w:eastAsia="zh-CN" w:bidi="ar"/>
                    </w:rPr>
                    <w:t>24°49′6.586″</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 xml:space="preserve">排放标准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《饮食业油烟排放标准》（GB18483-2001）</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《恶臭污染物排放标准》</w:t>
                  </w:r>
                  <w:r>
                    <w:rPr>
                      <w:rFonts w:hint="eastAsia" w:cs="Times New Roman"/>
                      <w:bCs/>
                      <w:color w:val="auto"/>
                      <w:kern w:val="2"/>
                      <w:sz w:val="21"/>
                      <w:szCs w:val="21"/>
                      <w:highlight w:val="none"/>
                      <w:lang w:val="en-US" w:eastAsia="zh-CN" w:bidi="ar"/>
                    </w:rPr>
                    <w:t>（</w:t>
                  </w:r>
                  <w:r>
                    <w:rPr>
                      <w:rFonts w:hint="default" w:ascii="Times New Roman" w:hAnsi="Times New Roman" w:eastAsia="宋体" w:cs="Times New Roman"/>
                      <w:bCs/>
                      <w:color w:val="auto"/>
                      <w:kern w:val="2"/>
                      <w:sz w:val="21"/>
                      <w:szCs w:val="21"/>
                      <w:highlight w:val="none"/>
                      <w:lang w:val="en-US" w:eastAsia="zh-CN" w:bidi="ar"/>
                    </w:rPr>
                    <w:t>GB14554-1993</w:t>
                  </w: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标准限值mg/m</w:t>
                  </w:r>
                  <w:r>
                    <w:rPr>
                      <w:rFonts w:hint="eastAsia" w:cs="Times New Roman"/>
                      <w:b/>
                      <w:color w:val="auto"/>
                      <w:kern w:val="2"/>
                      <w:sz w:val="21"/>
                      <w:szCs w:val="21"/>
                      <w:highlight w:val="none"/>
                      <w:vertAlign w:val="superscript"/>
                      <w:lang w:val="en-US" w:eastAsia="zh-CN" w:bidi="ar"/>
                    </w:rPr>
                    <w:t>3</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达标判定</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达标</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监测要求</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监测点位</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油烟净化器进出口</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监测因子</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监测频次</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一次/年</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一次/年</w:t>
                  </w:r>
                </w:p>
              </w:tc>
            </w:tr>
          </w:tbl>
          <w:p>
            <w:pPr>
              <w:ind w:left="0" w:leftChars="0" w:firstLine="481" w:firstLineChars="200"/>
              <w:rPr>
                <w:rFonts w:hint="default"/>
                <w:b/>
                <w:bCs/>
                <w:color w:val="auto"/>
                <w:highlight w:val="none"/>
                <w:lang w:val="en-US" w:eastAsia="zh-CN"/>
              </w:rPr>
            </w:pPr>
            <w:r>
              <w:rPr>
                <w:rFonts w:hint="default"/>
                <w:b/>
                <w:bCs/>
                <w:color w:val="auto"/>
                <w:highlight w:val="none"/>
                <w:lang w:val="en-US" w:eastAsia="zh-CN"/>
              </w:rPr>
              <w:t>2、措施可行性分析及其影响分析</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本项目采用获得中国环境保护产品认证证书的油烟净化器，能够有效净化厨房油烟，净化后的厨房油烟可以满足《饮食业油烟排放标准》（GB18483-2001）。项目使用技术可行。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项目污泥干化场异味通过定期清运，厂区绿化吸收、空气稀释后可以满足《恶臭污染物排放标准》（GB14554-1993），项目污泥干化场异味处理措施可行。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项目所在区域环境空气质量现状为达标区，符合城市环境空气质量功能二类区要求，空气质量状况良好。本项目废气对环境影响较小，对环境空气质量影响可以接受。</w:t>
            </w:r>
          </w:p>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（二）水环境影响和保护措施</w:t>
            </w:r>
          </w:p>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1、项目用水及废水产、排情况</w:t>
            </w:r>
          </w:p>
          <w:p>
            <w:pPr>
              <w:rPr>
                <w:rFonts w:hint="eastAsia" w:cs="Times New Roman"/>
                <w:color w:val="auto"/>
                <w:highlight w:val="none"/>
                <w:lang w:val="en-US" w:eastAsia="zh-CN"/>
              </w:rPr>
            </w:pPr>
            <w:r>
              <w:rPr>
                <w:rFonts w:hint="eastAsia" w:cs="Times New Roman"/>
                <w:color w:val="auto"/>
                <w:highlight w:val="none"/>
                <w:lang w:val="en-US" w:eastAsia="zh-CN"/>
              </w:rPr>
              <w:t>根据前文“水平衡”分析内容，本项目废水主要包括沉淀池排泥水、滤池反冲洗废水、污泥干化场渗滤水、化验室清洗废水及生活污水。其中沉淀池排泥水的产生量为45.7t/d，滤池反冲洗废水产生量为570.3t/d，污泥干化场渗滤水的产生量为4.48t/d，生活污水的产生量为0.36t/d。</w:t>
            </w:r>
          </w:p>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w:t>
            </w:r>
            <w:r>
              <w:rPr>
                <w:rFonts w:hint="eastAsia"/>
                <w:b/>
                <w:bCs/>
                <w:color w:val="auto"/>
                <w:highlight w:val="none"/>
                <w:lang w:val="en-US" w:eastAsia="zh-CN"/>
              </w:rPr>
              <w:t>1</w:t>
            </w:r>
            <w:r>
              <w:rPr>
                <w:rFonts w:hint="eastAsia" w:ascii="Times New Roman" w:eastAsia="宋体"/>
                <w:b/>
                <w:bCs/>
                <w:color w:val="auto"/>
                <w:highlight w:val="none"/>
                <w:lang w:val="en-US" w:eastAsia="zh-CN"/>
              </w:rPr>
              <w:t>）生产废水</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本项目沉淀池排泥水、滤池反冲洗废水、污泥干化场渗滤水，</w:t>
            </w:r>
            <w:r>
              <w:rPr>
                <w:rFonts w:hint="eastAsia"/>
                <w:b w:val="0"/>
                <w:bCs w:val="0"/>
                <w:color w:val="auto"/>
                <w:highlight w:val="none"/>
                <w:lang w:val="en-US" w:eastAsia="zh-CN"/>
              </w:rPr>
              <w:t>经回收水池收集后</w:t>
            </w:r>
            <w:r>
              <w:rPr>
                <w:rFonts w:hint="eastAsia" w:ascii="Times New Roman" w:eastAsia="宋体"/>
                <w:b w:val="0"/>
                <w:bCs w:val="0"/>
                <w:color w:val="auto"/>
                <w:highlight w:val="none"/>
                <w:lang w:val="en-US" w:eastAsia="zh-CN"/>
              </w:rPr>
              <w:t>均返回净水系统再次处理，不外排。</w:t>
            </w:r>
          </w:p>
          <w:p>
            <w:pPr>
              <w:keepNext w:val="0"/>
              <w:keepLines w:val="0"/>
              <w:suppressLineNumbers w:val="0"/>
              <w:spacing w:before="0" w:beforeAutospacing="0" w:after="0" w:afterAutospacing="0" w:line="360" w:lineRule="auto"/>
              <w:ind w:left="0" w:leftChars="0" w:right="0" w:firstLine="481" w:firstLineChars="200"/>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（2）化验室清洗废水</w:t>
            </w:r>
          </w:p>
          <w:p>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b w:val="0"/>
                <w:bCs w:val="0"/>
                <w:color w:val="auto"/>
                <w:szCs w:val="22"/>
                <w:highlight w:val="none"/>
                <w:lang w:val="en-US" w:eastAsia="zh-CN"/>
              </w:rPr>
            </w:pPr>
            <w:r>
              <w:rPr>
                <w:rFonts w:hint="default" w:ascii="Times New Roman" w:hAnsi="Times New Roman" w:eastAsia="宋体" w:cs="Times New Roman"/>
                <w:b w:val="0"/>
                <w:bCs w:val="0"/>
                <w:color w:val="auto"/>
                <w:szCs w:val="22"/>
                <w:highlight w:val="none"/>
                <w:lang w:val="en-US" w:eastAsia="zh-CN"/>
              </w:rPr>
              <w:t>项目运营期将每天对产品水质进行检测，在净水厂内的化验室进行，产生化验废液，同时设备清洗将产生清洗废水。化验废液和前三次设备清洗废水，属于危险废物，经危废收集桶收集之后密封储存在危废暂存间，委托有资质的单位进行清运处置；化验设备清洗三次之后的废水可作为一般废水处理。本项目在化验室内配备一个1m</w:t>
            </w:r>
            <w:r>
              <w:rPr>
                <w:rFonts w:hint="default" w:ascii="Times New Roman" w:hAnsi="Times New Roman" w:eastAsia="宋体" w:cs="Times New Roman"/>
                <w:b w:val="0"/>
                <w:bCs w:val="0"/>
                <w:color w:val="auto"/>
                <w:szCs w:val="22"/>
                <w:highlight w:val="none"/>
                <w:vertAlign w:val="superscript"/>
                <w:lang w:val="en-US" w:eastAsia="zh-CN"/>
              </w:rPr>
              <w:t>3</w:t>
            </w:r>
            <w:r>
              <w:rPr>
                <w:rFonts w:hint="default" w:ascii="Times New Roman" w:hAnsi="Times New Roman" w:eastAsia="宋体" w:cs="Times New Roman"/>
                <w:b w:val="0"/>
                <w:bCs w:val="0"/>
                <w:color w:val="auto"/>
                <w:szCs w:val="22"/>
                <w:highlight w:val="none"/>
                <w:lang w:val="en-US" w:eastAsia="zh-CN"/>
              </w:rPr>
              <w:t>的中和桶收集设备清洗三次后的清洗废水，在中和桶内中和处理之后回用于厂区绿化，不外排。</w:t>
            </w:r>
          </w:p>
          <w:p>
            <w:pPr>
              <w:ind w:left="0" w:leftChars="0" w:firstLine="480" w:firstLineChars="200"/>
              <w:rPr>
                <w:rFonts w:hint="eastAsia"/>
                <w:b/>
                <w:bCs/>
                <w:color w:val="auto"/>
                <w:highlight w:val="none"/>
                <w:lang w:val="en-US" w:eastAsia="zh-CN"/>
              </w:rPr>
            </w:pPr>
            <w:r>
              <w:rPr>
                <w:rFonts w:hint="eastAsia" w:cs="Times New Roman"/>
                <w:b w:val="0"/>
                <w:bCs w:val="0"/>
                <w:color w:val="auto"/>
                <w:szCs w:val="22"/>
                <w:highlight w:val="none"/>
                <w:lang w:val="en-US" w:eastAsia="zh-CN"/>
              </w:rPr>
              <w:t>本项目化验室清洗三次后的</w:t>
            </w:r>
            <w:r>
              <w:rPr>
                <w:rFonts w:hint="default" w:ascii="Times New Roman" w:hAnsi="Times New Roman" w:eastAsia="宋体" w:cs="Times New Roman"/>
                <w:b w:val="0"/>
                <w:bCs w:val="0"/>
                <w:color w:val="auto"/>
                <w:szCs w:val="22"/>
                <w:highlight w:val="none"/>
                <w:lang w:val="en-US" w:eastAsia="zh-CN"/>
              </w:rPr>
              <w:t>清洗废水</w:t>
            </w:r>
            <w:r>
              <w:rPr>
                <w:rFonts w:hint="eastAsia" w:ascii="Times New Roman" w:hAnsi="Times New Roman" w:eastAsia="宋体" w:cs="Times New Roman"/>
                <w:b w:val="0"/>
                <w:bCs w:val="0"/>
                <w:color w:val="auto"/>
                <w:szCs w:val="22"/>
                <w:highlight w:val="none"/>
                <w:lang w:val="en-US" w:eastAsia="zh-CN"/>
              </w:rPr>
              <w:t>产生量</w:t>
            </w:r>
            <w:r>
              <w:rPr>
                <w:rFonts w:hint="default" w:ascii="Times New Roman" w:hAnsi="Times New Roman" w:eastAsia="宋体" w:cs="Times New Roman"/>
                <w:b w:val="0"/>
                <w:bCs w:val="0"/>
                <w:color w:val="auto"/>
                <w:szCs w:val="22"/>
                <w:highlight w:val="none"/>
                <w:lang w:val="en-US" w:eastAsia="zh-CN"/>
              </w:rPr>
              <w:t>为</w:t>
            </w:r>
            <w:r>
              <w:rPr>
                <w:rFonts w:hint="eastAsia" w:ascii="Times New Roman" w:hAnsi="Times New Roman" w:eastAsia="宋体" w:cs="Times New Roman"/>
                <w:b w:val="0"/>
                <w:bCs w:val="0"/>
                <w:color w:val="auto"/>
                <w:szCs w:val="22"/>
                <w:highlight w:val="none"/>
                <w:lang w:val="en-US" w:eastAsia="zh-CN"/>
              </w:rPr>
              <w:t>0.3</w:t>
            </w:r>
            <w:r>
              <w:rPr>
                <w:rFonts w:hint="default" w:ascii="Times New Roman" w:hAnsi="Times New Roman" w:eastAsia="宋体" w:cs="Times New Roman"/>
                <w:b w:val="0"/>
                <w:bCs w:val="0"/>
                <w:color w:val="auto"/>
                <w:szCs w:val="22"/>
                <w:highlight w:val="none"/>
                <w:lang w:val="en-US" w:eastAsia="zh-CN"/>
              </w:rPr>
              <w:t>m</w:t>
            </w:r>
            <w:r>
              <w:rPr>
                <w:rFonts w:hint="default" w:ascii="Times New Roman" w:hAnsi="Times New Roman" w:eastAsia="宋体" w:cs="Times New Roman"/>
                <w:b w:val="0"/>
                <w:bCs w:val="0"/>
                <w:color w:val="auto"/>
                <w:szCs w:val="22"/>
                <w:highlight w:val="none"/>
                <w:vertAlign w:val="superscript"/>
                <w:lang w:val="en-US" w:eastAsia="zh-CN"/>
              </w:rPr>
              <w:t>3</w:t>
            </w:r>
            <w:r>
              <w:rPr>
                <w:rFonts w:hint="default" w:ascii="Times New Roman" w:hAnsi="Times New Roman" w:eastAsia="宋体" w:cs="Times New Roman"/>
                <w:b w:val="0"/>
                <w:bCs w:val="0"/>
                <w:color w:val="auto"/>
                <w:szCs w:val="22"/>
                <w:highlight w:val="none"/>
                <w:lang w:val="en-US" w:eastAsia="zh-CN"/>
              </w:rPr>
              <w:t>/d，则项目实验室废水产生量为</w:t>
            </w:r>
            <w:r>
              <w:rPr>
                <w:rFonts w:hint="eastAsia" w:ascii="Times New Roman" w:hAnsi="Times New Roman" w:eastAsia="宋体" w:cs="Times New Roman"/>
                <w:b w:val="0"/>
                <w:bCs w:val="0"/>
                <w:color w:val="auto"/>
                <w:szCs w:val="22"/>
                <w:highlight w:val="none"/>
                <w:lang w:val="en-US" w:eastAsia="zh-CN"/>
              </w:rPr>
              <w:t>109.5</w:t>
            </w:r>
            <w:r>
              <w:rPr>
                <w:rFonts w:hint="default" w:ascii="Times New Roman" w:hAnsi="Times New Roman" w:eastAsia="宋体" w:cs="Times New Roman"/>
                <w:b w:val="0"/>
                <w:bCs w:val="0"/>
                <w:color w:val="auto"/>
                <w:szCs w:val="22"/>
                <w:highlight w:val="none"/>
                <w:lang w:val="en-US" w:eastAsia="zh-CN"/>
              </w:rPr>
              <w:t>t/a</w:t>
            </w:r>
            <w:r>
              <w:rPr>
                <w:rFonts w:hint="eastAsia" w:ascii="Times New Roman" w:hAnsi="Times New Roman" w:eastAsia="宋体" w:cs="Times New Roman"/>
                <w:b w:val="0"/>
                <w:bCs w:val="0"/>
                <w:color w:val="auto"/>
                <w:szCs w:val="22"/>
                <w:highlight w:val="none"/>
                <w:lang w:val="en-US" w:eastAsia="zh-CN"/>
              </w:rPr>
              <w:t>。全部回用于厂区绿化。</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（3）生活污水</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本项目新建一座0.5m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的隔油池与1座10m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的化粪池，本项目产生的食堂废水经隔油池预处理后与其他生活污水一同进入化粪池处理，化粪池定期委托当地环卫部门清运处置。</w:t>
            </w:r>
          </w:p>
          <w:p>
            <w:pPr>
              <w:spacing w:line="360" w:lineRule="auto"/>
              <w:jc w:val="both"/>
              <w:rPr>
                <w:rFonts w:hint="eastAsia"/>
                <w:b w:val="0"/>
                <w:bCs w:val="0"/>
                <w:color w:val="auto"/>
                <w:highlight w:val="none"/>
                <w:lang w:val="en-US" w:eastAsia="zh-CN"/>
              </w:rPr>
            </w:pPr>
            <w:r>
              <w:rPr>
                <w:rFonts w:hint="eastAsia" w:ascii="Times New Roman" w:eastAsia="宋体"/>
                <w:b w:val="0"/>
                <w:bCs w:val="0"/>
                <w:color w:val="auto"/>
                <w:highlight w:val="none"/>
                <w:lang w:val="en-US" w:eastAsia="zh-CN"/>
              </w:rPr>
              <w:t>针对本项目产生的生活污水水质情况，本次环评参考相关资料《建筑中水设计标准》（GB 50336-2018）表3.1.7和《村镇生活污染防治最佳可行技术指南（试行）》（HJ-BAT-9）。项目生活污水水质详见下表。</w:t>
            </w:r>
          </w:p>
          <w:p>
            <w:pPr>
              <w:spacing w:line="240" w:lineRule="auto"/>
              <w:ind w:left="0" w:leftChars="0"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2</w:t>
            </w:r>
            <w:r>
              <w:rPr>
                <w:rFonts w:hint="eastAsia" w:ascii="Times New Roman" w:eastAsia="宋体"/>
                <w:b/>
                <w:bCs/>
                <w:color w:val="auto"/>
                <w:highlight w:val="none"/>
                <w:lang w:val="en-US" w:eastAsia="zh-CN"/>
              </w:rPr>
              <w:t xml:space="preserve"> 项目生活污水水质情况一览表  单位：mg/L</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87"/>
              <w:gridCol w:w="1047"/>
              <w:gridCol w:w="1048"/>
              <w:gridCol w:w="909"/>
              <w:gridCol w:w="109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COD</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BOD</w:t>
                  </w:r>
                  <w:r>
                    <w:rPr>
                      <w:rFonts w:hint="default" w:ascii="Times New Roman" w:hAnsi="Times New Roman" w:eastAsia="宋体" w:cs="Times New Roman"/>
                      <w:b/>
                      <w:bCs/>
                      <w:color w:val="auto"/>
                      <w:sz w:val="21"/>
                      <w:szCs w:val="21"/>
                      <w:highlight w:val="none"/>
                      <w:vertAlign w:val="subscript"/>
                      <w:lang w:val="en-US" w:eastAsia="zh-CN"/>
                    </w:rPr>
                    <w:t>5</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TP</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SS</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氨氮</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水质</w:t>
                  </w:r>
                  <w:r>
                    <w:rPr>
                      <w:rFonts w:hint="eastAsia" w:cs="Times New Roman"/>
                      <w:b/>
                      <w:bCs/>
                      <w:color w:val="auto"/>
                      <w:sz w:val="21"/>
                      <w:szCs w:val="21"/>
                      <w:highlight w:val="none"/>
                      <w:vertAlign w:val="baseline"/>
                      <w:lang w:val="en-US" w:eastAsia="zh-CN"/>
                    </w:rPr>
                    <w:t>情况</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400</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250</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r>
          </w:tbl>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根据《村镇生活污染防治最佳可行技术指南（试行）》，化粪池对CODcr的去除效率约为15%，对BOD</w:t>
            </w:r>
            <w:r>
              <w:rPr>
                <w:rFonts w:hint="eastAsia"/>
                <w:b w:val="0"/>
                <w:bCs w:val="0"/>
                <w:color w:val="auto"/>
                <w:highlight w:val="none"/>
                <w:vertAlign w:val="subscript"/>
                <w:lang w:val="en-US" w:eastAsia="zh-CN"/>
              </w:rPr>
              <w:t>5</w:t>
            </w:r>
            <w:r>
              <w:rPr>
                <w:rFonts w:hint="eastAsia"/>
                <w:b w:val="0"/>
                <w:bCs w:val="0"/>
                <w:color w:val="auto"/>
                <w:highlight w:val="none"/>
                <w:lang w:val="en-US" w:eastAsia="zh-CN"/>
              </w:rPr>
              <w:t>的去除效率约为9%，对氨氮的去除效率约为3%，对TP的去除效率约为2%，对SS的去除效率约为30%；隔油池的动植物油的去除率为60%。</w:t>
            </w:r>
          </w:p>
          <w:p>
            <w:pPr>
              <w:spacing w:line="360" w:lineRule="auto"/>
              <w:jc w:val="both"/>
              <w:rPr>
                <w:rFonts w:hint="default"/>
                <w:b w:val="0"/>
                <w:bCs w:val="0"/>
                <w:color w:val="auto"/>
                <w:highlight w:val="none"/>
                <w:lang w:val="en-US" w:eastAsia="zh-CN"/>
              </w:rPr>
            </w:pPr>
            <w:r>
              <w:rPr>
                <w:rFonts w:hint="eastAsia" w:ascii="Times New Roman" w:eastAsia="宋体"/>
                <w:b w:val="0"/>
                <w:bCs w:val="0"/>
                <w:color w:val="auto"/>
                <w:highlight w:val="none"/>
                <w:lang w:val="en-US" w:eastAsia="zh-CN"/>
              </w:rPr>
              <w:t>综上，本项目废水产生及排放情况见下表。</w:t>
            </w:r>
          </w:p>
          <w:p>
            <w:pPr>
              <w:spacing w:line="240" w:lineRule="auto"/>
              <w:ind w:left="0" w:leftChars="0" w:firstLine="0" w:firstLineChars="0"/>
              <w:jc w:val="center"/>
              <w:rPr>
                <w:rFonts w:hint="default"/>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3</w:t>
            </w:r>
            <w:r>
              <w:rPr>
                <w:rFonts w:hint="eastAsia" w:ascii="Times New Roman" w:eastAsia="宋体"/>
                <w:b/>
                <w:bCs/>
                <w:color w:val="auto"/>
                <w:highlight w:val="none"/>
                <w:lang w:val="en-US" w:eastAsia="zh-CN"/>
              </w:rPr>
              <w:t xml:space="preserve"> 项目废水产生和排放情况一览表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599"/>
              <w:gridCol w:w="931"/>
              <w:gridCol w:w="972"/>
              <w:gridCol w:w="1033"/>
              <w:gridCol w:w="1184"/>
              <w:gridCol w:w="102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类 别</w:t>
                  </w:r>
                </w:p>
              </w:tc>
              <w:tc>
                <w:tcPr>
                  <w:tcW w:w="4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ascii="Times New Roman" w:hAnsi="Times New Roman" w:eastAsia="宋体" w:cs="Times New Roman"/>
                      <w:b/>
                      <w:bCs/>
                      <w:color w:val="auto"/>
                      <w:sz w:val="21"/>
                      <w:szCs w:val="21"/>
                      <w:highlight w:val="none"/>
                    </w:rPr>
                    <w:t>废水量t/</w:t>
                  </w:r>
                  <w:r>
                    <w:rPr>
                      <w:rFonts w:hint="eastAsia" w:ascii="Times New Roman" w:hAnsi="Times New Roman" w:eastAsia="宋体" w:cs="Times New Roman"/>
                      <w:b/>
                      <w:bCs/>
                      <w:color w:val="auto"/>
                      <w:sz w:val="21"/>
                      <w:szCs w:val="21"/>
                      <w:highlight w:val="none"/>
                      <w:lang w:val="en-US" w:eastAsia="zh-CN"/>
                    </w:rPr>
                    <w:t>a</w:t>
                  </w:r>
                </w:p>
              </w:tc>
              <w:tc>
                <w:tcPr>
                  <w:tcW w:w="63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污染物名称</w:t>
                  </w:r>
                </w:p>
              </w:tc>
              <w:tc>
                <w:tcPr>
                  <w:tcW w:w="1376"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产生情况</w:t>
                  </w:r>
                </w:p>
              </w:tc>
              <w:tc>
                <w:tcPr>
                  <w:tcW w:w="81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治理措施</w:t>
                  </w:r>
                </w:p>
              </w:tc>
              <w:tc>
                <w:tcPr>
                  <w:tcW w:w="1249"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产生浓度mg/L</w:t>
                  </w:r>
                </w:p>
              </w:tc>
              <w:tc>
                <w:tcPr>
                  <w:tcW w:w="70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产生量t/a</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排放</w:t>
                  </w:r>
                  <w:r>
                    <w:rPr>
                      <w:rFonts w:ascii="Times New Roman" w:hAnsi="Times New Roman" w:eastAsia="宋体" w:cs="Times New Roman"/>
                      <w:b/>
                      <w:bCs/>
                      <w:color w:val="auto"/>
                      <w:sz w:val="21"/>
                      <w:szCs w:val="21"/>
                      <w:highlight w:val="none"/>
                    </w:rPr>
                    <w:t>浓度mg/L</w:t>
                  </w:r>
                </w:p>
              </w:tc>
              <w:tc>
                <w:tcPr>
                  <w:tcW w:w="54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排放</w:t>
                  </w:r>
                  <w:r>
                    <w:rPr>
                      <w:rFonts w:ascii="Times New Roman" w:hAnsi="Times New Roman" w:eastAsia="宋体" w:cs="Times New Roman"/>
                      <w:b/>
                      <w:bCs/>
                      <w:color w:val="auto"/>
                      <w:sz w:val="21"/>
                      <w:szCs w:val="21"/>
                      <w:highlight w:val="none"/>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w:t>
                  </w:r>
                </w:p>
              </w:tc>
              <w:tc>
                <w:tcPr>
                  <w:tcW w:w="4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315.36</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CODcr</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0.1261</w:t>
                  </w:r>
                </w:p>
              </w:tc>
              <w:tc>
                <w:tcPr>
                  <w:tcW w:w="81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隔油池+化粪池处理</w:t>
                  </w: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340</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BOD</w:t>
                  </w:r>
                  <w:r>
                    <w:rPr>
                      <w:rFonts w:hint="eastAsia" w:ascii="Times New Roman" w:hAnsi="Times New Roman" w:eastAsia="宋体" w:cs="Times New Roman"/>
                      <w:color w:val="auto"/>
                      <w:sz w:val="21"/>
                      <w:szCs w:val="21"/>
                      <w:highlight w:val="none"/>
                      <w:vertAlign w:val="subscript"/>
                      <w:lang w:val="en-US" w:eastAsia="zh-CN"/>
                    </w:rPr>
                    <w:t>5</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0.0788</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227.5</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0.0788</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175</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氨氮</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0.0126</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38.8</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总磷</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0.0019</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5.88</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动植物油</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0.0032</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0.0013</w:t>
                  </w:r>
                </w:p>
              </w:tc>
            </w:tr>
          </w:tbl>
          <w:p>
            <w:pPr>
              <w:ind w:left="0" w:leftChars="0" w:firstLine="480" w:firstLineChars="200"/>
              <w:rPr>
                <w:rFonts w:hint="default"/>
                <w:b w:val="0"/>
                <w:bCs w:val="0"/>
                <w:color w:val="auto"/>
                <w:highlight w:val="none"/>
                <w:lang w:val="en-US" w:eastAsia="zh-CN"/>
              </w:rPr>
            </w:pPr>
            <w:r>
              <w:rPr>
                <w:rFonts w:hint="eastAsia"/>
                <w:color w:val="auto"/>
                <w:highlight w:val="none"/>
              </w:rPr>
              <w:t>综上，</w:t>
            </w:r>
            <w:r>
              <w:rPr>
                <w:rFonts w:hint="eastAsia" w:ascii="Times New Roman" w:eastAsia="宋体"/>
                <w:color w:val="auto"/>
                <w:highlight w:val="none"/>
                <w:lang w:val="en-US" w:eastAsia="zh-CN"/>
              </w:rPr>
              <w:t>本项目产生的废水均能得到有效处置，</w:t>
            </w:r>
            <w:r>
              <w:rPr>
                <w:rFonts w:hint="eastAsia"/>
                <w:color w:val="auto"/>
                <w:highlight w:val="none"/>
              </w:rPr>
              <w:t>不会对周围水环境成明显不良影响</w:t>
            </w:r>
            <w:r>
              <w:rPr>
                <w:rFonts w:hint="eastAsia" w:eastAsia="宋体"/>
                <w:color w:val="auto"/>
                <w:highlight w:val="none"/>
                <w:lang w:eastAsia="zh-CN"/>
              </w:rPr>
              <w:t>。</w:t>
            </w:r>
          </w:p>
          <w:p>
            <w:pPr>
              <w:ind w:left="0" w:leftChars="0" w:firstLine="481" w:firstLineChars="200"/>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2、措施可行性分析及其影响分析</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（1）生产废水措施可行性及其影响分析</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本项目生产废水产生量为625t/d，26.04t/h，本项目设置约300m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回收水池收集项目产生的生产废水，经6h沉淀后上清液回到净水系统，底部污泥进入污泥干化场处理。生产废水6h的产生量为156.24t，考虑10%的余量，项目需要设置172m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的回收水池，本项目设置约300m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回收水池，满足本项目生产废水收集处理需求，项目生产废水不外排的可行。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本项目化验室</w:t>
            </w:r>
            <w:r>
              <w:rPr>
                <w:rFonts w:hint="eastAsia"/>
                <w:b w:val="0"/>
                <w:bCs w:val="0"/>
                <w:color w:val="auto"/>
                <w:highlight w:val="none"/>
                <w:lang w:val="en-US" w:eastAsia="zh-CN"/>
              </w:rPr>
              <w:t>前三次清洗液作为危废处置，清洗废水主要为清洗三次后的清洗废水，仅残留有极少量化验试剂，导致废水水质偏酸碱性，经过中和处理后，废水</w:t>
            </w:r>
            <w:r>
              <w:rPr>
                <w:rFonts w:hint="default"/>
                <w:b w:val="0"/>
                <w:bCs w:val="0"/>
                <w:color w:val="auto"/>
                <w:highlight w:val="none"/>
                <w:lang w:val="en-US" w:eastAsia="zh-CN"/>
              </w:rPr>
              <w:t>产生量为0.3t/d，项目在化验室设置一个1m</w:t>
            </w:r>
            <w:r>
              <w:rPr>
                <w:rFonts w:hint="default"/>
                <w:b w:val="0"/>
                <w:bCs w:val="0"/>
                <w:color w:val="auto"/>
                <w:highlight w:val="none"/>
                <w:vertAlign w:val="superscript"/>
                <w:lang w:val="en-US" w:eastAsia="zh-CN"/>
              </w:rPr>
              <w:t>3</w:t>
            </w:r>
            <w:r>
              <w:rPr>
                <w:rFonts w:hint="default"/>
                <w:b w:val="0"/>
                <w:bCs w:val="0"/>
                <w:color w:val="auto"/>
                <w:highlight w:val="none"/>
                <w:lang w:val="en-US" w:eastAsia="zh-CN"/>
              </w:rPr>
              <w:t>的中和桶进行收集，可以满足化验室废水收集需求。</w:t>
            </w:r>
          </w:p>
          <w:p>
            <w:pPr>
              <w:ind w:left="0" w:leftChars="0" w:firstLine="481" w:firstLineChars="200"/>
              <w:rPr>
                <w:rFonts w:hint="default"/>
                <w:b/>
                <w:bCs/>
                <w:color w:val="auto"/>
                <w:highlight w:val="none"/>
                <w:lang w:val="en-US" w:eastAsia="zh-CN"/>
              </w:rPr>
            </w:pPr>
            <w:r>
              <w:rPr>
                <w:rFonts w:hint="eastAsia"/>
                <w:b/>
                <w:bCs/>
                <w:color w:val="auto"/>
                <w:highlight w:val="none"/>
                <w:lang w:val="en-US" w:eastAsia="zh-CN"/>
              </w:rPr>
              <w:t>（2）生活污水措施可行性及其影响分析</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本项目</w:t>
            </w:r>
            <w:r>
              <w:rPr>
                <w:rFonts w:hint="eastAsia"/>
                <w:b w:val="0"/>
                <w:bCs w:val="0"/>
                <w:color w:val="auto"/>
                <w:highlight w:val="none"/>
                <w:lang w:val="en-US" w:eastAsia="zh-CN"/>
              </w:rPr>
              <w:t>食堂废水</w:t>
            </w:r>
            <w:r>
              <w:rPr>
                <w:rFonts w:hint="eastAsia" w:eastAsia="宋体"/>
                <w:b w:val="0"/>
                <w:bCs w:val="0"/>
                <w:color w:val="auto"/>
                <w:highlight w:val="none"/>
                <w:lang w:eastAsia="zh-CN"/>
              </w:rPr>
              <w:t>产生量为</w:t>
            </w:r>
            <w:r>
              <w:rPr>
                <w:rFonts w:hint="eastAsia"/>
                <w:b w:val="0"/>
                <w:bCs w:val="0"/>
                <w:color w:val="auto"/>
                <w:highlight w:val="none"/>
                <w:lang w:val="en-US" w:eastAsia="zh-CN"/>
              </w:rPr>
              <w:t>0.16</w:t>
            </w:r>
            <w:r>
              <w:rPr>
                <w:rFonts w:hint="eastAsia" w:eastAsia="宋体"/>
                <w:b w:val="0"/>
                <w:bCs w:val="0"/>
                <w:color w:val="auto"/>
                <w:highlight w:val="none"/>
                <w:lang w:eastAsia="zh-CN"/>
              </w:rPr>
              <w:t>t/d，通过隔油池预处理后与</w:t>
            </w:r>
            <w:r>
              <w:rPr>
                <w:rFonts w:hint="eastAsia"/>
                <w:b w:val="0"/>
                <w:bCs w:val="0"/>
                <w:color w:val="auto"/>
                <w:highlight w:val="none"/>
                <w:lang w:val="en-US" w:eastAsia="zh-CN"/>
              </w:rPr>
              <w:t>其他</w:t>
            </w:r>
            <w:r>
              <w:rPr>
                <w:rFonts w:hint="eastAsia" w:eastAsia="宋体"/>
                <w:b w:val="0"/>
                <w:bCs w:val="0"/>
                <w:color w:val="auto"/>
                <w:highlight w:val="none"/>
                <w:lang w:eastAsia="zh-CN"/>
              </w:rPr>
              <w:t>生活污水一同进入化粪池处理。隔油池水力停留时间为1小时，考虑10%的余量，项目需设置</w:t>
            </w:r>
            <w:r>
              <w:rPr>
                <w:rFonts w:hint="eastAsia"/>
                <w:b w:val="0"/>
                <w:bCs w:val="0"/>
                <w:color w:val="auto"/>
                <w:highlight w:val="none"/>
                <w:lang w:val="en-US" w:eastAsia="zh-CN"/>
              </w:rPr>
              <w:t>0.176</w:t>
            </w:r>
            <w:r>
              <w:rPr>
                <w:rFonts w:hint="eastAsia" w:eastAsia="宋体"/>
                <w:b w:val="0"/>
                <w:bCs w:val="0"/>
                <w:color w:val="auto"/>
                <w:highlight w:val="none"/>
                <w:lang w:eastAsia="zh-CN"/>
              </w:rPr>
              <w:t>m</w:t>
            </w:r>
            <w:r>
              <w:rPr>
                <w:rFonts w:hint="eastAsia" w:eastAsia="宋体"/>
                <w:b w:val="0"/>
                <w:bCs w:val="0"/>
                <w:color w:val="auto"/>
                <w:highlight w:val="none"/>
                <w:vertAlign w:val="superscript"/>
                <w:lang w:eastAsia="zh-CN"/>
              </w:rPr>
              <w:t>3</w:t>
            </w:r>
            <w:r>
              <w:rPr>
                <w:rFonts w:hint="eastAsia" w:eastAsia="宋体"/>
                <w:b w:val="0"/>
                <w:bCs w:val="0"/>
                <w:color w:val="auto"/>
                <w:highlight w:val="none"/>
                <w:lang w:eastAsia="zh-CN"/>
              </w:rPr>
              <w:t>的隔油池，本项目设置0.</w:t>
            </w:r>
            <w:r>
              <w:rPr>
                <w:rFonts w:hint="eastAsia"/>
                <w:b w:val="0"/>
                <w:bCs w:val="0"/>
                <w:color w:val="auto"/>
                <w:highlight w:val="none"/>
                <w:lang w:val="en-US" w:eastAsia="zh-CN"/>
              </w:rPr>
              <w:t>5</w:t>
            </w:r>
            <w:r>
              <w:rPr>
                <w:rFonts w:hint="eastAsia" w:eastAsia="宋体"/>
                <w:b w:val="0"/>
                <w:bCs w:val="0"/>
                <w:color w:val="auto"/>
                <w:highlight w:val="none"/>
                <w:lang w:eastAsia="zh-CN"/>
              </w:rPr>
              <w:t>m</w:t>
            </w:r>
            <w:r>
              <w:rPr>
                <w:rFonts w:hint="eastAsia" w:eastAsia="宋体"/>
                <w:b w:val="0"/>
                <w:bCs w:val="0"/>
                <w:color w:val="auto"/>
                <w:highlight w:val="none"/>
                <w:vertAlign w:val="superscript"/>
                <w:lang w:eastAsia="zh-CN"/>
              </w:rPr>
              <w:t>3</w:t>
            </w:r>
            <w:r>
              <w:rPr>
                <w:rFonts w:hint="eastAsia" w:eastAsia="宋体"/>
                <w:b w:val="0"/>
                <w:bCs w:val="0"/>
                <w:color w:val="auto"/>
                <w:highlight w:val="none"/>
                <w:lang w:eastAsia="zh-CN"/>
              </w:rPr>
              <w:t>的隔油池，满足本项目食堂废水隔油需求，项目隔油池措施可行。</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本项目</w:t>
            </w:r>
            <w:r>
              <w:rPr>
                <w:rFonts w:hint="eastAsia"/>
                <w:b w:val="0"/>
                <w:bCs w:val="0"/>
                <w:color w:val="auto"/>
                <w:highlight w:val="none"/>
                <w:lang w:val="en-US" w:eastAsia="zh-CN"/>
              </w:rPr>
              <w:t>生活污水（含食堂废水）产生量为0.864</w:t>
            </w:r>
            <w:r>
              <w:rPr>
                <w:rFonts w:hint="eastAsia" w:eastAsia="宋体"/>
                <w:b w:val="0"/>
                <w:bCs w:val="0"/>
                <w:color w:val="auto"/>
                <w:highlight w:val="none"/>
                <w:lang w:eastAsia="zh-CN"/>
              </w:rPr>
              <w:t>t/d，</w:t>
            </w:r>
            <w:r>
              <w:rPr>
                <w:rFonts w:hint="eastAsia"/>
                <w:b w:val="0"/>
                <w:bCs w:val="0"/>
                <w:color w:val="auto"/>
                <w:highlight w:val="none"/>
                <w:lang w:val="en-US" w:eastAsia="zh-CN"/>
              </w:rPr>
              <w:t>收集后进入</w:t>
            </w:r>
            <w:r>
              <w:rPr>
                <w:rFonts w:hint="eastAsia" w:eastAsia="宋体"/>
                <w:b w:val="0"/>
                <w:bCs w:val="0"/>
                <w:color w:val="auto"/>
                <w:highlight w:val="none"/>
                <w:lang w:eastAsia="zh-CN"/>
              </w:rPr>
              <w:t>化粪池进行处理，</w:t>
            </w:r>
            <w:r>
              <w:rPr>
                <w:rFonts w:hint="eastAsia"/>
                <w:b w:val="0"/>
                <w:bCs w:val="0"/>
                <w:color w:val="auto"/>
                <w:highlight w:val="none"/>
                <w:lang w:val="en-US" w:eastAsia="zh-CN"/>
              </w:rPr>
              <w:t>本项目设置10m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的化粪池，满足生活污水处理需求</w:t>
            </w:r>
            <w:r>
              <w:rPr>
                <w:rFonts w:hint="eastAsia" w:eastAsia="宋体"/>
                <w:b w:val="0"/>
                <w:bCs w:val="0"/>
                <w:color w:val="auto"/>
                <w:highlight w:val="none"/>
                <w:lang w:eastAsia="zh-CN"/>
              </w:rPr>
              <w:t>，该措施可行。</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因此，本项目建成后，项目废水新建隔油池</w:t>
            </w:r>
            <w:r>
              <w:rPr>
                <w:rFonts w:hint="eastAsia"/>
                <w:b w:val="0"/>
                <w:bCs w:val="0"/>
                <w:color w:val="auto"/>
                <w:highlight w:val="none"/>
                <w:lang w:eastAsia="zh-CN"/>
              </w:rPr>
              <w:t>、</w:t>
            </w:r>
            <w:r>
              <w:rPr>
                <w:rFonts w:hint="eastAsia" w:eastAsia="宋体"/>
                <w:b w:val="0"/>
                <w:bCs w:val="0"/>
                <w:color w:val="auto"/>
                <w:highlight w:val="none"/>
                <w:lang w:eastAsia="zh-CN"/>
              </w:rPr>
              <w:t>化粪池的处理措施是可行的。</w:t>
            </w:r>
          </w:p>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（三）声环境影响和保护措施</w:t>
            </w:r>
          </w:p>
          <w:p>
            <w:pPr>
              <w:ind w:left="0" w:leftChars="0" w:firstLine="481" w:firstLineChars="200"/>
              <w:rPr>
                <w:rFonts w:hint="default" w:eastAsia="宋体"/>
                <w:b/>
                <w:bCs/>
                <w:color w:val="auto"/>
                <w:highlight w:val="none"/>
                <w:lang w:val="en-US" w:eastAsia="zh-CN"/>
              </w:rPr>
            </w:pPr>
            <w:r>
              <w:rPr>
                <w:rFonts w:hint="eastAsia" w:ascii="Times New Roman" w:eastAsia="宋体"/>
                <w:b/>
                <w:bCs/>
                <w:color w:val="auto"/>
                <w:highlight w:val="none"/>
                <w:lang w:val="en-US" w:eastAsia="zh-CN"/>
              </w:rPr>
              <w:t>1、噪声源强</w:t>
            </w:r>
          </w:p>
          <w:p>
            <w:pPr>
              <w:ind w:left="0" w:leftChars="0" w:firstLine="480" w:firstLineChars="200"/>
              <w:rPr>
                <w:rFonts w:hint="eastAsia"/>
                <w:color w:val="auto"/>
                <w:highlight w:val="none"/>
              </w:rPr>
            </w:pPr>
            <w:r>
              <w:rPr>
                <w:rFonts w:hint="eastAsia"/>
                <w:color w:val="auto"/>
                <w:highlight w:val="none"/>
              </w:rPr>
              <w:t>本项目设计上选用性能良好、运转平稳、质量可靠低噪声设备。项目运营期间在高噪声设备下面加设弹性材料，加设减振垫，保证各种机加工设备处于正常工况，杜绝因设备不正常运行而产生高噪声现象。</w:t>
            </w:r>
          </w:p>
          <w:p>
            <w:pPr>
              <w:ind w:left="0" w:leftChars="0" w:firstLine="480" w:firstLineChars="200"/>
              <w:rPr>
                <w:rFonts w:hint="default"/>
                <w:b/>
                <w:bCs/>
                <w:color w:val="auto"/>
                <w:highlight w:val="none"/>
                <w:lang w:val="en-US" w:eastAsia="zh-CN"/>
              </w:rPr>
            </w:pPr>
            <w:r>
              <w:rPr>
                <w:rFonts w:hint="eastAsia"/>
                <w:color w:val="auto"/>
                <w:highlight w:val="none"/>
              </w:rPr>
              <w:t>本项目噪声污染主要来自生产过程中设备运行产生的噪声，各噪声源源强见下表。</w:t>
            </w:r>
          </w:p>
        </w:tc>
      </w:tr>
    </w:tbl>
    <w:p>
      <w:pPr>
        <w:rPr>
          <w:color w:val="auto"/>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8"/>
        <w:gridCol w:w="13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28" w:type="dxa"/>
            <w:vAlign w:val="center"/>
          </w:tcPr>
          <w:p>
            <w:pPr>
              <w:ind w:firstLine="0" w:firstLineChars="0"/>
              <w:jc w:val="center"/>
              <w:rPr>
                <w:rFonts w:hint="eastAsia"/>
                <w:color w:val="auto"/>
                <w:highlight w:val="none"/>
              </w:rPr>
            </w:pPr>
          </w:p>
        </w:tc>
        <w:tc>
          <w:tcPr>
            <w:tcW w:w="13046" w:type="dxa"/>
            <w:vAlign w:val="center"/>
          </w:tcPr>
          <w:p>
            <w:pPr>
              <w:spacing w:line="240" w:lineRule="auto"/>
              <w:ind w:left="0" w:leftChars="0"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4</w:t>
            </w:r>
            <w:r>
              <w:rPr>
                <w:rFonts w:hint="eastAsia" w:ascii="Times New Roman" w:eastAsia="宋体"/>
                <w:b/>
                <w:bCs/>
                <w:color w:val="auto"/>
                <w:highlight w:val="none"/>
                <w:lang w:val="en-US" w:eastAsia="zh-CN"/>
              </w:rPr>
              <w:t xml:space="preserve"> 室外噪声源强调查清单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304"/>
              <w:gridCol w:w="3072"/>
              <w:gridCol w:w="959"/>
              <w:gridCol w:w="913"/>
              <w:gridCol w:w="954"/>
              <w:gridCol w:w="1844"/>
              <w:gridCol w:w="100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序号</w:t>
                  </w:r>
                </w:p>
              </w:tc>
              <w:tc>
                <w:tcPr>
                  <w:tcW w:w="8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声源名称</w:t>
                  </w:r>
                </w:p>
              </w:tc>
              <w:tc>
                <w:tcPr>
                  <w:tcW w:w="1198"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型号</w:t>
                  </w:r>
                </w:p>
              </w:tc>
              <w:tc>
                <w:tcPr>
                  <w:tcW w:w="1102" w:type="pct"/>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空间相对位置/m</w:t>
                  </w:r>
                </w:p>
              </w:tc>
              <w:tc>
                <w:tcPr>
                  <w:tcW w:w="71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声源源强</w:t>
                  </w:r>
                </w:p>
              </w:tc>
              <w:tc>
                <w:tcPr>
                  <w:tcW w:w="393"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声源控制措施</w:t>
                  </w:r>
                </w:p>
              </w:tc>
              <w:tc>
                <w:tcPr>
                  <w:tcW w:w="345"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899"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98"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374"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X</w:t>
                  </w:r>
                </w:p>
              </w:tc>
              <w:tc>
                <w:tcPr>
                  <w:tcW w:w="356"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Y</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Z</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声功率级/dB(A)</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潜水排污泵（排泥泵）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Q=20m</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val="en-US" w:eastAsia="zh-CN"/>
                    </w:rPr>
                    <w:t>/h，H=11m，N=1.5KW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16</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-29.9</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减震</w:t>
                  </w:r>
                </w:p>
              </w:tc>
              <w:tc>
                <w:tcPr>
                  <w:tcW w:w="345" w:type="pct"/>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潜水排污泵（回用水泵）</w:t>
                  </w:r>
                </w:p>
              </w:tc>
              <w:tc>
                <w:tcPr>
                  <w:tcW w:w="1198"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Q=65m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/h，H=20m，N=7.5KW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14.5</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-29.5</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变频立式离心泵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Q=54m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N=15.0KW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33.7</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20.2</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单机立式离心泵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Q=24m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H=80m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N=11.0KW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33.5</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18.4</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潜水式排污泵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33.2</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16.9</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烟油净化器风机</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-15.3</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25.0</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bl>
          <w:p>
            <w:pPr>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表4-</w:t>
            </w:r>
            <w:r>
              <w:rPr>
                <w:rFonts w:hint="eastAsia"/>
                <w:b/>
                <w:bCs/>
                <w:color w:val="auto"/>
                <w:highlight w:val="none"/>
                <w:lang w:val="en-US" w:eastAsia="zh-CN"/>
              </w:rPr>
              <w:t>5</w:t>
            </w:r>
            <w:r>
              <w:rPr>
                <w:rFonts w:hint="default"/>
                <w:b/>
                <w:bCs/>
                <w:color w:val="auto"/>
                <w:highlight w:val="none"/>
                <w:lang w:val="en-US" w:eastAsia="zh-CN"/>
              </w:rPr>
              <w:t xml:space="preserve"> 室内噪声源强调查清单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658"/>
              <w:gridCol w:w="1125"/>
              <w:gridCol w:w="1686"/>
              <w:gridCol w:w="1040"/>
              <w:gridCol w:w="724"/>
              <w:gridCol w:w="659"/>
              <w:gridCol w:w="780"/>
              <w:gridCol w:w="779"/>
              <w:gridCol w:w="778"/>
              <w:gridCol w:w="913"/>
              <w:gridCol w:w="618"/>
              <w:gridCol w:w="929"/>
              <w:gridCol w:w="86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序号</w:t>
                  </w:r>
                </w:p>
              </w:tc>
              <w:tc>
                <w:tcPr>
                  <w:tcW w:w="65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建筑物名称</w:t>
                  </w:r>
                </w:p>
              </w:tc>
              <w:tc>
                <w:tcPr>
                  <w:tcW w:w="112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声源名称</w:t>
                  </w:r>
                </w:p>
              </w:tc>
              <w:tc>
                <w:tcPr>
                  <w:tcW w:w="168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型号</w:t>
                  </w:r>
                </w:p>
              </w:tc>
              <w:tc>
                <w:tcPr>
                  <w:tcW w:w="10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声源源强</w:t>
                  </w:r>
                </w:p>
              </w:tc>
              <w:tc>
                <w:tcPr>
                  <w:tcW w:w="72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声源控制措施</w:t>
                  </w:r>
                </w:p>
              </w:tc>
              <w:tc>
                <w:tcPr>
                  <w:tcW w:w="2218"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空间相对位置/m</w:t>
                  </w:r>
                </w:p>
              </w:tc>
              <w:tc>
                <w:tcPr>
                  <w:tcW w:w="77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距室内边界距离/m</w:t>
                  </w:r>
                </w:p>
              </w:tc>
              <w:tc>
                <w:tcPr>
                  <w:tcW w:w="91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室内边界声级/dB(A)</w:t>
                  </w:r>
                </w:p>
              </w:tc>
              <w:tc>
                <w:tcPr>
                  <w:tcW w:w="61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运行时段</w:t>
                  </w:r>
                </w:p>
              </w:tc>
              <w:tc>
                <w:tcPr>
                  <w:tcW w:w="92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建筑物插入损失/dB(A)</w:t>
                  </w:r>
                </w:p>
              </w:tc>
              <w:tc>
                <w:tcPr>
                  <w:tcW w:w="170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686"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声功率级/dB(A)</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X</w:t>
                  </w:r>
                </w:p>
              </w:tc>
              <w:tc>
                <w:tcPr>
                  <w:tcW w:w="78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Y</w:t>
                  </w:r>
                </w:p>
              </w:tc>
              <w:tc>
                <w:tcPr>
                  <w:tcW w:w="77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Z</w:t>
                  </w:r>
                </w:p>
              </w:tc>
              <w:tc>
                <w:tcPr>
                  <w:tcW w:w="7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13"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86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声压级/dB(A)</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c>
                <w:tcPr>
                  <w:tcW w:w="65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lang w:val="en-US" w:eastAsia="zh-CN"/>
                    </w:rPr>
                    <w:t>消毒间</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sz w:val="21"/>
                      <w:szCs w:val="21"/>
                    </w:rPr>
                    <w:t>次氯酸钠发生器主机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GTL-2000</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60</w:t>
                  </w:r>
                </w:p>
              </w:tc>
              <w:tc>
                <w:tcPr>
                  <w:tcW w:w="724"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减震、隔声</w:t>
                  </w: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-41.3</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-10.7</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1.17</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56.61</w:t>
                  </w:r>
                </w:p>
              </w:tc>
              <w:tc>
                <w:tcPr>
                  <w:tcW w:w="618"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eastAsia" w:ascii="Times New Roman" w:hAnsi="Times New Roman" w:cs="Times New Roman"/>
                      <w:color w:val="auto"/>
                      <w:kern w:val="0"/>
                      <w:sz w:val="21"/>
                      <w:szCs w:val="21"/>
                      <w:highlight w:val="none"/>
                      <w:lang w:val="en-US" w:eastAsia="zh-CN"/>
                    </w:rPr>
                    <w:t>24h</w:t>
                  </w: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30.61</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2</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sz w:val="21"/>
                      <w:szCs w:val="21"/>
                    </w:rPr>
                    <w:t>排氢风机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Q=5m³/min，全压500Pa</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70</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-38.6</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-12</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0.63</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67.79</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41.79</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投加泵</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Q=210L/h</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-41.8</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-11.9</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2.46</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71.16</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45.16</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轴流风机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2339m³/h，192Pa</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70</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-43.4</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-10.4</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1.56</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66.36</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40.36</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r>
          </w:tbl>
          <w:p>
            <w:pPr>
              <w:ind w:left="0" w:leftChars="0" w:firstLine="0" w:firstLineChars="0"/>
              <w:jc w:val="both"/>
              <w:rPr>
                <w:rFonts w:hint="default"/>
                <w:b/>
                <w:bCs/>
                <w:color w:val="auto"/>
                <w:highlight w:val="none"/>
                <w:lang w:val="en-US" w:eastAsia="zh-CN"/>
              </w:rPr>
            </w:pPr>
          </w:p>
        </w:tc>
      </w:tr>
    </w:tbl>
    <w:p>
      <w:pPr>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7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10" w:type="dxa"/>
            <w:vAlign w:val="center"/>
          </w:tcPr>
          <w:p>
            <w:pPr>
              <w:ind w:firstLine="0" w:firstLineChars="0"/>
              <w:jc w:val="center"/>
              <w:rPr>
                <w:rFonts w:hint="eastAsia"/>
                <w:color w:val="auto"/>
                <w:highlight w:val="none"/>
              </w:rPr>
            </w:pPr>
          </w:p>
        </w:tc>
        <w:tc>
          <w:tcPr>
            <w:tcW w:w="7512" w:type="dxa"/>
            <w:vAlign w:val="center"/>
          </w:tcPr>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2、噪声影响分析</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户外声传播衰减包括几何发散（Adiv）、大气吸收（Aatm）、地面效应（Agr）、障碍物屏蔽（Abar）、其他多方面效应（Amisc）引起的衰减：</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Lp(r)＝Lw+DC－(Adiv＋Aatm＋Agr＋Abar＋Amisc)</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式中：Lp(r)——预测点处声压级，dB；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Lw——由点声源产生的声功率级（A计权或倍频带），dB；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DC——指向性校正，它描述点声源的等效连续声压级与产生声功率级Lw的全向点声源在规定方向的声级的偏差程度，dB；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Adiv——几何发散引起的衰减，dB；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Aatm——大气吸收引起的衰减，dB；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Agr——地面效应引起的衰减，dB；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Abar——障碍物屏蔽引起的衰减，dB；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Amisc——其他多方面效应引起的衰减，dB。</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根据《环境影响评价技术导则—声环境》（HJ2.4-2021），声源位于室内，室内声源可采用等效室外声源声功率级法进行计算：</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Lp2=Lp1-(TL+6)</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式中：Lp1——靠近开口处（或窗户）室内某倍频带的声压级或A声级，dB；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Lp2——靠近开口处（或窗户）室外某倍频带的声压级或A声级，dB；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TL——隔墙（或窗户）倍频带或A声级的隔声量，dB。</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户外声传播衰减包括几何发散（Adiv）、大气吸收（Aatm）、地面效应（Agr）、障碍物屏蔽（Abar）、其他多方面效应（Amisc）引起的衰减：</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Lp(r)＝Lw+DC－(Adiv＋Aatm＋Agr＋Abar＋Amisc)</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式中：Lp(r)——预测点处声压级，dB；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Lw——由点声源产生的声功率级（A计权或倍频带），dB；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DC——指向性校正，它描述点声源的等效连续声压级与产生声功率级Lw的全向点声源在规定方向的声级的偏差程度，dB；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Adiv——几何发散引起的衰减，dB；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Aatm——大气吸收引起的衰减，dB；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Agr——地面效应引起的衰减，dB；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Abar——障碍物屏蔽引起的衰减，dB；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Amisc——其他多方面效应引起的衰减，dB。</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设第i个室外声源在预测点产生的A声级为LAi，在T时间内该声源工作时间为ti；第j个等效室外声源在预测点产生的A声级为LAj，在T时间内该声源工作时间为tj，则拟建工程声源对预测点产生的贡献值（Leqg）为：</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eastAsia" w:ascii="Times New Roman" w:eastAsia="宋体"/>
                <w:color w:val="auto"/>
                <w:position w:val="-32"/>
                <w:sz w:val="24"/>
                <w:highlight w:val="none"/>
                <w:lang w:val="en-US" w:eastAsia="zh-CN"/>
              </w:rPr>
              <w:object>
                <v:shape id="_x0000_i1025" o:spt="75" type="#_x0000_t75" style="height:38pt;width:209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式中：Leqg——建设项目声源在预测点产生的噪声贡献值，dB；</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T——用于计算等效声级的时间，s；</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N——室外声源个数；</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ti——在T时间内i声源工作时间，s；</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M——等效室外声源个数；</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tj——在T时间内j声源工作时间，s。</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通过预测模型计算，</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项目生产设备噪声衰减至厂界处的</w:t>
            </w:r>
            <w:r>
              <w:rPr>
                <w:rFonts w:hint="eastAsia" w:cs="Times New Roman"/>
                <w:color w:val="auto"/>
                <w:sz w:val="24"/>
                <w:szCs w:val="24"/>
                <w:highlight w:val="none"/>
                <w:lang w:val="en-US" w:eastAsia="zh-CN"/>
              </w:rPr>
              <w:t>最大值</w:t>
            </w:r>
            <w:r>
              <w:rPr>
                <w:rFonts w:hint="default" w:ascii="Times New Roman" w:hAnsi="Times New Roman" w:eastAsia="宋体" w:cs="Times New Roman"/>
                <w:color w:val="auto"/>
                <w:sz w:val="24"/>
                <w:szCs w:val="24"/>
                <w:highlight w:val="none"/>
              </w:rPr>
              <w:t>见</w:t>
            </w:r>
            <w:r>
              <w:rPr>
                <w:rFonts w:hint="eastAsia" w:cs="Times New Roman"/>
                <w:color w:val="auto"/>
                <w:sz w:val="24"/>
                <w:szCs w:val="24"/>
                <w:highlight w:val="none"/>
                <w:lang w:val="en-US" w:eastAsia="zh-CN"/>
              </w:rPr>
              <w:t>下列各表</w:t>
            </w:r>
            <w:r>
              <w:rPr>
                <w:rFonts w:hint="default" w:ascii="Times New Roman" w:hAnsi="Times New Roman" w:eastAsia="宋体" w:cs="Times New Roman"/>
                <w:color w:val="auto"/>
                <w:sz w:val="24"/>
                <w:szCs w:val="24"/>
                <w:highlight w:val="none"/>
              </w:rPr>
              <w:t>。</w:t>
            </w:r>
          </w:p>
          <w:p>
            <w:pPr>
              <w:adjustRightInd w:val="0"/>
              <w:snapToGrid w:val="0"/>
              <w:spacing w:line="240" w:lineRule="auto"/>
              <w:ind w:left="0" w:leftChars="0" w:firstLine="0" w:firstLineChars="0"/>
              <w:jc w:val="center"/>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表4-6 厂界噪声最大值预测结果一览表  单位：dB（A）</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10"/>
              <w:gridCol w:w="911"/>
              <w:gridCol w:w="911"/>
              <w:gridCol w:w="911"/>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预测位置</w:t>
                  </w:r>
                </w:p>
              </w:tc>
              <w:tc>
                <w:tcPr>
                  <w:tcW w:w="273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空间相对位置</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时段</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最大值</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标准限值</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X</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Y</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Z</w:t>
                  </w: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东侧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35.3</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31.6</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lang w:val="en-US" w:eastAsia="zh-CN"/>
                    </w:rPr>
                    <w:t>46.3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35.3</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31.6</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46.3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南侧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14.5</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-46.2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lang w:val="en-US" w:eastAsia="zh-CN"/>
                    </w:rPr>
                    <w:t>48.2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14.5</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-46.2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西侧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-55.4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-10.7</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48.5</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-10.7</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48.5</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北侧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29.4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32.4</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lang w:val="en-US" w:eastAsia="zh-CN"/>
                    </w:rPr>
                    <w:t>45.3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29.4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32.4</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45.3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bl>
          <w:p>
            <w:pPr>
              <w:ind w:left="0" w:leftChars="0" w:firstLine="480" w:firstLineChars="200"/>
              <w:rPr>
                <w:rFonts w:hint="default"/>
                <w:b/>
                <w:bCs/>
                <w:color w:val="auto"/>
                <w:highlight w:val="none"/>
                <w:lang w:val="en-US" w:eastAsia="zh-CN"/>
              </w:rPr>
            </w:pPr>
            <w:r>
              <w:rPr>
                <w:rFonts w:hint="eastAsia" w:ascii="Times New Roman" w:hAnsi="Times New Roman" w:eastAsia="宋体" w:cs="Times New Roman"/>
                <w:color w:val="auto"/>
                <w:sz w:val="24"/>
                <w:szCs w:val="20"/>
                <w:highlight w:val="none"/>
              </w:rPr>
              <w:t>由上表可以看出，项目在选用低噪声设备</w:t>
            </w:r>
            <w:r>
              <w:rPr>
                <w:rFonts w:hint="eastAsia"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rPr>
              <w:t>采取基础减震、厂房隔声</w:t>
            </w:r>
            <w:r>
              <w:rPr>
                <w:rFonts w:hint="eastAsia" w:cs="Times New Roman"/>
                <w:color w:val="auto"/>
                <w:sz w:val="24"/>
                <w:szCs w:val="20"/>
                <w:highlight w:val="none"/>
                <w:lang w:eastAsia="zh-CN"/>
              </w:rPr>
              <w:t>、加强对生产设备的管理和维护</w:t>
            </w:r>
            <w:r>
              <w:rPr>
                <w:rFonts w:hint="eastAsia" w:cs="Times New Roman"/>
                <w:color w:val="auto"/>
                <w:sz w:val="24"/>
                <w:szCs w:val="20"/>
                <w:highlight w:val="none"/>
                <w:lang w:val="en-US" w:eastAsia="zh-CN"/>
              </w:rPr>
              <w:t>后</w:t>
            </w:r>
            <w:r>
              <w:rPr>
                <w:rFonts w:hint="eastAsia" w:ascii="Times New Roman" w:hAnsi="Times New Roman" w:eastAsia="宋体" w:cs="Times New Roman"/>
                <w:color w:val="auto"/>
                <w:sz w:val="24"/>
                <w:szCs w:val="20"/>
                <w:highlight w:val="none"/>
              </w:rPr>
              <w:t>，厂界噪声满足《工业企业厂界环境噪声排放标准》（GB12348-2008）中的</w:t>
            </w:r>
            <w:r>
              <w:rPr>
                <w:rFonts w:hint="eastAsia" w:cs="Times New Roman"/>
                <w:color w:val="auto"/>
                <w:sz w:val="24"/>
                <w:szCs w:val="20"/>
                <w:highlight w:val="none"/>
                <w:lang w:val="en-US" w:eastAsia="zh-CN"/>
              </w:rPr>
              <w:t>2</w:t>
            </w:r>
            <w:r>
              <w:rPr>
                <w:rFonts w:hint="eastAsia" w:ascii="Times New Roman" w:hAnsi="Times New Roman" w:eastAsia="宋体" w:cs="Times New Roman"/>
                <w:color w:val="auto"/>
                <w:sz w:val="24"/>
                <w:szCs w:val="20"/>
                <w:highlight w:val="none"/>
              </w:rPr>
              <w:t>类排放标准，同时项目周边50米范围内无噪声敏感目标。因此，本项目噪声源对周围环境影响较小，项目对周边声环境的影响可以接受</w:t>
            </w:r>
            <w:r>
              <w:rPr>
                <w:rFonts w:ascii="Times New Roman" w:hAnsi="Times New Roman" w:eastAsia="宋体" w:cs="Times New Roman"/>
                <w:color w:val="auto"/>
                <w:sz w:val="24"/>
                <w:szCs w:val="24"/>
                <w:highlight w:val="none"/>
              </w:rPr>
              <w:t>。</w:t>
            </w:r>
          </w:p>
          <w:p>
            <w:pPr>
              <w:ind w:left="0" w:leftChars="0" w:firstLine="481" w:firstLineChars="200"/>
              <w:rPr>
                <w:rFonts w:hint="default" w:eastAsia="宋体"/>
                <w:b/>
                <w:bCs/>
                <w:color w:val="auto"/>
                <w:highlight w:val="none"/>
                <w:lang w:val="en-US" w:eastAsia="zh-CN"/>
              </w:rPr>
            </w:pPr>
            <w:r>
              <w:rPr>
                <w:rFonts w:hint="eastAsia" w:ascii="Times New Roman" w:eastAsia="宋体"/>
                <w:b/>
                <w:bCs/>
                <w:color w:val="auto"/>
                <w:highlight w:val="none"/>
                <w:lang w:val="en-US" w:eastAsia="zh-CN"/>
              </w:rPr>
              <w:t>3、保护措施及影响分析</w:t>
            </w:r>
          </w:p>
          <w:p>
            <w:pPr>
              <w:bidi w:val="0"/>
              <w:rPr>
                <w:rFonts w:hint="eastAsia"/>
                <w:color w:val="auto"/>
                <w:highlight w:val="none"/>
                <w:lang w:val="en-US" w:eastAsia="zh-CN"/>
              </w:rPr>
            </w:pPr>
            <w:r>
              <w:rPr>
                <w:rFonts w:hint="eastAsia" w:ascii="Times New Roman" w:eastAsia="宋体"/>
                <w:color w:val="auto"/>
                <w:highlight w:val="none"/>
                <w:lang w:val="en-US" w:eastAsia="zh-CN"/>
              </w:rPr>
              <w:t>（1）在设计中应尽量选用低噪声设备，与供货商签订订货合同时提出设备噪声的具体要求。</w:t>
            </w:r>
          </w:p>
          <w:p>
            <w:pPr>
              <w:bidi w:val="0"/>
              <w:rPr>
                <w:rFonts w:hint="eastAsia"/>
                <w:color w:val="auto"/>
                <w:highlight w:val="none"/>
                <w:lang w:val="en-US" w:eastAsia="zh-CN"/>
              </w:rPr>
            </w:pPr>
            <w:r>
              <w:rPr>
                <w:rFonts w:hint="eastAsia" w:ascii="Times New Roman" w:eastAsia="宋体"/>
                <w:color w:val="auto"/>
                <w:highlight w:val="none"/>
                <w:lang w:val="en-US" w:eastAsia="zh-CN"/>
              </w:rPr>
              <w:t>（2）合理布置产噪设备，高噪声设备尽量布置在厂区中间位置，与厂界保持一定距离。</w:t>
            </w:r>
          </w:p>
          <w:p>
            <w:pPr>
              <w:bidi w:val="0"/>
              <w:rPr>
                <w:rFonts w:hint="eastAsia"/>
                <w:color w:val="auto"/>
                <w:highlight w:val="none"/>
                <w:lang w:val="en-US" w:eastAsia="zh-CN"/>
              </w:rPr>
            </w:pPr>
            <w:r>
              <w:rPr>
                <w:rFonts w:hint="eastAsia" w:ascii="Times New Roman" w:eastAsia="宋体"/>
                <w:color w:val="auto"/>
                <w:highlight w:val="none"/>
                <w:lang w:val="en-US" w:eastAsia="zh-CN"/>
              </w:rPr>
              <w:t>（3）主要产噪设备采用独立基础，加减振垫等防护治理。加强设备维护保养，及时添加润滑油等防护治理，减少因机械设备磨损而产生的噪声。</w:t>
            </w:r>
          </w:p>
          <w:p>
            <w:pPr>
              <w:bidi w:val="0"/>
              <w:rPr>
                <w:rFonts w:hint="eastAsia"/>
                <w:color w:val="auto"/>
                <w:highlight w:val="none"/>
                <w:lang w:val="en-US" w:eastAsia="zh-CN"/>
              </w:rPr>
            </w:pPr>
            <w:r>
              <w:rPr>
                <w:rFonts w:hint="eastAsia" w:ascii="Times New Roman" w:eastAsia="宋体"/>
                <w:color w:val="auto"/>
                <w:highlight w:val="none"/>
                <w:lang w:val="en-US" w:eastAsia="zh-CN"/>
              </w:rPr>
              <w:t>（4）搞好厂区的绿化工作，根据情况在厂区空隙地段增加绿化面积，在生产区与围墙间布置隔离绿地，种植乔木构成绿色屏障。</w:t>
            </w:r>
          </w:p>
          <w:p>
            <w:pPr>
              <w:bidi w:val="0"/>
              <w:rPr>
                <w:rFonts w:hint="eastAsia"/>
                <w:color w:val="auto"/>
                <w:highlight w:val="none"/>
                <w:lang w:val="en-US" w:eastAsia="zh-CN"/>
              </w:rPr>
            </w:pPr>
            <w:r>
              <w:rPr>
                <w:rFonts w:hint="eastAsia" w:ascii="Times New Roman" w:eastAsia="宋体"/>
                <w:color w:val="auto"/>
                <w:highlight w:val="none"/>
                <w:lang w:val="en-US" w:eastAsia="zh-CN"/>
              </w:rPr>
              <w:t>综上所述，经采取以上各项降噪措施后，可确保厂界噪声达标，对周围环境影响小，因此，项目噪声防治措施是可行的。</w:t>
            </w:r>
          </w:p>
          <w:p>
            <w:pPr>
              <w:bidi w:val="0"/>
              <w:rPr>
                <w:rFonts w:hint="eastAsia"/>
                <w:b/>
                <w:bCs/>
                <w:color w:val="auto"/>
                <w:highlight w:val="none"/>
                <w:lang w:val="en-US" w:eastAsia="zh-CN"/>
              </w:rPr>
            </w:pPr>
            <w:r>
              <w:rPr>
                <w:rFonts w:hint="eastAsia" w:ascii="Times New Roman" w:eastAsia="宋体"/>
                <w:b/>
                <w:bCs/>
                <w:color w:val="auto"/>
                <w:highlight w:val="none"/>
                <w:lang w:val="en-US" w:eastAsia="zh-CN"/>
              </w:rPr>
              <w:t>4、监测计划</w:t>
            </w:r>
          </w:p>
          <w:p>
            <w:pPr>
              <w:bidi w:val="0"/>
              <w:rPr>
                <w:rFonts w:hint="default"/>
                <w:color w:val="auto"/>
                <w:highlight w:val="none"/>
                <w:lang w:val="en-US" w:eastAsia="zh-CN"/>
              </w:rPr>
            </w:pPr>
            <w:r>
              <w:rPr>
                <w:rFonts w:hint="default"/>
                <w:color w:val="auto"/>
                <w:highlight w:val="none"/>
                <w:lang w:val="en-US" w:eastAsia="zh-CN"/>
              </w:rPr>
              <w:t>项目运营期噪声监测计划见下表。</w:t>
            </w:r>
          </w:p>
          <w:p>
            <w:pPr>
              <w:bidi w:val="0"/>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表4-</w:t>
            </w:r>
            <w:r>
              <w:rPr>
                <w:rFonts w:hint="eastAsia"/>
                <w:b/>
                <w:bCs/>
                <w:color w:val="auto"/>
                <w:highlight w:val="none"/>
                <w:lang w:val="en-US" w:eastAsia="zh-CN"/>
              </w:rPr>
              <w:t>7</w:t>
            </w:r>
            <w:r>
              <w:rPr>
                <w:rFonts w:hint="default"/>
                <w:b/>
                <w:bCs/>
                <w:color w:val="auto"/>
                <w:highlight w:val="none"/>
                <w:lang w:val="en-US" w:eastAsia="zh-CN"/>
              </w:rPr>
              <w:t xml:space="preserve">  项目运营期噪声监测计划一览表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49"/>
              <w:gridCol w:w="1160"/>
              <w:gridCol w:w="704"/>
              <w:gridCol w:w="165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环境要素</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监测点位</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监测指标</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监测频次</w:t>
                  </w:r>
                </w:p>
              </w:tc>
              <w:tc>
                <w:tcPr>
                  <w:tcW w:w="11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监测频次要求来源</w:t>
                  </w:r>
                </w:p>
              </w:tc>
              <w:tc>
                <w:tcPr>
                  <w:tcW w:w="1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项目东、南、西、北</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eastAsia="zh-CN"/>
                    </w:rPr>
                    <w:t>外</w:t>
                  </w:r>
                  <w:r>
                    <w:rPr>
                      <w:rFonts w:hint="default" w:ascii="Times New Roman" w:hAnsi="Times New Roman" w:cs="Times New Roman"/>
                      <w:color w:val="auto"/>
                      <w:sz w:val="21"/>
                      <w:szCs w:val="21"/>
                      <w:highlight w:val="none"/>
                      <w:lang w:val="en-US" w:eastAsia="zh-CN"/>
                    </w:rPr>
                    <w:t>1m</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eastAsia="zh-CN"/>
                    </w:rPr>
                    <w:t>昼间的等效连续</w:t>
                  </w:r>
                  <w:r>
                    <w:rPr>
                      <w:rFonts w:hint="default" w:ascii="Times New Roman" w:hAnsi="Times New Roman" w:cs="Times New Roman"/>
                      <w:color w:val="auto"/>
                      <w:sz w:val="21"/>
                      <w:szCs w:val="21"/>
                      <w:highlight w:val="none"/>
                      <w:lang w:val="en-US" w:eastAsia="zh-CN"/>
                    </w:rPr>
                    <w:t>A声级Leq(A)</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1次/</w:t>
                  </w:r>
                  <w:r>
                    <w:rPr>
                      <w:rFonts w:hint="eastAsia" w:cs="Times New Roman"/>
                      <w:color w:val="auto"/>
                      <w:sz w:val="21"/>
                      <w:szCs w:val="21"/>
                      <w:highlight w:val="none"/>
                      <w:lang w:val="en-US" w:eastAsia="zh-CN"/>
                    </w:rPr>
                    <w:t>季</w:t>
                  </w:r>
                </w:p>
              </w:tc>
              <w:tc>
                <w:tcPr>
                  <w:tcW w:w="11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《排污单位自行监测技术指南 总则》（HJ819-2017）</w:t>
                  </w:r>
                </w:p>
              </w:tc>
              <w:tc>
                <w:tcPr>
                  <w:tcW w:w="1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类标准</w:t>
                  </w:r>
                </w:p>
              </w:tc>
            </w:tr>
          </w:tbl>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（四）固体废物</w:t>
            </w:r>
          </w:p>
          <w:p>
            <w:pPr>
              <w:spacing w:line="360" w:lineRule="auto"/>
              <w:ind w:left="0" w:leftChars="0" w:firstLine="481"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1、固体废弃物产排情况</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运营期产生的固体废物主要为初沉池泥沙、污泥、废滤料、废包装材料、废机油、化验室废液、化学药品废弃包装物及生活垃圾</w:t>
            </w:r>
            <w:r>
              <w:rPr>
                <w:rFonts w:hint="eastAsia" w:ascii="Times New Roman" w:hAnsi="Times New Roman" w:eastAsia="宋体" w:cs="Times New Roman"/>
                <w:color w:val="auto"/>
                <w:sz w:val="24"/>
                <w:szCs w:val="24"/>
                <w:highlight w:val="none"/>
                <w:lang w:val="en-US" w:eastAsia="zh-CN"/>
              </w:rPr>
              <w:t>。</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（1）初沉池泥沙</w:t>
            </w:r>
          </w:p>
          <w:p>
            <w:pPr>
              <w:spacing w:line="360" w:lineRule="auto"/>
              <w:ind w:firstLine="480" w:firstLineChars="200"/>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本项目原水涌水引入初沉池收集沉淀，会产生少量泥沙，本次环评取泥沙产生系数为原水用量的0.001%，本项目原水用量为10033t/d，则本项目泥沙产生量为36.62t/a，定期清掏后委托环卫部门清运处置。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（2）污泥</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本项目污泥主要为泥沙，与原水悬浮物（或浊度）、加药量等因素有关。由于原水悬浮物浓度随季节变化，水厂产泥量随之变化。根据《室外给水设计标准》（GB50013-2018），设计干污泥量可按下式计算：</w:t>
            </w:r>
          </w:p>
          <w:p>
            <w:pPr>
              <w:spacing w:line="360" w:lineRule="auto"/>
              <w:ind w:left="0" w:leftChars="0" w:firstLine="0" w:firstLineChars="0"/>
              <w:jc w:val="center"/>
              <w:rPr>
                <w:color w:val="auto"/>
                <w:sz w:val="24"/>
              </w:rPr>
            </w:pPr>
            <w:r>
              <w:rPr>
                <w:color w:val="auto"/>
                <w:position w:val="-12"/>
                <w:sz w:val="24"/>
              </w:rPr>
              <w:object>
                <v:shape id="_x0000_i1026" o:spt="75" type="#_x0000_t75" style="height:24pt;width:152.1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w:r>
          </w:p>
          <w:p>
            <w:pPr>
              <w:spacing w:line="360" w:lineRule="auto"/>
              <w:ind w:left="0" w:leftChars="0" w:firstLine="480" w:firstLineChars="200"/>
              <w:jc w:val="both"/>
              <w:rPr>
                <w:rFonts w:hint="default"/>
                <w:color w:val="auto"/>
                <w:sz w:val="24"/>
                <w:lang w:val="en-US" w:eastAsia="zh-CN"/>
              </w:rPr>
            </w:pPr>
            <w:r>
              <w:rPr>
                <w:rFonts w:hint="default"/>
                <w:color w:val="auto"/>
                <w:sz w:val="24"/>
                <w:lang w:val="en-US" w:eastAsia="zh-CN"/>
              </w:rPr>
              <w:t>式中：S——</w:t>
            </w:r>
            <w:r>
              <w:rPr>
                <w:rFonts w:hint="eastAsia" w:ascii="Times New Roman" w:eastAsia="宋体"/>
                <w:color w:val="auto"/>
                <w:sz w:val="24"/>
                <w:lang w:val="en-US" w:eastAsia="zh-CN"/>
              </w:rPr>
              <w:t>设计处理</w:t>
            </w:r>
            <w:r>
              <w:rPr>
                <w:rFonts w:hint="default"/>
                <w:color w:val="auto"/>
                <w:sz w:val="24"/>
                <w:lang w:val="en-US" w:eastAsia="zh-CN"/>
              </w:rPr>
              <w:t>干泥量（t/d）</w:t>
            </w:r>
            <w:r>
              <w:rPr>
                <w:rFonts w:hint="eastAsia" w:ascii="Times New Roman" w:eastAsia="宋体"/>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C</w:t>
            </w:r>
            <w:r>
              <w:rPr>
                <w:rFonts w:hint="eastAsia" w:ascii="Times New Roman" w:eastAsia="宋体"/>
                <w:color w:val="auto"/>
                <w:sz w:val="24"/>
                <w:vertAlign w:val="subscript"/>
                <w:lang w:val="en-US" w:eastAsia="zh-CN"/>
              </w:rPr>
              <w:t>0</w:t>
            </w:r>
            <w:r>
              <w:rPr>
                <w:rFonts w:hint="default"/>
                <w:color w:val="auto"/>
                <w:sz w:val="24"/>
                <w:lang w:val="en-US" w:eastAsia="zh-CN"/>
              </w:rPr>
              <w:t>——原水浊度设计取值（NTU）</w:t>
            </w:r>
            <w:r>
              <w:rPr>
                <w:rFonts w:hint="eastAsia" w:ascii="Times New Roman" w:eastAsia="宋体"/>
                <w:color w:val="auto"/>
                <w:sz w:val="24"/>
                <w:lang w:val="en-US" w:eastAsia="zh-CN"/>
              </w:rPr>
              <w:t>，根据本项目可行性研究报告，本项目取</w:t>
            </w:r>
            <w:r>
              <w:rPr>
                <w:rFonts w:hint="eastAsia"/>
                <w:color w:val="auto"/>
                <w:sz w:val="24"/>
                <w:lang w:val="en-US" w:eastAsia="zh-CN"/>
              </w:rPr>
              <w:t>5</w:t>
            </w:r>
            <w:r>
              <w:rPr>
                <w:rFonts w:hint="eastAsia" w:ascii="Times New Roman" w:eastAsia="宋体"/>
                <w:color w:val="auto"/>
                <w:sz w:val="24"/>
                <w:lang w:val="en-US" w:eastAsia="zh-CN"/>
              </w:rPr>
              <w:t>NTU</w:t>
            </w:r>
            <w:r>
              <w:rPr>
                <w:rFonts w:hint="default"/>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1</w:t>
            </w:r>
            <w:r>
              <w:rPr>
                <w:rFonts w:hint="default"/>
                <w:color w:val="auto"/>
                <w:sz w:val="24"/>
                <w:lang w:val="en-US" w:eastAsia="zh-CN"/>
              </w:rPr>
              <w:t>——原水浊度单位NTU与悬浮物SS单位mg/L的换算系数，一般取0.7~2.2</w:t>
            </w:r>
            <w:r>
              <w:rPr>
                <w:rFonts w:hint="eastAsia" w:ascii="Times New Roman" w:eastAsia="宋体"/>
                <w:color w:val="auto"/>
                <w:sz w:val="24"/>
                <w:lang w:val="en-US" w:eastAsia="zh-CN"/>
              </w:rPr>
              <w:t>，本项目取</w:t>
            </w:r>
            <w:r>
              <w:rPr>
                <w:rFonts w:hint="eastAsia"/>
                <w:color w:val="auto"/>
                <w:sz w:val="24"/>
                <w:lang w:val="en-US" w:eastAsia="zh-CN"/>
              </w:rPr>
              <w:t>1.5</w:t>
            </w:r>
            <w:r>
              <w:rPr>
                <w:rFonts w:hint="default"/>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D</w:t>
            </w:r>
            <w:r>
              <w:rPr>
                <w:rFonts w:hint="default"/>
                <w:color w:val="auto"/>
                <w:sz w:val="24"/>
                <w:lang w:val="en-US" w:eastAsia="zh-CN"/>
              </w:rPr>
              <w:t>——药剂投加量（mg/L）</w:t>
            </w:r>
            <w:r>
              <w:rPr>
                <w:rFonts w:hint="eastAsia" w:ascii="Times New Roman" w:eastAsia="宋体"/>
                <w:color w:val="auto"/>
                <w:sz w:val="24"/>
                <w:lang w:val="en-US" w:eastAsia="zh-CN"/>
              </w:rPr>
              <w:t>，根据本项目</w:t>
            </w:r>
            <w:r>
              <w:rPr>
                <w:rFonts w:hint="eastAsia"/>
                <w:color w:val="auto"/>
                <w:sz w:val="24"/>
                <w:lang w:val="en-US" w:eastAsia="zh-CN"/>
              </w:rPr>
              <w:t>初设</w:t>
            </w:r>
            <w:r>
              <w:rPr>
                <w:rFonts w:hint="eastAsia" w:ascii="Times New Roman" w:eastAsia="宋体"/>
                <w:color w:val="auto"/>
                <w:sz w:val="24"/>
                <w:lang w:val="en-US" w:eastAsia="zh-CN"/>
              </w:rPr>
              <w:t>报告，药剂投加量为</w:t>
            </w:r>
            <w:r>
              <w:rPr>
                <w:rFonts w:hint="eastAsia"/>
                <w:color w:val="auto"/>
                <w:sz w:val="24"/>
                <w:lang w:val="en-US" w:eastAsia="zh-CN"/>
              </w:rPr>
              <w:t>15</w:t>
            </w:r>
            <w:r>
              <w:rPr>
                <w:rFonts w:hint="eastAsia" w:ascii="Times New Roman" w:eastAsia="宋体"/>
                <w:color w:val="auto"/>
                <w:sz w:val="24"/>
                <w:lang w:val="en-US" w:eastAsia="zh-CN"/>
              </w:rPr>
              <w:t>mg/L</w:t>
            </w:r>
            <w:r>
              <w:rPr>
                <w:rFonts w:hint="eastAsia"/>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2</w:t>
            </w:r>
            <w:r>
              <w:rPr>
                <w:rFonts w:hint="default"/>
                <w:color w:val="auto"/>
                <w:sz w:val="24"/>
                <w:lang w:val="en-US" w:eastAsia="zh-CN"/>
              </w:rPr>
              <w:t>——药剂转化成泥量的系数，设计取值1.53；</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Q</w:t>
            </w:r>
            <w:r>
              <w:rPr>
                <w:rFonts w:hint="eastAsia" w:ascii="Times New Roman" w:eastAsia="宋体"/>
                <w:color w:val="auto"/>
                <w:sz w:val="24"/>
                <w:vertAlign w:val="subscript"/>
                <w:lang w:val="en-US" w:eastAsia="zh-CN"/>
              </w:rPr>
              <w:t>0</w:t>
            </w:r>
            <w:r>
              <w:rPr>
                <w:rFonts w:hint="default"/>
                <w:color w:val="auto"/>
                <w:sz w:val="24"/>
                <w:lang w:val="en-US" w:eastAsia="zh-CN"/>
              </w:rPr>
              <w:t>——</w:t>
            </w:r>
            <w:r>
              <w:rPr>
                <w:rFonts w:hint="eastAsia" w:ascii="Times New Roman" w:eastAsia="宋体"/>
                <w:color w:val="auto"/>
                <w:sz w:val="24"/>
                <w:lang w:val="en-US" w:eastAsia="zh-CN"/>
              </w:rPr>
              <w:t>水厂设计规模</w:t>
            </w:r>
            <w:r>
              <w:rPr>
                <w:rFonts w:hint="default"/>
                <w:color w:val="auto"/>
                <w:sz w:val="24"/>
                <w:lang w:val="en-US" w:eastAsia="zh-CN"/>
              </w:rPr>
              <w:t>（m³/d）</w:t>
            </w:r>
            <w:r>
              <w:rPr>
                <w:rFonts w:hint="eastAsia" w:ascii="Times New Roman" w:eastAsia="宋体"/>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0</w:t>
            </w:r>
            <w:r>
              <w:rPr>
                <w:rFonts w:hint="default"/>
                <w:color w:val="auto"/>
                <w:sz w:val="24"/>
                <w:lang w:val="en-US" w:eastAsia="zh-CN"/>
              </w:rPr>
              <w:t>——</w:t>
            </w:r>
            <w:r>
              <w:rPr>
                <w:rFonts w:hint="eastAsia" w:ascii="Times New Roman" w:eastAsia="宋体"/>
                <w:color w:val="auto"/>
                <w:sz w:val="24"/>
                <w:lang w:val="en-US" w:eastAsia="zh-CN"/>
              </w:rPr>
              <w:t>水厂自用水量系数，</w:t>
            </w:r>
            <w:r>
              <w:rPr>
                <w:rFonts w:hint="eastAsia"/>
                <w:color w:val="auto"/>
                <w:sz w:val="24"/>
                <w:lang w:val="en-US" w:eastAsia="zh-CN"/>
              </w:rPr>
              <w:t>本项目为1.05</w:t>
            </w:r>
            <w:r>
              <w:rPr>
                <w:rFonts w:hint="eastAsia" w:ascii="Times New Roman" w:eastAsia="宋体"/>
                <w:color w:val="auto"/>
                <w:sz w:val="24"/>
                <w:lang w:val="en-US" w:eastAsia="zh-CN"/>
              </w:rPr>
              <w:t>。</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通过上式计算得出的污泥量为干污泥量，干污泥量为0.32t/d，实际运营过程中污泥含水率为90%，经过污泥干化场自然晾干后含水率取83%，则本项目污泥产生量为1.88t/d，686.2t/a。主要为原水中的泥沙及絮凝剂，经过污泥干化场干化后委托环卫部门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（3）废滤料</w:t>
            </w:r>
          </w:p>
          <w:p>
            <w:pPr>
              <w:spacing w:line="360" w:lineRule="auto"/>
              <w:ind w:firstLine="480" w:firstLineChars="200"/>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本项目采用石英砂作为滤池的滤料，根据项目初设报告，本项目滤池滤料装填厚度为0.7m，滤池长11.05m，宽9.9m，因此本项目装填滤料的体积为76.6m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，石英砂滤料的密度约为1.6t/m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，因此本项目装填滤料的量为122.56t。项目使用的滤料每3年更换一次，则本项目废滤料的产生量为122.56t/3a。废滤料更换后置于污泥干化场干化后委托环卫部门处置。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（4）废包装材料</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主要包括絮凝剂、消毒剂等的包装材料，本项目废弃包装材料产生量约0.1t/a，主要成分为纸制品、密封编织袋等，收集后外售废品回收站。</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（5）废机油</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设备维护过程可能产生废机油，产生量约0.05t/a，根据《国家危险废物名录》（2021年版），废机油属于危险废物，废物类别为HW08，废物代码为900-249-08，收集后暂存于危废暂存间，定期委托有资质的单位进行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（6）化验室废液</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化验室使用过程中会产生化验室废液，主要包括化验室废试剂及前三次清洗废水，产生量约0.2t/a，根据《国家危险废物名录》（2021年版），化验室废液属于危险废物，废物类别为HW49，废物代码900-047-49，收集后暂存于危废暂存间，定期委托有资质的单位进行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（7）化学药品废弃包装物</w:t>
            </w:r>
          </w:p>
          <w:p>
            <w:pPr>
              <w:spacing w:line="360" w:lineRule="auto"/>
              <w:ind w:firstLine="480" w:firstLineChars="200"/>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本项目化验室使用过程中会产生少量化学药品废弃包装物，产生量约0.01t/a，根据《国家危险废物名录》（2021年版），化学药品废弃包装物属于危险废物，废物类别为HW49，</w:t>
            </w:r>
            <w:r>
              <w:rPr>
                <w:rFonts w:hint="default" w:cs="Times New Roman"/>
                <w:b w:val="0"/>
                <w:bCs w:val="0"/>
                <w:color w:val="auto"/>
                <w:sz w:val="24"/>
                <w:szCs w:val="24"/>
                <w:highlight w:val="none"/>
                <w:lang w:val="en-US" w:eastAsia="zh-CN"/>
              </w:rPr>
              <w:t>废物代码900-04</w:t>
            </w:r>
            <w:r>
              <w:rPr>
                <w:rFonts w:hint="eastAsia" w:cs="Times New Roman"/>
                <w:b w:val="0"/>
                <w:bCs w:val="0"/>
                <w:color w:val="auto"/>
                <w:sz w:val="24"/>
                <w:szCs w:val="24"/>
                <w:highlight w:val="none"/>
                <w:lang w:val="en-US" w:eastAsia="zh-CN"/>
              </w:rPr>
              <w:t>1</w:t>
            </w:r>
            <w:r>
              <w:rPr>
                <w:rFonts w:hint="default" w:cs="Times New Roman"/>
                <w:b w:val="0"/>
                <w:bCs w:val="0"/>
                <w:color w:val="auto"/>
                <w:sz w:val="24"/>
                <w:szCs w:val="24"/>
                <w:highlight w:val="none"/>
                <w:lang w:val="en-US" w:eastAsia="zh-CN"/>
              </w:rPr>
              <w:t>-49，收集后暂存于危废暂存间，定期委托有资质的单位进行处置。</w:t>
            </w:r>
          </w:p>
          <w:p>
            <w:pPr>
              <w:spacing w:line="360" w:lineRule="auto"/>
              <w:ind w:firstLine="481" w:firstLineChars="200"/>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生活垃圾</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项目职工人数为</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人，</w:t>
            </w:r>
            <w:r>
              <w:rPr>
                <w:rFonts w:hint="eastAsia" w:cs="Times New Roman"/>
                <w:color w:val="auto"/>
                <w:sz w:val="24"/>
                <w:szCs w:val="24"/>
                <w:highlight w:val="none"/>
                <w:lang w:val="en-US" w:eastAsia="zh-CN"/>
              </w:rPr>
              <w:t>均</w:t>
            </w:r>
            <w:r>
              <w:rPr>
                <w:rFonts w:hint="eastAsia" w:ascii="Times New Roman" w:hAnsi="Times New Roman" w:eastAsia="宋体" w:cs="Times New Roman"/>
                <w:color w:val="auto"/>
                <w:sz w:val="24"/>
                <w:szCs w:val="24"/>
                <w:highlight w:val="none"/>
                <w:lang w:val="en-US" w:eastAsia="zh-CN"/>
              </w:rPr>
              <w:t>在厂内用餐、</w:t>
            </w:r>
            <w:r>
              <w:rPr>
                <w:rFonts w:hint="default" w:ascii="Times New Roman" w:hAnsi="Times New Roman" w:eastAsia="宋体" w:cs="Times New Roman"/>
                <w:color w:val="auto"/>
                <w:sz w:val="24"/>
                <w:szCs w:val="24"/>
                <w:highlight w:val="none"/>
                <w:lang w:val="en-US" w:eastAsia="zh-CN"/>
              </w:rPr>
              <w:t>住宿。职工生活垃圾产生量按0.5kg/人·d计，则</w:t>
            </w:r>
            <w:r>
              <w:rPr>
                <w:rFonts w:hint="eastAsia" w:cs="Times New Roman"/>
                <w:color w:val="auto"/>
                <w:sz w:val="24"/>
                <w:szCs w:val="24"/>
                <w:highlight w:val="none"/>
                <w:lang w:val="en-US" w:eastAsia="zh-CN"/>
              </w:rPr>
              <w:t>各水厂</w:t>
            </w:r>
            <w:r>
              <w:rPr>
                <w:rFonts w:hint="default" w:ascii="Times New Roman" w:hAnsi="Times New Roman" w:eastAsia="宋体" w:cs="Times New Roman"/>
                <w:color w:val="auto"/>
                <w:sz w:val="24"/>
                <w:szCs w:val="24"/>
                <w:highlight w:val="none"/>
                <w:lang w:val="en-US" w:eastAsia="zh-CN"/>
              </w:rPr>
              <w:t>生活垃圾产生量为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kg/d，共</w:t>
            </w:r>
            <w:r>
              <w:rPr>
                <w:rFonts w:hint="eastAsia" w:cs="Times New Roman"/>
                <w:color w:val="auto"/>
                <w:sz w:val="24"/>
                <w:szCs w:val="24"/>
                <w:highlight w:val="none"/>
                <w:lang w:val="en-US" w:eastAsia="zh-CN"/>
              </w:rPr>
              <w:t>1.46</w:t>
            </w:r>
            <w:r>
              <w:rPr>
                <w:rFonts w:hint="default" w:ascii="Times New Roman" w:hAnsi="Times New Roman" w:eastAsia="宋体" w:cs="Times New Roman"/>
                <w:color w:val="auto"/>
                <w:sz w:val="24"/>
                <w:szCs w:val="24"/>
                <w:highlight w:val="none"/>
                <w:lang w:val="en-US" w:eastAsia="zh-CN"/>
              </w:rPr>
              <w:t>t/a。生活垃圾主要为纸类、塑料等。项目在办公生活区设置生活垃圾收集桶，生活垃圾</w:t>
            </w:r>
            <w:r>
              <w:rPr>
                <w:rFonts w:hint="eastAsia" w:cs="Times New Roman"/>
                <w:color w:val="auto"/>
                <w:sz w:val="24"/>
                <w:szCs w:val="24"/>
                <w:highlight w:val="none"/>
                <w:lang w:val="en-US" w:eastAsia="zh-CN"/>
              </w:rPr>
              <w:t>定期委托</w:t>
            </w:r>
            <w:r>
              <w:rPr>
                <w:rFonts w:hint="default" w:ascii="Times New Roman" w:hAnsi="Times New Roman" w:eastAsia="宋体" w:cs="Times New Roman"/>
                <w:color w:val="auto"/>
                <w:sz w:val="24"/>
                <w:szCs w:val="24"/>
                <w:highlight w:val="none"/>
                <w:lang w:val="en-US" w:eastAsia="zh-CN"/>
              </w:rPr>
              <w:t>当地环卫部门</w:t>
            </w:r>
            <w:r>
              <w:rPr>
                <w:rFonts w:hint="eastAsia" w:ascii="Times New Roman" w:hAnsi="Times New Roman" w:eastAsia="宋体" w:cs="Times New Roman"/>
                <w:color w:val="auto"/>
                <w:sz w:val="24"/>
                <w:szCs w:val="24"/>
                <w:highlight w:val="none"/>
                <w:lang w:val="en-US" w:eastAsia="zh-CN"/>
              </w:rPr>
              <w:t>清运</w:t>
            </w:r>
            <w:r>
              <w:rPr>
                <w:rFonts w:hint="default" w:ascii="Times New Roman" w:hAnsi="Times New Roman" w:eastAsia="宋体" w:cs="Times New Roman"/>
                <w:color w:val="auto"/>
                <w:sz w:val="24"/>
                <w:szCs w:val="24"/>
                <w:highlight w:val="none"/>
                <w:lang w:val="en-US" w:eastAsia="zh-CN"/>
              </w:rPr>
              <w:t>处置</w:t>
            </w:r>
            <w:r>
              <w:rPr>
                <w:rFonts w:hint="eastAsia" w:ascii="Times New Roman" w:hAnsi="Times New Roman" w:eastAsia="宋体" w:cs="Times New Roman"/>
                <w:color w:val="auto"/>
                <w:sz w:val="24"/>
                <w:szCs w:val="24"/>
                <w:highlight w:val="none"/>
                <w:lang w:val="en-US" w:eastAsia="zh-CN"/>
              </w:rPr>
              <w:t>。</w:t>
            </w:r>
          </w:p>
          <w:p>
            <w:pPr>
              <w:bidi w:val="0"/>
              <w:ind w:firstLine="48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综上，项目运营期固体废物产生及处置情况见下表。</w:t>
            </w:r>
          </w:p>
          <w:p>
            <w:pPr>
              <w:snapToGrid w:val="0"/>
              <w:spacing w:line="240" w:lineRule="auto"/>
              <w:ind w:firstLine="0" w:firstLineChars="0"/>
              <w:jc w:val="center"/>
              <w:rPr>
                <w:rFonts w:hint="default" w:ascii="Times New Roman" w:hAnsi="Times New Roman" w:eastAsia="宋体" w:cs="Times New Roman"/>
                <w:color w:val="auto"/>
                <w:kern w:val="0"/>
                <w:szCs w:val="20"/>
                <w:highlight w:val="none"/>
              </w:rPr>
            </w:pPr>
            <w:r>
              <w:rPr>
                <w:rFonts w:hint="default" w:ascii="Times New Roman" w:hAnsi="Times New Roman" w:eastAsia="宋体" w:cs="Times New Roman"/>
                <w:b/>
                <w:color w:val="auto"/>
                <w:kern w:val="0"/>
                <w:sz w:val="24"/>
                <w:szCs w:val="22"/>
                <w:highlight w:val="none"/>
              </w:rPr>
              <w:t>表</w:t>
            </w:r>
            <w:r>
              <w:rPr>
                <w:rFonts w:hint="eastAsia" w:ascii="Times New Roman" w:hAnsi="Times New Roman" w:eastAsia="宋体" w:cs="Times New Roman"/>
                <w:b/>
                <w:color w:val="auto"/>
                <w:kern w:val="0"/>
                <w:sz w:val="24"/>
                <w:szCs w:val="22"/>
                <w:highlight w:val="none"/>
                <w:lang w:val="en-US" w:eastAsia="zh-CN"/>
              </w:rPr>
              <w:t>4</w:t>
            </w:r>
            <w:r>
              <w:rPr>
                <w:rFonts w:hint="default" w:ascii="Times New Roman" w:hAnsi="Times New Roman" w:eastAsia="宋体" w:cs="Times New Roman"/>
                <w:b/>
                <w:color w:val="auto"/>
                <w:kern w:val="0"/>
                <w:sz w:val="24"/>
                <w:szCs w:val="22"/>
                <w:highlight w:val="none"/>
              </w:rPr>
              <w:t>-</w:t>
            </w:r>
            <w:r>
              <w:rPr>
                <w:rFonts w:hint="eastAsia" w:cs="Times New Roman"/>
                <w:b/>
                <w:color w:val="auto"/>
                <w:kern w:val="0"/>
                <w:sz w:val="24"/>
                <w:szCs w:val="22"/>
                <w:highlight w:val="none"/>
                <w:lang w:val="en-US" w:eastAsia="zh-CN"/>
              </w:rPr>
              <w:t>8</w:t>
            </w:r>
            <w:r>
              <w:rPr>
                <w:rFonts w:hint="default" w:ascii="Times New Roman" w:hAnsi="Times New Roman" w:eastAsia="宋体" w:cs="Times New Roman"/>
                <w:b/>
                <w:color w:val="auto"/>
                <w:kern w:val="0"/>
                <w:sz w:val="24"/>
                <w:szCs w:val="22"/>
                <w:highlight w:val="none"/>
              </w:rPr>
              <w:t xml:space="preserve"> 固体废物分析结果汇总表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08"/>
              <w:gridCol w:w="1100"/>
              <w:gridCol w:w="763"/>
              <w:gridCol w:w="995"/>
              <w:gridCol w:w="648"/>
              <w:gridCol w:w="439"/>
              <w:gridCol w:w="545"/>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序号</w:t>
                  </w:r>
                </w:p>
              </w:tc>
              <w:tc>
                <w:tcPr>
                  <w:tcW w:w="908"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废物</w:t>
                  </w:r>
                </w:p>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名称</w:t>
                  </w:r>
                </w:p>
              </w:tc>
              <w:tc>
                <w:tcPr>
                  <w:tcW w:w="1100"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rPr>
                    <w:t>废物类别</w:t>
                  </w:r>
                </w:p>
              </w:tc>
              <w:tc>
                <w:tcPr>
                  <w:tcW w:w="763"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危废代码</w:t>
                  </w:r>
                </w:p>
              </w:tc>
              <w:tc>
                <w:tcPr>
                  <w:tcW w:w="995"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产生量</w:t>
                  </w:r>
                </w:p>
              </w:tc>
              <w:tc>
                <w:tcPr>
                  <w:tcW w:w="648"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产生工序</w:t>
                  </w:r>
                </w:p>
              </w:tc>
              <w:tc>
                <w:tcPr>
                  <w:tcW w:w="439"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形态</w:t>
                  </w:r>
                </w:p>
              </w:tc>
              <w:tc>
                <w:tcPr>
                  <w:tcW w:w="545"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产废周期</w:t>
                  </w: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val="0"/>
                      <w:bCs w:val="0"/>
                      <w:color w:val="auto"/>
                      <w:kern w:val="0"/>
                      <w:sz w:val="21"/>
                      <w:szCs w:val="21"/>
                      <w:highlight w:val="none"/>
                    </w:rPr>
                  </w:pPr>
                  <w:r>
                    <w:rPr>
                      <w:rFonts w:hint="eastAsia" w:cs="Times New Roman"/>
                      <w:color w:val="auto"/>
                      <w:kern w:val="0"/>
                      <w:sz w:val="21"/>
                      <w:szCs w:val="21"/>
                      <w:highlight w:val="none"/>
                      <w:lang w:val="en-US" w:eastAsia="zh-CN"/>
                    </w:rPr>
                    <w:t>1</w:t>
                  </w:r>
                </w:p>
              </w:tc>
              <w:tc>
                <w:tcPr>
                  <w:tcW w:w="908"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初沉池泥沙</w:t>
                  </w:r>
                </w:p>
              </w:tc>
              <w:tc>
                <w:tcPr>
                  <w:tcW w:w="1100"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一般固废</w:t>
                  </w:r>
                </w:p>
              </w:tc>
              <w:tc>
                <w:tcPr>
                  <w:tcW w:w="763"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995"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36.62t/a</w:t>
                  </w:r>
                </w:p>
              </w:tc>
              <w:tc>
                <w:tcPr>
                  <w:tcW w:w="648" w:type="dxa"/>
                  <w:vMerge w:val="restart"/>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水处理</w:t>
                  </w:r>
                </w:p>
              </w:tc>
              <w:tc>
                <w:tcPr>
                  <w:tcW w:w="439" w:type="dxa"/>
                  <w:vMerge w:val="restart"/>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固态</w:t>
                  </w:r>
                </w:p>
              </w:tc>
              <w:tc>
                <w:tcPr>
                  <w:tcW w:w="545"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连续</w:t>
                  </w:r>
                </w:p>
              </w:tc>
              <w:tc>
                <w:tcPr>
                  <w:tcW w:w="1452"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污泥</w:t>
                  </w:r>
                </w:p>
              </w:tc>
              <w:tc>
                <w:tcPr>
                  <w:tcW w:w="1100"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686.2t/a</w:t>
                  </w:r>
                </w:p>
              </w:tc>
              <w:tc>
                <w:tcPr>
                  <w:tcW w:w="648" w:type="dxa"/>
                  <w:vMerge w:val="continue"/>
                  <w:noWrap w:val="0"/>
                  <w:vAlign w:val="center"/>
                </w:tcPr>
                <w:p>
                  <w:pPr>
                    <w:pStyle w:val="26"/>
                    <w:bidi w:val="0"/>
                    <w:spacing w:line="240" w:lineRule="auto"/>
                    <w:rPr>
                      <w:rFonts w:hint="default"/>
                      <w:color w:val="auto"/>
                      <w:kern w:val="0"/>
                      <w:highlight w:val="none"/>
                      <w:lang w:val="en-US" w:eastAsia="zh-CN"/>
                    </w:rPr>
                  </w:pPr>
                </w:p>
              </w:tc>
              <w:tc>
                <w:tcPr>
                  <w:tcW w:w="439" w:type="dxa"/>
                  <w:vMerge w:val="continue"/>
                  <w:noWrap w:val="0"/>
                  <w:vAlign w:val="center"/>
                </w:tcPr>
                <w:p>
                  <w:pPr>
                    <w:pStyle w:val="26"/>
                    <w:bidi w:val="0"/>
                    <w:spacing w:line="240" w:lineRule="auto"/>
                    <w:rPr>
                      <w:rFonts w:hint="eastAsia"/>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废滤料</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122.56t/3a</w:t>
                  </w:r>
                </w:p>
              </w:tc>
              <w:tc>
                <w:tcPr>
                  <w:tcW w:w="648" w:type="dxa"/>
                  <w:vMerge w:val="continue"/>
                  <w:noWrap w:val="0"/>
                  <w:vAlign w:val="center"/>
                </w:tcPr>
                <w:p>
                  <w:pPr>
                    <w:pStyle w:val="26"/>
                    <w:bidi w:val="0"/>
                    <w:spacing w:line="240" w:lineRule="auto"/>
                    <w:rPr>
                      <w:rFonts w:hint="eastAsia"/>
                      <w:color w:val="auto"/>
                      <w:kern w:val="0"/>
                      <w:highlight w:val="none"/>
                      <w:lang w:val="en-US" w:eastAsia="zh-CN"/>
                    </w:rPr>
                  </w:pPr>
                </w:p>
              </w:tc>
              <w:tc>
                <w:tcPr>
                  <w:tcW w:w="439" w:type="dxa"/>
                  <w:vMerge w:val="continue"/>
                  <w:noWrap w:val="0"/>
                  <w:vAlign w:val="center"/>
                </w:tcPr>
                <w:p>
                  <w:pPr>
                    <w:pStyle w:val="26"/>
                    <w:bidi w:val="0"/>
                    <w:spacing w:line="240" w:lineRule="auto"/>
                    <w:rPr>
                      <w:rFonts w:hint="eastAsia"/>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废包装材料</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0.1t/a</w:t>
                  </w:r>
                </w:p>
              </w:tc>
              <w:tc>
                <w:tcPr>
                  <w:tcW w:w="648" w:type="dxa"/>
                  <w:vMerge w:val="continue"/>
                  <w:noWrap w:val="0"/>
                  <w:vAlign w:val="center"/>
                </w:tcPr>
                <w:p>
                  <w:pPr>
                    <w:pStyle w:val="26"/>
                    <w:bidi w:val="0"/>
                    <w:spacing w:line="240" w:lineRule="auto"/>
                    <w:rPr>
                      <w:rFonts w:hint="eastAsia"/>
                      <w:color w:val="auto"/>
                      <w:kern w:val="0"/>
                      <w:highlight w:val="none"/>
                      <w:lang w:val="en-US" w:eastAsia="zh-CN"/>
                    </w:rPr>
                  </w:pPr>
                </w:p>
              </w:tc>
              <w:tc>
                <w:tcPr>
                  <w:tcW w:w="439" w:type="dxa"/>
                  <w:vMerge w:val="continue"/>
                  <w:noWrap w:val="0"/>
                  <w:vAlign w:val="center"/>
                </w:tcPr>
                <w:p>
                  <w:pPr>
                    <w:pStyle w:val="26"/>
                    <w:bidi w:val="0"/>
                    <w:spacing w:line="240" w:lineRule="auto"/>
                    <w:rPr>
                      <w:rFonts w:hint="default"/>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废机油</w:t>
                  </w:r>
                </w:p>
              </w:tc>
              <w:tc>
                <w:tcPr>
                  <w:tcW w:w="1100"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危险废物HW08</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900-249-08</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0.05t/a</w:t>
                  </w:r>
                </w:p>
              </w:tc>
              <w:tc>
                <w:tcPr>
                  <w:tcW w:w="648"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设备维护</w:t>
                  </w:r>
                </w:p>
              </w:tc>
              <w:tc>
                <w:tcPr>
                  <w:tcW w:w="439" w:type="dxa"/>
                  <w:vMerge w:val="restart"/>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液态</w:t>
                  </w: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委托有资质的单位进行处置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化验室废液</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危险废物HW49</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900-047-49</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0.2t/a</w:t>
                  </w:r>
                </w:p>
              </w:tc>
              <w:tc>
                <w:tcPr>
                  <w:tcW w:w="648" w:type="dxa"/>
                  <w:vMerge w:val="restart"/>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化验</w:t>
                  </w:r>
                </w:p>
              </w:tc>
              <w:tc>
                <w:tcPr>
                  <w:tcW w:w="439" w:type="dxa"/>
                  <w:vMerge w:val="continue"/>
                  <w:noWrap w:val="0"/>
                  <w:vAlign w:val="center"/>
                </w:tcPr>
                <w:p>
                  <w:pPr>
                    <w:pStyle w:val="26"/>
                    <w:bidi w:val="0"/>
                    <w:spacing w:line="240" w:lineRule="auto"/>
                    <w:rPr>
                      <w:rFonts w:hint="eastAsia"/>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化学药品废弃包装物</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危险废物HW49</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900-041-49</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0.01t/a</w:t>
                  </w:r>
                </w:p>
              </w:tc>
              <w:tc>
                <w:tcPr>
                  <w:tcW w:w="648" w:type="dxa"/>
                  <w:vMerge w:val="continue"/>
                  <w:noWrap w:val="0"/>
                  <w:vAlign w:val="center"/>
                </w:tcPr>
                <w:p>
                  <w:pPr>
                    <w:pStyle w:val="26"/>
                    <w:bidi w:val="0"/>
                    <w:spacing w:line="240" w:lineRule="auto"/>
                    <w:rPr>
                      <w:rFonts w:hint="eastAsia"/>
                      <w:color w:val="auto"/>
                      <w:kern w:val="0"/>
                      <w:highlight w:val="none"/>
                      <w:lang w:val="en-US" w:eastAsia="zh-CN"/>
                    </w:rPr>
                  </w:pPr>
                </w:p>
              </w:tc>
              <w:tc>
                <w:tcPr>
                  <w:tcW w:w="439"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固态</w:t>
                  </w: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生活垃圾</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1.46t/a</w:t>
                  </w:r>
                </w:p>
              </w:tc>
              <w:tc>
                <w:tcPr>
                  <w:tcW w:w="64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员工生活</w:t>
                  </w:r>
                </w:p>
              </w:tc>
              <w:tc>
                <w:tcPr>
                  <w:tcW w:w="439"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固态</w:t>
                  </w: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r>
          </w:tbl>
          <w:p>
            <w:pPr>
              <w:ind w:left="0" w:leftChars="0" w:firstLine="481" w:firstLineChars="200"/>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2、固体废物环境影响分析</w:t>
            </w:r>
          </w:p>
          <w:p>
            <w:pPr>
              <w:ind w:left="0" w:leftChars="0" w:firstLine="480" w:firstLineChars="200"/>
              <w:rPr>
                <w:rFonts w:hint="eastAsia"/>
                <w:b w:val="0"/>
                <w:bCs w:val="0"/>
                <w:color w:val="auto"/>
                <w:highlight w:val="none"/>
                <w:lang w:val="en-US" w:eastAsia="zh-CN"/>
              </w:rPr>
            </w:pPr>
            <w:r>
              <w:rPr>
                <w:rFonts w:hint="eastAsia" w:ascii="Times New Roman" w:eastAsia="宋体"/>
                <w:b w:val="0"/>
                <w:bCs w:val="0"/>
                <w:color w:val="auto"/>
                <w:highlight w:val="none"/>
                <w:lang w:val="en-US" w:eastAsia="zh-CN"/>
              </w:rPr>
              <w:t>厂区建立固废分类收集制度，固废按危险固废、一般固废分类收集，同时将生活垃圾与工业固废进行分类收集。</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本项目新建一座危废暂存间用于危险废物的暂存，危险废物分区分类暂存。</w:t>
            </w:r>
          </w:p>
          <w:p>
            <w:pPr>
              <w:spacing w:line="240" w:lineRule="auto"/>
              <w:ind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9</w:t>
            </w:r>
            <w:r>
              <w:rPr>
                <w:rFonts w:hint="eastAsia" w:ascii="Times New Roman" w:eastAsia="宋体"/>
                <w:b/>
                <w:bCs/>
                <w:color w:val="auto"/>
                <w:highlight w:val="none"/>
                <w:lang w:val="en-US" w:eastAsia="zh-CN"/>
              </w:rPr>
              <w:t xml:space="preserve"> 危险废物贮存场所（设施）基本情况表</w:t>
            </w:r>
          </w:p>
          <w:tbl>
            <w:tblPr>
              <w:tblStyle w:val="15"/>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7"/>
              <w:gridCol w:w="977"/>
              <w:gridCol w:w="1057"/>
              <w:gridCol w:w="886"/>
              <w:gridCol w:w="725"/>
              <w:gridCol w:w="381"/>
              <w:gridCol w:w="689"/>
              <w:gridCol w:w="873"/>
              <w:gridCol w:w="676"/>
              <w:gridCol w:w="6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序号</w:t>
                  </w:r>
                </w:p>
              </w:tc>
              <w:tc>
                <w:tcPr>
                  <w:tcW w:w="67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贮存场所（设施）名称</w:t>
                  </w: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危险废物名称</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危险废物类别</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危险废物代码</w:t>
                  </w:r>
                </w:p>
              </w:tc>
              <w:tc>
                <w:tcPr>
                  <w:tcW w:w="26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位置</w:t>
                  </w:r>
                </w:p>
              </w:tc>
              <w:tc>
                <w:tcPr>
                  <w:tcW w:w="472"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占地面积</w:t>
                  </w: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贮存方式</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能力</w:t>
                  </w:r>
                </w:p>
              </w:tc>
              <w:tc>
                <w:tcPr>
                  <w:tcW w:w="45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1</w:t>
                  </w:r>
                </w:p>
              </w:tc>
              <w:tc>
                <w:tcPr>
                  <w:tcW w:w="670"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危废暂存间</w:t>
                  </w: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废机油</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HW08</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900-249-08</w:t>
                  </w:r>
                </w:p>
              </w:tc>
              <w:tc>
                <w:tcPr>
                  <w:tcW w:w="261"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综合楼</w:t>
                  </w:r>
                </w:p>
              </w:tc>
              <w:tc>
                <w:tcPr>
                  <w:tcW w:w="472"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m</w:t>
                  </w:r>
                  <w:r>
                    <w:rPr>
                      <w:rFonts w:hint="default" w:ascii="Times New Roman" w:hAnsi="Times New Roman" w:cs="Times New Roman"/>
                      <w:color w:val="auto"/>
                      <w:kern w:val="0"/>
                      <w:sz w:val="21"/>
                      <w:szCs w:val="21"/>
                      <w:highlight w:val="none"/>
                      <w:vertAlign w:val="superscript"/>
                    </w:rPr>
                    <w:t>2</w:t>
                  </w: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专用容器</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2吨</w:t>
                  </w:r>
                </w:p>
              </w:tc>
              <w:tc>
                <w:tcPr>
                  <w:tcW w:w="450"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半年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w:t>
                  </w:r>
                </w:p>
              </w:tc>
              <w:tc>
                <w:tcPr>
                  <w:tcW w:w="67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化验室废液</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HW49</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900-047-49</w:t>
                  </w:r>
                </w:p>
              </w:tc>
              <w:tc>
                <w:tcPr>
                  <w:tcW w:w="261"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47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专用容器</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2吨</w:t>
                  </w:r>
                </w:p>
              </w:tc>
              <w:tc>
                <w:tcPr>
                  <w:tcW w:w="45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3</w:t>
                  </w:r>
                </w:p>
              </w:tc>
              <w:tc>
                <w:tcPr>
                  <w:tcW w:w="67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化学药品废弃包装物</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HW49</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900-041-49</w:t>
                  </w:r>
                </w:p>
              </w:tc>
              <w:tc>
                <w:tcPr>
                  <w:tcW w:w="261"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47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专用容器</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1吨</w:t>
                  </w:r>
                </w:p>
              </w:tc>
              <w:tc>
                <w:tcPr>
                  <w:tcW w:w="45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p>
              </w:tc>
            </w:tr>
          </w:tbl>
          <w:p>
            <w:pPr>
              <w:ind w:left="0" w:leftChars="0" w:firstLine="480" w:firstLineChars="200"/>
              <w:rPr>
                <w:rFonts w:hint="default"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为了保证本项目产生的危险废物不对周围环境产生二次污染，根据《建设项目危险废物环境影响评价指南》的规定，危险废物的储存运输按《危险废物贮存污染控制标准》（GB18597-2001）及2013年修改单和《危险废物污染防治技术政策》的要求进行。</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根据危险废物的性质，用符合标准要求，且不易破损、变形、老化，并能有效地防止渗漏、扩散的专门容器分类收集储存。同时在装有危险废物的容器上贴上标签，详细标明危险废物的名称、重量、成分、特性以及发生泄漏、扩散污染事故时的应急措施和补救方法。</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拟建项目设置危废暂存间，危废暂存间做好“四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ascii="Times New Roman" w:eastAsia="宋体"/>
                <w:b w:val="0"/>
                <w:bCs w:val="0"/>
                <w:color w:val="auto"/>
                <w:highlight w:val="none"/>
                <w:vertAlign w:val="superscript"/>
                <w:lang w:val="en-US" w:eastAsia="zh-CN"/>
              </w:rPr>
              <w:t>-10</w:t>
            </w:r>
            <w:r>
              <w:rPr>
                <w:rFonts w:hint="eastAsia" w:ascii="Times New Roman" w:eastAsia="宋体"/>
                <w:b w:val="0"/>
                <w:bCs w:val="0"/>
                <w:color w:val="auto"/>
                <w:highlight w:val="none"/>
                <w:lang w:val="en-US" w:eastAsia="zh-CN"/>
              </w:rPr>
              <w:t>cm/s。</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危险废物的转移应遵从《危险废物转移联单管理办法》及其他有关规定的要求，并禁止在转移过程中将危险废物排放至环境中。</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一般固废暂存库按《一般工业固体废物贮存和填埋污染控制标准》（GB18599-2020）相关要求设置。根据一般固废的特性进行分区贮存，危险废物与生活垃圾不得进入一般固废暂存库，一般固废暂存库应设置防渗、渗滤液收集和导排系统等防止二次污染的措施。</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本项目运营期间产生的固体废物均得到合理处置，不会对周围环境造成不良影响。对周围环境影响较小。</w:t>
            </w:r>
          </w:p>
          <w:p>
            <w:pPr>
              <w:ind w:left="0" w:leftChars="0" w:firstLine="0" w:firstLineChars="0"/>
              <w:rPr>
                <w:rFonts w:hint="eastAsia" w:eastAsia="宋体"/>
                <w:b/>
                <w:bCs/>
                <w:color w:val="auto"/>
                <w:highlight w:val="none"/>
                <w:lang w:val="en-US" w:eastAsia="zh-CN"/>
              </w:rPr>
            </w:pPr>
            <w:r>
              <w:rPr>
                <w:rFonts w:hint="eastAsia" w:ascii="Times New Roman" w:eastAsia="宋体"/>
                <w:b/>
                <w:bCs/>
                <w:color w:val="auto"/>
                <w:highlight w:val="none"/>
                <w:lang w:val="en-US" w:eastAsia="zh-CN"/>
              </w:rPr>
              <w:t>（五）环境风险</w:t>
            </w:r>
          </w:p>
          <w:p>
            <w:pPr>
              <w:adjustRightInd w:val="0"/>
              <w:snapToGrid w:val="0"/>
              <w:spacing w:line="360" w:lineRule="auto"/>
              <w:ind w:firstLine="481" w:firstLineChars="20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1、评价依据</w:t>
            </w:r>
          </w:p>
          <w:p>
            <w:pPr>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对照《建设项目环境风险影响评价技术导则》（HJ169-2018）附录B，计算</w:t>
            </w:r>
            <w:r>
              <w:rPr>
                <w:rFonts w:hint="eastAsia" w:cs="Times New Roman"/>
                <w:color w:val="auto"/>
                <w:sz w:val="24"/>
                <w:szCs w:val="24"/>
                <w:highlight w:val="none"/>
                <w:lang w:val="en-US" w:eastAsia="zh-CN"/>
              </w:rPr>
              <w:t>本项目环境风险物质在厂区</w:t>
            </w:r>
            <w:r>
              <w:rPr>
                <w:rFonts w:hint="eastAsia" w:ascii="Times New Roman" w:hAnsi="Times New Roman" w:eastAsia="宋体" w:cs="Times New Roman"/>
                <w:color w:val="auto"/>
                <w:sz w:val="24"/>
                <w:szCs w:val="24"/>
                <w:highlight w:val="none"/>
              </w:rPr>
              <w:t>内的最大存在总量与其在附录B中对应临界量的比值Q。</w:t>
            </w:r>
          </w:p>
          <w:p>
            <w:pPr>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根据前文工程分析，本项目原辅材料、中间产品、副产品、最终产品、污染物等，所涉及的环境风险的物质为：盐酸、氨水、硝酸、溴、三氯甲烷、冰乙酸、硫酸、铬酸钾、废机油、化验室废液等。</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4"/>
                <w:szCs w:val="20"/>
                <w:highlight w:val="none"/>
              </w:rPr>
            </w:pPr>
            <w:r>
              <w:rPr>
                <w:rFonts w:hint="default" w:ascii="Times New Roman" w:hAnsi="Times New Roman" w:eastAsia="宋体" w:cs="Times New Roman"/>
                <w:b/>
                <w:color w:val="auto"/>
                <w:kern w:val="0"/>
                <w:sz w:val="24"/>
                <w:szCs w:val="20"/>
                <w:highlight w:val="none"/>
              </w:rPr>
              <w:t>表</w:t>
            </w:r>
            <w:r>
              <w:rPr>
                <w:rFonts w:hint="eastAsia" w:ascii="Times New Roman" w:hAnsi="Times New Roman" w:eastAsia="宋体" w:cs="Times New Roman"/>
                <w:b/>
                <w:color w:val="auto"/>
                <w:kern w:val="0"/>
                <w:sz w:val="24"/>
                <w:szCs w:val="20"/>
                <w:highlight w:val="none"/>
                <w:lang w:val="en-US" w:eastAsia="zh-CN"/>
              </w:rPr>
              <w:t>4-1</w:t>
            </w:r>
            <w:r>
              <w:rPr>
                <w:rFonts w:hint="eastAsia" w:cs="Times New Roman"/>
                <w:b/>
                <w:color w:val="auto"/>
                <w:kern w:val="0"/>
                <w:sz w:val="24"/>
                <w:szCs w:val="20"/>
                <w:highlight w:val="none"/>
                <w:lang w:val="en-US" w:eastAsia="zh-CN"/>
              </w:rPr>
              <w:t>0</w:t>
            </w:r>
            <w:r>
              <w:rPr>
                <w:rFonts w:hint="default" w:ascii="Times New Roman" w:hAnsi="Times New Roman" w:eastAsia="宋体" w:cs="Times New Roman"/>
                <w:b/>
                <w:color w:val="auto"/>
                <w:kern w:val="0"/>
                <w:sz w:val="24"/>
                <w:szCs w:val="20"/>
                <w:highlight w:val="none"/>
              </w:rPr>
              <w:t xml:space="preserve"> 本项目</w:t>
            </w:r>
            <w:r>
              <w:rPr>
                <w:rFonts w:hint="eastAsia" w:cs="Times New Roman"/>
                <w:b/>
                <w:color w:val="auto"/>
                <w:kern w:val="0"/>
                <w:sz w:val="24"/>
                <w:szCs w:val="20"/>
                <w:highlight w:val="none"/>
                <w:lang w:val="en-US" w:eastAsia="zh-CN"/>
              </w:rPr>
              <w:t>风险物质</w:t>
            </w:r>
            <w:r>
              <w:rPr>
                <w:rFonts w:hint="default" w:ascii="Times New Roman" w:hAnsi="Times New Roman" w:eastAsia="宋体" w:cs="Times New Roman"/>
                <w:b/>
                <w:color w:val="auto"/>
                <w:kern w:val="0"/>
                <w:sz w:val="24"/>
                <w:szCs w:val="20"/>
                <w:highlight w:val="none"/>
              </w:rPr>
              <w:t>确认表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08"/>
              <w:gridCol w:w="2154"/>
              <w:gridCol w:w="134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危险物质名称</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最大存在总量q</w:t>
                  </w:r>
                  <w:r>
                    <w:rPr>
                      <w:rFonts w:hint="default" w:ascii="Times New Roman" w:hAnsi="Times New Roman" w:eastAsia="宋体" w:cs="Times New Roman"/>
                      <w:b/>
                      <w:color w:val="auto"/>
                      <w:kern w:val="0"/>
                      <w:sz w:val="21"/>
                      <w:szCs w:val="21"/>
                      <w:highlight w:val="none"/>
                      <w:vertAlign w:val="subscript"/>
                    </w:rPr>
                    <w:t>n</w:t>
                  </w:r>
                  <w:r>
                    <w:rPr>
                      <w:rFonts w:hint="default" w:ascii="Times New Roman" w:hAnsi="Times New Roman" w:eastAsia="宋体" w:cs="Times New Roman"/>
                      <w:b/>
                      <w:color w:val="auto"/>
                      <w:kern w:val="0"/>
                      <w:sz w:val="21"/>
                      <w:szCs w:val="21"/>
                      <w:highlight w:val="none"/>
                    </w:rPr>
                    <w:t xml:space="preserve"> /t</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临界量Q</w:t>
                  </w:r>
                  <w:r>
                    <w:rPr>
                      <w:rFonts w:hint="default" w:ascii="Times New Roman" w:hAnsi="Times New Roman" w:eastAsia="宋体" w:cs="Times New Roman"/>
                      <w:b/>
                      <w:color w:val="auto"/>
                      <w:kern w:val="0"/>
                      <w:sz w:val="21"/>
                      <w:szCs w:val="21"/>
                      <w:highlight w:val="none"/>
                      <w:vertAlign w:val="subscript"/>
                    </w:rPr>
                    <w:t>n</w:t>
                  </w:r>
                  <w:r>
                    <w:rPr>
                      <w:rFonts w:hint="default" w:ascii="Times New Roman" w:hAnsi="Times New Roman" w:eastAsia="宋体" w:cs="Times New Roman"/>
                      <w:b/>
                      <w:color w:val="auto"/>
                      <w:kern w:val="0"/>
                      <w:sz w:val="21"/>
                      <w:szCs w:val="21"/>
                      <w:highlight w:val="none"/>
                    </w:rPr>
                    <w:t xml:space="preserve"> /t</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该种危险物质Q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盐酸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氨水</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硝酸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溴</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三氯甲烷</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冰乙酸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硫酸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铬酸钾</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废机油</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化验室废液</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柴油</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190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机油</w:t>
                  </w:r>
                </w:p>
              </w:tc>
              <w:tc>
                <w:tcPr>
                  <w:tcW w:w="21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w:t>
                  </w:r>
                </w:p>
              </w:tc>
              <w:tc>
                <w:tcPr>
                  <w:tcW w:w="13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3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合计</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0.04104</w:t>
                  </w:r>
                </w:p>
              </w:tc>
            </w:tr>
          </w:tbl>
          <w:p>
            <w:pPr>
              <w:adjustRightInd w:val="0"/>
              <w:snapToGri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由上表可知，Q＜1。</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Q值小于1，项目环境风险潜势为Ⅰ</w:t>
            </w:r>
            <w:r>
              <w:rPr>
                <w:rFonts w:hint="eastAsia"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直接判定为简单分析。</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2、环境敏感目标概况</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本项目环境风险评价仅进行简单分析，不设环境风险评价范围，故无环境风险保护目标。</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3、环境风险识别</w:t>
            </w:r>
            <w:r>
              <w:rPr>
                <w:rFonts w:hint="eastAsia" w:cs="Times New Roman"/>
                <w:b/>
                <w:bCs/>
                <w:color w:val="auto"/>
                <w:kern w:val="0"/>
                <w:sz w:val="24"/>
                <w:szCs w:val="24"/>
                <w:highlight w:val="none"/>
                <w:lang w:val="en-US" w:eastAsia="zh-CN" w:bidi="ar-SA"/>
              </w:rPr>
              <w:t>与分析</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①</w:t>
            </w:r>
            <w:r>
              <w:rPr>
                <w:rFonts w:hint="eastAsia" w:cs="Times New Roman"/>
                <w:b w:val="0"/>
                <w:bCs w:val="0"/>
                <w:color w:val="auto"/>
                <w:kern w:val="0"/>
                <w:sz w:val="24"/>
                <w:szCs w:val="24"/>
                <w:highlight w:val="none"/>
                <w:lang w:val="en-US" w:eastAsia="zh-CN" w:bidi="ar-SA"/>
              </w:rPr>
              <w:t>危险废物</w:t>
            </w:r>
            <w:r>
              <w:rPr>
                <w:rFonts w:hint="default" w:ascii="Times New Roman" w:hAnsi="Times New Roman" w:eastAsia="宋体" w:cs="Times New Roman"/>
                <w:b w:val="0"/>
                <w:bCs w:val="0"/>
                <w:color w:val="auto"/>
                <w:kern w:val="0"/>
                <w:sz w:val="24"/>
                <w:szCs w:val="24"/>
                <w:highlight w:val="none"/>
                <w:lang w:val="en-US" w:eastAsia="zh-CN" w:bidi="ar-SA"/>
              </w:rPr>
              <w:t>收集、储存不当，造成泄露，影响地下水和土壤</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eastAsia"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②因操作不当或其他原因引发火灾，其产生的次生污染物CO、SO</w:t>
            </w:r>
            <w:r>
              <w:rPr>
                <w:rFonts w:hint="default" w:ascii="Times New Roman" w:hAnsi="Times New Roman" w:eastAsia="宋体" w:cs="Times New Roman"/>
                <w:b w:val="0"/>
                <w:bCs w:val="0"/>
                <w:color w:val="auto"/>
                <w:kern w:val="0"/>
                <w:sz w:val="24"/>
                <w:szCs w:val="24"/>
                <w:highlight w:val="none"/>
                <w:vertAlign w:val="subscript"/>
                <w:lang w:val="en-US" w:eastAsia="zh-CN" w:bidi="ar-SA"/>
              </w:rPr>
              <w:t>2</w:t>
            </w:r>
            <w:r>
              <w:rPr>
                <w:rFonts w:hint="default" w:ascii="Times New Roman" w:hAnsi="Times New Roman" w:eastAsia="宋体" w:cs="Times New Roman"/>
                <w:b w:val="0"/>
                <w:bCs w:val="0"/>
                <w:color w:val="auto"/>
                <w:kern w:val="0"/>
                <w:sz w:val="24"/>
                <w:szCs w:val="24"/>
                <w:highlight w:val="none"/>
                <w:lang w:val="en-US" w:eastAsia="zh-CN" w:bidi="ar-SA"/>
              </w:rPr>
              <w:t>、烟尘等进入大气环境，对区域环境空气造成不利影响</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③实验室化学试剂操作、收集、储存不当，造成泄露，影响地下水和土壤</w:t>
            </w:r>
            <w:r>
              <w:rPr>
                <w:rFonts w:hint="default" w:ascii="Times New Roman" w:hAnsi="Times New Roman" w:eastAsia="宋体"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1" w:firstLineChars="200"/>
              <w:jc w:val="both"/>
              <w:outlineLvl w:val="9"/>
              <w:rPr>
                <w:rFonts w:hint="eastAsia"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4、环境风险污染途径</w:t>
            </w:r>
          </w:p>
          <w:p>
            <w:pPr>
              <w:keepNext/>
              <w:keepLines/>
              <w:pageBreakBefore/>
              <w:widowControl w:val="0"/>
              <w:autoSpaceDE w:val="0"/>
              <w:autoSpaceDN w:val="0"/>
              <w:adjustRightInd w:val="0"/>
              <w:spacing w:line="360" w:lineRule="auto"/>
              <w:ind w:firstLine="480" w:firstLineChars="200"/>
              <w:jc w:val="both"/>
              <w:outlineLvl w:val="9"/>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项目的风险类型为风险物质泄漏及火灾爆炸事故，若发生泄漏及火灾爆炸事故，会对周围大气环境、地下水、地表水及土壤环境产生不利影响。</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5</w:t>
            </w:r>
            <w:r>
              <w:rPr>
                <w:rFonts w:hint="default" w:ascii="Times New Roman" w:hAnsi="Times New Roman" w:eastAsia="宋体" w:cs="Times New Roman"/>
                <w:b/>
                <w:bCs/>
                <w:color w:val="auto"/>
                <w:kern w:val="0"/>
                <w:sz w:val="24"/>
                <w:szCs w:val="24"/>
                <w:highlight w:val="none"/>
                <w:lang w:val="en-US" w:eastAsia="zh-CN" w:bidi="ar-SA"/>
              </w:rPr>
              <w:t>、环境风险防范措施及应急要求</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①危废暂存间做好“四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default" w:ascii="Times New Roman" w:hAnsi="Times New Roman" w:eastAsia="宋体" w:cs="Times New Roman"/>
                <w:b w:val="0"/>
                <w:bCs w:val="0"/>
                <w:color w:val="auto"/>
                <w:kern w:val="0"/>
                <w:sz w:val="24"/>
                <w:szCs w:val="24"/>
                <w:highlight w:val="none"/>
                <w:vertAlign w:val="superscript"/>
                <w:lang w:val="en-US" w:eastAsia="zh-CN" w:bidi="ar-SA"/>
              </w:rPr>
              <w:t>-10</w:t>
            </w:r>
            <w:r>
              <w:rPr>
                <w:rFonts w:hint="default" w:ascii="Times New Roman" w:hAnsi="Times New Roman" w:eastAsia="宋体" w:cs="Times New Roman"/>
                <w:b w:val="0"/>
                <w:bCs w:val="0"/>
                <w:color w:val="auto"/>
                <w:kern w:val="0"/>
                <w:sz w:val="24"/>
                <w:szCs w:val="24"/>
                <w:highlight w:val="none"/>
                <w:lang w:val="en-US" w:eastAsia="zh-CN" w:bidi="ar-SA"/>
              </w:rPr>
              <w:t>cm/s；</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②加强对厂区日常管理工作，及时掌握可能引发火灾的情况，以便及时采取有效的防灭火措施，有效预防火灾事故的发生</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③对生产设备、危废暂存间及收集容器进行日常检查，保证生产设备不出现跑冒滴漏情况，危废暂存间防渗层未发生破裂，收集容器完好无泄漏</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④对化验室工作人员定期培训安全操作等相关岗位知识。</w:t>
            </w:r>
          </w:p>
          <w:p>
            <w:pPr>
              <w:keepNext/>
              <w:keepLines/>
              <w:pageBreakBefore/>
              <w:widowControl w:val="0"/>
              <w:autoSpaceDE w:val="0"/>
              <w:autoSpaceDN w:val="0"/>
              <w:adjustRightInd w:val="0"/>
              <w:spacing w:line="360" w:lineRule="auto"/>
              <w:ind w:firstLine="481" w:firstLineChars="200"/>
              <w:jc w:val="both"/>
              <w:outlineLvl w:val="9"/>
              <w:rPr>
                <w:rFonts w:hint="eastAsia"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6、分析结论</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项目存在一定的环境风险，但采取相关防范控制措施，编制突发环境事件应急预案报相关部门备案，并定期演练后，项目环境风险处于可接受的水平。</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本项目环境风险简单分析内容见下表</w:t>
            </w:r>
            <w:r>
              <w:rPr>
                <w:rFonts w:hint="eastAsia" w:ascii="Times New Roman" w:hAnsi="Times New Roman" w:eastAsia="宋体" w:cs="Times New Roman"/>
                <w:color w:val="auto"/>
                <w:sz w:val="24"/>
                <w:szCs w:val="24"/>
                <w:highlight w:val="none"/>
                <w:lang w:val="en-US" w:eastAsia="zh-CN"/>
              </w:rPr>
              <w:t>4-1</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p>
            <w:pPr>
              <w:snapToGrid w:val="0"/>
              <w:spacing w:line="240" w:lineRule="auto"/>
              <w:ind w:firstLine="0" w:firstLineChars="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4-1</w:t>
            </w:r>
            <w:r>
              <w:rPr>
                <w:rFonts w:hint="eastAsia"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 xml:space="preserve">  建设项目环境风险简单分析内容表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85" w:type="dxa"/>
                <w:bottom w:w="0" w:type="dxa"/>
                <w:right w:w="85" w:type="dxa"/>
              </w:tblCellMar>
            </w:tblPr>
            <w:tblGrid>
              <w:gridCol w:w="2111"/>
              <w:gridCol w:w="517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建设项目名称</w:t>
                  </w:r>
                </w:p>
              </w:tc>
              <w:tc>
                <w:tcPr>
                  <w:tcW w:w="5175" w:type="dxa"/>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宜良县南羊片区供水一体化项目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建设地点</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云南省昆明市宜良县南羊街道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地理坐标</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default" w:ascii="Times New Roman" w:hAnsi="Times New Roman" w:eastAsia="宋体" w:cs="Times New Roman"/>
                      <w:color w:val="auto"/>
                      <w:spacing w:val="4"/>
                      <w:kern w:val="2"/>
                      <w:sz w:val="21"/>
                      <w:szCs w:val="21"/>
                      <w:highlight w:val="none"/>
                      <w:lang w:val="en-US" w:eastAsia="zh-CN" w:bidi="ar-SA"/>
                    </w:rPr>
                    <w:t>东经：103°06′26.786″，北纬：24°49′6.4894″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主要危险物质及分布</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危险废物：</w:t>
                  </w:r>
                  <w:r>
                    <w:rPr>
                      <w:rFonts w:hint="eastAsia" w:ascii="Times New Roman" w:hAnsi="Times New Roman" w:eastAsia="宋体" w:cs="Times New Roman"/>
                      <w:color w:val="auto"/>
                      <w:spacing w:val="4"/>
                      <w:kern w:val="2"/>
                      <w:sz w:val="21"/>
                      <w:szCs w:val="21"/>
                      <w:highlight w:val="none"/>
                      <w:lang w:val="en-US" w:eastAsia="zh-CN" w:bidi="ar-SA"/>
                    </w:rPr>
                    <w:t>危废暂存间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化验室试剂：化验室</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环境影响途径及危害后果（大气、地表水、地下水等）</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①废机油</w:t>
                  </w:r>
                  <w:r>
                    <w:rPr>
                      <w:rFonts w:hint="eastAsia" w:ascii="Times New Roman" w:hAnsi="Times New Roman" w:eastAsia="宋体" w:cs="Times New Roman"/>
                      <w:color w:val="auto"/>
                      <w:spacing w:val="4"/>
                      <w:kern w:val="2"/>
                      <w:sz w:val="21"/>
                      <w:szCs w:val="21"/>
                      <w:highlight w:val="none"/>
                      <w:lang w:val="en-US" w:eastAsia="zh-CN" w:bidi="ar-SA"/>
                    </w:rPr>
                    <w:t>收集、储存不当，造成泄露，影响地下水和土壤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②因操作不当或其他原因引发火灾，其产生的次生污染物CO、SO</w:t>
                  </w:r>
                  <w:r>
                    <w:rPr>
                      <w:rFonts w:hint="eastAsia" w:cs="Times New Roman"/>
                      <w:color w:val="auto"/>
                      <w:spacing w:val="4"/>
                      <w:kern w:val="2"/>
                      <w:sz w:val="21"/>
                      <w:szCs w:val="21"/>
                      <w:highlight w:val="none"/>
                      <w:vertAlign w:val="subscript"/>
                      <w:lang w:val="en-US" w:eastAsia="zh-CN" w:bidi="ar-SA"/>
                    </w:rPr>
                    <w:t>2</w:t>
                  </w:r>
                  <w:r>
                    <w:rPr>
                      <w:rFonts w:hint="eastAsia" w:cs="Times New Roman"/>
                      <w:color w:val="auto"/>
                      <w:spacing w:val="4"/>
                      <w:kern w:val="2"/>
                      <w:sz w:val="21"/>
                      <w:szCs w:val="21"/>
                      <w:highlight w:val="none"/>
                      <w:lang w:val="en-US" w:eastAsia="zh-CN" w:bidi="ar-SA"/>
                    </w:rPr>
                    <w:t>、烟尘等进入大气环境，对区域环境空气造成不利影响；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③实验室化学试剂操作、收集、储存不当，造成泄露，影响地下水和土壤。</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风险防范措施要求</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①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cs="Times New Roman"/>
                      <w:color w:val="auto"/>
                      <w:spacing w:val="4"/>
                      <w:kern w:val="2"/>
                      <w:sz w:val="21"/>
                      <w:szCs w:val="21"/>
                      <w:highlight w:val="none"/>
                      <w:vertAlign w:val="superscript"/>
                      <w:lang w:val="en-US" w:eastAsia="zh-CN" w:bidi="ar-SA"/>
                    </w:rPr>
                    <w:t>-10</w:t>
                  </w:r>
                  <w:r>
                    <w:rPr>
                      <w:rFonts w:hint="eastAsia" w:cs="Times New Roman"/>
                      <w:color w:val="auto"/>
                      <w:spacing w:val="4"/>
                      <w:kern w:val="2"/>
                      <w:sz w:val="21"/>
                      <w:szCs w:val="21"/>
                      <w:highlight w:val="none"/>
                      <w:lang w:val="en-US" w:eastAsia="zh-CN" w:bidi="ar-SA"/>
                    </w:rPr>
                    <w:t>cm/s；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②加强对厂区日常管理工作，及时掌握可能引发火灾的情况，以便及时采取有效的防灭火措施，有效预防火灾事故的发生。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③对生产设备、危废暂存间及收集容器进行日常检查，保证生产设备不出现跑冒滴漏情况，危废暂存间防渗层未发生破裂，收集容器完好无泄漏。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④对化验室工作人员定期培训安全操作等相关岗位知识。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7286" w:type="dxa"/>
                  <w:gridSpan w:val="2"/>
                  <w:tcBorders>
                    <w:top w:val="single" w:color="auto" w:sz="2" w:space="0"/>
                  </w:tcBorders>
                  <w:noWrap w:val="0"/>
                  <w:vAlign w:val="center"/>
                </w:tcPr>
                <w:p>
                  <w:pPr>
                    <w:keepNext w:val="0"/>
                    <w:keepLines w:val="0"/>
                    <w:pageBreakBefore w:val="0"/>
                    <w:widowControl w:val="0"/>
                    <w:tabs>
                      <w:tab w:val="left" w:pos="600"/>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分析结论：</w:t>
                  </w:r>
                  <w:r>
                    <w:rPr>
                      <w:rFonts w:hint="default" w:ascii="Times New Roman" w:hAnsi="Times New Roman" w:eastAsia="宋体" w:cs="Times New Roman"/>
                      <w:color w:val="auto"/>
                      <w:sz w:val="21"/>
                      <w:szCs w:val="21"/>
                      <w:highlight w:val="none"/>
                      <w:lang w:val="en-US" w:eastAsia="zh-CN"/>
                    </w:rPr>
                    <w:t>项目不存在重大危险源，环境风险属于可接受水平</w:t>
                  </w:r>
                </w:p>
              </w:tc>
            </w:tr>
          </w:tbl>
          <w:p>
            <w:pPr>
              <w:ind w:left="0" w:leftChars="0" w:firstLine="480" w:firstLineChars="200"/>
              <w:jc w:val="both"/>
              <w:rPr>
                <w:rFonts w:hint="default"/>
                <w:b/>
                <w:bCs/>
                <w:color w:val="auto"/>
                <w:highlight w:val="none"/>
                <w:lang w:val="en-US" w:eastAsia="zh-CN"/>
              </w:rPr>
            </w:pPr>
            <w:r>
              <w:rPr>
                <w:rFonts w:hint="eastAsia" w:ascii="Times New Roman" w:eastAsia="宋体"/>
                <w:color w:val="auto"/>
                <w:highlight w:val="none"/>
                <w:lang w:val="en-US" w:eastAsia="zh-CN"/>
              </w:rPr>
              <w:t>综上，项目存在一定的环境风险，但采取相关防范控制措施，编制突发环境事件应急预案报相关部门备案，并定期演练后，项目环境风险处于可接受的水平</w:t>
            </w:r>
            <w:r>
              <w:rPr>
                <w:rFonts w:hint="eastAsia"/>
                <w:color w:val="auto"/>
                <w:highlight w:val="none"/>
              </w:rPr>
              <w:t>。</w:t>
            </w:r>
          </w:p>
        </w:tc>
      </w:tr>
    </w:tbl>
    <w:p>
      <w:pPr>
        <w:pStyle w:val="2"/>
        <w:jc w:val="center"/>
        <w:rPr>
          <w:color w:val="auto"/>
          <w:highlight w:val="none"/>
        </w:rPr>
      </w:pPr>
      <w:r>
        <w:rPr>
          <w:rFonts w:hint="eastAsia"/>
          <w:color w:val="auto"/>
          <w:highlight w:val="none"/>
        </w:rPr>
        <w:br w:type="page"/>
      </w:r>
      <w:bookmarkStart w:id="5" w:name="_Toc18391"/>
      <w:r>
        <w:rPr>
          <w:rFonts w:hint="eastAsia"/>
          <w:color w:val="auto"/>
          <w:highlight w:val="none"/>
        </w:rPr>
        <w:t>五、环境保护措施监督检查清单</w:t>
      </w:r>
      <w:bookmarkEnd w:id="5"/>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83"/>
        <w:gridCol w:w="784"/>
        <w:gridCol w:w="1452"/>
        <w:gridCol w:w="1242"/>
        <w:gridCol w:w="2361"/>
        <w:gridCol w:w="1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5"/>
              <w:snapToGrid w:val="0"/>
              <w:spacing w:line="240" w:lineRule="auto"/>
              <w:rPr>
                <w:rFonts w:hint="eastAsia"/>
                <w:b/>
                <w:bCs/>
                <w:color w:val="auto"/>
                <w:sz w:val="21"/>
                <w:szCs w:val="21"/>
                <w:highlight w:val="none"/>
              </w:rPr>
            </w:pPr>
          </w:p>
          <w:p>
            <w:pPr>
              <w:pStyle w:val="5"/>
              <w:snapToGrid w:val="0"/>
              <w:spacing w:line="240" w:lineRule="auto"/>
              <mc:AlternateContent>
                <mc:Choice Requires="wpsCustomData">
                  <wpsCustomData:diagonalParaType/>
                </mc:Choice>
              </mc:AlternateContent>
              <w:rPr>
                <w:b/>
                <w:bCs/>
                <w:color w:val="auto"/>
                <w:sz w:val="21"/>
                <w:szCs w:val="21"/>
                <w:highlight w:val="none"/>
              </w:rPr>
            </w:pPr>
            <w:r>
              <w:rPr>
                <w:rFonts w:hint="eastAsia"/>
                <w:b/>
                <w:bCs/>
                <w:color w:val="auto"/>
                <w:sz w:val="21"/>
                <w:szCs w:val="21"/>
                <w:highlight w:val="none"/>
              </w:rPr>
              <w:t>要素</w:t>
            </w:r>
          </w:p>
          <w:p>
            <w:pPr>
              <w:spacing w:line="240" w:lineRule="auto"/>
              <w:ind w:firstLine="0" w:firstLineChars="0"/>
              <w:jc w:val="right"/>
              <w:rPr>
                <w:b/>
                <w:bCs/>
                <w:color w:val="auto"/>
                <w:sz w:val="21"/>
                <w:szCs w:val="21"/>
                <w:highlight w:val="none"/>
              </w:rPr>
            </w:pPr>
            <w:r>
              <w:rPr>
                <w:rFonts w:hint="eastAsia"/>
                <w:b/>
                <w:bCs/>
                <w:color w:val="auto"/>
                <w:sz w:val="21"/>
                <w:szCs w:val="21"/>
                <w:highlight w:val="none"/>
              </w:rPr>
              <w:t>内容</w:t>
            </w:r>
          </w:p>
        </w:tc>
        <w:tc>
          <w:tcPr>
            <w:tcW w:w="1452"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排放口（编号、名称）/污染源</w:t>
            </w:r>
          </w:p>
        </w:tc>
        <w:tc>
          <w:tcPr>
            <w:tcW w:w="1242"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污染物项目</w:t>
            </w:r>
          </w:p>
        </w:tc>
        <w:tc>
          <w:tcPr>
            <w:tcW w:w="2361"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环境保护措施</w:t>
            </w:r>
          </w:p>
        </w:tc>
        <w:tc>
          <w:tcPr>
            <w:tcW w:w="1900"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大气环境</w:t>
            </w:r>
          </w:p>
        </w:tc>
        <w:tc>
          <w:tcPr>
            <w:tcW w:w="145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厨房油烟/DA001</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油烟</w:t>
            </w:r>
          </w:p>
        </w:tc>
        <w:tc>
          <w:tcPr>
            <w:tcW w:w="2361"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集气罩收集后由油烟净化器进行处理，处理后通过10m高的排气筒（DA001）排放</w:t>
            </w:r>
          </w:p>
        </w:tc>
        <w:tc>
          <w:tcPr>
            <w:tcW w:w="1900" w:type="dxa"/>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eastAsia="宋体"/>
                <w:color w:val="auto"/>
                <w:sz w:val="21"/>
                <w:szCs w:val="21"/>
                <w:highlight w:val="none"/>
                <w:vertAlign w:val="baseline"/>
                <w:lang w:val="en-US" w:eastAsia="zh-CN"/>
              </w:rPr>
              <w:t>《饮食业油烟排放标准》（GB18483-2001）允许排放的浓度，即油烟排放浓度≤2.0mg/m</w:t>
            </w:r>
            <w:r>
              <w:rPr>
                <w:rFonts w:hint="default" w:eastAsia="宋体"/>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continue"/>
            <w:vAlign w:val="center"/>
          </w:tcPr>
          <w:p>
            <w:pPr>
              <w:spacing w:line="240" w:lineRule="auto"/>
              <w:ind w:firstLine="0" w:firstLineChars="0"/>
              <w:jc w:val="center"/>
              <w:rPr>
                <w:rFonts w:hint="eastAsia"/>
                <w:color w:val="auto"/>
                <w:sz w:val="21"/>
                <w:szCs w:val="21"/>
                <w:highlight w:val="none"/>
              </w:rPr>
            </w:pPr>
          </w:p>
        </w:tc>
        <w:tc>
          <w:tcPr>
            <w:tcW w:w="1452"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污泥干化场异</w:t>
            </w:r>
          </w:p>
        </w:tc>
        <w:tc>
          <w:tcPr>
            <w:tcW w:w="1242"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臭气浓度</w:t>
            </w:r>
          </w:p>
        </w:tc>
        <w:tc>
          <w:tcPr>
            <w:tcW w:w="2361"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绿化吸收、空气稀释</w:t>
            </w:r>
          </w:p>
        </w:tc>
        <w:tc>
          <w:tcPr>
            <w:tcW w:w="1900" w:type="dxa"/>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eastAsia="宋体"/>
                <w:color w:val="auto"/>
                <w:sz w:val="21"/>
                <w:szCs w:val="21"/>
                <w:highlight w:val="none"/>
                <w:vertAlign w:val="baseline"/>
                <w:lang w:val="en-US" w:eastAsia="zh-CN"/>
              </w:rPr>
              <w:t>《恶臭污染物排放标准》（GB14554-1993）</w:t>
            </w:r>
            <w:r>
              <w:rPr>
                <w:rFonts w:hint="eastAsia"/>
                <w:color w:val="auto"/>
                <w:sz w:val="21"/>
                <w:szCs w:val="21"/>
                <w:highlight w:val="none"/>
                <w:vertAlign w:val="baseline"/>
                <w:lang w:val="en-US" w:eastAsia="zh-CN"/>
              </w:rPr>
              <w:t>，即臭气浓度≤20。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地表水环境</w:t>
            </w:r>
          </w:p>
        </w:tc>
        <w:tc>
          <w:tcPr>
            <w:tcW w:w="145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生活污水</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2361"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经化粪池处理后定期委托当地环卫部门清运处置。</w:t>
            </w:r>
          </w:p>
        </w:tc>
        <w:tc>
          <w:tcPr>
            <w:tcW w:w="1900"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continue"/>
            <w:vAlign w:val="center"/>
          </w:tcPr>
          <w:p>
            <w:pPr>
              <w:spacing w:line="240" w:lineRule="auto"/>
              <w:ind w:firstLine="0" w:firstLineChars="0"/>
              <w:jc w:val="center"/>
              <w:rPr>
                <w:rFonts w:hint="eastAsia"/>
                <w:color w:val="auto"/>
                <w:sz w:val="21"/>
                <w:szCs w:val="21"/>
                <w:highlight w:val="none"/>
              </w:rPr>
            </w:pPr>
          </w:p>
        </w:tc>
        <w:tc>
          <w:tcPr>
            <w:tcW w:w="1452"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化验室废水</w:t>
            </w:r>
          </w:p>
        </w:tc>
        <w:tc>
          <w:tcPr>
            <w:tcW w:w="1242"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361"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经中和桶收集处理后用于项目区绿化</w:t>
            </w:r>
          </w:p>
        </w:tc>
        <w:tc>
          <w:tcPr>
            <w:tcW w:w="1900"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《城市污水再生利用 城市杂用水水质》（GB/T18920-2020）中城市绿化标准限值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continue"/>
            <w:vAlign w:val="center"/>
          </w:tcPr>
          <w:p>
            <w:pPr>
              <w:spacing w:line="240" w:lineRule="auto"/>
              <w:ind w:firstLine="0" w:firstLineChars="0"/>
              <w:jc w:val="center"/>
              <w:rPr>
                <w:rFonts w:hint="eastAsia"/>
                <w:color w:val="auto"/>
                <w:sz w:val="21"/>
                <w:szCs w:val="21"/>
                <w:highlight w:val="none"/>
              </w:rPr>
            </w:pPr>
          </w:p>
        </w:tc>
        <w:tc>
          <w:tcPr>
            <w:tcW w:w="1452"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沉淀池排泥水、滤池反冲洗废水、污泥干化场渗滤水</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2361"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经回收水池沉淀后返回水处理系统，不外排</w:t>
            </w:r>
          </w:p>
        </w:tc>
        <w:tc>
          <w:tcPr>
            <w:tcW w:w="1900"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声环境</w:t>
            </w:r>
          </w:p>
        </w:tc>
        <w:tc>
          <w:tcPr>
            <w:tcW w:w="1452"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设备噪声</w:t>
            </w:r>
          </w:p>
        </w:tc>
        <w:tc>
          <w:tcPr>
            <w:tcW w:w="1242"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噪声</w:t>
            </w:r>
          </w:p>
        </w:tc>
        <w:tc>
          <w:tcPr>
            <w:tcW w:w="2361"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减振、隔声等</w:t>
            </w:r>
          </w:p>
        </w:tc>
        <w:tc>
          <w:tcPr>
            <w:tcW w:w="1900" w:type="dxa"/>
            <w:vAlign w:val="center"/>
          </w:tcPr>
          <w:p>
            <w:pPr>
              <w:spacing w:line="240" w:lineRule="auto"/>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《工业企业厂界环境噪声排放标准》（GB12348-2008）中</w:t>
            </w:r>
            <w:r>
              <w:rPr>
                <w:rFonts w:hint="eastAsia"/>
                <w:color w:val="auto"/>
                <w:sz w:val="21"/>
                <w:szCs w:val="21"/>
                <w:highlight w:val="none"/>
                <w:lang w:val="en-US" w:eastAsia="zh-CN"/>
              </w:rPr>
              <w:t>2</w:t>
            </w:r>
            <w:r>
              <w:rPr>
                <w:rFonts w:hint="eastAsia"/>
                <w:color w:val="auto"/>
                <w:sz w:val="21"/>
                <w:szCs w:val="21"/>
                <w:highlight w:val="none"/>
              </w:rPr>
              <w:t>类标准</w:t>
            </w:r>
            <w:r>
              <w:rPr>
                <w:rFonts w:hint="eastAsia"/>
                <w:color w:val="auto"/>
                <w:sz w:val="21"/>
                <w:szCs w:val="21"/>
                <w:highlight w:val="none"/>
                <w:lang w:eastAsia="zh-CN"/>
              </w:rPr>
              <w:t>，即昼间噪声≤60dB（A），夜间噪声≤50dB（A）。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电磁辐射</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固体废物</w:t>
            </w:r>
          </w:p>
        </w:tc>
        <w:tc>
          <w:tcPr>
            <w:tcW w:w="784" w:type="dxa"/>
            <w:vMerge w:val="restart"/>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一般固体废物</w:t>
            </w:r>
          </w:p>
        </w:tc>
        <w:tc>
          <w:tcPr>
            <w:tcW w:w="2694" w:type="dxa"/>
            <w:gridSpan w:val="2"/>
            <w:vAlign w:val="center"/>
          </w:tcPr>
          <w:p>
            <w:pPr>
              <w:pStyle w:val="26"/>
              <w:bidi w:val="0"/>
              <w:spacing w:line="240" w:lineRule="auto"/>
              <w:rPr>
                <w:rFonts w:hint="default"/>
                <w:color w:val="auto"/>
                <w:sz w:val="21"/>
                <w:szCs w:val="21"/>
                <w:highlight w:val="none"/>
                <w:lang w:val="en-US" w:eastAsia="zh-CN"/>
              </w:rPr>
            </w:pPr>
            <w:r>
              <w:rPr>
                <w:rFonts w:hint="eastAsia"/>
                <w:color w:val="auto"/>
                <w:sz w:val="21"/>
                <w:szCs w:val="21"/>
                <w:highlight w:val="none"/>
                <w:lang w:val="en-US" w:eastAsia="zh-CN"/>
              </w:rPr>
              <w:t>初沉池泥沙</w:t>
            </w:r>
          </w:p>
        </w:tc>
        <w:tc>
          <w:tcPr>
            <w:tcW w:w="2361" w:type="dxa"/>
            <w:vMerge w:val="restart"/>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olor w:val="auto"/>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c>
          <w:tcPr>
            <w:tcW w:w="1900" w:type="dxa"/>
            <w:vMerge w:val="restart"/>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污泥</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c>
          <w:tcPr>
            <w:tcW w:w="2694" w:type="dxa"/>
            <w:gridSpan w:val="2"/>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废滤料</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废包装材料</w:t>
            </w:r>
          </w:p>
        </w:tc>
        <w:tc>
          <w:tcPr>
            <w:tcW w:w="2361" w:type="dxa"/>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收集后外售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default"/>
                <w:color w:val="auto"/>
                <w:sz w:val="21"/>
                <w:szCs w:val="21"/>
                <w:highlight w:val="none"/>
                <w:lang w:val="en-US" w:eastAsia="zh-CN"/>
              </w:rPr>
            </w:pPr>
            <w:r>
              <w:rPr>
                <w:rFonts w:hint="eastAsia"/>
                <w:color w:val="auto"/>
                <w:kern w:val="0"/>
                <w:highlight w:val="none"/>
                <w:lang w:val="en-US" w:eastAsia="zh-CN"/>
              </w:rPr>
              <w:t>生活垃圾</w:t>
            </w:r>
          </w:p>
        </w:tc>
        <w:tc>
          <w:tcPr>
            <w:tcW w:w="2361" w:type="dxa"/>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olor w:val="auto"/>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restart"/>
            <w:vAlign w:val="center"/>
          </w:tcPr>
          <w:p>
            <w:pPr>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危险废物</w:t>
            </w: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废机油</w:t>
            </w:r>
          </w:p>
        </w:tc>
        <w:tc>
          <w:tcPr>
            <w:tcW w:w="2361" w:type="dxa"/>
            <w:vMerge w:val="restart"/>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委托有资质的单位进行处置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化验室废液</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化学药品废弃包装物</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土壤及地下水污染防治措施</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生态保护措施</w:t>
            </w:r>
          </w:p>
        </w:tc>
        <w:tc>
          <w:tcPr>
            <w:tcW w:w="6955" w:type="dxa"/>
            <w:gridSpan w:val="4"/>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①结合水土保持工程，避免雨天施工，减少水土流失量。加强植被保护和景观维持，对各类临时施工迹地实施植被恢复。渣料场的植被恢复尽量选用当地土著物种，避免引入外来物种，保证当地植物区系的原生性。</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②因地制宜、合理地布置施工临时占地，尽量减少占用耕地和林地。</w:t>
            </w:r>
          </w:p>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③加强对工程实施的相关领导、技术人员和施工人员的环保意识教育，明确环境保护的重要性，禁止轰赶、捕杀野生动物；禁止超计划占地，禁止将临时占地布设在植被较好的地方，尽量避免对野生动物的生境造成破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环境风险</w:t>
            </w:r>
          </w:p>
          <w:p>
            <w:pPr>
              <w:spacing w:line="240" w:lineRule="auto"/>
              <w:ind w:firstLine="0" w:firstLineChars="0"/>
              <w:jc w:val="center"/>
              <w:rPr>
                <w:color w:val="auto"/>
                <w:sz w:val="21"/>
                <w:szCs w:val="21"/>
                <w:highlight w:val="none"/>
              </w:rPr>
            </w:pPr>
            <w:r>
              <w:rPr>
                <w:rFonts w:hint="eastAsia"/>
                <w:color w:val="auto"/>
                <w:sz w:val="21"/>
                <w:szCs w:val="21"/>
                <w:highlight w:val="none"/>
              </w:rPr>
              <w:t>防治措施</w:t>
            </w:r>
          </w:p>
        </w:tc>
        <w:tc>
          <w:tcPr>
            <w:tcW w:w="6955" w:type="dxa"/>
            <w:gridSpan w:val="4"/>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①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color w:val="auto"/>
                <w:sz w:val="21"/>
                <w:szCs w:val="21"/>
                <w:highlight w:val="none"/>
                <w:vertAlign w:val="superscript"/>
                <w:lang w:val="en-US" w:eastAsia="zh-CN"/>
              </w:rPr>
              <w:t>-10</w:t>
            </w:r>
            <w:r>
              <w:rPr>
                <w:rFonts w:hint="eastAsia"/>
                <w:color w:val="auto"/>
                <w:sz w:val="21"/>
                <w:szCs w:val="21"/>
                <w:highlight w:val="none"/>
                <w:lang w:val="en-US" w:eastAsia="zh-CN"/>
              </w:rPr>
              <w:t>cm/s；</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②加强对厂区日常管理工作，及时掌握可能引发火灾的情况，以便及时采取有效的防灭火措施，有效预防火灾事故的发生。</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③对生产设备、危废暂存间及收集容器进行日常检查，保证生产设备不出现跑冒滴漏情况，危废暂存间防渗层未发生破裂，收集容器完好无泄漏。</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④对化验室工作人员定期培训安全操作等相关岗位知识。</w:t>
            </w:r>
          </w:p>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⑤编制突发环境事件应急预案，并报相关部门备案。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其他环境</w:t>
            </w:r>
          </w:p>
          <w:p>
            <w:pPr>
              <w:spacing w:line="240" w:lineRule="auto"/>
              <w:ind w:firstLine="0" w:firstLineChars="0"/>
              <w:jc w:val="center"/>
              <w:rPr>
                <w:color w:val="auto"/>
                <w:sz w:val="21"/>
                <w:szCs w:val="21"/>
                <w:highlight w:val="none"/>
              </w:rPr>
            </w:pPr>
            <w:r>
              <w:rPr>
                <w:rFonts w:hint="eastAsia"/>
                <w:color w:val="auto"/>
                <w:sz w:val="21"/>
                <w:szCs w:val="21"/>
                <w:highlight w:val="none"/>
              </w:rPr>
              <w:t>管理要求</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开展台账记录、办理排污许可证、自行监测等。</w:t>
            </w:r>
          </w:p>
        </w:tc>
      </w:tr>
    </w:tbl>
    <w:p>
      <w:pPr>
        <w:ind w:firstLine="480"/>
        <w:rPr>
          <w:color w:val="auto"/>
          <w:highlight w:val="none"/>
        </w:rPr>
      </w:pPr>
      <w:r>
        <w:rPr>
          <w:rFonts w:hint="eastAsia"/>
          <w:color w:val="auto"/>
          <w:highlight w:val="none"/>
        </w:rPr>
        <w:br w:type="page"/>
      </w:r>
    </w:p>
    <w:p>
      <w:pPr>
        <w:pStyle w:val="2"/>
        <w:jc w:val="center"/>
        <w:rPr>
          <w:color w:val="auto"/>
          <w:highlight w:val="none"/>
        </w:rPr>
      </w:pPr>
      <w:bookmarkStart w:id="6" w:name="_Toc12811"/>
      <w:r>
        <w:rPr>
          <w:rFonts w:hint="eastAsia" w:ascii="宋体" w:hAnsi="宋体"/>
          <w:color w:val="auto"/>
          <w:highlight w:val="none"/>
        </w:rPr>
        <w:t>六、</w:t>
      </w:r>
      <w:r>
        <w:rPr>
          <w:rFonts w:ascii="宋体" w:hAnsi="宋体"/>
          <w:color w:val="auto"/>
          <w:highlight w:val="none"/>
        </w:rPr>
        <w:t>结论</w:t>
      </w:r>
      <w:bookmarkEnd w:id="6"/>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8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2608" w:hRule="atLeast"/>
          <w:jc w:val="center"/>
        </w:trPr>
        <w:tc>
          <w:tcPr>
            <w:tcW w:w="8420" w:type="dxa"/>
            <w:vAlign w:val="top"/>
          </w:tcPr>
          <w:p>
            <w:pPr>
              <w:spacing w:line="360" w:lineRule="auto"/>
              <w:ind w:firstLine="560"/>
              <w:rPr>
                <w:rFonts w:hint="eastAsia"/>
                <w:color w:val="auto"/>
                <w:sz w:val="28"/>
                <w:szCs w:val="28"/>
                <w:highlight w:val="none"/>
              </w:rPr>
            </w:pPr>
            <w:r>
              <w:rPr>
                <w:rFonts w:hint="eastAsia"/>
                <w:color w:val="auto"/>
                <w:highlight w:val="none"/>
                <w:lang w:eastAsia="zh-CN"/>
              </w:rPr>
              <w:t>宜良县城乡投资管理有限公司宜良县南羊片区供水一体化项目</w:t>
            </w:r>
            <w:r>
              <w:rPr>
                <w:rFonts w:hint="eastAsia"/>
                <w:color w:val="auto"/>
                <w:highlight w:val="none"/>
              </w:rPr>
              <w:t>位于</w:t>
            </w:r>
            <w:r>
              <w:rPr>
                <w:rFonts w:hint="eastAsia"/>
                <w:color w:val="auto"/>
                <w:highlight w:val="none"/>
                <w:lang w:eastAsia="zh-CN"/>
              </w:rPr>
              <w:t>昆明市宜良县南羊街道，</w:t>
            </w:r>
            <w:r>
              <w:rPr>
                <w:rFonts w:hint="eastAsia"/>
                <w:color w:val="auto"/>
                <w:highlight w:val="none"/>
              </w:rPr>
              <w:t>项目属于</w:t>
            </w:r>
            <w:r>
              <w:rPr>
                <w:rFonts w:hint="eastAsia"/>
                <w:color w:val="auto"/>
                <w:highlight w:val="none"/>
                <w:lang w:val="en-US" w:eastAsia="zh-CN"/>
              </w:rPr>
              <w:t>鼓励</w:t>
            </w:r>
            <w:r>
              <w:rPr>
                <w:rFonts w:hint="eastAsia"/>
                <w:color w:val="auto"/>
                <w:highlight w:val="none"/>
              </w:rPr>
              <w:t>类建设项目，符合当前国家产业政策，建设内容可行。通过对项目所在地区的环境现状以及项目运营过程中产生的环境影响进行分析，项目产生的环境影响包括废气、噪声、废水、固体废物等，在采取环评提出的防治措施后，废气、废水、噪声均能达标排放，固体废物能妥善处置，处置率达100%。本次环评认为，建设单位在认真执行本次环评提出的污染防治措施后，项目产生的污染物对环境的影响较小，不会改变当地环境功能。从环境保护的角度分析，该项目的建设是可行的。</w:t>
            </w:r>
          </w:p>
          <w:p>
            <w:pPr>
              <w:spacing w:line="600" w:lineRule="exact"/>
              <w:ind w:firstLine="560"/>
              <w:rPr>
                <w:color w:val="auto"/>
                <w:sz w:val="28"/>
                <w:szCs w:val="28"/>
                <w:highlight w:val="none"/>
              </w:rPr>
            </w:pPr>
          </w:p>
          <w:p>
            <w:pPr>
              <w:spacing w:line="600" w:lineRule="exact"/>
              <w:ind w:firstLine="480"/>
              <w:rPr>
                <w:color w:val="auto"/>
                <w:szCs w:val="20"/>
                <w:highlight w:val="none"/>
              </w:rPr>
            </w:pPr>
          </w:p>
          <w:p>
            <w:pPr>
              <w:spacing w:line="600" w:lineRule="exact"/>
              <w:ind w:firstLine="480"/>
              <w:rPr>
                <w:color w:val="auto"/>
                <w:szCs w:val="20"/>
                <w:highlight w:val="none"/>
              </w:rPr>
            </w:pPr>
          </w:p>
          <w:p>
            <w:pPr>
              <w:spacing w:line="600" w:lineRule="exact"/>
              <w:ind w:firstLine="0" w:firstLineChars="0"/>
              <w:rPr>
                <w:color w:val="auto"/>
                <w:szCs w:val="20"/>
                <w:highlight w:val="none"/>
              </w:rPr>
            </w:pPr>
          </w:p>
        </w:tc>
      </w:tr>
    </w:tbl>
    <w:p>
      <w:pPr>
        <w:ind w:firstLine="0" w:firstLineChars="0"/>
        <w:rPr>
          <w:color w:val="auto"/>
          <w:highlight w:val="none"/>
        </w:rPr>
      </w:pPr>
    </w:p>
    <w:p>
      <w:pPr>
        <w:ind w:firstLine="0" w:firstLineChars="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outlineLvl w:val="0"/>
        <w:rPr>
          <w:rFonts w:ascii="黑体" w:hAnsi="黑体" w:eastAsia="黑体" w:cs="Times New Roman"/>
          <w:snapToGrid w:val="0"/>
          <w:color w:val="auto"/>
          <w:sz w:val="32"/>
          <w:szCs w:val="32"/>
          <w:highlight w:val="none"/>
        </w:rPr>
      </w:pPr>
      <w:r>
        <w:rPr>
          <w:rFonts w:hint="eastAsia" w:ascii="黑体" w:hAnsi="黑体" w:eastAsia="黑体" w:cs="Times New Roman"/>
          <w:snapToGrid w:val="0"/>
          <w:color w:val="auto"/>
          <w:sz w:val="32"/>
          <w:szCs w:val="32"/>
          <w:highlight w:val="none"/>
        </w:rPr>
        <w:t>附表</w:t>
      </w: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outlineLvl w:val="9"/>
        <w:rPr>
          <w:rFonts w:hint="eastAsia" w:ascii="方正小标宋_GBK" w:hAnsi="黑体" w:eastAsia="方正小标宋_GBK" w:cs="Times New Roman"/>
          <w:snapToGrid w:val="0"/>
          <w:color w:val="auto"/>
          <w:sz w:val="38"/>
          <w:szCs w:val="38"/>
          <w:highlight w:val="none"/>
        </w:rPr>
      </w:pPr>
      <w:r>
        <w:rPr>
          <w:rFonts w:hint="eastAsia" w:ascii="方正小标宋_GBK" w:hAnsi="黑体" w:eastAsia="方正小标宋_GBK" w:cs="Times New Roman"/>
          <w:snapToGrid w:val="0"/>
          <w:color w:val="auto"/>
          <w:sz w:val="38"/>
          <w:szCs w:val="38"/>
          <w:highlight w:val="none"/>
        </w:rPr>
        <w:t>建设项目污染物排放量汇总表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25"/>
        <w:gridCol w:w="1463"/>
        <w:gridCol w:w="1300"/>
        <w:gridCol w:w="1420"/>
        <w:gridCol w:w="1559"/>
        <w:gridCol w:w="1601"/>
        <w:gridCol w:w="1601"/>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tcBorders>
              <w:tl2br w:val="single" w:color="auto" w:sz="4" w:space="0"/>
            </w:tcBorders>
            <w:noWrap w:val="0"/>
            <w:tcMar>
              <w:left w:w="28" w:type="dxa"/>
              <w:right w:w="28" w:type="dxa"/>
            </w:tcMar>
            <w:vAlign w:val="center"/>
          </w:tcPr>
          <w:p>
            <w:pPr>
              <w:pStyle w:val="27"/>
              <w:spacing w:beforeLines="0" w:afterLines="0" w:line="240" w:lineRule="auto"/>
              <w:ind w:firstLine="0" w:firstLineChars="0"/>
              <w:jc w:val="righ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项目</w:t>
            </w:r>
          </w:p>
          <w:p>
            <w:pPr>
              <w:pStyle w:val="27"/>
              <w:spacing w:beforeLines="0" w:afterLines="0" w:line="240" w:lineRule="auto"/>
              <w:ind w:firstLine="0" w:firstLineChars="0"/>
              <w:jc w:val="lef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分类</w:t>
            </w:r>
          </w:p>
        </w:tc>
        <w:tc>
          <w:tcPr>
            <w:tcW w:w="2225"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污染物名称</w:t>
            </w:r>
          </w:p>
        </w:tc>
        <w:tc>
          <w:tcPr>
            <w:tcW w:w="1463"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现有工程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1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①</w:t>
            </w:r>
            <w:r>
              <w:rPr>
                <w:rFonts w:ascii="黑体" w:hAnsi="黑体" w:eastAsia="黑体" w:cs="Times New Roman"/>
                <w:snapToGrid w:val="0"/>
                <w:color w:val="auto"/>
                <w:spacing w:val="-6"/>
                <w:kern w:val="21"/>
                <w:szCs w:val="21"/>
                <w:highlight w:val="none"/>
              </w:rPr>
              <w:fldChar w:fldCharType="end"/>
            </w:r>
          </w:p>
        </w:tc>
        <w:tc>
          <w:tcPr>
            <w:tcW w:w="1300" w:type="dxa"/>
            <w:noWrap w:val="0"/>
            <w:tcMar>
              <w:left w:w="28" w:type="dxa"/>
              <w:right w:w="28" w:type="dxa"/>
            </w:tcMar>
            <w:vAlign w:val="center"/>
          </w:tcPr>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现有工程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许可排放量</w:t>
            </w:r>
          </w:p>
          <w:p>
            <w:pPr>
              <w:pStyle w:val="27"/>
              <w:spacing w:beforeLines="0" w:afterLines="0"/>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2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snapToGrid w:val="0"/>
                <w:color w:val="auto"/>
                <w:spacing w:val="-6"/>
                <w:kern w:val="21"/>
                <w:szCs w:val="21"/>
                <w:highlight w:val="none"/>
              </w:rPr>
              <w:t>②</w:t>
            </w:r>
            <w:r>
              <w:rPr>
                <w:rFonts w:ascii="黑体" w:hAnsi="黑体" w:eastAsia="黑体" w:cs="Times New Roman"/>
                <w:snapToGrid w:val="0"/>
                <w:color w:val="auto"/>
                <w:spacing w:val="-6"/>
                <w:kern w:val="21"/>
                <w:szCs w:val="21"/>
                <w:highlight w:val="none"/>
              </w:rPr>
              <w:fldChar w:fldCharType="end"/>
            </w:r>
          </w:p>
        </w:tc>
        <w:tc>
          <w:tcPr>
            <w:tcW w:w="1420"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在建工程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3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③</w:t>
            </w:r>
            <w:r>
              <w:rPr>
                <w:rFonts w:ascii="黑体" w:hAnsi="黑体" w:eastAsia="黑体" w:cs="Times New Roman"/>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本项目</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4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④</w:t>
            </w:r>
            <w:r>
              <w:rPr>
                <w:rFonts w:ascii="黑体" w:hAnsi="黑体" w:eastAsia="黑体" w:cs="Times New Roman"/>
                <w:snapToGrid w:val="0"/>
                <w:color w:val="auto"/>
                <w:spacing w:val="-6"/>
                <w:kern w:val="21"/>
                <w:szCs w:val="21"/>
                <w:highlight w:val="none"/>
              </w:rPr>
              <w:fldChar w:fldCharType="end"/>
            </w:r>
          </w:p>
        </w:tc>
        <w:tc>
          <w:tcPr>
            <w:tcW w:w="1601"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以新带老削减量</w:t>
            </w:r>
          </w:p>
          <w:p>
            <w:pPr>
              <w:pStyle w:val="27"/>
              <w:spacing w:beforeLines="0" w:afterLines="0" w:line="240" w:lineRule="auto"/>
              <w:ind w:firstLine="0" w:firstLineChars="0"/>
              <w:rPr>
                <w:rFonts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（新建项目不填）</w:t>
            </w:r>
            <w:r>
              <w:rPr>
                <w:rFonts w:ascii="黑体" w:hAnsi="黑体" w:eastAsia="黑体" w:cs="Times New Roman"/>
                <w:snapToGrid w:val="0"/>
                <w:color w:val="auto"/>
                <w:spacing w:val="-16"/>
                <w:kern w:val="21"/>
                <w:szCs w:val="21"/>
                <w:highlight w:val="none"/>
              </w:rPr>
              <w:fldChar w:fldCharType="begin"/>
            </w:r>
            <w:r>
              <w:rPr>
                <w:rFonts w:ascii="黑体" w:hAnsi="黑体" w:eastAsia="黑体" w:cs="Times New Roman"/>
                <w:snapToGrid w:val="0"/>
                <w:color w:val="auto"/>
                <w:spacing w:val="-16"/>
                <w:kern w:val="21"/>
                <w:szCs w:val="21"/>
                <w:highlight w:val="none"/>
              </w:rPr>
              <w:instrText xml:space="preserve"> = 5 \* GB3 \* MERGEFORMAT </w:instrText>
            </w:r>
            <w:r>
              <w:rPr>
                <w:rFonts w:ascii="黑体" w:hAnsi="黑体" w:eastAsia="黑体" w:cs="Times New Roman"/>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⑤</w:t>
            </w:r>
            <w:r>
              <w:rPr>
                <w:rFonts w:ascii="黑体" w:hAnsi="黑体" w:eastAsia="黑体" w:cs="Times New Roman"/>
                <w:snapToGrid w:val="0"/>
                <w:color w:val="auto"/>
                <w:spacing w:val="-16"/>
                <w:kern w:val="21"/>
                <w:szCs w:val="21"/>
                <w:highlight w:val="none"/>
              </w:rPr>
              <w:fldChar w:fldCharType="end"/>
            </w:r>
          </w:p>
        </w:tc>
        <w:tc>
          <w:tcPr>
            <w:tcW w:w="1601"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本项目建成后</w:t>
            </w:r>
          </w:p>
          <w:p>
            <w:pPr>
              <w:pStyle w:val="27"/>
              <w:spacing w:beforeLines="0" w:afterLines="0" w:line="240" w:lineRule="auto"/>
              <w:ind w:firstLine="0" w:firstLineChars="0"/>
              <w:rPr>
                <w:rFonts w:ascii="黑体" w:hAnsi="黑体" w:eastAsia="黑体" w:cs="Times New Roman"/>
                <w:snapToGrid w:val="0"/>
                <w:color w:val="auto"/>
                <w:spacing w:val="-16"/>
                <w:kern w:val="21"/>
                <w:szCs w:val="21"/>
                <w:highlight w:val="none"/>
              </w:rPr>
            </w:pPr>
            <w:r>
              <w:rPr>
                <w:rFonts w:hint="eastAsia" w:ascii="黑体" w:hAnsi="黑体" w:eastAsia="黑体" w:cs="Times New Roman"/>
                <w:snapToGrid w:val="0"/>
                <w:color w:val="auto"/>
                <w:spacing w:val="-16"/>
                <w:kern w:val="21"/>
                <w:szCs w:val="21"/>
                <w:highlight w:val="none"/>
              </w:rPr>
              <w:t>全厂</w:t>
            </w:r>
            <w:r>
              <w:rPr>
                <w:rFonts w:ascii="黑体" w:hAnsi="黑体" w:eastAsia="黑体" w:cs="Times New Roman"/>
                <w:snapToGrid w:val="0"/>
                <w:color w:val="auto"/>
                <w:spacing w:val="-16"/>
                <w:kern w:val="21"/>
                <w:szCs w:val="21"/>
                <w:highlight w:val="none"/>
              </w:rPr>
              <w:t>排放量（固</w:t>
            </w:r>
            <w:r>
              <w:rPr>
                <w:rFonts w:hint="eastAsia" w:ascii="黑体" w:hAnsi="黑体" w:eastAsia="黑体" w:cs="Times New Roman"/>
                <w:snapToGrid w:val="0"/>
                <w:color w:val="auto"/>
                <w:spacing w:val="-16"/>
                <w:kern w:val="21"/>
                <w:szCs w:val="21"/>
                <w:highlight w:val="none"/>
              </w:rPr>
              <w:t>体</w:t>
            </w:r>
            <w:r>
              <w:rPr>
                <w:rFonts w:ascii="黑体" w:hAnsi="黑体" w:eastAsia="黑体" w:cs="Times New Roman"/>
                <w:snapToGrid w:val="0"/>
                <w:color w:val="auto"/>
                <w:spacing w:val="-16"/>
                <w:kern w:val="21"/>
                <w:szCs w:val="21"/>
                <w:highlight w:val="none"/>
              </w:rPr>
              <w:t>废</w:t>
            </w:r>
            <w:r>
              <w:rPr>
                <w:rFonts w:hint="eastAsia" w:ascii="黑体" w:hAnsi="黑体" w:eastAsia="黑体" w:cs="Times New Roman"/>
                <w:snapToGrid w:val="0"/>
                <w:color w:val="auto"/>
                <w:spacing w:val="-16"/>
                <w:kern w:val="21"/>
                <w:szCs w:val="21"/>
                <w:highlight w:val="none"/>
              </w:rPr>
              <w:t>物</w:t>
            </w:r>
            <w:r>
              <w:rPr>
                <w:rFonts w:ascii="黑体" w:hAnsi="黑体" w:eastAsia="黑体" w:cs="Times New Roman"/>
                <w:snapToGrid w:val="0"/>
                <w:color w:val="auto"/>
                <w:spacing w:val="-16"/>
                <w:kern w:val="21"/>
                <w:szCs w:val="21"/>
                <w:highlight w:val="none"/>
              </w:rPr>
              <w:t>产生量）</w:t>
            </w:r>
            <w:r>
              <w:rPr>
                <w:rFonts w:ascii="黑体" w:hAnsi="黑体" w:eastAsia="黑体" w:cs="Times New Roman"/>
                <w:snapToGrid w:val="0"/>
                <w:color w:val="auto"/>
                <w:spacing w:val="-16"/>
                <w:kern w:val="21"/>
                <w:szCs w:val="21"/>
                <w:highlight w:val="none"/>
              </w:rPr>
              <w:fldChar w:fldCharType="begin"/>
            </w:r>
            <w:r>
              <w:rPr>
                <w:rFonts w:ascii="黑体" w:hAnsi="黑体" w:eastAsia="黑体" w:cs="Times New Roman"/>
                <w:snapToGrid w:val="0"/>
                <w:color w:val="auto"/>
                <w:spacing w:val="-16"/>
                <w:kern w:val="21"/>
                <w:szCs w:val="21"/>
                <w:highlight w:val="none"/>
              </w:rPr>
              <w:instrText xml:space="preserve"> = 6 \* GB3 \* MERGEFORMAT </w:instrText>
            </w:r>
            <w:r>
              <w:rPr>
                <w:rFonts w:ascii="黑体" w:hAnsi="黑体" w:eastAsia="黑体" w:cs="Times New Roman"/>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⑥</w:t>
            </w:r>
            <w:r>
              <w:rPr>
                <w:rFonts w:ascii="黑体" w:hAnsi="黑体" w:eastAsia="黑体" w:cs="Times New Roman"/>
                <w:snapToGrid w:val="0"/>
                <w:color w:val="auto"/>
                <w:spacing w:val="-16"/>
                <w:kern w:val="21"/>
                <w:szCs w:val="21"/>
                <w:highlight w:val="none"/>
              </w:rPr>
              <w:fldChar w:fldCharType="end"/>
            </w:r>
          </w:p>
        </w:tc>
        <w:tc>
          <w:tcPr>
            <w:tcW w:w="1344" w:type="dxa"/>
            <w:noWrap w:val="0"/>
            <w:tcMar>
              <w:left w:w="28" w:type="dxa"/>
              <w:right w:w="28" w:type="dxa"/>
            </w:tcMar>
            <w:vAlign w:val="center"/>
          </w:tcPr>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变化量</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7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⑦</w:t>
            </w:r>
            <w:r>
              <w:rPr>
                <w:rFonts w:ascii="黑体" w:hAnsi="黑体" w:eastAsia="黑体" w:cs="Times New Roman"/>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废气</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油烟</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0.9855kg/a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eastAsia" w:ascii="Times New Roman" w:cs="Times New Roman"/>
                <w:snapToGrid w:val="0"/>
                <w:color w:val="auto"/>
                <w:kern w:val="21"/>
                <w:szCs w:val="21"/>
                <w:highlight w:val="none"/>
                <w:lang w:val="en-US" w:eastAsia="zh-CN"/>
              </w:rPr>
              <w:t>0.9855kg/a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+0.9855kg/a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废水</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restart"/>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Ansi="宋体" w:cs="宋体"/>
                <w:snapToGrid w:val="0"/>
                <w:color w:val="auto"/>
                <w:kern w:val="21"/>
                <w:szCs w:val="21"/>
                <w:highlight w:val="none"/>
              </w:rPr>
            </w:pPr>
            <w:r>
              <w:rPr>
                <w:rFonts w:hint="eastAsia" w:hAnsi="宋体" w:cs="宋体"/>
                <w:snapToGrid w:val="0"/>
                <w:color w:val="auto"/>
                <w:kern w:val="21"/>
                <w:szCs w:val="21"/>
                <w:highlight w:val="none"/>
              </w:rPr>
              <w:t>一般工业</w:t>
            </w:r>
          </w:p>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固体废物</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初沉池泥沙</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36.63t/a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snapToGrid w:val="0"/>
                <w:color w:val="auto"/>
                <w:kern w:val="21"/>
                <w:szCs w:val="21"/>
                <w:highlight w:val="none"/>
                <w:lang w:val="en-US" w:eastAsia="zh-CN"/>
              </w:rPr>
              <w:t>36.63t/a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r>
              <w:rPr>
                <w:rFonts w:hint="default" w:ascii="Times New Roman" w:hAnsi="Times New Roman" w:eastAsia="宋体" w:cs="Times New Roman"/>
                <w:snapToGrid w:val="0"/>
                <w:color w:val="auto"/>
                <w:kern w:val="21"/>
                <w:szCs w:val="21"/>
                <w:highlight w:val="none"/>
                <w:lang w:val="en-US" w:eastAsia="zh-CN"/>
              </w:rPr>
              <w:t>36.63t/a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snapToGrid w:val="0"/>
                <w:color w:val="auto"/>
                <w:kern w:val="21"/>
                <w:szCs w:val="21"/>
                <w:highlight w:val="none"/>
                <w:lang w:val="en-US" w:eastAsia="zh-CN"/>
              </w:rPr>
              <w:t>污泥</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废滤料</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废包装材料</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生活垃圾</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restart"/>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危险废物</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化验室废液（HW49，900-047-49）</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废机油</w:t>
            </w:r>
            <w:r>
              <w:rPr>
                <w:rFonts w:hint="default" w:ascii="Times New Roman" w:hAnsi="Times New Roman" w:cs="Times New Roman"/>
                <w:snapToGrid w:val="0"/>
                <w:color w:val="auto"/>
                <w:kern w:val="21"/>
                <w:szCs w:val="21"/>
                <w:highlight w:val="none"/>
                <w:lang w:val="en-US" w:eastAsia="zh-CN"/>
              </w:rPr>
              <w:t>（HW08</w:t>
            </w:r>
            <w:r>
              <w:rPr>
                <w:rFonts w:hint="eastAsia" w:ascii="Times New Roman" w:hAnsi="Times New Roman" w:cs="Times New Roman"/>
                <w:snapToGrid w:val="0"/>
                <w:color w:val="auto"/>
                <w:kern w:val="21"/>
                <w:szCs w:val="21"/>
                <w:highlight w:val="none"/>
                <w:lang w:val="en-US" w:eastAsia="zh-CN"/>
              </w:rPr>
              <w:t>，</w:t>
            </w:r>
            <w:r>
              <w:rPr>
                <w:rFonts w:hint="default" w:ascii="Times New Roman" w:hAnsi="Times New Roman" w:cs="Times New Roman"/>
                <w:snapToGrid w:val="0"/>
                <w:color w:val="auto"/>
                <w:kern w:val="21"/>
                <w:szCs w:val="21"/>
                <w:highlight w:val="none"/>
                <w:lang w:val="en-US" w:eastAsia="zh-CN"/>
              </w:rPr>
              <w:t>900-214-08）</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化学药品废弃包装物</w:t>
            </w:r>
            <w:r>
              <w:rPr>
                <w:rFonts w:hint="default" w:ascii="Times New Roman" w:hAnsi="Times New Roman" w:cs="Times New Roman"/>
                <w:color w:val="auto"/>
                <w:highlight w:val="none"/>
                <w:lang w:val="en-US" w:eastAsia="zh-CN"/>
              </w:rPr>
              <w:tab/>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HW49</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900-041-49</w:t>
            </w:r>
            <w:r>
              <w:rPr>
                <w:rFonts w:hint="eastAsia" w:ascii="Times New Roman" w:cs="Times New Roman"/>
                <w:color w:val="auto"/>
                <w:highlight w:val="none"/>
                <w:lang w:val="en-US" w:eastAsia="zh-CN"/>
              </w:rPr>
              <w:t>）</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0.01t/a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0.01t/a</w:t>
            </w:r>
          </w:p>
        </w:tc>
        <w:tc>
          <w:tcPr>
            <w:tcW w:w="1344"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+0.01t/a</w:t>
            </w:r>
          </w:p>
        </w:tc>
      </w:tr>
    </w:tbl>
    <w:p>
      <w:pPr>
        <w:pStyle w:val="27"/>
        <w:spacing w:before="192" w:beforeLines="80" w:after="24"/>
        <w:ind w:firstLine="0" w:firstLineChars="0"/>
        <w:jc w:val="left"/>
        <w:rPr>
          <w:color w:val="auto"/>
          <w:highlight w:val="none"/>
        </w:rPr>
      </w:pPr>
      <w:r>
        <w:rPr>
          <w:rFonts w:hAnsi="宋体" w:cs="Times New Roman"/>
          <w:snapToGrid w:val="0"/>
          <w:color w:val="auto"/>
          <w:kern w:val="21"/>
          <w:szCs w:val="21"/>
          <w:highlight w:val="none"/>
        </w:rPr>
        <w:t>注：</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6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⑥</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1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①</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3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③</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4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④</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5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⑤</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7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⑦</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6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⑥</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1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①</w:t>
      </w:r>
      <w:r>
        <w:rPr>
          <w:rFonts w:hAnsi="宋体" w:cs="Times New Roman"/>
          <w:snapToGrid w:val="0"/>
          <w:color w:val="auto"/>
          <w:spacing w:val="-6"/>
          <w:kern w:val="21"/>
          <w:szCs w:val="21"/>
          <w:highlight w:val="none"/>
        </w:rPr>
        <w:fldChar w:fldCharType="end"/>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w:t>
    </w:r>
    <w:r>
      <w:t xml:space="preserve"> 2 -</w:t>
    </w:r>
    <w:r>
      <w:fldChar w:fldCharType="end"/>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TI4ZGUxZjc0NDM3OTM5OWUyZjRlOTAzMDE2ZDAifQ=="/>
  </w:docVars>
  <w:rsids>
    <w:rsidRoot w:val="164068AD"/>
    <w:rsid w:val="00044A6F"/>
    <w:rsid w:val="0005678D"/>
    <w:rsid w:val="000E6515"/>
    <w:rsid w:val="002E5BEA"/>
    <w:rsid w:val="00321A7D"/>
    <w:rsid w:val="00321D53"/>
    <w:rsid w:val="003729E8"/>
    <w:rsid w:val="0037520D"/>
    <w:rsid w:val="0039685B"/>
    <w:rsid w:val="00413ECE"/>
    <w:rsid w:val="00427B79"/>
    <w:rsid w:val="00450E24"/>
    <w:rsid w:val="004D25FA"/>
    <w:rsid w:val="00503E0B"/>
    <w:rsid w:val="0053380B"/>
    <w:rsid w:val="005338BA"/>
    <w:rsid w:val="0058750D"/>
    <w:rsid w:val="00650A76"/>
    <w:rsid w:val="00844A14"/>
    <w:rsid w:val="009D69F8"/>
    <w:rsid w:val="00A04E84"/>
    <w:rsid w:val="00A6529F"/>
    <w:rsid w:val="00A73344"/>
    <w:rsid w:val="00C26023"/>
    <w:rsid w:val="00C51FC6"/>
    <w:rsid w:val="00C66338"/>
    <w:rsid w:val="00D27F9D"/>
    <w:rsid w:val="00D56CAE"/>
    <w:rsid w:val="00D83FAA"/>
    <w:rsid w:val="00E00ABA"/>
    <w:rsid w:val="00EC5CB3"/>
    <w:rsid w:val="00F15FDA"/>
    <w:rsid w:val="00F47AB6"/>
    <w:rsid w:val="013F6A3F"/>
    <w:rsid w:val="0187342F"/>
    <w:rsid w:val="019458FC"/>
    <w:rsid w:val="01AF5B29"/>
    <w:rsid w:val="01CD3481"/>
    <w:rsid w:val="01DF6DD4"/>
    <w:rsid w:val="01F47CAA"/>
    <w:rsid w:val="02741985"/>
    <w:rsid w:val="0285780A"/>
    <w:rsid w:val="02867489"/>
    <w:rsid w:val="029C0550"/>
    <w:rsid w:val="02D42854"/>
    <w:rsid w:val="031D0912"/>
    <w:rsid w:val="033330AB"/>
    <w:rsid w:val="038906D8"/>
    <w:rsid w:val="03B4351B"/>
    <w:rsid w:val="03C02B97"/>
    <w:rsid w:val="03DE5A5A"/>
    <w:rsid w:val="03F704D6"/>
    <w:rsid w:val="04667ED5"/>
    <w:rsid w:val="04B12888"/>
    <w:rsid w:val="053D408C"/>
    <w:rsid w:val="05BA04AD"/>
    <w:rsid w:val="05E355AA"/>
    <w:rsid w:val="06090B0F"/>
    <w:rsid w:val="06B16D08"/>
    <w:rsid w:val="06DB43AB"/>
    <w:rsid w:val="06DF1FF2"/>
    <w:rsid w:val="06F40E6F"/>
    <w:rsid w:val="070C5F99"/>
    <w:rsid w:val="077C0FA1"/>
    <w:rsid w:val="078821A4"/>
    <w:rsid w:val="079365F1"/>
    <w:rsid w:val="07AA33EC"/>
    <w:rsid w:val="07D727EF"/>
    <w:rsid w:val="082258E7"/>
    <w:rsid w:val="0842466F"/>
    <w:rsid w:val="085F63D7"/>
    <w:rsid w:val="08DD4095"/>
    <w:rsid w:val="091E202E"/>
    <w:rsid w:val="093404FF"/>
    <w:rsid w:val="094F49C4"/>
    <w:rsid w:val="09857DB9"/>
    <w:rsid w:val="09995B5E"/>
    <w:rsid w:val="0A445538"/>
    <w:rsid w:val="0A4E61DE"/>
    <w:rsid w:val="0A787B6E"/>
    <w:rsid w:val="0A823A0A"/>
    <w:rsid w:val="0A976649"/>
    <w:rsid w:val="0AB609AA"/>
    <w:rsid w:val="0B290993"/>
    <w:rsid w:val="0B342FD1"/>
    <w:rsid w:val="0B676B2C"/>
    <w:rsid w:val="0B954E1C"/>
    <w:rsid w:val="0BC0345C"/>
    <w:rsid w:val="0BC652D6"/>
    <w:rsid w:val="0BCC2E43"/>
    <w:rsid w:val="0BDC63A6"/>
    <w:rsid w:val="0BFE4924"/>
    <w:rsid w:val="0C41095A"/>
    <w:rsid w:val="0D034B7E"/>
    <w:rsid w:val="0D441AA6"/>
    <w:rsid w:val="0D644858"/>
    <w:rsid w:val="0D80136C"/>
    <w:rsid w:val="0DEA18E9"/>
    <w:rsid w:val="0E8306BB"/>
    <w:rsid w:val="0E874952"/>
    <w:rsid w:val="0EE33677"/>
    <w:rsid w:val="0F2C0F52"/>
    <w:rsid w:val="0F9465A6"/>
    <w:rsid w:val="0FAF04D4"/>
    <w:rsid w:val="0FB42852"/>
    <w:rsid w:val="0FF012CD"/>
    <w:rsid w:val="0FF177D9"/>
    <w:rsid w:val="102726F1"/>
    <w:rsid w:val="103F3196"/>
    <w:rsid w:val="11090B78"/>
    <w:rsid w:val="11553E35"/>
    <w:rsid w:val="11863596"/>
    <w:rsid w:val="1197256F"/>
    <w:rsid w:val="11BD7637"/>
    <w:rsid w:val="11D335AC"/>
    <w:rsid w:val="11E66435"/>
    <w:rsid w:val="12D24667"/>
    <w:rsid w:val="12E1680A"/>
    <w:rsid w:val="136A4D79"/>
    <w:rsid w:val="13CF17CA"/>
    <w:rsid w:val="143053A8"/>
    <w:rsid w:val="143E280E"/>
    <w:rsid w:val="147B6C4E"/>
    <w:rsid w:val="14951D83"/>
    <w:rsid w:val="14AA6970"/>
    <w:rsid w:val="14BD72F0"/>
    <w:rsid w:val="14D069A0"/>
    <w:rsid w:val="156C504B"/>
    <w:rsid w:val="15725583"/>
    <w:rsid w:val="159008BC"/>
    <w:rsid w:val="159B7358"/>
    <w:rsid w:val="160F5935"/>
    <w:rsid w:val="163745A7"/>
    <w:rsid w:val="164068AD"/>
    <w:rsid w:val="16584E40"/>
    <w:rsid w:val="169734DD"/>
    <w:rsid w:val="177A53E6"/>
    <w:rsid w:val="17A33B59"/>
    <w:rsid w:val="17A96A9A"/>
    <w:rsid w:val="17AA0EB7"/>
    <w:rsid w:val="17D66B97"/>
    <w:rsid w:val="17E83F05"/>
    <w:rsid w:val="1803270E"/>
    <w:rsid w:val="1823063E"/>
    <w:rsid w:val="18BD2E29"/>
    <w:rsid w:val="19740D51"/>
    <w:rsid w:val="19A4054D"/>
    <w:rsid w:val="1A0033C6"/>
    <w:rsid w:val="1A172ED1"/>
    <w:rsid w:val="1A4049A4"/>
    <w:rsid w:val="1A775AAE"/>
    <w:rsid w:val="1AD37983"/>
    <w:rsid w:val="1AEC413F"/>
    <w:rsid w:val="1B7770EC"/>
    <w:rsid w:val="1C036AA0"/>
    <w:rsid w:val="1C0A1546"/>
    <w:rsid w:val="1C2D39A5"/>
    <w:rsid w:val="1C6655B3"/>
    <w:rsid w:val="1C865E96"/>
    <w:rsid w:val="1CA07D99"/>
    <w:rsid w:val="1CD7348F"/>
    <w:rsid w:val="1D1D2C4C"/>
    <w:rsid w:val="1D332EDA"/>
    <w:rsid w:val="1D73737C"/>
    <w:rsid w:val="1D8213E1"/>
    <w:rsid w:val="1DBA5CB2"/>
    <w:rsid w:val="1EE41BE5"/>
    <w:rsid w:val="1EF25D0C"/>
    <w:rsid w:val="1F0157C7"/>
    <w:rsid w:val="1F661774"/>
    <w:rsid w:val="1F6733B3"/>
    <w:rsid w:val="1FD33696"/>
    <w:rsid w:val="1FD94DF1"/>
    <w:rsid w:val="1FDF204D"/>
    <w:rsid w:val="1FF1297D"/>
    <w:rsid w:val="202B0A6C"/>
    <w:rsid w:val="20363E81"/>
    <w:rsid w:val="204B1E62"/>
    <w:rsid w:val="205659AB"/>
    <w:rsid w:val="207571B4"/>
    <w:rsid w:val="20823833"/>
    <w:rsid w:val="2100305C"/>
    <w:rsid w:val="21204254"/>
    <w:rsid w:val="21357883"/>
    <w:rsid w:val="21556359"/>
    <w:rsid w:val="21A51984"/>
    <w:rsid w:val="21AC72F4"/>
    <w:rsid w:val="220D1C78"/>
    <w:rsid w:val="223F4C5A"/>
    <w:rsid w:val="22482FBA"/>
    <w:rsid w:val="22677489"/>
    <w:rsid w:val="226C08E6"/>
    <w:rsid w:val="22A50907"/>
    <w:rsid w:val="22A94D80"/>
    <w:rsid w:val="22C55FC4"/>
    <w:rsid w:val="236029D8"/>
    <w:rsid w:val="2375510B"/>
    <w:rsid w:val="239D7DE5"/>
    <w:rsid w:val="24183F9D"/>
    <w:rsid w:val="24993867"/>
    <w:rsid w:val="24CD63C1"/>
    <w:rsid w:val="24E14767"/>
    <w:rsid w:val="250F2633"/>
    <w:rsid w:val="251A6F7C"/>
    <w:rsid w:val="259E5AB0"/>
    <w:rsid w:val="25B712EC"/>
    <w:rsid w:val="25B95C0C"/>
    <w:rsid w:val="26225F18"/>
    <w:rsid w:val="26245F54"/>
    <w:rsid w:val="263112BB"/>
    <w:rsid w:val="265C4F46"/>
    <w:rsid w:val="26A01AA9"/>
    <w:rsid w:val="26FA5545"/>
    <w:rsid w:val="26FC1213"/>
    <w:rsid w:val="270C62F9"/>
    <w:rsid w:val="271B3BF7"/>
    <w:rsid w:val="278F6142"/>
    <w:rsid w:val="279E7167"/>
    <w:rsid w:val="27CF6D4B"/>
    <w:rsid w:val="27D52B4D"/>
    <w:rsid w:val="27E939B8"/>
    <w:rsid w:val="281F3A00"/>
    <w:rsid w:val="284B2E0F"/>
    <w:rsid w:val="284E33C0"/>
    <w:rsid w:val="28521B3F"/>
    <w:rsid w:val="287D2A70"/>
    <w:rsid w:val="28A5748C"/>
    <w:rsid w:val="28CD2DB2"/>
    <w:rsid w:val="290B653F"/>
    <w:rsid w:val="290C0740"/>
    <w:rsid w:val="29261AD1"/>
    <w:rsid w:val="292B6BC4"/>
    <w:rsid w:val="298856C1"/>
    <w:rsid w:val="2995263D"/>
    <w:rsid w:val="29A555D9"/>
    <w:rsid w:val="29C341AD"/>
    <w:rsid w:val="2A294668"/>
    <w:rsid w:val="2A346954"/>
    <w:rsid w:val="2A3F2DD1"/>
    <w:rsid w:val="2AB436B4"/>
    <w:rsid w:val="2ADD36FD"/>
    <w:rsid w:val="2AEB0E39"/>
    <w:rsid w:val="2B2E5C1D"/>
    <w:rsid w:val="2BC4275F"/>
    <w:rsid w:val="2C190227"/>
    <w:rsid w:val="2C727FA3"/>
    <w:rsid w:val="2CD836C3"/>
    <w:rsid w:val="2CEB4181"/>
    <w:rsid w:val="2D52661D"/>
    <w:rsid w:val="2D6513A6"/>
    <w:rsid w:val="2D666F31"/>
    <w:rsid w:val="2E654071"/>
    <w:rsid w:val="2E797219"/>
    <w:rsid w:val="2EA76AF4"/>
    <w:rsid w:val="2EFB7F58"/>
    <w:rsid w:val="2F373749"/>
    <w:rsid w:val="2F377F7C"/>
    <w:rsid w:val="2F64267C"/>
    <w:rsid w:val="2FA8088A"/>
    <w:rsid w:val="2FDD442C"/>
    <w:rsid w:val="309B36BC"/>
    <w:rsid w:val="30DB5C7B"/>
    <w:rsid w:val="30E23DC5"/>
    <w:rsid w:val="31035C56"/>
    <w:rsid w:val="31114EC0"/>
    <w:rsid w:val="316B37B5"/>
    <w:rsid w:val="31D45F4D"/>
    <w:rsid w:val="31DD5894"/>
    <w:rsid w:val="31EB5FFC"/>
    <w:rsid w:val="32143444"/>
    <w:rsid w:val="32801CF7"/>
    <w:rsid w:val="32B276A1"/>
    <w:rsid w:val="32DB7BFE"/>
    <w:rsid w:val="331D6DD3"/>
    <w:rsid w:val="332A5E5B"/>
    <w:rsid w:val="33316E3C"/>
    <w:rsid w:val="33411DEB"/>
    <w:rsid w:val="338B0EAB"/>
    <w:rsid w:val="33A250D6"/>
    <w:rsid w:val="33DC1F41"/>
    <w:rsid w:val="34103B5F"/>
    <w:rsid w:val="341778C5"/>
    <w:rsid w:val="344D6EC0"/>
    <w:rsid w:val="34A86D72"/>
    <w:rsid w:val="34B17183"/>
    <w:rsid w:val="34D6300D"/>
    <w:rsid w:val="353D620E"/>
    <w:rsid w:val="358B173E"/>
    <w:rsid w:val="35A247DB"/>
    <w:rsid w:val="35C37D48"/>
    <w:rsid w:val="361D6035"/>
    <w:rsid w:val="3628373B"/>
    <w:rsid w:val="363F405B"/>
    <w:rsid w:val="368D612F"/>
    <w:rsid w:val="3692657F"/>
    <w:rsid w:val="36D55B1E"/>
    <w:rsid w:val="36DB7701"/>
    <w:rsid w:val="36E13739"/>
    <w:rsid w:val="36EF067F"/>
    <w:rsid w:val="37136937"/>
    <w:rsid w:val="37A03870"/>
    <w:rsid w:val="37B314BD"/>
    <w:rsid w:val="37B45F96"/>
    <w:rsid w:val="37CE368F"/>
    <w:rsid w:val="37D43D23"/>
    <w:rsid w:val="38242FE6"/>
    <w:rsid w:val="389C1D05"/>
    <w:rsid w:val="38C1763C"/>
    <w:rsid w:val="38C43E10"/>
    <w:rsid w:val="38F71F8E"/>
    <w:rsid w:val="392F14CD"/>
    <w:rsid w:val="397D5F8B"/>
    <w:rsid w:val="3A574DC9"/>
    <w:rsid w:val="3AF8527C"/>
    <w:rsid w:val="3B4D49FD"/>
    <w:rsid w:val="3B6072A0"/>
    <w:rsid w:val="3BA46004"/>
    <w:rsid w:val="3BE55007"/>
    <w:rsid w:val="3C291536"/>
    <w:rsid w:val="3C4251A1"/>
    <w:rsid w:val="3C46654F"/>
    <w:rsid w:val="3CDA6E78"/>
    <w:rsid w:val="3CEA4A05"/>
    <w:rsid w:val="3CF43D03"/>
    <w:rsid w:val="3CF92920"/>
    <w:rsid w:val="3D435F50"/>
    <w:rsid w:val="3D7B5A33"/>
    <w:rsid w:val="3DAC7512"/>
    <w:rsid w:val="3E06111A"/>
    <w:rsid w:val="3E496CD2"/>
    <w:rsid w:val="3E6E0AC3"/>
    <w:rsid w:val="3EA76CBC"/>
    <w:rsid w:val="3ECF2045"/>
    <w:rsid w:val="3F370D16"/>
    <w:rsid w:val="3FA04D9F"/>
    <w:rsid w:val="3FDE5C0F"/>
    <w:rsid w:val="40002E01"/>
    <w:rsid w:val="40056AEA"/>
    <w:rsid w:val="40740BE5"/>
    <w:rsid w:val="408A2019"/>
    <w:rsid w:val="40D13B0F"/>
    <w:rsid w:val="40D64BC0"/>
    <w:rsid w:val="41585ED5"/>
    <w:rsid w:val="41913F38"/>
    <w:rsid w:val="42061075"/>
    <w:rsid w:val="428F4DA0"/>
    <w:rsid w:val="42955237"/>
    <w:rsid w:val="42BE27E0"/>
    <w:rsid w:val="42E4108B"/>
    <w:rsid w:val="43671840"/>
    <w:rsid w:val="436C26FD"/>
    <w:rsid w:val="43B73F1A"/>
    <w:rsid w:val="43E639BC"/>
    <w:rsid w:val="44091C54"/>
    <w:rsid w:val="44653FFB"/>
    <w:rsid w:val="452A64EC"/>
    <w:rsid w:val="453B64C0"/>
    <w:rsid w:val="4549532C"/>
    <w:rsid w:val="454D0E01"/>
    <w:rsid w:val="45C0050B"/>
    <w:rsid w:val="45CD4445"/>
    <w:rsid w:val="46024367"/>
    <w:rsid w:val="46172F63"/>
    <w:rsid w:val="4632714C"/>
    <w:rsid w:val="463B7939"/>
    <w:rsid w:val="46733F07"/>
    <w:rsid w:val="46827CF1"/>
    <w:rsid w:val="46CB538E"/>
    <w:rsid w:val="46EF3383"/>
    <w:rsid w:val="47780476"/>
    <w:rsid w:val="47B769CD"/>
    <w:rsid w:val="47F7034D"/>
    <w:rsid w:val="481E33C9"/>
    <w:rsid w:val="48387BE3"/>
    <w:rsid w:val="48444974"/>
    <w:rsid w:val="484F4BC2"/>
    <w:rsid w:val="4877361E"/>
    <w:rsid w:val="487E290D"/>
    <w:rsid w:val="488B752C"/>
    <w:rsid w:val="48F62ACC"/>
    <w:rsid w:val="491C33EE"/>
    <w:rsid w:val="495335E7"/>
    <w:rsid w:val="496417E9"/>
    <w:rsid w:val="49814250"/>
    <w:rsid w:val="49872373"/>
    <w:rsid w:val="49997594"/>
    <w:rsid w:val="49B75465"/>
    <w:rsid w:val="49CF2AF7"/>
    <w:rsid w:val="49F86C6D"/>
    <w:rsid w:val="4A0F00F0"/>
    <w:rsid w:val="4A1B580D"/>
    <w:rsid w:val="4A4138CD"/>
    <w:rsid w:val="4A5021E3"/>
    <w:rsid w:val="4A781C26"/>
    <w:rsid w:val="4AA79C5D"/>
    <w:rsid w:val="4AF255B7"/>
    <w:rsid w:val="4B2C1B2A"/>
    <w:rsid w:val="4B676292"/>
    <w:rsid w:val="4BA742D1"/>
    <w:rsid w:val="4BBF08AD"/>
    <w:rsid w:val="4BF56DD6"/>
    <w:rsid w:val="4C1D7F69"/>
    <w:rsid w:val="4C620054"/>
    <w:rsid w:val="4C8845BD"/>
    <w:rsid w:val="4CA371B7"/>
    <w:rsid w:val="4CBB2749"/>
    <w:rsid w:val="4CBC4EB3"/>
    <w:rsid w:val="4CBD3B96"/>
    <w:rsid w:val="4D201A3E"/>
    <w:rsid w:val="4D3F7C3D"/>
    <w:rsid w:val="4D4D1601"/>
    <w:rsid w:val="4DB420C6"/>
    <w:rsid w:val="4DD43B9D"/>
    <w:rsid w:val="4E4D3CD5"/>
    <w:rsid w:val="4E62051F"/>
    <w:rsid w:val="4EC221C4"/>
    <w:rsid w:val="4EE83D74"/>
    <w:rsid w:val="4EF4135C"/>
    <w:rsid w:val="4F1335E9"/>
    <w:rsid w:val="4F19042A"/>
    <w:rsid w:val="4F1A7D2D"/>
    <w:rsid w:val="4F596D5F"/>
    <w:rsid w:val="4F883BB0"/>
    <w:rsid w:val="4FC3739E"/>
    <w:rsid w:val="4FD45920"/>
    <w:rsid w:val="4FF97EA7"/>
    <w:rsid w:val="50813F75"/>
    <w:rsid w:val="508F4E18"/>
    <w:rsid w:val="50F535E4"/>
    <w:rsid w:val="515B4BCA"/>
    <w:rsid w:val="51D059C9"/>
    <w:rsid w:val="51DE4AD1"/>
    <w:rsid w:val="52244F60"/>
    <w:rsid w:val="52331478"/>
    <w:rsid w:val="5285349C"/>
    <w:rsid w:val="528678D9"/>
    <w:rsid w:val="529D6371"/>
    <w:rsid w:val="52DB4C31"/>
    <w:rsid w:val="530364A3"/>
    <w:rsid w:val="535D6829"/>
    <w:rsid w:val="536129EF"/>
    <w:rsid w:val="539B5300"/>
    <w:rsid w:val="53BF70EF"/>
    <w:rsid w:val="54016992"/>
    <w:rsid w:val="540D340C"/>
    <w:rsid w:val="54545743"/>
    <w:rsid w:val="546E34BA"/>
    <w:rsid w:val="54787788"/>
    <w:rsid w:val="54A5707C"/>
    <w:rsid w:val="553B1CBA"/>
    <w:rsid w:val="5591003B"/>
    <w:rsid w:val="55957BBE"/>
    <w:rsid w:val="55A958D9"/>
    <w:rsid w:val="55E41C38"/>
    <w:rsid w:val="55F81343"/>
    <w:rsid w:val="56026402"/>
    <w:rsid w:val="56180294"/>
    <w:rsid w:val="56D9742C"/>
    <w:rsid w:val="573B4066"/>
    <w:rsid w:val="575F07A9"/>
    <w:rsid w:val="5773022A"/>
    <w:rsid w:val="57BF45E6"/>
    <w:rsid w:val="58066516"/>
    <w:rsid w:val="583B0699"/>
    <w:rsid w:val="583D0BD5"/>
    <w:rsid w:val="584678A0"/>
    <w:rsid w:val="586075B5"/>
    <w:rsid w:val="5867682C"/>
    <w:rsid w:val="589715D5"/>
    <w:rsid w:val="5899437F"/>
    <w:rsid w:val="58A66E90"/>
    <w:rsid w:val="58BD3BC3"/>
    <w:rsid w:val="58D0743E"/>
    <w:rsid w:val="58E46A19"/>
    <w:rsid w:val="58F12CD9"/>
    <w:rsid w:val="58FA03FD"/>
    <w:rsid w:val="594956AE"/>
    <w:rsid w:val="594A1D8E"/>
    <w:rsid w:val="59AD6AE8"/>
    <w:rsid w:val="5A140798"/>
    <w:rsid w:val="5A345DD8"/>
    <w:rsid w:val="5A3A6841"/>
    <w:rsid w:val="5A8C6A21"/>
    <w:rsid w:val="5ABD29AE"/>
    <w:rsid w:val="5AD16A74"/>
    <w:rsid w:val="5B2F1F7F"/>
    <w:rsid w:val="5BC94925"/>
    <w:rsid w:val="5C8C71E4"/>
    <w:rsid w:val="5CCE7404"/>
    <w:rsid w:val="5D14332F"/>
    <w:rsid w:val="5D212606"/>
    <w:rsid w:val="5D582CA1"/>
    <w:rsid w:val="5D887568"/>
    <w:rsid w:val="5DA84F6A"/>
    <w:rsid w:val="5DE46C08"/>
    <w:rsid w:val="5E061C34"/>
    <w:rsid w:val="5E554B4E"/>
    <w:rsid w:val="5E6D0792"/>
    <w:rsid w:val="5E854A36"/>
    <w:rsid w:val="5EB02BD9"/>
    <w:rsid w:val="5EDC1CD3"/>
    <w:rsid w:val="5EDD41BC"/>
    <w:rsid w:val="5EDE564F"/>
    <w:rsid w:val="5EFE2C1C"/>
    <w:rsid w:val="5F0F64F1"/>
    <w:rsid w:val="5F1622D7"/>
    <w:rsid w:val="5F2F5331"/>
    <w:rsid w:val="5F315EA9"/>
    <w:rsid w:val="5FAD78B7"/>
    <w:rsid w:val="5FAE1C26"/>
    <w:rsid w:val="5FF4446A"/>
    <w:rsid w:val="602C33F6"/>
    <w:rsid w:val="603743C0"/>
    <w:rsid w:val="605D6959"/>
    <w:rsid w:val="60A06E06"/>
    <w:rsid w:val="60DD2504"/>
    <w:rsid w:val="61057872"/>
    <w:rsid w:val="613E3746"/>
    <w:rsid w:val="615829B6"/>
    <w:rsid w:val="61E57333"/>
    <w:rsid w:val="625149F1"/>
    <w:rsid w:val="627944CE"/>
    <w:rsid w:val="62A06C0B"/>
    <w:rsid w:val="62DF12B8"/>
    <w:rsid w:val="62EC079C"/>
    <w:rsid w:val="6351322C"/>
    <w:rsid w:val="63A457E3"/>
    <w:rsid w:val="63DE0202"/>
    <w:rsid w:val="64517E4C"/>
    <w:rsid w:val="646A2AE3"/>
    <w:rsid w:val="64B05459"/>
    <w:rsid w:val="64B62545"/>
    <w:rsid w:val="64FA4794"/>
    <w:rsid w:val="651C45F8"/>
    <w:rsid w:val="65314431"/>
    <w:rsid w:val="653C5EF5"/>
    <w:rsid w:val="659E327C"/>
    <w:rsid w:val="65C904C4"/>
    <w:rsid w:val="65D77797"/>
    <w:rsid w:val="65E842B1"/>
    <w:rsid w:val="662155A7"/>
    <w:rsid w:val="664A73D5"/>
    <w:rsid w:val="66CF1559"/>
    <w:rsid w:val="66FC14BD"/>
    <w:rsid w:val="677011A4"/>
    <w:rsid w:val="67B36A9B"/>
    <w:rsid w:val="67D50076"/>
    <w:rsid w:val="67ED609E"/>
    <w:rsid w:val="67FF7A4C"/>
    <w:rsid w:val="6846275D"/>
    <w:rsid w:val="685C3CFE"/>
    <w:rsid w:val="6884565C"/>
    <w:rsid w:val="68A26C64"/>
    <w:rsid w:val="692F3C99"/>
    <w:rsid w:val="69623AA4"/>
    <w:rsid w:val="69AB1862"/>
    <w:rsid w:val="69CE3F91"/>
    <w:rsid w:val="6A2F0F93"/>
    <w:rsid w:val="6A5A4C82"/>
    <w:rsid w:val="6A5E315C"/>
    <w:rsid w:val="6A8D0EE2"/>
    <w:rsid w:val="6ACA7A04"/>
    <w:rsid w:val="6AD074B5"/>
    <w:rsid w:val="6AD662E8"/>
    <w:rsid w:val="6ADF3368"/>
    <w:rsid w:val="6B2241EA"/>
    <w:rsid w:val="6B541169"/>
    <w:rsid w:val="6B84623F"/>
    <w:rsid w:val="6BBA54CD"/>
    <w:rsid w:val="6BF711B4"/>
    <w:rsid w:val="6C7F2654"/>
    <w:rsid w:val="6CC618D1"/>
    <w:rsid w:val="6D5B76FC"/>
    <w:rsid w:val="6D7A228D"/>
    <w:rsid w:val="6D8C41DA"/>
    <w:rsid w:val="6DAE51A8"/>
    <w:rsid w:val="6DC977CD"/>
    <w:rsid w:val="6DCC3978"/>
    <w:rsid w:val="6E0730C1"/>
    <w:rsid w:val="6E1201A4"/>
    <w:rsid w:val="6E2C4084"/>
    <w:rsid w:val="6E535829"/>
    <w:rsid w:val="6E5811B4"/>
    <w:rsid w:val="6E9A6BA3"/>
    <w:rsid w:val="6EF33759"/>
    <w:rsid w:val="6EF42AB9"/>
    <w:rsid w:val="6F1631A6"/>
    <w:rsid w:val="6F181CA9"/>
    <w:rsid w:val="6F342C7F"/>
    <w:rsid w:val="6FA243A0"/>
    <w:rsid w:val="6FC347EA"/>
    <w:rsid w:val="70196485"/>
    <w:rsid w:val="703B2A65"/>
    <w:rsid w:val="704148AE"/>
    <w:rsid w:val="70547576"/>
    <w:rsid w:val="70870F19"/>
    <w:rsid w:val="709F4A6F"/>
    <w:rsid w:val="70A32C74"/>
    <w:rsid w:val="70BB63E6"/>
    <w:rsid w:val="71542E05"/>
    <w:rsid w:val="716578CB"/>
    <w:rsid w:val="71911372"/>
    <w:rsid w:val="71F328ED"/>
    <w:rsid w:val="722160F2"/>
    <w:rsid w:val="7249235F"/>
    <w:rsid w:val="72695E21"/>
    <w:rsid w:val="72843552"/>
    <w:rsid w:val="72977868"/>
    <w:rsid w:val="72C06094"/>
    <w:rsid w:val="72D84D1C"/>
    <w:rsid w:val="72E066ED"/>
    <w:rsid w:val="73796B46"/>
    <w:rsid w:val="73D46E59"/>
    <w:rsid w:val="73DA3FDF"/>
    <w:rsid w:val="73EE6A40"/>
    <w:rsid w:val="73F14E96"/>
    <w:rsid w:val="73FC4EF9"/>
    <w:rsid w:val="74020D1E"/>
    <w:rsid w:val="74187B62"/>
    <w:rsid w:val="74A33DC4"/>
    <w:rsid w:val="74A61A39"/>
    <w:rsid w:val="74D632A4"/>
    <w:rsid w:val="750D1161"/>
    <w:rsid w:val="7513051D"/>
    <w:rsid w:val="7551310E"/>
    <w:rsid w:val="7554721A"/>
    <w:rsid w:val="75716E03"/>
    <w:rsid w:val="75A23AF7"/>
    <w:rsid w:val="75A84144"/>
    <w:rsid w:val="75CA3A3E"/>
    <w:rsid w:val="76CE4908"/>
    <w:rsid w:val="76D07D48"/>
    <w:rsid w:val="77196534"/>
    <w:rsid w:val="775123B5"/>
    <w:rsid w:val="777127C1"/>
    <w:rsid w:val="778D61C6"/>
    <w:rsid w:val="77923E13"/>
    <w:rsid w:val="77AE4713"/>
    <w:rsid w:val="77CD0AF8"/>
    <w:rsid w:val="77F8193B"/>
    <w:rsid w:val="781D378C"/>
    <w:rsid w:val="784707E5"/>
    <w:rsid w:val="78926BDB"/>
    <w:rsid w:val="789F146C"/>
    <w:rsid w:val="78A43B3B"/>
    <w:rsid w:val="78B57177"/>
    <w:rsid w:val="79911A9B"/>
    <w:rsid w:val="79C92668"/>
    <w:rsid w:val="7A3542B1"/>
    <w:rsid w:val="7A895ED3"/>
    <w:rsid w:val="7ADA7929"/>
    <w:rsid w:val="7AED3C9A"/>
    <w:rsid w:val="7B1106F4"/>
    <w:rsid w:val="7B76372B"/>
    <w:rsid w:val="7BB75966"/>
    <w:rsid w:val="7BBA7D4F"/>
    <w:rsid w:val="7BFB6CE1"/>
    <w:rsid w:val="7C4F2C2D"/>
    <w:rsid w:val="7C6158D2"/>
    <w:rsid w:val="7C62370D"/>
    <w:rsid w:val="7C6D064E"/>
    <w:rsid w:val="7C6E0A31"/>
    <w:rsid w:val="7C7713DB"/>
    <w:rsid w:val="7C9B0F86"/>
    <w:rsid w:val="7CE10630"/>
    <w:rsid w:val="7CE4771D"/>
    <w:rsid w:val="7CE76B2A"/>
    <w:rsid w:val="7D4F193E"/>
    <w:rsid w:val="7D664E2A"/>
    <w:rsid w:val="7DB25EDF"/>
    <w:rsid w:val="7DC76379"/>
    <w:rsid w:val="7E91408F"/>
    <w:rsid w:val="7E9D4EA1"/>
    <w:rsid w:val="7EA7622E"/>
    <w:rsid w:val="7EB17464"/>
    <w:rsid w:val="7EC8772A"/>
    <w:rsid w:val="7F030EC3"/>
    <w:rsid w:val="7F647F5B"/>
    <w:rsid w:val="7FC5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ind w:firstLine="0" w:firstLineChars="0"/>
      <w:outlineLvl w:val="0"/>
    </w:pPr>
    <w:rPr>
      <w:b/>
      <w:bCs/>
      <w:kern w:val="44"/>
      <w:sz w:val="30"/>
      <w:szCs w:val="44"/>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qFormat/>
    <w:uiPriority w:val="0"/>
    <w:pPr>
      <w:widowControl w:val="0"/>
      <w:spacing w:line="360" w:lineRule="auto"/>
      <w:ind w:firstLine="200" w:firstLineChars="200"/>
      <w:jc w:val="left"/>
    </w:pPr>
    <w:rPr>
      <w:rFonts w:ascii="Times New Roman" w:hAnsi="Times New Roman" w:eastAsia="宋体" w:cs="Times New Roman"/>
      <w:kern w:val="2"/>
      <w:sz w:val="24"/>
      <w:szCs w:val="22"/>
      <w:lang w:val="en-US" w:eastAsia="zh-CN" w:bidi="ar-SA"/>
    </w:rPr>
  </w:style>
  <w:style w:type="paragraph" w:styleId="5">
    <w:name w:val="Body Text"/>
    <w:basedOn w:val="1"/>
    <w:next w:val="1"/>
    <w:unhideWhenUsed/>
    <w:qFormat/>
    <w:uiPriority w:val="0"/>
    <w:pPr>
      <w:spacing w:after="120" w:line="240" w:lineRule="auto"/>
      <w:ind w:firstLine="0" w:firstLineChars="0"/>
    </w:pPr>
    <w:rPr>
      <w:kern w:val="0"/>
      <w:sz w:val="20"/>
      <w:szCs w:val="24"/>
    </w:r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index heading"/>
    <w:basedOn w:val="1"/>
    <w:next w:val="9"/>
    <w:qFormat/>
    <w:uiPriority w:val="0"/>
    <w:rPr>
      <w:rFonts w:ascii="Arial" w:hAnsi="Arial"/>
      <w:b/>
    </w:rPr>
  </w:style>
  <w:style w:type="paragraph" w:styleId="9">
    <w:name w:val="index 1"/>
    <w:basedOn w:val="1"/>
    <w:next w:val="1"/>
    <w:qFormat/>
    <w:uiPriority w:val="0"/>
    <w:pPr>
      <w:spacing w:line="240" w:lineRule="exact"/>
      <w:jc w:val="left"/>
    </w:pPr>
    <w:rPr>
      <w:b/>
      <w:kern w:val="0"/>
      <w:szCs w:val="21"/>
    </w:rPr>
  </w:style>
  <w:style w:type="paragraph" w:styleId="10">
    <w:name w:val="footer"/>
    <w:basedOn w:val="1"/>
    <w:unhideWhenUsed/>
    <w:qFormat/>
    <w:uiPriority w:val="0"/>
    <w:pPr>
      <w:tabs>
        <w:tab w:val="center" w:pos="4153"/>
        <w:tab w:val="right" w:pos="8306"/>
      </w:tabs>
      <w:snapToGrid w:val="0"/>
      <w:spacing w:line="240" w:lineRule="auto"/>
      <w:jc w:val="left"/>
    </w:pPr>
    <w:rPr>
      <w:sz w:val="18"/>
      <w:szCs w:val="18"/>
    </w:rPr>
  </w:style>
  <w:style w:type="paragraph" w:styleId="11">
    <w:name w:val="toc 1"/>
    <w:basedOn w:val="1"/>
    <w:next w:val="1"/>
    <w:unhideWhenUsed/>
    <w:qFormat/>
    <w:uiPriority w:val="39"/>
  </w:style>
  <w:style w:type="paragraph" w:styleId="12">
    <w:name w:val="Normal (Web)"/>
    <w:qFormat/>
    <w:uiPriority w:val="0"/>
    <w:pPr>
      <w:widowControl/>
      <w:spacing w:before="100" w:beforeAutospacing="1" w:after="100" w:afterAutospacing="1"/>
      <w:jc w:val="left"/>
    </w:pPr>
    <w:rPr>
      <w:rFonts w:ascii="宋体" w:hAnsi="宋体" w:eastAsia="宋体" w:cs="Times New Roman"/>
      <w:kern w:val="0"/>
      <w:sz w:val="24"/>
      <w:szCs w:val="20"/>
      <w:lang w:val="en-US" w:eastAsia="zh-CN" w:bidi="ar-SA"/>
    </w:rPr>
  </w:style>
  <w:style w:type="paragraph" w:styleId="13">
    <w:name w:val="Body Text First Indent"/>
    <w:basedOn w:val="5"/>
    <w:next w:val="1"/>
    <w:unhideWhenUsed/>
    <w:qFormat/>
    <w:uiPriority w:val="99"/>
    <w:pPr>
      <w:widowControl w:val="0"/>
      <w:adjustRightInd/>
      <w:snapToGrid/>
      <w:spacing w:line="240" w:lineRule="auto"/>
      <w:ind w:firstLine="420" w:firstLineChars="100"/>
    </w:pPr>
    <w:rPr>
      <w:sz w:val="21"/>
    </w:rPr>
  </w:style>
  <w:style w:type="paragraph" w:styleId="14">
    <w:name w:val="Body Text First Indent 2"/>
    <w:basedOn w:val="6"/>
    <w:next w:val="13"/>
    <w:qFormat/>
    <w:uiPriority w:val="0"/>
    <w:pPr>
      <w:widowControl w:val="0"/>
      <w:spacing w:after="120" w:line="240" w:lineRule="auto"/>
      <w:ind w:left="420" w:leftChars="200" w:firstLine="420" w:firstLineChars="200"/>
      <w:jc w:val="both"/>
    </w:pPr>
    <w:rPr>
      <w:rFonts w:ascii="Times New Roman" w:hAnsi="Times New Roman" w:eastAsia="宋体" w:cs="Calibri"/>
      <w:kern w:val="0"/>
      <w:sz w:val="24"/>
      <w:szCs w:val="24"/>
      <w:lang w:val="en-US" w:eastAsia="zh-CN" w:bidi="ar-SA"/>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5"/>
    <w:basedOn w:val="19"/>
    <w:next w:val="1"/>
    <w:qFormat/>
    <w:uiPriority w:val="0"/>
    <w:pPr>
      <w:tabs>
        <w:tab w:val="left" w:pos="420"/>
        <w:tab w:val="left" w:pos="1589"/>
      </w:tabs>
      <w:adjustRightInd w:val="0"/>
      <w:spacing w:line="480" w:lineRule="exact"/>
      <w:ind w:firstLine="480"/>
      <w:jc w:val="left"/>
    </w:pPr>
    <w:rPr>
      <w:rFonts w:ascii="宋体" w:hAnsi="宋体"/>
      <w:b/>
      <w:snapToGrid w:val="0"/>
      <w:szCs w:val="24"/>
    </w:rPr>
  </w:style>
  <w:style w:type="paragraph" w:customStyle="1" w:styleId="19">
    <w:name w:val="正文1"/>
    <w:basedOn w:val="1"/>
    <w:next w:val="1"/>
    <w:qFormat/>
    <w:uiPriority w:val="0"/>
    <w:pPr>
      <w:snapToGrid w:val="0"/>
      <w:spacing w:line="270" w:lineRule="exact"/>
      <w:jc w:val="center"/>
    </w:pPr>
    <w:rPr>
      <w:spacing w:val="8"/>
      <w:kern w:val="21"/>
      <w:szCs w:val="20"/>
    </w:rPr>
  </w:style>
  <w:style w:type="paragraph" w:customStyle="1" w:styleId="20">
    <w:name w:val="_Style 4"/>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1">
    <w:name w:val="表格内容"/>
    <w:basedOn w:val="22"/>
    <w:next w:val="1"/>
    <w:qFormat/>
    <w:uiPriority w:val="0"/>
    <w:pPr>
      <w:keepNext/>
      <w:overflowPunct w:val="0"/>
      <w:adjustRightInd w:val="0"/>
      <w:jc w:val="center"/>
      <w:textAlignment w:val="baseline"/>
    </w:pPr>
    <w:rPr>
      <w:rFonts w:ascii="宋体" w:hAnsi="Arial"/>
      <w:sz w:val="24"/>
      <w:lang w:val="en-US" w:eastAsia="zh-CN" w:bidi="ar-SA"/>
    </w:rPr>
  </w:style>
  <w:style w:type="paragraph" w:customStyle="1" w:styleId="22">
    <w:name w:val="+正文"/>
    <w:basedOn w:val="1"/>
    <w:qFormat/>
    <w:uiPriority w:val="0"/>
    <w:pPr>
      <w:spacing w:line="360" w:lineRule="auto"/>
      <w:ind w:firstLine="200" w:firstLineChars="200"/>
    </w:pPr>
    <w:rPr>
      <w:kern w:val="0"/>
      <w:sz w:val="28"/>
      <w:szCs w:val="28"/>
    </w:rPr>
  </w:style>
  <w:style w:type="paragraph" w:customStyle="1" w:styleId="23">
    <w:name w:val="注解"/>
    <w:basedOn w:val="2"/>
    <w:qFormat/>
    <w:uiPriority w:val="0"/>
    <w:pPr>
      <w:widowControl w:val="0"/>
      <w:jc w:val="both"/>
    </w:pPr>
    <w:rPr>
      <w:rFonts w:ascii="宋体" w:hAnsi="Arial Black"/>
      <w:kern w:val="2"/>
      <w:sz w:val="15"/>
      <w:lang w:val="en-US" w:eastAsia="zh-CN" w:bidi="ar-SA"/>
    </w:rPr>
  </w:style>
  <w:style w:type="paragraph" w:customStyle="1" w:styleId="24">
    <w:name w:val="表格内容 GH"/>
    <w:basedOn w:val="1"/>
    <w:qFormat/>
    <w:uiPriority w:val="0"/>
    <w:pPr>
      <w:adjustRightInd w:val="0"/>
      <w:snapToGrid w:val="0"/>
      <w:spacing w:line="240" w:lineRule="auto"/>
      <w:ind w:firstLine="0" w:firstLineChars="0"/>
      <w:jc w:val="center"/>
    </w:pPr>
    <w:rPr>
      <w:rFonts w:ascii="Times" w:hAnsi="Times" w:cs="Times New Roman"/>
      <w:sz w:val="21"/>
      <w:szCs w:val="21"/>
    </w:rPr>
  </w:style>
  <w:style w:type="paragraph" w:customStyle="1" w:styleId="25">
    <w:name w:val="表格/图表标题"/>
    <w:next w:val="1"/>
    <w:qFormat/>
    <w:uiPriority w:val="0"/>
    <w:pPr>
      <w:widowControl w:val="0"/>
      <w:spacing w:beforeLines="50"/>
      <w:jc w:val="center"/>
    </w:pPr>
    <w:rPr>
      <w:rFonts w:ascii="Calibri" w:hAnsi="Calibri" w:eastAsia="宋体" w:cs="Times New Roman"/>
      <w:b/>
      <w:bCs/>
      <w:sz w:val="22"/>
      <w:lang w:val="en-US" w:eastAsia="zh-CN" w:bidi="ar-SA"/>
    </w:rPr>
  </w:style>
  <w:style w:type="paragraph" w:customStyle="1" w:styleId="26">
    <w:name w:val="表格111111111"/>
    <w:qFormat/>
    <w:uiPriority w:val="0"/>
    <w:pPr>
      <w:keepNext/>
      <w:widowControl w:val="0"/>
      <w:adjustRightInd w:val="0"/>
      <w:snapToGrid w:val="0"/>
      <w:jc w:val="center"/>
      <w:textAlignment w:val="baseline"/>
    </w:pPr>
    <w:rPr>
      <w:rFonts w:ascii="Times New Roman" w:hAnsi="Times New Roman" w:eastAsia="宋体" w:cs="宋体"/>
      <w:sz w:val="21"/>
      <w:lang w:val="en-US" w:eastAsia="zh-CN" w:bidi="ar-SA"/>
    </w:rPr>
  </w:style>
  <w:style w:type="paragraph" w:customStyle="1" w:styleId="27">
    <w:name w:val="表格"/>
    <w:next w:val="1"/>
    <w:qFormat/>
    <w:uiPriority w:val="0"/>
    <w:pPr>
      <w:widowControl w:val="0"/>
      <w:adjustRightInd w:val="0"/>
      <w:snapToGrid w:val="0"/>
      <w:spacing w:beforeLines="10" w:afterLines="10" w:line="259" w:lineRule="auto"/>
      <w:jc w:val="center"/>
    </w:pPr>
    <w:rPr>
      <w:rFonts w:ascii="宋体" w:hAnsi="Times New Roman" w:eastAsia="宋体" w:cs="Times New Roman"/>
      <w:kern w:val="0"/>
      <w:sz w:val="21"/>
      <w:szCs w:val="20"/>
      <w:lang w:val="en-US" w:eastAsia="zh-CN" w:bidi="ar-SA"/>
    </w:rPr>
  </w:style>
  <w:style w:type="paragraph" w:customStyle="1" w:styleId="28">
    <w:name w:val="SC正文"/>
    <w:qFormat/>
    <w:uiPriority w:val="0"/>
    <w:pPr>
      <w:widowControl w:val="0"/>
      <w:adjustRightInd w:val="0"/>
      <w:snapToGrid w:val="0"/>
      <w:spacing w:line="324" w:lineRule="auto"/>
      <w:ind w:firstLine="560" w:firstLineChars="200"/>
      <w:jc w:val="both"/>
    </w:pPr>
    <w:rPr>
      <w:rFonts w:ascii="仿宋_GB2312" w:hAnsi="Times New Roman" w:eastAsia="仿宋_GB2312" w:cs="Calibri"/>
      <w:color w:val="0000FF"/>
      <w:kern w:val="2"/>
      <w:sz w:val="24"/>
      <w:szCs w:val="28"/>
      <w:lang w:val="en-US" w:eastAsia="zh-CN" w:bidi="ar-SA"/>
    </w:rPr>
  </w:style>
  <w:style w:type="paragraph" w:customStyle="1" w:styleId="29">
    <w:name w:val="SC表头"/>
    <w:qFormat/>
    <w:uiPriority w:val="0"/>
    <w:pPr>
      <w:widowControl w:val="0"/>
      <w:adjustRightInd w:val="0"/>
      <w:snapToGrid w:val="0"/>
      <w:spacing w:line="240" w:lineRule="auto"/>
      <w:jc w:val="center"/>
    </w:pPr>
    <w:rPr>
      <w:rFonts w:ascii="仿宋_GB2312" w:hAnsi="Times New Roman" w:eastAsia="仿宋_GB2312" w:cs="Calibri"/>
      <w:b/>
      <w:color w:val="0000FF"/>
      <w:kern w:val="2"/>
      <w:sz w:val="24"/>
      <w:lang w:val="en-US" w:eastAsia="zh-CN" w:bidi="ar-SA"/>
    </w:rPr>
  </w:style>
  <w:style w:type="paragraph" w:styleId="30">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1">
    <w:name w:val="段落正文"/>
    <w:qFormat/>
    <w:uiPriority w:val="0"/>
    <w:pPr>
      <w:widowControl w:val="0"/>
      <w:spacing w:line="360" w:lineRule="auto"/>
      <w:ind w:firstLine="480" w:firstLineChars="200"/>
      <w:jc w:val="both"/>
    </w:pPr>
    <w:rPr>
      <w:rFonts w:ascii="Times New Roman" w:hAnsi="Times New Roman" w:eastAsia="宋体" w:cs="宋体"/>
      <w:kern w:val="2"/>
      <w:sz w:val="24"/>
      <w:szCs w:val="20"/>
      <w:lang w:val="en-US" w:eastAsia="zh-CN" w:bidi="ar-SA"/>
    </w:rPr>
  </w:style>
  <w:style w:type="table" w:customStyle="1" w:styleId="32">
    <w:name w:val="Table Normal1"/>
    <w:qFormat/>
    <w:uiPriority w:val="0"/>
    <w:rPr>
      <w:rFonts w:eastAsia="Times New Roman"/>
      <w:kern w:val="2"/>
      <w:sz w:val="21"/>
      <w:szCs w:val="22"/>
    </w:rPr>
    <w:tblPr>
      <w:tblCellMar>
        <w:top w:w="0" w:type="dxa"/>
        <w:left w:w="0" w:type="dxa"/>
        <w:bottom w:w="0" w:type="dxa"/>
        <w:right w:w="0" w:type="dxa"/>
      </w:tblCellMar>
    </w:tblPr>
  </w:style>
  <w:style w:type="paragraph" w:customStyle="1" w:styleId="33">
    <w:name w:val="Table Paragraph"/>
    <w:basedOn w:val="1"/>
    <w:qFormat/>
    <w:uiPriority w:val="0"/>
  </w:style>
  <w:style w:type="character" w:customStyle="1" w:styleId="34">
    <w:name w:val="标题 3 Char"/>
    <w:qFormat/>
    <w:uiPriority w:val="0"/>
    <w:rPr>
      <w:szCs w:val="20"/>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2.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34041</Words>
  <Characters>39769</Characters>
  <Lines>45</Lines>
  <Paragraphs>12</Paragraphs>
  <TotalTime>1</TotalTime>
  <ScaleCrop>false</ScaleCrop>
  <LinksUpToDate>false</LinksUpToDate>
  <CharactersWithSpaces>39892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2021-02-25T15:44:00Z</dcterms:created>
  <dc:creator>aa</dc:creator>
  <cp:lastModifiedBy>user</cp:lastModifiedBy>
  <cp:lastPrinted>2022-07-07T11:52:00Z</cp:lastPrinted>
  <dcterms:modified xsi:type="dcterms:W3CDTF">2023-02-22T17:29:05Z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E328AE57079C4B7CA977BB1099DF9272</vt:lpwstr>
  </property>
</Properties>
</file>