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800" w:lineRule="exact"/>
        <w:jc w:val="center"/>
        <w:rPr>
          <w:rFonts w:hint="eastAsia" w:ascii="方正小标宋_GBK" w:hAnsi="宋体" w:eastAsia="方正小标宋_GBK" w:cs="宋体"/>
          <w:bCs/>
          <w:w w:val="9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w w:val="90"/>
          <w:kern w:val="0"/>
          <w:sz w:val="36"/>
          <w:szCs w:val="36"/>
        </w:rPr>
        <w:t>宜良县部门（单位）整体支出绩效评价自评报告</w:t>
      </w:r>
    </w:p>
    <w:p>
      <w:pPr>
        <w:widowControl/>
        <w:spacing w:before="100" w:beforeAutospacing="1" w:after="100" w:afterAutospacing="1" w:line="800" w:lineRule="exact"/>
        <w:jc w:val="center"/>
        <w:rPr>
          <w:rFonts w:hint="eastAsia" w:ascii="黑体" w:hAnsi="宋体" w:eastAsia="黑体" w:cs="宋体"/>
          <w:bCs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Cs/>
          <w:kern w:val="0"/>
          <w:sz w:val="24"/>
          <w:szCs w:val="32"/>
        </w:rPr>
        <w:t>（</w:t>
      </w:r>
      <w:r>
        <w:rPr>
          <w:rFonts w:hint="eastAsia" w:ascii="楷体_GB2312" w:hAnsi="宋体" w:eastAsia="楷体_GB2312" w:cs="宋体"/>
          <w:bCs/>
          <w:kern w:val="0"/>
          <w:sz w:val="24"/>
          <w:szCs w:val="32"/>
          <w:lang w:val="en-US" w:eastAsia="zh-CN"/>
        </w:rPr>
        <w:t>2021</w:t>
      </w:r>
      <w:r>
        <w:rPr>
          <w:rFonts w:hint="eastAsia" w:ascii="楷体_GB2312" w:hAnsi="宋体" w:eastAsia="楷体_GB2312" w:cs="宋体"/>
          <w:bCs/>
          <w:kern w:val="0"/>
          <w:sz w:val="24"/>
          <w:szCs w:val="32"/>
        </w:rPr>
        <w:t>年度）</w:t>
      </w:r>
    </w:p>
    <w:p>
      <w:pPr>
        <w:widowControl/>
        <w:spacing w:before="100" w:beforeAutospacing="1" w:after="100" w:afterAutospacing="1" w:line="460" w:lineRule="atLeast"/>
        <w:jc w:val="left"/>
        <w:rPr>
          <w:rFonts w:ascii="宋体" w:hAnsi="宋体" w:eastAsia="仿宋_GB2312" w:cs="宋体"/>
          <w:b/>
          <w:kern w:val="0"/>
          <w:sz w:val="24"/>
        </w:rPr>
      </w:pPr>
    </w:p>
    <w:p>
      <w:pPr>
        <w:widowControl/>
        <w:spacing w:before="100" w:beforeAutospacing="1" w:after="100" w:afterAutospacing="1" w:line="460" w:lineRule="atLeast"/>
        <w:jc w:val="left"/>
        <w:rPr>
          <w:rFonts w:ascii="宋体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before="156" w:beforeLines="50" w:after="100" w:afterAutospacing="1" w:line="348" w:lineRule="auto"/>
        <w:ind w:firstLine="830" w:firstLineChars="346"/>
        <w:jc w:val="left"/>
        <w:rPr>
          <w:rFonts w:ascii="宋体" w:hAnsi="宋体" w:eastAsia="仿宋_GB2312" w:cs="宋体"/>
          <w:kern w:val="0"/>
          <w:sz w:val="24"/>
          <w:u w:val="single"/>
        </w:rPr>
      </w:pPr>
      <w:r>
        <w:rPr>
          <w:rFonts w:hint="eastAsia" w:hAnsi="宋体" w:eastAsia="仿宋_GB2312" w:cs="宋体"/>
          <w:kern w:val="0"/>
          <w:sz w:val="24"/>
        </w:rPr>
        <w:t>部门</w:t>
      </w:r>
      <w:r>
        <w:rPr>
          <w:rFonts w:ascii="宋体" w:hAnsi="宋体" w:eastAsia="仿宋_GB2312" w:cs="宋体"/>
          <w:kern w:val="0"/>
          <w:sz w:val="24"/>
        </w:rPr>
        <w:t>(</w:t>
      </w:r>
      <w:r>
        <w:rPr>
          <w:rFonts w:hint="eastAsia" w:hAnsi="宋体" w:eastAsia="仿宋_GB2312" w:cs="宋体"/>
          <w:kern w:val="0"/>
          <w:sz w:val="24"/>
        </w:rPr>
        <w:t>单位</w:t>
      </w:r>
      <w:r>
        <w:rPr>
          <w:rFonts w:ascii="宋体" w:hAnsi="宋体" w:eastAsia="仿宋_GB2312" w:cs="宋体"/>
          <w:kern w:val="0"/>
          <w:sz w:val="24"/>
        </w:rPr>
        <w:t>)</w:t>
      </w:r>
      <w:r>
        <w:rPr>
          <w:rFonts w:hint="eastAsia" w:hAnsi="宋体" w:eastAsia="仿宋_GB2312" w:cs="宋体"/>
          <w:kern w:val="0"/>
          <w:sz w:val="24"/>
        </w:rPr>
        <w:t>名称</w:t>
      </w:r>
      <w:r>
        <w:rPr>
          <w:rFonts w:ascii="宋体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eastAsia="仿宋_GB2312" w:cs="宋体"/>
          <w:kern w:val="0"/>
          <w:sz w:val="24"/>
          <w:u w:val="single"/>
          <w:lang w:eastAsia="zh-CN"/>
        </w:rPr>
        <w:t>宜良县交通运输局</w:t>
      </w:r>
      <w:r>
        <w:rPr>
          <w:rFonts w:hint="eastAsia" w:ascii="宋体" w:hAnsi="宋体" w:eastAsia="仿宋_GB2312" w:cs="宋体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宋体" w:hAnsi="宋体" w:eastAsia="仿宋_GB2312" w:cs="宋体"/>
          <w:kern w:val="0"/>
          <w:sz w:val="24"/>
          <w:u w:val="single"/>
        </w:rPr>
        <w:t xml:space="preserve">       </w:t>
      </w:r>
    </w:p>
    <w:p>
      <w:pPr>
        <w:widowControl/>
        <w:spacing w:before="156" w:beforeLines="50" w:after="100" w:afterAutospacing="1" w:line="348" w:lineRule="auto"/>
        <w:ind w:firstLine="830" w:firstLineChars="346"/>
        <w:jc w:val="left"/>
        <w:rPr>
          <w:rFonts w:ascii="宋体" w:hAnsi="宋体" w:eastAsia="仿宋_GB2312" w:cs="宋体"/>
          <w:kern w:val="0"/>
          <w:sz w:val="24"/>
        </w:rPr>
      </w:pPr>
      <w:r>
        <w:rPr>
          <w:rFonts w:hint="eastAsia" w:hAnsi="宋体" w:eastAsia="仿宋_GB2312" w:cs="宋体"/>
          <w:kern w:val="0"/>
          <w:sz w:val="24"/>
        </w:rPr>
        <w:t>预算编码</w:t>
      </w:r>
      <w:r>
        <w:rPr>
          <w:rFonts w:ascii="宋体" w:hAnsi="宋体" w:eastAsia="仿宋_GB2312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eastAsia="仿宋_GB2312" w:cs="宋体"/>
          <w:kern w:val="0"/>
          <w:sz w:val="24"/>
          <w:u w:val="single"/>
          <w:lang w:val="en-US" w:eastAsia="zh-CN"/>
        </w:rPr>
        <w:t>123001</w:t>
      </w:r>
      <w:r>
        <w:rPr>
          <w:rFonts w:ascii="宋体" w:hAnsi="宋体" w:eastAsia="仿宋_GB2312" w:cs="宋体"/>
          <w:kern w:val="0"/>
          <w:sz w:val="24"/>
          <w:u w:val="single"/>
        </w:rPr>
        <w:t xml:space="preserve">                             </w:t>
      </w:r>
    </w:p>
    <w:p>
      <w:pPr>
        <w:widowControl/>
        <w:spacing w:before="156" w:beforeLines="50" w:after="100" w:afterAutospacing="1" w:line="348" w:lineRule="auto"/>
        <w:ind w:firstLine="948" w:firstLineChars="395"/>
        <w:jc w:val="left"/>
        <w:rPr>
          <w:rFonts w:ascii="宋体" w:hAnsi="宋体" w:eastAsia="仿宋_GB2312" w:cs="宋体"/>
          <w:kern w:val="0"/>
          <w:sz w:val="24"/>
        </w:rPr>
      </w:pPr>
      <w:r>
        <w:rPr>
          <w:rFonts w:hint="eastAsia" w:hAnsi="宋体" w:eastAsia="仿宋_GB2312" w:cs="宋体"/>
          <w:kern w:val="0"/>
          <w:sz w:val="24"/>
        </w:rPr>
        <w:t>评价方式：部门（单位）绩效自评</w:t>
      </w:r>
    </w:p>
    <w:p>
      <w:pPr>
        <w:widowControl/>
        <w:spacing w:before="156" w:beforeLines="50" w:after="100" w:afterAutospacing="1" w:line="348" w:lineRule="auto"/>
        <w:ind w:firstLine="948" w:firstLineChars="395"/>
        <w:jc w:val="left"/>
        <w:rPr>
          <w:rFonts w:ascii="宋体" w:hAnsi="宋体" w:eastAsia="仿宋_GB2312" w:cs="宋体"/>
          <w:kern w:val="0"/>
          <w:sz w:val="24"/>
        </w:rPr>
      </w:pPr>
      <w:r>
        <w:rPr>
          <w:rFonts w:hint="eastAsia" w:hAnsi="宋体" w:eastAsia="仿宋_GB2312" w:cs="宋体"/>
          <w:kern w:val="0"/>
          <w:sz w:val="24"/>
        </w:rPr>
        <w:t>评价机构：部门（单位）评价组</w:t>
      </w:r>
      <w:r>
        <w:rPr>
          <w:rFonts w:ascii="宋体" w:hAnsi="宋体" w:eastAsia="仿宋_GB2312" w:cs="宋体"/>
          <w:kern w:val="0"/>
          <w:sz w:val="24"/>
        </w:rPr>
        <w:t xml:space="preserve">   </w:t>
      </w:r>
    </w:p>
    <w:p>
      <w:pPr>
        <w:widowControl/>
        <w:spacing w:before="100" w:beforeAutospacing="1" w:after="100" w:afterAutospacing="1" w:line="348" w:lineRule="auto"/>
        <w:ind w:firstLine="1656" w:firstLineChars="690"/>
        <w:jc w:val="left"/>
        <w:rPr>
          <w:rFonts w:hint="eastAsia" w:hAnsi="宋体" w:eastAsia="仿宋_GB2312" w:cs="宋体"/>
          <w:kern w:val="0"/>
          <w:sz w:val="24"/>
        </w:rPr>
      </w:pPr>
    </w:p>
    <w:p>
      <w:pPr>
        <w:widowControl/>
        <w:spacing w:before="100" w:beforeAutospacing="1" w:after="100" w:afterAutospacing="1" w:line="348" w:lineRule="auto"/>
        <w:ind w:firstLine="1656" w:firstLineChars="690"/>
        <w:jc w:val="left"/>
        <w:rPr>
          <w:rFonts w:hint="eastAsia" w:hAnsi="宋体" w:eastAsia="仿宋_GB2312" w:cs="宋体"/>
          <w:kern w:val="0"/>
          <w:sz w:val="24"/>
        </w:rPr>
      </w:pPr>
    </w:p>
    <w:p>
      <w:pPr>
        <w:widowControl/>
        <w:spacing w:before="100" w:beforeAutospacing="1" w:after="100" w:afterAutospacing="1" w:line="348" w:lineRule="auto"/>
        <w:ind w:firstLine="1656" w:firstLineChars="690"/>
        <w:jc w:val="left"/>
        <w:rPr>
          <w:rFonts w:hint="eastAsia" w:hAnsi="宋体" w:eastAsia="仿宋_GB2312" w:cs="宋体"/>
          <w:kern w:val="0"/>
          <w:sz w:val="24"/>
        </w:rPr>
      </w:pPr>
    </w:p>
    <w:p>
      <w:pPr>
        <w:widowControl/>
        <w:spacing w:before="100" w:beforeAutospacing="1" w:after="100" w:afterAutospacing="1" w:line="348" w:lineRule="auto"/>
        <w:ind w:firstLine="1650" w:firstLineChars="550"/>
        <w:jc w:val="left"/>
        <w:rPr>
          <w:rFonts w:ascii="宋体" w:hAnsi="宋体" w:eastAsia="仿宋_GB2312" w:cs="宋体"/>
          <w:kern w:val="0"/>
          <w:sz w:val="30"/>
          <w:szCs w:val="30"/>
        </w:rPr>
      </w:pPr>
      <w:r>
        <w:rPr>
          <w:rFonts w:hint="eastAsia" w:hAnsi="宋体" w:eastAsia="仿宋_GB2312" w:cs="宋体"/>
          <w:kern w:val="0"/>
          <w:sz w:val="30"/>
          <w:szCs w:val="30"/>
        </w:rPr>
        <w:t>报告日期：</w:t>
      </w:r>
      <w:r>
        <w:rPr>
          <w:rFonts w:hint="eastAsia" w:ascii="宋体" w:hAnsi="宋体" w:eastAsia="仿宋_GB2312" w:cs="宋体"/>
          <w:kern w:val="0"/>
          <w:sz w:val="30"/>
          <w:szCs w:val="30"/>
          <w:lang w:val="en-US" w:eastAsia="zh-CN"/>
        </w:rPr>
        <w:t>2022</w:t>
      </w:r>
      <w:r>
        <w:rPr>
          <w:rFonts w:hint="eastAsia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宋体" w:hAnsi="宋体" w:eastAsia="仿宋_GB2312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hAnsi="宋体" w:eastAsia="仿宋_GB2312" w:cs="宋体"/>
          <w:kern w:val="0"/>
          <w:sz w:val="30"/>
          <w:szCs w:val="30"/>
        </w:rPr>
        <w:t>月</w:t>
      </w:r>
      <w:r>
        <w:rPr>
          <w:rFonts w:ascii="宋体" w:hAnsi="宋体" w:eastAsia="仿宋_GB2312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eastAsia="仿宋_GB2312" w:cs="宋体"/>
          <w:kern w:val="0"/>
          <w:sz w:val="30"/>
          <w:szCs w:val="30"/>
          <w:lang w:val="en-US" w:eastAsia="zh-CN"/>
        </w:rPr>
        <w:t>15</w:t>
      </w:r>
      <w:r>
        <w:rPr>
          <w:rFonts w:hint="eastAsia" w:hAnsi="宋体" w:eastAsia="仿宋_GB2312" w:cs="宋体"/>
          <w:kern w:val="0"/>
          <w:sz w:val="30"/>
          <w:szCs w:val="30"/>
        </w:rPr>
        <w:t>日</w:t>
      </w:r>
    </w:p>
    <w:p>
      <w:pPr>
        <w:widowControl/>
        <w:spacing w:before="100" w:beforeAutospacing="1" w:after="100" w:afterAutospacing="1" w:line="348" w:lineRule="auto"/>
        <w:jc w:val="center"/>
        <w:rPr>
          <w:rFonts w:hint="eastAsia" w:ascii="宋体" w:hAnsi="宋体" w:eastAsia="仿宋_GB2312" w:cs="宋体"/>
          <w:kern w:val="0"/>
          <w:sz w:val="30"/>
          <w:szCs w:val="30"/>
        </w:rPr>
      </w:pPr>
      <w:r>
        <w:rPr>
          <w:rFonts w:hint="eastAsia" w:hAnsi="宋体" w:eastAsia="仿宋_GB2312" w:cs="宋体"/>
          <w:kern w:val="0"/>
          <w:sz w:val="30"/>
          <w:szCs w:val="30"/>
        </w:rPr>
        <w:t>宜良</w:t>
      </w:r>
      <w:r>
        <w:rPr>
          <w:rFonts w:hint="eastAsia" w:hAnsi="宋体" w:eastAsia="仿宋_GB2312" w:cs="宋体"/>
          <w:kern w:val="0"/>
          <w:sz w:val="30"/>
          <w:szCs w:val="30"/>
          <w:highlight w:val="none"/>
        </w:rPr>
        <w:t>县</w:t>
      </w:r>
      <w:r>
        <w:rPr>
          <w:rFonts w:hint="eastAsia" w:hAnsi="宋体" w:eastAsia="仿宋_GB2312" w:cs="宋体"/>
          <w:kern w:val="0"/>
          <w:sz w:val="30"/>
          <w:szCs w:val="30"/>
          <w:highlight w:val="none"/>
          <w:lang w:eastAsia="zh-CN"/>
        </w:rPr>
        <w:t>交通运输局</w:t>
      </w:r>
      <w:r>
        <w:rPr>
          <w:rFonts w:hint="eastAsia" w:hAnsi="宋体" w:eastAsia="仿宋_GB2312" w:cs="宋体"/>
          <w:kern w:val="0"/>
          <w:sz w:val="30"/>
          <w:szCs w:val="30"/>
          <w:highlight w:val="none"/>
        </w:rPr>
        <w:t>（</w:t>
      </w:r>
      <w:r>
        <w:rPr>
          <w:rFonts w:hint="eastAsia" w:hAnsi="宋体" w:eastAsia="仿宋_GB2312" w:cs="宋体"/>
          <w:kern w:val="0"/>
          <w:sz w:val="30"/>
          <w:szCs w:val="30"/>
        </w:rPr>
        <w:t>制）</w:t>
      </w:r>
    </w:p>
    <w:p>
      <w:pPr>
        <w:widowControl/>
        <w:spacing w:before="100" w:beforeAutospacing="1" w:after="100" w:afterAutospacing="1" w:line="600" w:lineRule="exact"/>
        <w:ind w:right="641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00" w:lineRule="exact"/>
        <w:ind w:right="641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600" w:lineRule="exact"/>
        <w:ind w:right="641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ind w:firstLine="63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tbl>
      <w:tblPr>
        <w:tblStyle w:val="4"/>
        <w:tblW w:w="10520" w:type="dxa"/>
        <w:tblInd w:w="-7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44"/>
        <w:gridCol w:w="480"/>
        <w:gridCol w:w="735"/>
        <w:gridCol w:w="334"/>
        <w:gridCol w:w="1005"/>
        <w:gridCol w:w="420"/>
        <w:gridCol w:w="1035"/>
        <w:gridCol w:w="270"/>
        <w:gridCol w:w="144"/>
        <w:gridCol w:w="1320"/>
        <w:gridCol w:w="144"/>
        <w:gridCol w:w="420"/>
        <w:gridCol w:w="738"/>
        <w:gridCol w:w="240"/>
        <w:gridCol w:w="360"/>
        <w:gridCol w:w="240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清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联络电话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67524691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人员编制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实有人数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职能职责概述</w:t>
            </w:r>
          </w:p>
        </w:tc>
        <w:tc>
          <w:tcPr>
            <w:tcW w:w="82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宜良县交通运输局为县政府工作部门，负责编制全县交通道路基础设施建设的发展规划；负责全县重点公路、水路交通基础设施建设；负责全县公路交通基础设施建设质量的监督管理；负责全县公路及附属设施的管理和养护，负责宜良县辖区内地方海事管理，负责办理辖区内路政案件；负责宜良县地方海事管理，监督全县水上交通安全、船舶及水上设施行业管理。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年度主要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82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1:2021年农村公路工程建设计划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任务2:2021年地方公路养护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任务3:2021年交通安全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年度部门（单位）总运行情况及取得的成绩</w:t>
            </w:r>
          </w:p>
        </w:tc>
        <w:tc>
          <w:tcPr>
            <w:tcW w:w="82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在县委、县政府的正确领导下，以十八届三中、四中、五中、六中全会精神为指导，认真组织开展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教育，认真贯彻从严治党，坚持依法行政，坚持党建、业务两手抓，大力加强交通建设力度。近年来我县交通基础设施建设明显加快，重大交通建设项目顺利推进，农村公路建设进一步加强，路面养护大中修、危桥改造项目建设、沿线道路绿化建设等工作稳步推进，成效显著，努力为全县经济社会发展发挥重要基础支撑作用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3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收入合计</w:t>
            </w:r>
          </w:p>
        </w:tc>
        <w:tc>
          <w:tcPr>
            <w:tcW w:w="7466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上年结转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公共财政拨款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政府基金拨款</w:t>
            </w:r>
          </w:p>
        </w:tc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纳入专户管理的非税收入拨款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局机关及二级机构汇总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1.局机关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2.二级机构1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3.二级机构2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部门（单位）年度支出和结余情况（万元）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机构名称</w:t>
            </w:r>
          </w:p>
        </w:tc>
        <w:tc>
          <w:tcPr>
            <w:tcW w:w="13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667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3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15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项目支出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人员支出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公用支出</w:t>
            </w:r>
          </w:p>
        </w:tc>
        <w:tc>
          <w:tcPr>
            <w:tcW w:w="157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局机关及二级机构汇总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5208.26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567.66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45.50</w:t>
            </w: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4595.09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1.局机关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4112.59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613.17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567.66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45.5</w:t>
            </w: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3499.43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2.二级机构1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1095.67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1095.67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3.二级机构2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机构名称</w:t>
            </w:r>
          </w:p>
        </w:tc>
        <w:tc>
          <w:tcPr>
            <w:tcW w:w="13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三公经费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466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公务接待费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公务用车运维费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因公出国费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局机关及二级机构汇总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3.3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13.2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1、局机关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3.3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13.2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2、二级机构1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3、二级机构2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机构名称</w:t>
            </w:r>
          </w:p>
        </w:tc>
        <w:tc>
          <w:tcPr>
            <w:tcW w:w="13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固定资产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67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在用固定资产</w:t>
            </w:r>
          </w:p>
        </w:tc>
        <w:tc>
          <w:tcPr>
            <w:tcW w:w="3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出租固定资产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局机关及二级机构汇总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78.27</w:t>
            </w:r>
          </w:p>
        </w:tc>
        <w:tc>
          <w:tcPr>
            <w:tcW w:w="32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1、局机关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78.27</w:t>
            </w:r>
          </w:p>
        </w:tc>
        <w:tc>
          <w:tcPr>
            <w:tcW w:w="32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2、二级机构1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3、二级机构2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both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整体支出绩效定性目标及实施计划完成情况</w:t>
            </w:r>
          </w:p>
        </w:tc>
        <w:tc>
          <w:tcPr>
            <w:tcW w:w="4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4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2021年农村公路工程建设计划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2021年地方公路养护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2021年交通安全</w:t>
            </w:r>
          </w:p>
        </w:tc>
        <w:tc>
          <w:tcPr>
            <w:tcW w:w="44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三个目标已完成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8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整体支出绩效定量目标及实施计划完成情况</w:t>
            </w:r>
          </w:p>
        </w:tc>
        <w:tc>
          <w:tcPr>
            <w:tcW w:w="2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绩效内容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绩效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目标值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产出目标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根据道路登记划分，按照一、二、三、四及等外公路等相关标准，路面宽度；压实度、平整度、工程质量等进行全过程监督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工程总量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按照工程进度施工，依据设计完成全部工程量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根据当地道路建设的需要，设计使用的材料有所不同，选择既经济，又符合要求的材料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效益目标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（预期实现的效益）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社会效益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提高当地群众经济收入，带动当地有特色的经济产业，保障道路通畅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方便当地群众出行，减少交通事故的发生，减少直接经济损失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生态效益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通过道路的建设，保证当地群众收入持续增长，减少劳动力外出务工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社会公众或服务对象满意度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群众对县内道路通畅率、通行率满意度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绩效自评综合得分</w:t>
            </w:r>
          </w:p>
        </w:tc>
        <w:tc>
          <w:tcPr>
            <w:tcW w:w="71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评价等次</w:t>
            </w:r>
          </w:p>
        </w:tc>
        <w:tc>
          <w:tcPr>
            <w:tcW w:w="71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晶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局党组书记、局长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宜良县交通运输局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朱映伟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局党组成员、副局长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宜良县交通运输局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高清</w:t>
            </w: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办公室副主任</w:t>
            </w: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宜良县交通运输局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8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评价组组长（签字）：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05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部门（单位）意见：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部门（单位）负责人（签字）：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18"/>
              </w:rPr>
            </w:pPr>
          </w:p>
        </w:tc>
      </w:tr>
    </w:tbl>
    <w:p>
      <w:pPr>
        <w:widowControl/>
        <w:tabs>
          <w:tab w:val="left" w:pos="6480"/>
        </w:tabs>
        <w:spacing w:before="100" w:beforeAutospacing="1" w:after="100" w:afterAutospacing="1" w:line="320" w:lineRule="exact"/>
        <w:jc w:val="left"/>
        <w:rPr>
          <w:rFonts w:hint="eastAsia" w:ascii="仿宋_GB2312" w:hAnsi="ˎ̥" w:eastAsia="仿宋_GB2312"/>
          <w:sz w:val="28"/>
          <w:szCs w:val="28"/>
        </w:rPr>
      </w:pPr>
      <w:r>
        <w:rPr>
          <w:rFonts w:hint="eastAsia" w:hAnsi="宋体" w:eastAsia="仿宋_GB2312" w:cs="仿宋_GB2312"/>
          <w:bCs/>
          <w:kern w:val="0"/>
          <w:sz w:val="24"/>
        </w:rPr>
        <w:t>填报人（签名）：</w:t>
      </w:r>
      <w:r>
        <w:rPr>
          <w:rFonts w:hint="eastAsia" w:hAnsi="宋体" w:eastAsia="仿宋_GB2312" w:cs="仿宋_GB2312"/>
          <w:bCs/>
          <w:kern w:val="0"/>
          <w:sz w:val="24"/>
          <w:lang w:eastAsia="zh-CN"/>
        </w:rPr>
        <w:t>高</w:t>
      </w:r>
      <w:r>
        <w:rPr>
          <w:rFonts w:hint="eastAsia" w:hAnsi="宋体" w:eastAsia="仿宋_GB2312" w:cs="仿宋_GB2312"/>
          <w:bCs/>
          <w:kern w:val="0"/>
          <w:sz w:val="24"/>
          <w:lang w:val="en-US" w:eastAsia="zh-CN"/>
        </w:rPr>
        <w:t xml:space="preserve">  </w:t>
      </w:r>
      <w:r>
        <w:rPr>
          <w:rFonts w:hint="eastAsia" w:hAnsi="宋体" w:eastAsia="仿宋_GB2312" w:cs="仿宋_GB2312"/>
          <w:bCs/>
          <w:kern w:val="0"/>
          <w:sz w:val="24"/>
          <w:lang w:eastAsia="zh-CN"/>
        </w:rPr>
        <w:t>清</w:t>
      </w:r>
      <w:r>
        <w:rPr>
          <w:rFonts w:ascii="宋体" w:hAnsi="宋体" w:eastAsia="仿宋_GB2312" w:cs="仿宋_GB2312"/>
          <w:bCs/>
          <w:kern w:val="0"/>
          <w:sz w:val="24"/>
        </w:rPr>
        <w:t xml:space="preserve">                          </w:t>
      </w:r>
      <w:r>
        <w:rPr>
          <w:rFonts w:hint="eastAsia" w:hAnsi="宋体" w:eastAsia="仿宋_GB2312" w:cs="仿宋_GB2312"/>
          <w:bCs/>
          <w:kern w:val="0"/>
          <w:sz w:val="24"/>
        </w:rPr>
        <w:t>联系电话</w:t>
      </w:r>
      <w:r>
        <w:rPr>
          <w:rFonts w:hint="eastAsia" w:hAnsi="宋体" w:eastAsia="仿宋_GB2312" w:cs="仿宋_GB2312"/>
          <w:bCs/>
          <w:kern w:val="0"/>
          <w:sz w:val="24"/>
          <w:lang w:eastAsia="zh-CN"/>
        </w:rPr>
        <w:t>：</w:t>
      </w:r>
      <w:r>
        <w:rPr>
          <w:rFonts w:hint="eastAsia" w:hAnsi="宋体" w:eastAsia="仿宋_GB2312" w:cs="仿宋_GB2312"/>
          <w:bCs/>
          <w:kern w:val="0"/>
          <w:sz w:val="24"/>
          <w:lang w:val="en-US" w:eastAsia="zh-CN"/>
        </w:rPr>
        <w:t>67524691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TM5M2FhOTVmODRmZmIyYWIzMTM0YTQ0ZjE0ZDgifQ=="/>
  </w:docVars>
  <w:rsids>
    <w:rsidRoot w:val="00000000"/>
    <w:rsid w:val="0FF66B04"/>
    <w:rsid w:val="3E7346CB"/>
    <w:rsid w:val="41B15777"/>
    <w:rsid w:val="567339C0"/>
    <w:rsid w:val="7F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1430</Words>
  <Characters>1606</Characters>
  <Lines>0</Lines>
  <Paragraphs>0</Paragraphs>
  <TotalTime>1</TotalTime>
  <ScaleCrop>false</ScaleCrop>
  <LinksUpToDate>false</LinksUpToDate>
  <CharactersWithSpaces>1887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</dc:creator>
  <cp:lastModifiedBy>彭飞</cp:lastModifiedBy>
  <dcterms:modified xsi:type="dcterms:W3CDTF">2022-12-07T07:00:05Z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A8A3E8085FE34D2FAE4242EC3A674D07</vt:lpwstr>
  </property>
</Properties>
</file>