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昆明市生态环境局宜良分局</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关于印发《昆明市生态环境局宜良分局</w:t>
      </w:r>
      <w:r>
        <w:rPr>
          <w:rFonts w:hint="eastAsia" w:ascii="方正小标宋简体" w:hAnsi="方正小标宋简体" w:eastAsia="方正小标宋简体" w:cs="方正小标宋简体"/>
          <w:sz w:val="44"/>
          <w:szCs w:val="44"/>
        </w:rPr>
        <w:t>2022年</w:t>
      </w:r>
      <w:r>
        <w:rPr>
          <w:rFonts w:hint="eastAsia" w:ascii="方正小标宋简体" w:hAnsi="方正小标宋简体" w:eastAsia="方正小标宋简体" w:cs="方正小标宋简体"/>
          <w:sz w:val="44"/>
          <w:szCs w:val="44"/>
          <w:lang w:eastAsia="zh-CN"/>
        </w:rPr>
        <w:t>污染源及建设项目环境影响评价落实情况</w:t>
      </w:r>
      <w:r>
        <w:rPr>
          <w:rFonts w:hint="eastAsia" w:ascii="方正小标宋简体" w:hAnsi="方正小标宋简体" w:eastAsia="方正小标宋简体" w:cs="方正小标宋简体"/>
          <w:sz w:val="44"/>
          <w:szCs w:val="44"/>
        </w:rPr>
        <w:t>“双随机、一公开”监管工作实施方案</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各部门</w:t>
      </w:r>
      <w:bookmarkStart w:id="0" w:name="_GoBack"/>
      <w:bookmarkEnd w:id="0"/>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快在生态环境保护领域构建以“双随机、一公开”监管为基本手段、以重点监管为补充、以信用监管为基础的监管机制，提高生态环境监管实效，优化营商环境，我局制定了《昆明市生态环境局宜良分局2022年污染源及建设项目环境影响评价落实情况“双随机、一公开”监管工作实施方案》，现印发你们，请认真遵照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昆明市生态环境局宜良分局</w:t>
      </w:r>
    </w:p>
    <w:p>
      <w:pPr>
        <w:keepNext w:val="0"/>
        <w:keepLines w:val="0"/>
        <w:pageBreakBefore w:val="0"/>
        <w:widowControl w:val="0"/>
        <w:kinsoku/>
        <w:wordWrap/>
        <w:overflowPunct/>
        <w:topLinePunct w:val="0"/>
        <w:autoSpaceDE/>
        <w:autoSpaceDN/>
        <w:bidi w:val="0"/>
        <w:adjustRightInd/>
        <w:snapToGrid/>
        <w:spacing w:line="578" w:lineRule="exact"/>
        <w:ind w:firstLine="5760" w:firstLineChars="18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昆明市生态环境局宜良分局</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w:t>
      </w:r>
      <w:r>
        <w:rPr>
          <w:rFonts w:hint="eastAsia" w:ascii="方正小标宋简体" w:hAnsi="方正小标宋简体" w:eastAsia="方正小标宋简体" w:cs="方正小标宋简体"/>
          <w:sz w:val="44"/>
          <w:szCs w:val="44"/>
          <w:lang w:eastAsia="zh-CN"/>
        </w:rPr>
        <w:t>污染源及建设项目环境影响评价落实情况</w:t>
      </w:r>
      <w:r>
        <w:rPr>
          <w:rFonts w:hint="eastAsia" w:ascii="方正小标宋简体" w:hAnsi="方正小标宋简体" w:eastAsia="方正小标宋简体" w:cs="方正小标宋简体"/>
          <w:sz w:val="44"/>
          <w:szCs w:val="44"/>
        </w:rPr>
        <w:t>“双随机、一公开”监管工作实施方案</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为加快在生态环境保护领域构建以“双随机、一公开”监管为基本手段、以重点监管为补充、以信用监管为基础的监管机制，提高生态环境监管实效，优化营商环境</w:t>
      </w:r>
      <w:r>
        <w:rPr>
          <w:rFonts w:hint="eastAsia" w:ascii="仿宋_GB2312" w:hAnsi="仿宋_GB2312" w:eastAsia="仿宋_GB2312" w:cs="仿宋_GB2312"/>
          <w:sz w:val="32"/>
          <w:szCs w:val="32"/>
        </w:rPr>
        <w:t>，根据《优化营商环境条例》、《国务院关于在市场监管领域全面推行部门联合“双随机、一公开”监管的意见》（国发〔2019〕5号）、生态环境部《关于进一步加强生态环境“双随机、一公开”监管工作的指导意见》（环办执法〔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昆明市污染源分级分类监督管理办法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等有关文件精神，结合</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制定本实施方案。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sectPr>
          <w:footerReference r:id="rId3" w:type="default"/>
          <w:type w:val="continuous"/>
          <w:pgSz w:w="11900" w:h="16840"/>
          <w:pgMar w:top="1984" w:right="1531" w:bottom="1814" w:left="1531" w:header="0" w:footer="1440" w:gutter="0"/>
          <w:pgNumType w:fmt="decimal"/>
          <w:cols w:space="720" w:num="1"/>
          <w:docGrid w:type="lines" w:linePitch="312" w:charSpace="0"/>
        </w:sectPr>
      </w:pPr>
      <w:r>
        <w:rPr>
          <w:rFonts w:hint="eastAsia" w:ascii="黑体" w:hAnsi="黑体" w:eastAsia="黑体" w:cs="黑体"/>
          <w:sz w:val="32"/>
          <w:szCs w:val="32"/>
        </w:rPr>
        <w:t>一、总体要求</w:t>
      </w:r>
      <w:r>
        <w:rPr>
          <w:rFonts w:hint="eastAsia" w:ascii="仿宋_GB2312" w:hAnsi="仿宋_GB2312" w:eastAsia="仿宋_GB2312" w:cs="仿宋_GB2312"/>
          <w:sz w:val="32"/>
          <w:szCs w:val="32"/>
        </w:rPr>
        <mc:AlternateContent>
          <mc:Choice Requires="wps">
            <w:drawing>
              <wp:anchor distT="0" distB="0" distL="114300" distR="114300" simplePos="0" relativeHeight="251658240" behindDoc="0" locked="0" layoutInCell="1" allowOverlap="1">
                <wp:simplePos x="0" y="0"/>
                <wp:positionH relativeFrom="page">
                  <wp:posOffset>3632200</wp:posOffset>
                </wp:positionH>
                <wp:positionV relativeFrom="paragraph">
                  <wp:posOffset>9017000</wp:posOffset>
                </wp:positionV>
                <wp:extent cx="215900" cy="215900"/>
                <wp:effectExtent l="0" t="0" r="635" b="14605"/>
                <wp:wrapNone/>
                <wp:docPr id="1"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Arial" w:hAnsi="Arial" w:eastAsia="Arial"/>
                                <w:color w:val="000000"/>
                                <w:sz w:val="12"/>
                              </w:rPr>
                              <w:t>1</w:t>
                            </w:r>
                          </w:p>
                        </w:txbxContent>
                      </wps:txbx>
                      <wps:bodyPr lIns="25400" tIns="0" rIns="25400" bIns="0">
                        <a:noAutofit/>
                      </wps:bodyPr>
                    </wps:wsp>
                  </a:graphicData>
                </a:graphic>
              </wp:anchor>
            </w:drawing>
          </mc:Choice>
          <mc:Fallback>
            <w:pict>
              <v:shape id="文本框 2" o:spid="_x0000_s1026" o:spt="202" type="#_x0000_t202" style="position:absolute;left:0pt;margin-left:286pt;margin-top:710pt;height:17pt;width:17pt;mso-position-horizontal-relative:page;z-index:251658240;mso-width-relative:page;mso-height-relative:page;" filled="f" stroked="f" coordsize="21600,21600" o:gfxdata="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NuCrodkAAAANAQAADwAAAAAAAAAB&#10;ACAAAAA4AAAAZHJzL2Rvd25yZXYueG1sUEsBAhQAFAAAAAgAh07iQLAR0z3AAQAAUwMAAA4AAAAA&#10;AAAAAQAgAAAAPgEAAGRycy9lMm9Eb2MueG1sUEsFBgAAAAAGAAYAWQEAAHAFAAAAAA==&#10;">
                <v:fill on="f" focussize="0,0"/>
                <v:stroke on="f" weight="0.5pt"/>
                <v:imagedata o:title=""/>
                <o:lock v:ext="edit" aspectratio="f"/>
                <v:textbox inset="2pt,0mm,2pt,0mm">
                  <w:txbxContent>
                    <w:p>
                      <w:pPr>
                        <w:spacing w:line="220" w:lineRule="exact"/>
                        <w:jc w:val="center"/>
                      </w:pPr>
                      <w:r>
                        <w:rPr>
                          <w:rFonts w:hint="eastAsia" w:ascii="Arial" w:hAnsi="Arial" w:eastAsia="Arial"/>
                          <w:color w:val="000000"/>
                          <w:sz w:val="12"/>
                        </w:rPr>
                        <w:t>1</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生态文明思想为指引，坚决践行“绿水青山就是金山银山”重要发展理念、深入打好污染防治攻坚战，进一步推进简政放权、放管结合、优化服务，突出精准治污、科学治污、依法治污。常态化、全覆盖开展“双随机、一公开”监管工作，建立以“双随机、一公开”监管工作为基本手段、以重点监管为补充、以信用监管为基础的新型监管机制，进一步强化科技监管数据应用，实施分级分类监管，推行联合随机抽查，推进公平公正公开，着力打造公平竞争、法制便利的市场营商环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法依规监管。强化法治意识、法治思维，严格按照相关法律法规、规章制度要求，严格履行“双随机、一公开”监管工作职责，规范自由裁量权，进一步推进“双随机、一公开”监管工作制度化、规范化、法制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科学精准监管。充分运用企业信用风险分级分类、排污许可、行政处罚等相关信息，有效发挥在线监测、远程执法、视频监控等“非现场”监控设施，以及无人机等移动监测设备作用，整合线索、关联分析、综合研判，有针对性的开展现场检查，将严、实、深、细、精贯穿于执法监管工作全过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sectPr>
          <w:headerReference r:id="rId4" w:type="default"/>
          <w:footerReference r:id="rId5" w:type="default"/>
          <w:type w:val="continuous"/>
          <w:pgSz w:w="11900" w:h="16840"/>
          <w:pgMar w:top="1440" w:right="1460" w:bottom="1440" w:left="1460" w:header="0" w:footer="1440" w:gutter="0"/>
          <w:pgNumType w:fmt="decimal"/>
          <w:cols w:space="720" w:num="1"/>
          <w:docGrid w:type="lines" w:linePitch="312" w:charSpace="0"/>
        </w:sectPr>
      </w:pPr>
      <w:r>
        <w:rPr>
          <w:rFonts w:hint="eastAsia" w:ascii="仿宋_GB2312" w:hAnsi="仿宋_GB2312" w:eastAsia="仿宋_GB2312" w:cs="仿宋_GB2312"/>
          <w:sz w:val="32"/>
          <w:szCs w:val="32"/>
        </w:rPr>
        <w:t>坚持“应联合尽联合”。合理统筹制定内部联合和部门联合</w:t>
      </w:r>
      <w:r>
        <w:rPr>
          <w:rFonts w:hint="eastAsia" w:ascii="仿宋_GB2312" w:hAnsi="仿宋_GB2312" w:eastAsia="仿宋_GB2312" w:cs="仿宋_GB2312"/>
          <w:sz w:val="32"/>
          <w:szCs w:val="32"/>
        </w:rPr>
        <mc:AlternateContent>
          <mc:Choice Requires="wps">
            <w:drawing>
              <wp:anchor distT="0" distB="0" distL="114300" distR="114300" simplePos="0" relativeHeight="251658240" behindDoc="0" locked="0" layoutInCell="1" allowOverlap="1">
                <wp:simplePos x="0" y="0"/>
                <wp:positionH relativeFrom="page">
                  <wp:posOffset>3619500</wp:posOffset>
                </wp:positionH>
                <wp:positionV relativeFrom="paragraph">
                  <wp:posOffset>8953500</wp:posOffset>
                </wp:positionV>
                <wp:extent cx="266700" cy="241300"/>
                <wp:effectExtent l="0" t="0" r="635" b="14605"/>
                <wp:wrapNone/>
                <wp:docPr id="3"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Arial" w:hAnsi="Arial" w:eastAsia="Arial"/>
                                <w:color w:val="000000"/>
                                <w:sz w:val="16"/>
                              </w:rPr>
                              <w:t>2</w:t>
                            </w:r>
                          </w:p>
                        </w:txbxContent>
                      </wps:txbx>
                      <wps:bodyPr lIns="25400" tIns="0" rIns="25400" bIns="0">
                        <a:noAutofit/>
                      </wps:bodyPr>
                    </wps:wsp>
                  </a:graphicData>
                </a:graphic>
              </wp:anchor>
            </w:drawing>
          </mc:Choice>
          <mc:Fallback>
            <w:pict>
              <v:shape id="文本框 2" o:spid="_x0000_s1026" o:spt="202" type="#_x0000_t202" style="position:absolute;left:0pt;margin-left:285pt;margin-top:705pt;height:19pt;width:21pt;mso-position-horizontal-relative:page;z-index:251658240;mso-width-relative:page;mso-height-relative:page;" filled="f" stroked="f" coordsize="21600,21600" o:gfxdata="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XdJe/dkAAAANAQAADwAAAAAAAAAB&#10;ACAAAAA4AAAAZHJzL2Rvd25yZXYueG1sUEsBAhQAFAAAAAgAh07iQDhJMrXAAQAAUwMAAA4AAAAA&#10;AAAAAQAgAAAAPgEAAGRycy9lMm9Eb2MueG1sUEsFBgAAAAAGAAYAWQEAAHAFAAAAAA==&#10;">
                <v:fill on="f" focussize="0,0"/>
                <v:stroke on="f" weight="0.5pt"/>
                <v:imagedata o:title=""/>
                <o:lock v:ext="edit" aspectratio="f"/>
                <v:textbox inset="2pt,0mm,2pt,0mm">
                  <w:txbxContent>
                    <w:p>
                      <w:pPr>
                        <w:spacing w:line="280" w:lineRule="exact"/>
                        <w:jc w:val="center"/>
                      </w:pPr>
                      <w:r>
                        <w:rPr>
                          <w:rFonts w:hint="eastAsia" w:ascii="Arial" w:hAnsi="Arial" w:eastAsia="Arial"/>
                          <w:color w:val="000000"/>
                          <w:sz w:val="16"/>
                        </w:rPr>
                        <w:t>2</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工作计划，减少对企业现场检查次数，提高检查工作质量，切实解决多头监管、重复检查等问题，充分释放“放管服”改革和优化营商环境政策红利，进一步增强市场主体的获得感和满意度。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坚持公平公正公开。加强公正监管，及时信息公开，强化结果运用，主动接受监督，从随机抽取、检查过程、结果认定、结果公开等方面全流程规范随机抽查工作。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（一）全面开展随机抽查工作。</w:t>
      </w:r>
      <w:r>
        <w:rPr>
          <w:rFonts w:hint="eastAsia" w:ascii="仿宋_GB2312" w:hAnsi="仿宋_GB2312" w:eastAsia="仿宋_GB2312" w:cs="仿宋_GB2312"/>
          <w:sz w:val="32"/>
          <w:szCs w:val="32"/>
        </w:rPr>
        <w:t>除投诉举报、上级部门转办交办、其他部门移送案件、突发环境事件、核安全检查、数据分析或监测发现问题线索</w:t>
      </w:r>
      <w:r>
        <w:rPr>
          <w:rFonts w:hint="eastAsia" w:ascii="仿宋_GB2312" w:hAnsi="仿宋_GB2312" w:eastAsia="仿宋_GB2312" w:cs="仿宋_GB2312"/>
          <w:sz w:val="32"/>
          <w:szCs w:val="32"/>
          <w:lang w:eastAsia="zh-CN"/>
        </w:rPr>
        <w:t>、专项行动</w:t>
      </w:r>
      <w:r>
        <w:rPr>
          <w:rFonts w:hint="eastAsia" w:ascii="仿宋_GB2312" w:hAnsi="仿宋_GB2312" w:eastAsia="仿宋_GB2312" w:cs="仿宋_GB2312"/>
          <w:sz w:val="32"/>
          <w:szCs w:val="32"/>
        </w:rPr>
        <w:t>等需要对具体被检查对象实施的针对性检查外，其他生态环境领域的计划性检查，包括日常监督管理检查、监督执法检查、专项检查和部门联合检查等活动，</w:t>
      </w:r>
      <w:r>
        <w:rPr>
          <w:rFonts w:hint="eastAsia" w:ascii="仿宋_GB2312" w:hAnsi="仿宋_GB2312" w:eastAsia="仿宋_GB2312" w:cs="仿宋_GB2312"/>
          <w:sz w:val="32"/>
          <w:szCs w:val="32"/>
          <w:lang w:eastAsia="zh-CN"/>
        </w:rPr>
        <w:t>原则上</w:t>
      </w:r>
      <w:r>
        <w:rPr>
          <w:rFonts w:hint="eastAsia" w:ascii="仿宋_GB2312" w:hAnsi="仿宋_GB2312" w:eastAsia="仿宋_GB2312" w:cs="仿宋_GB2312"/>
          <w:sz w:val="32"/>
          <w:szCs w:val="32"/>
        </w:rPr>
        <w:t>要采取随机抽查方式。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对检查对象开展目常监管检查时，应采取随机抽查方式。监管检查事项包括但不限于：生态环境保护措施落实情况、污染防治设施运行情况、排污许可证制度落实及证后执行情况、碳排放情况、辐射安全项目管理情况、固体废物及危险废物管理情况、化学品环境管理情况、建设项目环评及批复落实情况、建设项目“三同时”制度落实情况、突发环境事件应急预案备案情况、环境安全隐患情况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sz w:val="32"/>
          <w:szCs w:val="32"/>
        </w:rPr>
        <w:sectPr>
          <w:footerReference r:id="rId6" w:type="default"/>
          <w:type w:val="continuous"/>
          <w:pgSz w:w="11900" w:h="16840"/>
          <w:pgMar w:top="1440" w:right="1540" w:bottom="1440" w:left="1540" w:header="0" w:footer="1440" w:gutter="0"/>
          <w:pgNumType w:fmt="decimal"/>
          <w:cols w:space="720" w:num="1"/>
          <w:docGrid w:type="lines" w:linePitch="312" w:charSpace="0"/>
        </w:sectPr>
      </w:pPr>
      <w:r>
        <w:rPr>
          <w:rFonts w:hint="eastAsia" w:ascii="楷体_GB2312" w:hAnsi="楷体_GB2312" w:eastAsia="楷体_GB2312" w:cs="楷体_GB2312"/>
          <w:sz w:val="32"/>
          <w:szCs w:val="32"/>
        </w:rPr>
        <mc:AlternateContent>
          <mc:Choice Requires="wps">
            <w:drawing>
              <wp:anchor distT="0" distB="0" distL="114300" distR="114300" simplePos="0" relativeHeight="251658240" behindDoc="0" locked="0" layoutInCell="1" allowOverlap="1">
                <wp:simplePos x="0" y="0"/>
                <wp:positionH relativeFrom="page">
                  <wp:posOffset>3632200</wp:posOffset>
                </wp:positionH>
                <wp:positionV relativeFrom="paragraph">
                  <wp:posOffset>8966200</wp:posOffset>
                </wp:positionV>
                <wp:extent cx="241300" cy="241300"/>
                <wp:effectExtent l="0" t="0" r="635" b="14605"/>
                <wp:wrapNone/>
                <wp:docPr id="5"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r>
                              <w:rPr>
                                <w:color w:val="000000"/>
                                <w:sz w:val="14"/>
                              </w:rPr>
                              <w:t>3</w:t>
                            </w:r>
                          </w:p>
                        </w:txbxContent>
                      </wps:txbx>
                      <wps:bodyPr lIns="25400" tIns="0" rIns="25400" bIns="0">
                        <a:noAutofit/>
                      </wps:bodyPr>
                    </wps:wsp>
                  </a:graphicData>
                </a:graphic>
              </wp:anchor>
            </w:drawing>
          </mc:Choice>
          <mc:Fallback>
            <w:pict>
              <v:shape id="文本框 2" o:spid="_x0000_s1026" o:spt="202" type="#_x0000_t202" style="position:absolute;left:0pt;margin-left:286pt;margin-top:706pt;height:19pt;width:19pt;mso-position-horizontal-relative:page;z-index:251658240;mso-width-relative:page;mso-height-relative:page;" filled="f" stroked="f" coordsize="21600,21600" o:gfxdata="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FQOTd/YAAAADQEAAA8AAAAAAAAAAQAg&#10;AAAAOAAAAGRycy9kb3ducmV2LnhtbFBLAQIUABQAAAAIAIdO4kDhpmD3vwEAAFMDAAAOAAAAAAAA&#10;AAEAIAAAAD0BAABkcnMvZTJvRG9jLnhtbFBLBQYAAAAABgAGAFkBAABuBQAAAAA=&#10;">
                <v:fill on="f" focussize="0,0"/>
                <v:stroke on="f" weight="0.5pt"/>
                <v:imagedata o:title=""/>
                <o:lock v:ext="edit" aspectratio="f"/>
                <v:textbox inset="2pt,0mm,2pt,0mm">
                  <w:txbxContent>
                    <w:p>
                      <w:pPr>
                        <w:spacing w:line="260" w:lineRule="exact"/>
                        <w:jc w:val="center"/>
                      </w:pPr>
                      <w:r>
                        <w:rPr>
                          <w:color w:val="000000"/>
                          <w:sz w:val="14"/>
                        </w:rPr>
                        <w:t>3</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）持续完善检查对象名录库。</w:t>
      </w:r>
      <w:r>
        <w:rPr>
          <w:rFonts w:hint="eastAsia" w:ascii="仿宋_GB2312" w:hAnsi="仿宋_GB2312" w:eastAsia="仿宋_GB2312" w:cs="仿宋_GB2312"/>
          <w:sz w:val="32"/>
          <w:szCs w:val="32"/>
        </w:rPr>
        <w:t>我县生态环境部门根据执法监管职责，建立健全以排污许可管理信息为基础，覆盖本行政区域的检查对象名录库。按照检查对象分布区域、行业产业类型、项目建设情况、排放污染物类型、生产规模、生产周期特点、监控类型、排污许可管理类别、排污单位信用记录、排污单位违法记录、信访举报情况、重污染天气绩效分级、生态环境信用评价、生态环境监督执法正面清单等要素，设置各类标识，并根据检查对象存续变动、信息变更、停工停产等情况实施动态调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）动态更新检查人员名录库</w:t>
      </w:r>
      <w:r>
        <w:rPr>
          <w:rFonts w:hint="eastAsia" w:ascii="仿宋_GB2312" w:hAnsi="仿宋_GB2312" w:eastAsia="仿宋_GB2312" w:cs="仿宋_GB2312"/>
          <w:sz w:val="32"/>
          <w:szCs w:val="32"/>
        </w:rPr>
        <w:t>。建立健全检查人员名录库，原则上要将本单位所有具有行政执法资格的工作人员和从事日常监管的工作人员全部纳入。检查人员名录库要在明确姓名、单位、执法（工作）证号、职务岗位等身份信息的基础上，设立工作年限、业务专长、部门岗位、年度检查次数等分类标注要素，并随人员岗位变动及工作进展情况进行动态调整。</w:t>
      </w:r>
    </w:p>
    <w:p>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合理确定随机抽查频次。</w:t>
      </w:r>
      <w:r>
        <w:rPr>
          <w:rFonts w:hint="eastAsia" w:ascii="仿宋_GB2312" w:hAnsi="仿宋_GB2312" w:eastAsia="仿宋_GB2312" w:cs="仿宋_GB2312"/>
          <w:sz w:val="32"/>
          <w:szCs w:val="32"/>
        </w:rPr>
        <w:t>按照企业信用风险分级分类管理原则，结合排污许可管理类别、生态环境管理需要等因素，将被检查对象分为</w:t>
      </w:r>
      <w:r>
        <w:rPr>
          <w:rFonts w:hint="eastAsia" w:ascii="仿宋_GB2312" w:hAnsi="仿宋_GB2312" w:eastAsia="仿宋_GB2312" w:cs="仿宋_GB2312"/>
          <w:sz w:val="32"/>
          <w:szCs w:val="32"/>
          <w:lang w:eastAsia="zh-CN"/>
        </w:rPr>
        <w:t>双随机重点企业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双随机特殊企业、双随机一般企业、建设项目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类，并设置不同抽查比例，实现随机抽查与企业信用风险分级分类相结合常态化。重点监管对象指定条件与特殊监管对象或一般监管对象指定条件相冲突的，应分别以特殊监管对象和一般监管对象的指定条件为准。</w:t>
      </w:r>
      <w:r>
        <w:rPr>
          <w:rFonts w:hint="eastAsia" w:ascii="仿宋_GB2312" w:hAnsi="仿宋_GB2312" w:eastAsia="仿宋_GB2312" w:cs="仿宋_GB2312"/>
          <w:sz w:val="32"/>
          <w:szCs w:val="32"/>
          <w:lang w:eastAsia="zh-CN"/>
        </w:rPr>
        <w:t>双随机重点企业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双随机特殊企业、双随机一般企业抽查比例，依据《</w:t>
      </w:r>
      <w:r>
        <w:rPr>
          <w:rFonts w:hint="eastAsia" w:ascii="仿宋_GB2312" w:hAnsi="仿宋_GB2312" w:eastAsia="仿宋_GB2312" w:cs="仿宋_GB2312"/>
          <w:sz w:val="32"/>
          <w:szCs w:val="32"/>
        </w:rPr>
        <w:t>昆明市污染源分级分类监督管理办法</w:t>
      </w:r>
      <w:r>
        <w:rPr>
          <w:rFonts w:hint="eastAsia" w:ascii="仿宋_GB2312" w:hAnsi="仿宋_GB2312" w:eastAsia="仿宋_GB2312" w:cs="仿宋_GB2312"/>
          <w:sz w:val="32"/>
          <w:szCs w:val="32"/>
          <w:lang w:eastAsia="zh-CN"/>
        </w:rPr>
        <w:t>》执行（对放射性污染防治监督检查例外，放射性污染防治监督检查年度抽查比例全覆盖，</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），详见（表一）；建设项目抽查比例</w:t>
      </w:r>
      <w:r>
        <w:rPr>
          <w:rFonts w:hint="eastAsia" w:ascii="仿宋_GB2312" w:hAnsi="仿宋_GB2312" w:eastAsia="仿宋_GB2312" w:cs="仿宋_GB2312"/>
          <w:sz w:val="32"/>
          <w:szCs w:val="32"/>
          <w:lang w:val="en-US" w:eastAsia="zh-CN"/>
        </w:rPr>
        <w:t>100%，做到全覆盖。</w:t>
      </w: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（表一）</w:t>
      </w:r>
    </w:p>
    <w:tbl>
      <w:tblPr>
        <w:tblStyle w:val="6"/>
        <w:tblW w:w="95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2"/>
        <w:gridCol w:w="4358"/>
        <w:gridCol w:w="1275"/>
        <w:gridCol w:w="1311"/>
        <w:gridCol w:w="19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712" w:type="dxa"/>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类别</w:t>
            </w:r>
          </w:p>
        </w:tc>
        <w:tc>
          <w:tcPr>
            <w:tcW w:w="4358" w:type="dxa"/>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监管对象</w:t>
            </w:r>
          </w:p>
        </w:tc>
        <w:tc>
          <w:tcPr>
            <w:tcW w:w="1275" w:type="dxa"/>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监管职责</w:t>
            </w:r>
          </w:p>
        </w:tc>
        <w:tc>
          <w:tcPr>
            <w:tcW w:w="1311" w:type="dxa"/>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检查频次</w:t>
            </w:r>
          </w:p>
        </w:tc>
        <w:tc>
          <w:tcPr>
            <w:tcW w:w="1914" w:type="dxa"/>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抽查比例原则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pacing w:val="-10"/>
                <w:kern w:val="0"/>
                <w:sz w:val="21"/>
                <w:szCs w:val="21"/>
              </w:rPr>
              <w:t>《排污许可管理办法（试行）》中规定的重点管理企业</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市级</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1次/季</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1次/季</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季度不低于10%</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季度不低于5%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生态环境部和省生态环境厅要求重点监管的排污单位</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市级</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2次/年</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1次/年</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中央环保督察或云南省环保督察要求重点监管的排污单位</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市级</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2次/年</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1次/年</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各县（市）区生态环境分局提出的、经市局确定需重点监管的单位</w:t>
            </w:r>
            <w:r>
              <w:rPr>
                <w:rFonts w:hint="eastAsia" w:ascii="仿宋_GB2312" w:hAnsi="仿宋_GB2312" w:eastAsia="仿宋_GB2312" w:cs="仿宋_GB2312"/>
                <w:kern w:val="0"/>
                <w:sz w:val="21"/>
                <w:szCs w:val="21"/>
              </w:rPr>
              <w:t>（经常性问题）</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市级</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1次/年</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bCs/>
                <w:spacing w:val="-10"/>
                <w:kern w:val="0"/>
                <w:sz w:val="21"/>
                <w:szCs w:val="21"/>
              </w:rPr>
              <w:t>除A类外，《排污许可管理办法（试行）》中规定的简化管理企业</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1次/季</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季度不低于10%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spacing w:val="-10"/>
                <w:kern w:val="0"/>
                <w:sz w:val="21"/>
                <w:szCs w:val="21"/>
              </w:rPr>
            </w:pPr>
            <w:r>
              <w:rPr>
                <w:rFonts w:hint="eastAsia" w:ascii="仿宋_GB2312" w:hAnsi="仿宋_GB2312" w:eastAsia="仿宋_GB2312" w:cs="仿宋_GB2312"/>
                <w:kern w:val="0"/>
                <w:sz w:val="21"/>
                <w:szCs w:val="21"/>
              </w:rPr>
              <w:t>列入年度昆明市重点排污单位名单的企业事业单位</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2次/年</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市政府要求重点监管的排污单位</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2次/年</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bCs/>
                <w:spacing w:val="-10"/>
                <w:kern w:val="0"/>
                <w:sz w:val="21"/>
                <w:szCs w:val="21"/>
              </w:rPr>
              <w:t>除A、B类外，《排污许可管理办法（试行）》中规定的登记管理企业</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1次/季</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季度不低于10%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spacing w:val="-10"/>
                <w:kern w:val="0"/>
                <w:sz w:val="21"/>
                <w:szCs w:val="21"/>
              </w:rPr>
            </w:pPr>
            <w:r>
              <w:rPr>
                <w:rFonts w:hint="eastAsia" w:ascii="仿宋_GB2312" w:hAnsi="仿宋_GB2312" w:eastAsia="仿宋_GB2312" w:cs="仿宋_GB2312"/>
                <w:bCs/>
                <w:spacing w:val="-10"/>
                <w:kern w:val="0"/>
                <w:sz w:val="21"/>
                <w:szCs w:val="21"/>
              </w:rPr>
              <w:t>县（市）区政府、管委会要求</w:t>
            </w:r>
            <w:r>
              <w:rPr>
                <w:rFonts w:hint="eastAsia" w:ascii="仿宋_GB2312" w:hAnsi="仿宋_GB2312" w:eastAsia="仿宋_GB2312" w:cs="仿宋_GB2312"/>
                <w:kern w:val="0"/>
                <w:sz w:val="21"/>
                <w:szCs w:val="21"/>
              </w:rPr>
              <w:t>重点监管的排污单位</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2次/年</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spacing w:val="-10"/>
                <w:kern w:val="0"/>
                <w:sz w:val="21"/>
                <w:szCs w:val="21"/>
              </w:rPr>
            </w:pPr>
            <w:r>
              <w:rPr>
                <w:rFonts w:hint="eastAsia" w:ascii="仿宋_GB2312" w:hAnsi="仿宋_GB2312" w:eastAsia="仿宋_GB2312" w:cs="仿宋_GB2312"/>
                <w:kern w:val="0"/>
                <w:sz w:val="21"/>
                <w:szCs w:val="21"/>
              </w:rPr>
              <w:t>被群众集中投诉或反映存在突出环境污染问题的排污单位或个人</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2次/年</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w:t>
            </w:r>
          </w:p>
        </w:tc>
        <w:tc>
          <w:tcPr>
            <w:tcW w:w="435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其它属于生态环境部门监管职责范围的污染源排污企事业单位或个人</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1次/年</w:t>
            </w: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10-30%</w:t>
            </w:r>
          </w:p>
        </w:tc>
      </w:tr>
    </w:tbl>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）随机抽查开展形式。</w:t>
      </w:r>
      <w:r>
        <w:rPr>
          <w:rFonts w:hint="eastAsia" w:ascii="仿宋_GB2312" w:hAnsi="仿宋_GB2312" w:eastAsia="仿宋_GB2312" w:cs="仿宋_GB2312"/>
          <w:sz w:val="32"/>
          <w:szCs w:val="32"/>
        </w:rPr>
        <w:t>随机抽查开展形式分为定向抽查和不定向抽查。在特定时段开展针对特定行业、特定区域的检查时，可以按照检查对象、检查人员具有的标识，在限定范围内随机抽取检查对象、匹配检查人员，定向开展随机抽查工作。在开展污染源日常监管检查时，原则上不提前设定范围条件，随机抽取检查对象，随机选派检查人员，不定向开展随机抽查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）合理确定随机抽查实施方式。</w:t>
      </w:r>
      <w:r>
        <w:rPr>
          <w:rFonts w:hint="eastAsia" w:ascii="仿宋_GB2312" w:hAnsi="仿宋_GB2312" w:eastAsia="仿宋_GB2312" w:cs="仿宋_GB2312"/>
          <w:sz w:val="32"/>
          <w:szCs w:val="32"/>
        </w:rPr>
        <w:t>随机抽查实施方式分为现场检查、科技检查、其他检查等方式，应根据随机抽查对象和随机抽查内容合理确定随机抽查方式。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方式。对于“非现场”监管设施不完备，或投诉举报、领导交办、上级部门转办交办、其他部门移送案件、突发环境事件、核安全检查、数据分析或“非现场”监管设施推送的问题线索的检查对象，采取不发通知、不打招呼、不听汇报、不用陪同接待、直奔基层、直插现场“四不两直”方式依法开展现场检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科技检查方式。对于纳入生态环境监督执法正面清单或“非现场”监管设施完备的企业，一般通过科技检查方式进行检查。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其他检查方式。除现场检查、科技检查外，也可根据实际情况采用书面检查或委托具备资质的第三方机构等其他检查方式，采用其他检查方式开展检查的，应经本级生态环境部门批准后实施。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sectPr>
          <w:headerReference r:id="rId7" w:type="default"/>
          <w:footerReference r:id="rId8" w:type="default"/>
          <w:type w:val="continuous"/>
          <w:pgSz w:w="11900" w:h="16840"/>
          <w:pgMar w:top="1440" w:right="1500" w:bottom="1440" w:left="1500" w:header="0" w:footer="1440" w:gutter="0"/>
          <w:pgNumType w:fmt="decimal"/>
          <w:cols w:space="720" w:num="1"/>
          <w:docGrid w:type="lines" w:linePitch="312" w:charSpace="0"/>
        </w:sectPr>
      </w:pPr>
      <w:r>
        <w:rPr>
          <w:rFonts w:hint="eastAsia" w:ascii="仿宋_GB2312" w:hAnsi="仿宋_GB2312" w:eastAsia="仿宋_GB2312" w:cs="仿宋_GB2312"/>
          <w:sz w:val="32"/>
          <w:szCs w:val="32"/>
        </w:rPr>
        <mc:AlternateContent>
          <mc:Choice Requires="wps">
            <w:drawing>
              <wp:anchor distT="0" distB="0" distL="114300" distR="114300" simplePos="0" relativeHeight="251658240" behindDoc="0" locked="0" layoutInCell="1" allowOverlap="1">
                <wp:simplePos x="0" y="0"/>
                <wp:positionH relativeFrom="page">
                  <wp:posOffset>3594100</wp:posOffset>
                </wp:positionH>
                <wp:positionV relativeFrom="paragraph">
                  <wp:posOffset>8953500</wp:posOffset>
                </wp:positionV>
                <wp:extent cx="228600" cy="241300"/>
                <wp:effectExtent l="0" t="0" r="635" b="14605"/>
                <wp:wrapNone/>
                <wp:docPr id="9"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r>
                              <w:rPr>
                                <w:color w:val="000000"/>
                                <w:sz w:val="14"/>
                              </w:rPr>
                              <w:t>6</w:t>
                            </w:r>
                          </w:p>
                        </w:txbxContent>
                      </wps:txbx>
                      <wps:bodyPr lIns="25400" tIns="0" rIns="25400" bIns="0">
                        <a:noAutofit/>
                      </wps:bodyPr>
                    </wps:wsp>
                  </a:graphicData>
                </a:graphic>
              </wp:anchor>
            </w:drawing>
          </mc:Choice>
          <mc:Fallback>
            <w:pict>
              <v:shape id="文本框 2" o:spid="_x0000_s1026" o:spt="202" type="#_x0000_t202" style="position:absolute;left:0pt;margin-left:283pt;margin-top:705pt;height:19pt;width:18pt;mso-position-horizontal-relative:page;z-index:251658240;mso-width-relative:page;mso-height-relative:page;" filled="f" stroked="f" coordsize="21600,21600" o:gfxdata="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lc264tkAAAANAQAADwAAAAAAAAAB&#10;ACAAAAA4AAAAZHJzL2Rvd25yZXYueG1sUEsBAhQAFAAAAAgAh07iQFN5xXPAAQAAUwMAAA4AAAAA&#10;AAAAAQAgAAAAPgEAAGRycy9lMm9Eb2MueG1sUEsFBgAAAAAGAAYAWQEAAHAFAAAAAA==&#10;">
                <v:fill on="f" focussize="0,0"/>
                <v:stroke on="f" weight="0.5pt"/>
                <v:imagedata o:title=""/>
                <o:lock v:ext="edit" aspectratio="f"/>
                <v:textbox inset="2pt,0mm,2pt,0mm">
                  <w:txbxContent>
                    <w:p>
                      <w:pPr>
                        <w:spacing w:line="260" w:lineRule="exact"/>
                        <w:jc w:val="center"/>
                      </w:pPr>
                      <w:r>
                        <w:rPr>
                          <w:color w:val="000000"/>
                          <w:sz w:val="14"/>
                        </w:rPr>
                        <w:t>6</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）常态化开展联合抽查。</w:t>
      </w:r>
      <w:r>
        <w:rPr>
          <w:rFonts w:hint="eastAsia" w:ascii="仿宋_GB2312" w:hAnsi="仿宋_GB2312" w:eastAsia="仿宋_GB2312" w:cs="仿宋_GB2312"/>
          <w:sz w:val="32"/>
          <w:szCs w:val="32"/>
        </w:rPr>
        <w:t>按照各地“双随机、一公开”监管工作领导小组办公室要求，在确保内部联合和部门联合随机抽查常态化、全覆盖的前提下，科学统筹制定年度内部联合和部门联合抽查计划，其中部门联合抽查比例不低于当地“双随机、一公开”监管工作领导小组办公室规定的年度联合随机抽查次数和检查主体数量要求，内部联合抽查比例不低于3％，着力提升部门内部联合和部门联合“双随机、一公开”监管效能，持续优化营商环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sectPr>
          <w:footerReference r:id="rId9" w:type="default"/>
          <w:type w:val="continuous"/>
          <w:pgSz w:w="11900" w:h="16840"/>
          <w:pgMar w:top="1440" w:right="1520" w:bottom="1440" w:left="1520" w:header="0" w:footer="1440" w:gutter="0"/>
          <w:pgNumType w:fmt="decimal"/>
          <w:cols w:space="720" w:num="1"/>
          <w:docGrid w:type="lines" w:linePitch="312" w:charSpace="0"/>
        </w:sect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）规范随机抽查工作程序。</w:t>
      </w:r>
      <w:r>
        <w:rPr>
          <w:rFonts w:hint="eastAsia" w:ascii="仿宋_GB2312" w:hAnsi="仿宋_GB2312" w:eastAsia="仿宋_GB2312" w:cs="仿宋_GB2312"/>
          <w:sz w:val="32"/>
          <w:szCs w:val="32"/>
        </w:rPr>
        <w:t>检查前应组织检查人员学习相关法律法规规章、规范性文件，充分了解检查对象的基本情况，如行政许可、经营状态、投诉举报、行政处罚等信息。开展现场检查时，检查人员应表明身份，说明检查依据、检查意图和检查流程，要求予以配合。在检查过程中应按照</w:t>
      </w:r>
      <w:r>
        <w:rPr>
          <w:rFonts w:hint="eastAsia" w:ascii="仿宋_GB2312" w:hAnsi="仿宋_GB2312" w:eastAsia="仿宋_GB2312" w:cs="仿宋_GB2312"/>
          <w:sz w:val="32"/>
          <w:szCs w:val="32"/>
          <w:lang w:eastAsia="zh-CN"/>
        </w:rPr>
        <w:t>行政执法三项制度的</w:t>
      </w:r>
      <w:r>
        <w:rPr>
          <w:rFonts w:hint="eastAsia" w:ascii="仿宋_GB2312" w:hAnsi="仿宋_GB2312" w:eastAsia="仿宋_GB2312" w:cs="仿宋_GB2312"/>
          <w:sz w:val="32"/>
          <w:szCs w:val="32"/>
        </w:rPr>
        <w:t>要求，记录现场检查情况，并依法做好调查取证和证据固定工作。检查结束后，应现场通过“移动执法APP”如实填写检查记录，经核实无误后即时在系统内进行提交。检查记录应在现场进行打印，并由检查对象法定代表人（负责人）签字或盖章确认。无法取得签字或者盖章的，检查人员应注明原因，并固定现场记录。</w:t>
      </w:r>
      <w:r>
        <w:rPr>
          <w:rFonts w:hint="eastAsia" w:ascii="仿宋_GB2312" w:hAnsi="仿宋_GB2312" w:eastAsia="仿宋_GB2312" w:cs="仿宋_GB2312"/>
          <w:sz w:val="32"/>
          <w:szCs w:val="32"/>
        </w:rPr>
        <mc:AlternateContent>
          <mc:Choice Requires="wps">
            <w:drawing>
              <wp:anchor distT="0" distB="0" distL="114300" distR="114300" simplePos="0" relativeHeight="251658240" behindDoc="0" locked="0" layoutInCell="1" allowOverlap="1">
                <wp:simplePos x="0" y="0"/>
                <wp:positionH relativeFrom="page">
                  <wp:posOffset>3644900</wp:posOffset>
                </wp:positionH>
                <wp:positionV relativeFrom="paragraph">
                  <wp:posOffset>8978900</wp:posOffset>
                </wp:positionV>
                <wp:extent cx="241300" cy="228600"/>
                <wp:effectExtent l="0" t="0" r="635" b="14605"/>
                <wp:wrapNone/>
                <wp:docPr id="11"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p>
                        </w:txbxContent>
                      </wps:txbx>
                      <wps:bodyPr lIns="25400" tIns="0" rIns="25400" bIns="0">
                        <a:noAutofit/>
                      </wps:bodyPr>
                    </wps:wsp>
                  </a:graphicData>
                </a:graphic>
              </wp:anchor>
            </w:drawing>
          </mc:Choice>
          <mc:Fallback>
            <w:pict>
              <v:shape id="文本框 2" o:spid="_x0000_s1026" o:spt="202" type="#_x0000_t202" style="position:absolute;left:0pt;margin-left:287pt;margin-top:707pt;height:18pt;width:19pt;mso-position-horizontal-relative:page;z-index:251658240;mso-width-relative:page;mso-height-relative:page;" filled="f" stroked="f" coordsize="21600,21600" o:gfxdata="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BsZ+U7ZAAAADQEAAA8AAAAAAAAA&#10;AQAgAAAAOAAAAGRycy9kb3ducmV2LnhtbFBLAQIUABQAAAAIAIdO4kD72ZH/wQEAAFQDAAAOAAAA&#10;AAAAAAEAIAAAAD4BAABkcnMvZTJvRG9jLnhtbFBLBQYAAAAABgAGAFkBAABxBQAAAAA=&#10;">
                <v:fill on="f" focussize="0,0"/>
                <v:stroke on="f" weight="0.5pt"/>
                <v:imagedata o:title=""/>
                <o:lock v:ext="edit" aspectratio="f"/>
                <v:textbox inset="2pt,0mm,2pt,0mm">
                  <w:txbxContent>
                    <w:p>
                      <w:pPr>
                        <w:spacing w:line="260" w:lineRule="exact"/>
                        <w:jc w:val="cente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）依法履行随机抽查工作责任。</w:t>
      </w:r>
      <w:r>
        <w:rPr>
          <w:rFonts w:hint="eastAsia" w:ascii="仿宋_GB2312" w:hAnsi="仿宋_GB2312" w:eastAsia="仿宋_GB2312" w:cs="仿宋_GB2312"/>
          <w:sz w:val="32"/>
          <w:szCs w:val="32"/>
        </w:rPr>
        <w:t>检查人员在检查过程中发现违法行为的，要及时移交移送执法部门，检查人员在查处过程中应依法做好调查取证和证据固定工作。确实存在违法行为应予以立案查处的，按照法律、法规规定的程序进行；涉嫌犯罪的，依法移送司法机关。属于其他部门管辖的，应按有关程序规定，依法依规移交处理。检查人员凡依据随机抽查事项清单和相关工作制度开展“双随机、一公开”监管，对于检查对象未被抽到或抽到时未查出问题的，检查人员不存在滥用职权、徇私舞弊等情形的，免于追究相关责任；对未履行、不当履行、违法履行“双随机、一公开”监管职责的依法依规严肃处理；涉嫌犯罪的，移送司法机关追究刑事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（十）按时公开随机抽查结果。</w:t>
      </w:r>
      <w:r>
        <w:rPr>
          <w:rFonts w:hint="eastAsia" w:ascii="仿宋_GB2312" w:hAnsi="仿宋_GB2312" w:eastAsia="仿宋_GB2312" w:cs="仿宋_GB2312"/>
          <w:sz w:val="32"/>
          <w:szCs w:val="32"/>
        </w:rPr>
        <w:t>按照“谁检查、谁录入、谁公开”的原则，在完成检查工作并作出检查结果认定之日起20个工作日内，将检查结果通过</w:t>
      </w:r>
      <w:r>
        <w:rPr>
          <w:rFonts w:hint="eastAsia" w:ascii="仿宋_GB2312" w:hAnsi="仿宋_GB2312" w:eastAsia="仿宋_GB2312" w:cs="仿宋_GB2312"/>
          <w:sz w:val="32"/>
          <w:szCs w:val="32"/>
          <w:lang w:eastAsia="zh-CN"/>
        </w:rPr>
        <w:t>宜良县人民政府网</w:t>
      </w:r>
      <w:r>
        <w:rPr>
          <w:rFonts w:hint="eastAsia" w:ascii="仿宋_GB2312" w:hAnsi="仿宋_GB2312" w:eastAsia="仿宋_GB2312" w:cs="仿宋_GB2312"/>
          <w:sz w:val="32"/>
          <w:szCs w:val="32"/>
        </w:rPr>
        <w:t>进行公示，主动接受社会监督。检查情况和查处结果涉及保密、国家安全、公共安全的，可不予公开。公开信息可采用“未发现问题”“未按规定公示信息”“公示信息隐瞒真实情况、弄虚作假”“通过登记住所（经营场所）无法联系”“发现问题已责令改正”“不配合检查情节严重”“未发现开展本次抽查涉及的经营活动”“发现问题待处理”等规范化表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eastAsia="zh-CN"/>
        </w:rPr>
        <w:t>（十一）</w:t>
      </w:r>
      <w:r>
        <w:rPr>
          <w:rStyle w:val="8"/>
          <w:rFonts w:hint="eastAsia" w:ascii="楷体_GB2312" w:hAnsi="楷体_GB2312" w:eastAsia="楷体_GB2312" w:cs="楷体_GB2312"/>
          <w:b w:val="0"/>
          <w:bCs w:val="0"/>
          <w:i w:val="0"/>
          <w:caps w:val="0"/>
          <w:color w:val="000000"/>
          <w:spacing w:val="0"/>
          <w:sz w:val="32"/>
          <w:szCs w:val="32"/>
          <w:u w:val="none"/>
        </w:rPr>
        <w:t>加强宣传培训力度。</w:t>
      </w:r>
      <w:r>
        <w:rPr>
          <w:rFonts w:hint="eastAsia" w:ascii="仿宋_GB2312" w:hAnsi="仿宋_GB2312" w:eastAsia="仿宋_GB2312" w:cs="仿宋_GB2312"/>
          <w:i w:val="0"/>
          <w:caps w:val="0"/>
          <w:color w:val="000000"/>
          <w:spacing w:val="0"/>
          <w:sz w:val="32"/>
          <w:szCs w:val="32"/>
          <w:u w:val="none"/>
        </w:rPr>
        <w:t>各部门要进一步加大对“双随机、一公开”工作的宣传力度，通过网络、新闻媒体、宣传册等多种方式和载体向社会宣传“双随机、一公开”工作的主要内容和重要意义，扩大企业、社会对双随机抽查监管工作的认知度，增强企业、社会对双随机抽查监管工作的理解和参与，营造浓厚的社会氛围。同时，各部门要积极宣传在实际工作中总结出来的好经验、好做法，带动</w:t>
      </w:r>
      <w:r>
        <w:rPr>
          <w:rFonts w:hint="eastAsia" w:ascii="仿宋_GB2312" w:hAnsi="仿宋_GB2312" w:eastAsia="仿宋_GB2312" w:cs="仿宋_GB2312"/>
          <w:i w:val="0"/>
          <w:caps w:val="0"/>
          <w:color w:val="000000"/>
          <w:spacing w:val="0"/>
          <w:sz w:val="32"/>
          <w:szCs w:val="32"/>
          <w:u w:val="none"/>
          <w:lang w:eastAsia="zh-CN"/>
        </w:rPr>
        <w:t>分局</w:t>
      </w:r>
      <w:r>
        <w:rPr>
          <w:rFonts w:hint="eastAsia" w:ascii="仿宋_GB2312" w:hAnsi="仿宋_GB2312" w:eastAsia="仿宋_GB2312" w:cs="仿宋_GB2312"/>
          <w:i w:val="0"/>
          <w:caps w:val="0"/>
          <w:color w:val="000000"/>
          <w:spacing w:val="0"/>
          <w:sz w:val="32"/>
          <w:szCs w:val="32"/>
          <w:u w:val="none"/>
        </w:rPr>
        <w:t>整体工作向上、向好发展。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sectPr>
          <w:footerReference r:id="rId10" w:type="default"/>
          <w:type w:val="continuous"/>
          <w:pgSz w:w="11900" w:h="16840"/>
          <w:pgMar w:top="1440" w:right="1540" w:bottom="1440" w:left="1540" w:header="0" w:footer="1440" w:gutter="0"/>
          <w:pgNumType w:fmt="decimal"/>
          <w:cols w:space="720" w:num="1"/>
          <w:docGrid w:type="lines" w:linePitch="312" w:charSpace="0"/>
        </w:sectPr>
      </w:pPr>
      <w:r>
        <w:rPr>
          <w:rFonts w:hint="eastAsia" w:ascii="黑体" w:hAnsi="黑体" w:eastAsia="黑体" w:cs="黑体"/>
          <w:sz w:val="32"/>
          <w:szCs w:val="32"/>
        </w:rPr>
        <w:t>三、加强组织领导</w:t>
      </w:r>
      <w:r>
        <w:rPr>
          <w:rFonts w:hint="eastAsia" w:ascii="仿宋_GB2312" w:hAnsi="仿宋_GB2312" w:eastAsia="仿宋_GB2312" w:cs="仿宋_GB2312"/>
          <w:sz w:val="32"/>
          <w:szCs w:val="32"/>
        </w:rPr>
        <mc:AlternateContent>
          <mc:Choice Requires="wps">
            <w:drawing>
              <wp:anchor distT="0" distB="0" distL="114300" distR="114300" simplePos="0" relativeHeight="251658240" behindDoc="0" locked="0" layoutInCell="1" allowOverlap="1">
                <wp:simplePos x="0" y="0"/>
                <wp:positionH relativeFrom="page">
                  <wp:posOffset>3606800</wp:posOffset>
                </wp:positionH>
                <wp:positionV relativeFrom="paragraph">
                  <wp:posOffset>8966200</wp:posOffset>
                </wp:positionV>
                <wp:extent cx="241300" cy="241300"/>
                <wp:effectExtent l="0" t="0" r="635" b="14605"/>
                <wp:wrapNone/>
                <wp:docPr id="13"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p>
                        </w:txbxContent>
                      </wps:txbx>
                      <wps:bodyPr lIns="25400" tIns="0" rIns="25400" bIns="0">
                        <a:noAutofit/>
                      </wps:bodyPr>
                    </wps:wsp>
                  </a:graphicData>
                </a:graphic>
              </wp:anchor>
            </w:drawing>
          </mc:Choice>
          <mc:Fallback>
            <w:pict>
              <v:shape id="文本框 2" o:spid="_x0000_s1026" o:spt="202" type="#_x0000_t202" style="position:absolute;left:0pt;margin-left:284pt;margin-top:706pt;height:19pt;width:19pt;mso-position-horizontal-relative:page;z-index:251658240;mso-width-relative:page;mso-height-relative:page;" filled="f" stroked="f" coordsize="21600,21600" o:gfxdata="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D2A/7jZAAAADQEAAA8AAAAAAAAA&#10;AQAgAAAAOAAAAGRycy9kb3ducmV2LnhtbFBLAQIUABQAAAAIAIdO4kBzgXB3wQEAAFQDAAAOAAAA&#10;AAAAAAEAIAAAAD4BAABkcnMvZTJvRG9jLnhtbFBLBQYAAAAABgAGAFkBAABxBQAAAAA=&#10;">
                <v:fill on="f" focussize="0,0"/>
                <v:stroke on="f" weight="0.5pt"/>
                <v:imagedata o:title=""/>
                <o:lock v:ext="edit" aspectratio="f"/>
                <v:textbox inset="2pt,0mm,2pt,0mm">
                  <w:txbxContent>
                    <w:p>
                      <w:pPr>
                        <w:spacing w:line="260" w:lineRule="exact"/>
                        <w:jc w:val="cente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为全面开展“双随机、一公开”监管工作，完善随机抽查事项清单，强化内部联合抽查，</w:t>
      </w:r>
      <w:r>
        <w:rPr>
          <w:rFonts w:hint="eastAsia" w:ascii="仿宋_GB2312" w:hAnsi="仿宋_GB2312" w:eastAsia="仿宋_GB2312" w:cs="仿宋_GB2312"/>
          <w:sz w:val="32"/>
          <w:szCs w:val="32"/>
          <w:lang w:eastAsia="zh-CN"/>
        </w:rPr>
        <w:t>昆明市生态环境局宜良分局</w:t>
      </w:r>
      <w:r>
        <w:rPr>
          <w:rFonts w:hint="eastAsia" w:ascii="仿宋_GB2312" w:hAnsi="仿宋_GB2312" w:eastAsia="仿宋_GB2312" w:cs="仿宋_GB2312"/>
          <w:sz w:val="32"/>
          <w:szCs w:val="32"/>
        </w:rPr>
        <w:t>成立“双随机、一公开”监管工作领导小组。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长：郭勤良 党组书记、局长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副组长：董家林 党组成员、副局长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丁章政 副局长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李定芳 督察专员</w:t>
      </w:r>
    </w:p>
    <w:p>
      <w:pPr>
        <w:keepNext w:val="0"/>
        <w:keepLines w:val="0"/>
        <w:pageBreakBefore w:val="0"/>
        <w:widowControl w:val="0"/>
        <w:kinsoku/>
        <w:wordWrap/>
        <w:overflowPunct/>
        <w:topLinePunct w:val="0"/>
        <w:autoSpaceDE/>
        <w:autoSpaceDN/>
        <w:bidi w:val="0"/>
        <w:adjustRightInd/>
        <w:snapToGrid/>
        <w:spacing w:line="578" w:lineRule="exact"/>
        <w:ind w:firstLine="1920" w:firstLineChars="6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宁菊芬 环境监测站站长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员：吕丽婷 党政办公室主任</w:t>
      </w:r>
    </w:p>
    <w:p>
      <w:pPr>
        <w:keepNext w:val="0"/>
        <w:keepLines w:val="0"/>
        <w:pageBreakBefore w:val="0"/>
        <w:widowControl w:val="0"/>
        <w:kinsoku/>
        <w:wordWrap/>
        <w:overflowPunct/>
        <w:topLinePunct w:val="0"/>
        <w:autoSpaceDE/>
        <w:autoSpaceDN/>
        <w:bidi w:val="0"/>
        <w:adjustRightInd/>
        <w:snapToGrid/>
        <w:spacing w:line="578" w:lineRule="exact"/>
        <w:ind w:firstLine="1920" w:firstLineChars="6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李志强 综合执法大队副大队长</w:t>
      </w:r>
    </w:p>
    <w:p>
      <w:pPr>
        <w:keepNext w:val="0"/>
        <w:keepLines w:val="0"/>
        <w:pageBreakBefore w:val="0"/>
        <w:widowControl w:val="0"/>
        <w:kinsoku/>
        <w:wordWrap/>
        <w:overflowPunct/>
        <w:topLinePunct w:val="0"/>
        <w:autoSpaceDE/>
        <w:autoSpaceDN/>
        <w:bidi w:val="0"/>
        <w:adjustRightInd/>
        <w:snapToGrid/>
        <w:spacing w:line="578" w:lineRule="exact"/>
        <w:ind w:firstLine="1920" w:firstLineChars="6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洪恩毕 环境管理科科长</w:t>
      </w:r>
    </w:p>
    <w:p>
      <w:pPr>
        <w:keepNext w:val="0"/>
        <w:keepLines w:val="0"/>
        <w:pageBreakBefore w:val="0"/>
        <w:widowControl w:val="0"/>
        <w:kinsoku/>
        <w:wordWrap/>
        <w:overflowPunct/>
        <w:topLinePunct w:val="0"/>
        <w:autoSpaceDE/>
        <w:autoSpaceDN/>
        <w:bidi w:val="0"/>
        <w:adjustRightInd/>
        <w:snapToGrid/>
        <w:spacing w:line="578"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韩琼仙 环境监测站副站长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“双随机、一公开”监管工作领导小组下设办公室，设在</w:t>
      </w:r>
      <w:r>
        <w:rPr>
          <w:rFonts w:hint="eastAsia" w:ascii="仿宋_GB2312" w:hAnsi="仿宋_GB2312" w:eastAsia="仿宋_GB2312" w:cs="仿宋_GB2312"/>
          <w:sz w:val="32"/>
          <w:szCs w:val="32"/>
          <w:lang w:eastAsia="zh-CN"/>
        </w:rPr>
        <w:t>宜良</w:t>
      </w:r>
      <w:r>
        <w:rPr>
          <w:rFonts w:hint="eastAsia" w:ascii="仿宋_GB2312" w:hAnsi="仿宋_GB2312" w:eastAsia="仿宋_GB2312" w:cs="仿宋_GB2312"/>
          <w:sz w:val="32"/>
          <w:szCs w:val="32"/>
        </w:rPr>
        <w:t>县生态环境局生态环境执法大队，负责“双随机、一公开”工作组织、指导、协调、调度、总结、通报等相关工作，办公室主任由</w:t>
      </w:r>
      <w:r>
        <w:rPr>
          <w:rFonts w:hint="eastAsia" w:ascii="仿宋_GB2312" w:hAnsi="仿宋_GB2312" w:eastAsia="仿宋_GB2312" w:cs="仿宋_GB2312"/>
          <w:sz w:val="32"/>
          <w:szCs w:val="32"/>
          <w:lang w:eastAsia="zh-CN"/>
        </w:rPr>
        <w:t>宜良</w:t>
      </w:r>
      <w:r>
        <w:rPr>
          <w:rFonts w:hint="eastAsia" w:ascii="仿宋_GB2312" w:hAnsi="仿宋_GB2312" w:eastAsia="仿宋_GB2312" w:cs="仿宋_GB2312"/>
          <w:sz w:val="32"/>
          <w:szCs w:val="32"/>
        </w:rPr>
        <w:t>县生态环境执法大队</w:t>
      </w:r>
      <w:r>
        <w:rPr>
          <w:rFonts w:hint="eastAsia" w:ascii="仿宋_GB2312" w:hAnsi="仿宋_GB2312" w:eastAsia="仿宋_GB2312" w:cs="仿宋_GB2312"/>
          <w:sz w:val="32"/>
          <w:szCs w:val="32"/>
          <w:lang w:eastAsia="zh-CN"/>
        </w:rPr>
        <w:t>副大</w:t>
      </w:r>
      <w:r>
        <w:rPr>
          <w:rFonts w:hint="eastAsia" w:ascii="仿宋_GB2312" w:hAnsi="仿宋_GB2312" w:eastAsia="仿宋_GB2312" w:cs="仿宋_GB2312"/>
          <w:sz w:val="32"/>
          <w:szCs w:val="32"/>
        </w:rPr>
        <w:t>队长</w:t>
      </w:r>
      <w:r>
        <w:rPr>
          <w:rFonts w:hint="eastAsia" w:ascii="仿宋_GB2312" w:hAnsi="仿宋_GB2312" w:eastAsia="仿宋_GB2312" w:cs="仿宋_GB2312"/>
          <w:color w:val="000000"/>
          <w:sz w:val="32"/>
          <w:szCs w:val="32"/>
          <w:lang w:val="en-US" w:eastAsia="zh-CN"/>
        </w:rPr>
        <w:t>李志强</w:t>
      </w:r>
      <w:r>
        <w:rPr>
          <w:rFonts w:hint="eastAsia" w:ascii="仿宋_GB2312" w:hAnsi="仿宋_GB2312" w:eastAsia="仿宋_GB2312" w:cs="仿宋_GB2312"/>
          <w:sz w:val="32"/>
          <w:szCs w:val="32"/>
        </w:rPr>
        <w:t>担任。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w:t>
      </w:r>
      <w:r>
        <w:rPr>
          <w:rFonts w:hint="eastAsia" w:ascii="黑体" w:hAnsi="黑体" w:eastAsia="黑体" w:cs="黑体"/>
          <w:sz w:val="32"/>
          <w:szCs w:val="32"/>
          <w:lang w:eastAsia="zh-CN"/>
        </w:rPr>
        <w:t>相关要求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z w:val="32"/>
          <w:szCs w:val="32"/>
          <w:u w:val="none"/>
        </w:rPr>
      </w:pPr>
      <w:r>
        <w:rPr>
          <w:rStyle w:val="8"/>
          <w:rFonts w:hint="eastAsia" w:ascii="楷体_GB2312" w:hAnsi="楷体_GB2312" w:eastAsia="楷体_GB2312" w:cs="楷体_GB2312"/>
          <w:b w:val="0"/>
          <w:bCs/>
          <w:i w:val="0"/>
          <w:caps w:val="0"/>
          <w:color w:val="000000"/>
          <w:spacing w:val="0"/>
          <w:sz w:val="32"/>
          <w:szCs w:val="32"/>
          <w:u w:val="none"/>
        </w:rPr>
        <w:t>(一)</w:t>
      </w:r>
      <w:r>
        <w:rPr>
          <w:rStyle w:val="8"/>
          <w:rFonts w:hint="eastAsia" w:ascii="楷体_GB2312" w:hAnsi="楷体_GB2312" w:eastAsia="楷体_GB2312" w:cs="楷体_GB2312"/>
          <w:b w:val="0"/>
          <w:bCs/>
          <w:i w:val="0"/>
          <w:caps w:val="0"/>
          <w:color w:val="000000"/>
          <w:spacing w:val="0"/>
          <w:sz w:val="32"/>
          <w:szCs w:val="32"/>
          <w:u w:val="none"/>
          <w:lang w:eastAsia="zh-CN"/>
        </w:rPr>
        <w:t>要</w:t>
      </w:r>
      <w:r>
        <w:rPr>
          <w:rStyle w:val="8"/>
          <w:rFonts w:hint="eastAsia" w:ascii="楷体_GB2312" w:hAnsi="楷体_GB2312" w:eastAsia="楷体_GB2312" w:cs="楷体_GB2312"/>
          <w:b w:val="0"/>
          <w:bCs/>
          <w:i w:val="0"/>
          <w:caps w:val="0"/>
          <w:color w:val="000000"/>
          <w:spacing w:val="0"/>
          <w:sz w:val="32"/>
          <w:szCs w:val="32"/>
          <w:u w:val="none"/>
        </w:rPr>
        <w:t>提高思想认识。</w:t>
      </w:r>
      <w:r>
        <w:rPr>
          <w:rFonts w:hint="eastAsia" w:ascii="仿宋_GB2312" w:hAnsi="仿宋_GB2312" w:eastAsia="仿宋_GB2312" w:cs="仿宋_GB2312"/>
          <w:i w:val="0"/>
          <w:caps w:val="0"/>
          <w:color w:val="000000"/>
          <w:spacing w:val="0"/>
          <w:sz w:val="32"/>
          <w:szCs w:val="32"/>
          <w:u w:val="none"/>
        </w:rPr>
        <w:t>各部门要进一步提高政治站位，把深入开展“双随机、一公开”监管工作摆到更加突出的位置，强化组织领导，加强统筹协调，强化联合抽查，确保全年工作落到实处、取得实效。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要</w:t>
      </w:r>
      <w:r>
        <w:rPr>
          <w:rFonts w:hint="eastAsia" w:ascii="楷体_GB2312" w:hAnsi="楷体_GB2312" w:eastAsia="楷体_GB2312" w:cs="楷体_GB2312"/>
          <w:sz w:val="32"/>
          <w:szCs w:val="32"/>
        </w:rPr>
        <w:t>加大宣传培训。</w:t>
      </w:r>
      <w:r>
        <w:rPr>
          <w:rFonts w:hint="eastAsia" w:ascii="仿宋_GB2312" w:hAnsi="仿宋_GB2312" w:eastAsia="仿宋_GB2312" w:cs="仿宋_GB2312"/>
          <w:sz w:val="32"/>
          <w:szCs w:val="32"/>
        </w:rPr>
        <w:t>按照队伍专业化、管理制度化要求，通过采取线上培训、线下练兵、知识竞赛等方式，常态化开展法律法规、政策文件、业务知识、典型案例的教学培训工作，大幅提高检查人员依法依规、公平公正、文明规范的执法监管工作水平。同时，要进一步加大对“双随机、一公开”监管政策和正面典型案例的宣传解读，着力提升“双随机、一公开”监管工作的知晓度和认可度，形成政府公正监管、企业诚信自律、社会公众监督的良好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textAlignment w:val="auto"/>
        <w:rPr>
          <w:rFonts w:hint="eastAsia" w:ascii="仿宋_GB2312" w:hAnsi="仿宋_GB2312" w:eastAsia="仿宋_GB2312" w:cs="仿宋_GB2312"/>
          <w:sz w:val="32"/>
          <w:szCs w:val="32"/>
          <w:lang w:eastAsia="zh-CN"/>
        </w:rPr>
      </w:pPr>
      <w:r>
        <w:rPr>
          <w:rStyle w:val="8"/>
          <w:rFonts w:hint="eastAsia" w:ascii="楷体_GB2312" w:hAnsi="楷体_GB2312" w:eastAsia="楷体_GB2312" w:cs="楷体_GB2312"/>
          <w:b w:val="0"/>
          <w:bCs/>
          <w:i w:val="0"/>
          <w:caps w:val="0"/>
          <w:color w:val="000000"/>
          <w:spacing w:val="0"/>
          <w:sz w:val="32"/>
          <w:szCs w:val="32"/>
          <w:u w:val="none"/>
        </w:rPr>
        <w:t>（三）</w:t>
      </w:r>
      <w:r>
        <w:rPr>
          <w:rStyle w:val="8"/>
          <w:rFonts w:hint="eastAsia" w:ascii="楷体_GB2312" w:hAnsi="楷体_GB2312" w:eastAsia="楷体_GB2312" w:cs="楷体_GB2312"/>
          <w:b w:val="0"/>
          <w:bCs/>
          <w:i w:val="0"/>
          <w:caps w:val="0"/>
          <w:color w:val="000000"/>
          <w:spacing w:val="0"/>
          <w:sz w:val="32"/>
          <w:szCs w:val="32"/>
          <w:u w:val="none"/>
          <w:lang w:eastAsia="zh-CN"/>
        </w:rPr>
        <w:t>要加大监管力度</w:t>
      </w:r>
      <w:r>
        <w:rPr>
          <w:rStyle w:val="8"/>
          <w:rFonts w:hint="eastAsia" w:ascii="楷体_GB2312" w:hAnsi="楷体_GB2312" w:eastAsia="楷体_GB2312" w:cs="楷体_GB2312"/>
          <w:b w:val="0"/>
          <w:bCs/>
          <w:i w:val="0"/>
          <w:caps w:val="0"/>
          <w:color w:val="000000"/>
          <w:spacing w:val="0"/>
          <w:sz w:val="32"/>
          <w:szCs w:val="32"/>
          <w:u w:val="none"/>
        </w:rPr>
        <w:t>。</w:t>
      </w:r>
      <w:r>
        <w:rPr>
          <w:rFonts w:hint="eastAsia" w:ascii="仿宋_GB2312" w:hAnsi="仿宋_GB2312" w:eastAsia="仿宋_GB2312" w:cs="仿宋_GB2312"/>
          <w:i w:val="0"/>
          <w:caps w:val="0"/>
          <w:color w:val="000000"/>
          <w:spacing w:val="0"/>
          <w:sz w:val="32"/>
          <w:szCs w:val="32"/>
          <w:u w:val="none"/>
        </w:rPr>
        <w:t>要加强对执法过程和执法结果的双重管理，做到执法过程全流程追溯，执法结果经得起推敲。对随机抽查过程中发现的环境违法问题，要进行持续追踪，对可立行立改的轻微问题，要确保企业按时整改到位，对严重的环境违法行为，要用足、用准、用好法律法规，依法依规进行立案处罚，对涉嫌违法犯罪的，依法移送司法机关，确保违法问题处理到位，监管责任履行到位。</w:t>
      </w:r>
      <w:r>
        <w:rPr>
          <w:rFonts w:hint="eastAsia" w:ascii="仿宋_GB2312" w:hAnsi="仿宋_GB2312" w:eastAsia="仿宋_GB2312" w:cs="仿宋_GB2312"/>
          <w:i w:val="0"/>
          <w:caps w:val="0"/>
          <w:color w:val="000000"/>
          <w:spacing w:val="0"/>
          <w:sz w:val="32"/>
          <w:szCs w:val="32"/>
          <w:u w:val="none"/>
          <w:lang w:eastAsia="zh-CN"/>
        </w:rPr>
        <w:t>同时，加大对云南省环境监察管理</w:t>
      </w:r>
      <w:r>
        <w:rPr>
          <w:rFonts w:hint="eastAsia" w:ascii="仿宋_GB2312" w:hAnsi="仿宋_GB2312" w:eastAsia="仿宋_GB2312" w:cs="仿宋_GB2312"/>
          <w:i w:val="0"/>
          <w:caps w:val="0"/>
          <w:color w:val="000000"/>
          <w:spacing w:val="0"/>
          <w:sz w:val="32"/>
          <w:szCs w:val="32"/>
          <w:u w:val="none"/>
        </w:rPr>
        <w:t>平台的运用，及时</w:t>
      </w:r>
      <w:r>
        <w:rPr>
          <w:rFonts w:hint="eastAsia" w:ascii="仿宋_GB2312" w:hAnsi="仿宋_GB2312" w:eastAsia="仿宋_GB2312" w:cs="仿宋_GB2312"/>
          <w:i w:val="0"/>
          <w:caps w:val="0"/>
          <w:color w:val="000000"/>
          <w:spacing w:val="0"/>
          <w:sz w:val="32"/>
          <w:szCs w:val="32"/>
          <w:u w:val="none"/>
          <w:lang w:eastAsia="zh-CN"/>
        </w:rPr>
        <w:t>、准确</w:t>
      </w:r>
      <w:r>
        <w:rPr>
          <w:rFonts w:hint="eastAsia" w:ascii="仿宋_GB2312" w:hAnsi="仿宋_GB2312" w:eastAsia="仿宋_GB2312" w:cs="仿宋_GB2312"/>
          <w:i w:val="0"/>
          <w:caps w:val="0"/>
          <w:color w:val="000000"/>
          <w:spacing w:val="0"/>
          <w:sz w:val="32"/>
          <w:szCs w:val="32"/>
          <w:u w:val="none"/>
        </w:rPr>
        <w:t>录入随机抽查</w:t>
      </w:r>
      <w:r>
        <w:rPr>
          <w:rFonts w:hint="eastAsia" w:ascii="仿宋_GB2312" w:hAnsi="仿宋_GB2312" w:eastAsia="仿宋_GB2312" w:cs="仿宋_GB2312"/>
          <w:i w:val="0"/>
          <w:caps w:val="0"/>
          <w:color w:val="000000"/>
          <w:spacing w:val="0"/>
          <w:sz w:val="32"/>
          <w:szCs w:val="32"/>
          <w:u w:val="none"/>
          <w:lang w:eastAsia="zh-CN"/>
        </w:rPr>
        <w:t>事项</w:t>
      </w:r>
      <w:r>
        <w:rPr>
          <w:rFonts w:hint="eastAsia" w:ascii="仿宋_GB2312" w:hAnsi="仿宋_GB2312" w:eastAsia="仿宋_GB2312" w:cs="仿宋_GB2312"/>
          <w:i w:val="0"/>
          <w:caps w:val="0"/>
          <w:color w:val="000000"/>
          <w:spacing w:val="0"/>
          <w:sz w:val="32"/>
          <w:szCs w:val="32"/>
          <w:u w:val="none"/>
        </w:rPr>
        <w:t>，避免出现因录入信息不及时造成统计数据不准确的情况发生，影响年终考核评价。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要</w:t>
      </w:r>
      <w:r>
        <w:rPr>
          <w:rFonts w:hint="eastAsia" w:ascii="楷体_GB2312" w:hAnsi="楷体_GB2312" w:eastAsia="楷体_GB2312" w:cs="楷体_GB2312"/>
          <w:sz w:val="32"/>
          <w:szCs w:val="32"/>
        </w:rPr>
        <w:t>严肃工作纪律。</w:t>
      </w:r>
      <w:r>
        <w:rPr>
          <w:rFonts w:hint="eastAsia" w:ascii="仿宋_GB2312" w:hAnsi="仿宋_GB2312" w:eastAsia="仿宋_GB2312" w:cs="仿宋_GB2312"/>
          <w:sz w:val="32"/>
          <w:szCs w:val="32"/>
        </w:rPr>
        <w:t>检查人员在对检查对象实施检查时，应当依据法律法规的规定行使职权，遵守工作纪律、廉洁纪律、保密纪律，</w:t>
      </w:r>
      <w:r>
        <w:rPr>
          <w:rFonts w:hint="eastAsia" w:ascii="仿宋_GB2312" w:hAnsi="仿宋_GB2312" w:eastAsia="仿宋_GB2312" w:cs="仿宋_GB2312"/>
          <w:sz w:val="32"/>
          <w:szCs w:val="32"/>
          <w:lang w:eastAsia="zh-CN"/>
        </w:rPr>
        <w:t>按要求填报《廉政监督卡》，</w:t>
      </w:r>
      <w:r>
        <w:rPr>
          <w:rFonts w:hint="eastAsia" w:ascii="仿宋_GB2312" w:hAnsi="仿宋_GB2312" w:eastAsia="仿宋_GB2312" w:cs="仿宋_GB2312"/>
          <w:sz w:val="32"/>
          <w:szCs w:val="32"/>
        </w:rPr>
        <w:t>遵守被检查对象安全防护等相关规定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不得妨碍检-查对象正常的生产经营活动，不得索取或者收受检查对象的财物，不得谋取其他利益，不得收取或变相收取费用。对抽查工作中失职渎职和违纪违法的检查人员，依法依纪严肃处理。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附件：昆明市生态环境局宜良分局2022年“双随机、一公开”抽查计划</w:t>
      </w:r>
    </w:p>
    <w:p>
      <w:pPr>
        <w:keepNext w:val="0"/>
        <w:keepLines w:val="0"/>
        <w:pageBreakBefore w:val="0"/>
        <w:widowControl w:val="0"/>
        <w:kinsoku/>
        <w:wordWrap/>
        <w:overflowPunct/>
        <w:topLinePunct w:val="0"/>
        <w:autoSpaceDE/>
        <w:autoSpaceDN/>
        <w:bidi w:val="0"/>
        <w:adjustRightInd/>
        <w:snapToGrid/>
        <w:spacing w:line="578" w:lineRule="exact"/>
        <w:ind w:firstLine="880" w:firstLineChars="200"/>
        <w:jc w:val="right"/>
        <w:textAlignment w:val="auto"/>
        <w:rPr>
          <w:rFonts w:hint="eastAsia" w:ascii="仿宋_GB2312" w:hAnsi="仿宋_GB2312" w:eastAsia="仿宋_GB2312" w:cs="仿宋_GB2312"/>
          <w:sz w:val="44"/>
          <w:szCs w:val="44"/>
        </w:rPr>
        <w:sectPr>
          <w:footerReference r:id="rId11" w:type="default"/>
          <w:type w:val="continuous"/>
          <w:pgSz w:w="11900" w:h="16840"/>
          <w:pgMar w:top="1280" w:right="1560" w:bottom="1280" w:left="1560" w:header="0" w:footer="1280"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8240" behindDoc="0" locked="0" layoutInCell="1" allowOverlap="1">
                <wp:simplePos x="0" y="0"/>
                <wp:positionH relativeFrom="page">
                  <wp:posOffset>3581400</wp:posOffset>
                </wp:positionH>
                <wp:positionV relativeFrom="paragraph">
                  <wp:posOffset>8966200</wp:posOffset>
                </wp:positionV>
                <wp:extent cx="279400" cy="215900"/>
                <wp:effectExtent l="0" t="0" r="635" b="14605"/>
                <wp:wrapNone/>
                <wp:docPr id="18"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p>
                        </w:txbxContent>
                      </wps:txbx>
                      <wps:bodyPr lIns="25400" tIns="0" rIns="25400" bIns="0">
                        <a:noAutofit/>
                      </wps:bodyPr>
                    </wps:wsp>
                  </a:graphicData>
                </a:graphic>
              </wp:anchor>
            </w:drawing>
          </mc:Choice>
          <mc:Fallback>
            <w:pict>
              <v:shape id="文本框 2" o:spid="_x0000_s1026" o:spt="202" type="#_x0000_t202" style="position:absolute;left:0pt;margin-left:282pt;margin-top:706pt;height:17pt;width:22pt;mso-position-horizontal-relative:page;z-index:251658240;mso-width-relative:page;mso-height-relative:page;" filled="f" stroked="f" coordsize="21600,21600" o:gfxdata="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NYRJuPZAAAADQEAAA8AAAAAAAAA&#10;AQAgAAAAOAAAAGRycy9kb3ducmV2LnhtbFBLAQIUABQAAAAIAIdO4kBcHff1wQEAAFQDAAAOAAAA&#10;AAAAAAEAIAAAAD4BAABkcnMvZTJvRG9jLnhtbFBLBQYAAAAABgAGAFkBAABxBQAAAAA=&#10;">
                <v:fill on="f" focussize="0,0"/>
                <v:stroke on="f" weight="0.5pt"/>
                <v:imagedata o:title=""/>
                <o:lock v:ext="edit" aspectratio="f"/>
                <v:textbox inset="2pt,0mm,2pt,0mm">
                  <w:txbxContent>
                    <w:p>
                      <w:pPr>
                        <w:spacing w:line="260" w:lineRule="exact"/>
                        <w:jc w:val="center"/>
                      </w:pPr>
                    </w:p>
                  </w:txbxContent>
                </v:textbox>
              </v:shape>
            </w:pict>
          </mc:Fallback>
        </mc:AlternateContent>
      </w:r>
      <w:r>
        <w:rPr>
          <w:rFonts w:hint="eastAsia" w:ascii="方正小标宋简体" w:hAnsi="方正小标宋简体" w:eastAsia="方正小标宋简体" w:cs="方正小标宋简体"/>
          <w:sz w:val="44"/>
          <w:szCs w:val="44"/>
          <w:lang w:eastAsia="zh-CN"/>
        </w:rPr>
        <w:t>昆明市生态环境局宜良分局</w:t>
      </w:r>
      <w:r>
        <w:rPr>
          <w:rFonts w:hint="eastAsia" w:ascii="方正小标宋简体" w:hAnsi="方正小标宋简体" w:eastAsia="方正小标宋简体" w:cs="方正小标宋简体"/>
          <w:sz w:val="44"/>
          <w:szCs w:val="44"/>
          <w:lang w:val="en-US" w:eastAsia="zh-CN"/>
        </w:rPr>
        <w:t>2022年“双随机、一公开”抽查计划</w:t>
      </w:r>
    </w:p>
    <w:tbl>
      <w:tblPr>
        <w:tblStyle w:val="6"/>
        <w:tblpPr w:leftFromText="180" w:rightFromText="180" w:vertAnchor="text" w:horzAnchor="page" w:tblpX="1619" w:tblpY="570"/>
        <w:tblOverlap w:val="never"/>
        <w:tblW w:w="14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310"/>
        <w:gridCol w:w="2115"/>
        <w:gridCol w:w="2910"/>
        <w:gridCol w:w="1275"/>
        <w:gridCol w:w="1516"/>
        <w:gridCol w:w="1200"/>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抽查计划名称</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检查类别</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抽查事项</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检查对象</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事项类别</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抽查方式</w:t>
            </w: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0"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对放射性污染防治监督检查的工作计划</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放射性污染防治监督检查</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对核技术利用单位放射性污染防治工作的检查</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核技术利用单位</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重点检查事项</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现场检查</w:t>
            </w: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2022年1月—12月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3"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3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对双随机重点企业、双随机特殊企业、双随机一般企业检查的工作计划</w:t>
            </w:r>
          </w:p>
        </w:tc>
        <w:tc>
          <w:tcPr>
            <w:tcW w:w="211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对排放污染物的企事业单位和生产经营者的监督检查和监测</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对排放污染物的企事业单位和生产经营者的监督检查和监测</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企业</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一般检查事项</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现场检查</w:t>
            </w: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2022年1月—12月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3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9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对污染源自动监控设施现场的监督检查；对自动监控设施的建设、运行和维护等的监督检查</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企业</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一般检查事项</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现场检查</w:t>
            </w: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2022年1月—12月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0"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3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对固定废物、危险废物产生、转移、处置情况的监督检查工作计划</w:t>
            </w:r>
          </w:p>
        </w:tc>
        <w:tc>
          <w:tcPr>
            <w:tcW w:w="211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固定废物、危险废物产生、转移、处置情况的监督检查工作</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对产生、收集、贮存、运输、利用、处置危险废物单位的监督检查；对固体废物污染环境防治工作的检查、指导和督促</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企业</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一般检查事项</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现场检查</w:t>
            </w: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2022年1月—12月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5"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23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9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对废弃电器电子产品处理活动；对拆解、利用、处置电子废物单位的监督检查</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企业</w:t>
            </w:r>
          </w:p>
        </w:tc>
        <w:tc>
          <w:tcPr>
            <w:tcW w:w="15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一般检查事项</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现场检查</w:t>
            </w:r>
          </w:p>
        </w:tc>
        <w:tc>
          <w:tcPr>
            <w:tcW w:w="20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val="en-US" w:eastAsia="zh-CN"/>
              </w:rPr>
              <w:t>2022年1月—12月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23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9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15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0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5" w:hRule="atLeast"/>
        </w:trPr>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3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9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对医疗卫生机构和医疗废物集中处置单位环境污染防治工作的监督检查</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企业</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一般检查事项</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现场检查</w:t>
            </w: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2022年1月—12月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5"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23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29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对危险废物转移联单落实情况的检查</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企业</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一般检查事项</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现场检查</w:t>
            </w: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2022年1月—12月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5" w:hRule="atLeast"/>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对建设项目环境影响评价落实情况的检查工作计划</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对建设项目环境影响评价落实情况的检查</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对建设项目环境影响评价落实情况的检查</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企业</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一般检查事项</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现场检查</w:t>
            </w:r>
          </w:p>
        </w:tc>
        <w:tc>
          <w:tcPr>
            <w:tcW w:w="20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2022年1月—12月</w:t>
            </w:r>
          </w:p>
        </w:tc>
      </w:tr>
    </w:tbl>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rPr>
        <w:sectPr>
          <w:pgSz w:w="16840" w:h="11900" w:orient="landscape"/>
          <w:pgMar w:top="1560" w:right="1280" w:bottom="1560" w:left="1280" w:header="0" w:footer="1280"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hint="eastAsia" w:ascii="仿宋_GB2312" w:hAnsi="仿宋_GB2312" w:eastAsia="仿宋_GB2312" w:cs="仿宋_GB2312"/>
          <w:sz w:val="32"/>
          <w:szCs w:val="32"/>
        </w:rPr>
      </w:pPr>
    </w:p>
    <w:p>
      <w:pPr>
        <w:bidi w:val="0"/>
        <w:rPr>
          <w:rFonts w:hint="eastAsia" w:ascii="Times New Roman" w:hAnsi="Times New Roman" w:eastAsia="宋体" w:cs="Times New Roman"/>
          <w:sz w:val="21"/>
          <w:szCs w:val="22"/>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sectPr>
      <w:type w:val="continuous"/>
      <w:pgSz w:w="16840" w:h="11900" w:orient="landscape"/>
      <w:pgMar w:top="1560" w:right="1280" w:bottom="1560" w:left="1280" w:header="0" w:footer="12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8</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8</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3C47EF5"/>
    <w:rsid w:val="06AA0151"/>
    <w:rsid w:val="0CCA3AE6"/>
    <w:rsid w:val="0F106DFA"/>
    <w:rsid w:val="16B454D5"/>
    <w:rsid w:val="18F8776D"/>
    <w:rsid w:val="1E3C5869"/>
    <w:rsid w:val="24F42EC1"/>
    <w:rsid w:val="275F2669"/>
    <w:rsid w:val="2A794FAD"/>
    <w:rsid w:val="350D6BF1"/>
    <w:rsid w:val="3D8937F8"/>
    <w:rsid w:val="3DB04E2A"/>
    <w:rsid w:val="3EDC5D48"/>
    <w:rsid w:val="3FD6F41E"/>
    <w:rsid w:val="4DDA3369"/>
    <w:rsid w:val="4E4A0053"/>
    <w:rsid w:val="51197582"/>
    <w:rsid w:val="53EC085C"/>
    <w:rsid w:val="55CF2C8F"/>
    <w:rsid w:val="5CB170A8"/>
    <w:rsid w:val="5D732174"/>
    <w:rsid w:val="5E946E19"/>
    <w:rsid w:val="5FBC5A15"/>
    <w:rsid w:val="60A965ED"/>
    <w:rsid w:val="629015D3"/>
    <w:rsid w:val="64AE65D8"/>
    <w:rsid w:val="64E02B94"/>
    <w:rsid w:val="6FDBC23A"/>
    <w:rsid w:val="75FF078F"/>
    <w:rsid w:val="75FF5FAF"/>
    <w:rsid w:val="76D03CEF"/>
    <w:rsid w:val="771C44D6"/>
    <w:rsid w:val="77C32A8B"/>
    <w:rsid w:val="7C5861C9"/>
    <w:rsid w:val="7F052A19"/>
    <w:rsid w:val="87FE5DD3"/>
    <w:rsid w:val="AE3579E8"/>
    <w:rsid w:val="DDFBC55F"/>
    <w:rsid w:val="DFD58B51"/>
    <w:rsid w:val="DFE75FD3"/>
    <w:rsid w:val="E77F35CF"/>
    <w:rsid w:val="F7FF8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7">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2022-08-16T23:14:00Z</dcterms:created>
  <dc:creator>openxml-sdk </dc:creator>
  <dc:description>openxml-sdk, CCi Textin Word Converter, JL</dc:description>
  <cp:keywords>CCi</cp:keywords>
  <cp:lastModifiedBy>user</cp:lastModifiedBy>
  <dcterms:modified xsi:type="dcterms:W3CDTF">2022-08-22T14:24:08Z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