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743"/>
        <w:gridCol w:w="1237"/>
        <w:gridCol w:w="3179"/>
        <w:gridCol w:w="752"/>
        <w:gridCol w:w="756"/>
        <w:gridCol w:w="877"/>
        <w:gridCol w:w="1468"/>
        <w:gridCol w:w="3055"/>
        <w:gridCol w:w="637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Header/>
        </w:trPr>
        <w:tc>
          <w:tcPr>
            <w:tcW w:w="1403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2021年度宜良县发展和改革局部门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随机抽查事项清单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4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适用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区域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0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宜良县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发展和改革</w:t>
            </w:r>
            <w:r>
              <w:rPr>
                <w:rFonts w:hint="eastAsia" w:asciiTheme="minorEastAsia" w:hAnsi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对固定资产投资项目节能审查意见落实情况的监督检查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项目建设单位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现场检查书面检查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县级以上发展改革部门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节约能源法》（中华人民共和国主席令第七十七号）第十五条、第六十八条第一款；《固定资产投资项目节能审查办法》（国家发展和改革委员会令第44号）第十二条、第十三条；《企业投资项目事中事后监管办法》（国家发展改革委令2018年第14号）第三条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普遍 适用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宜良县发展和改革局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县级储备粮监督检查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县级储备粮监督检查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地方储备粮承储企业和其他粮食经营者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现场检查书面检查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县级以上发展改革部门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《粮食流通管理条例》（中华人民共和国国务院令第740号第三次修订）。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普遍 适用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474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329CE"/>
    <w:rsid w:val="09FD15B5"/>
    <w:rsid w:val="153B7EE1"/>
    <w:rsid w:val="166F3703"/>
    <w:rsid w:val="1FD50CFF"/>
    <w:rsid w:val="22CB7DF3"/>
    <w:rsid w:val="2BF329CE"/>
    <w:rsid w:val="337B01EC"/>
    <w:rsid w:val="35382078"/>
    <w:rsid w:val="39A14A54"/>
    <w:rsid w:val="548F6FF7"/>
    <w:rsid w:val="5BEE4452"/>
    <w:rsid w:val="60080364"/>
    <w:rsid w:val="7810136F"/>
    <w:rsid w:val="7F4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黑体_GBK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楷体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51"/>
    <w:basedOn w:val="9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2020-04-14T09:44:00Z</dcterms:created>
  <dc:creator>NTKO</dc:creator>
  <cp:lastModifiedBy>WPS_1496482966</cp:lastModifiedBy>
  <dcterms:modified xsi:type="dcterms:W3CDTF">2022-05-26T08:54:29Z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docranid">
    <vt:lpwstr>09A45E0829B74E5C86DB2AD23DE0841F</vt:lpwstr>
  </property>
</Properties>
</file>