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60" w:line="300" w:lineRule="atLeast"/>
        <w:jc w:val="center"/>
        <w:rPr>
          <w:rFonts w:hint="eastAsia" w:ascii="黑体" w:hAnsi="黑体" w:eastAsia="黑体" w:cs="宋体"/>
          <w:b/>
          <w:bCs/>
          <w:color w:val="333333"/>
          <w:kern w:val="0"/>
          <w:sz w:val="44"/>
          <w:szCs w:val="44"/>
        </w:rPr>
      </w:pPr>
      <w:bookmarkStart w:id="37" w:name="_GoBack"/>
      <w:bookmarkEnd w:id="37"/>
    </w:p>
    <w:p>
      <w:pPr>
        <w:widowControl/>
        <w:shd w:val="clear" w:color="auto" w:fill="FFFFFF"/>
        <w:spacing w:after="360" w:line="300" w:lineRule="atLeast"/>
        <w:jc w:val="center"/>
        <w:rPr>
          <w:rFonts w:ascii="黑体" w:hAnsi="黑体" w:eastAsia="黑体" w:cs="宋体"/>
          <w:color w:val="333333"/>
          <w:kern w:val="0"/>
          <w:sz w:val="24"/>
        </w:rPr>
      </w:pPr>
      <w:r>
        <w:rPr>
          <w:rFonts w:hint="eastAsia" w:ascii="黑体" w:hAnsi="黑体" w:eastAsia="黑体" w:cs="宋体"/>
          <w:b/>
          <w:bCs/>
          <w:color w:val="333333"/>
          <w:kern w:val="0"/>
          <w:sz w:val="44"/>
          <w:szCs w:val="44"/>
        </w:rPr>
        <w:t>宜良县重点项目支出绩效评价报告</w:t>
      </w:r>
    </w:p>
    <w:p>
      <w:pPr>
        <w:widowControl/>
        <w:shd w:val="clear" w:color="auto" w:fill="FFFFFF"/>
        <w:spacing w:after="360" w:line="420" w:lineRule="atLeast"/>
        <w:jc w:val="left"/>
        <w:rPr>
          <w:rFonts w:ascii="宋体" w:hAnsi="宋体" w:cs="宋体"/>
          <w:color w:val="333333"/>
          <w:kern w:val="0"/>
          <w:sz w:val="24"/>
        </w:rPr>
      </w:pPr>
    </w:p>
    <w:p>
      <w:pPr>
        <w:widowControl/>
        <w:shd w:val="clear" w:color="auto" w:fill="FFFFFF"/>
        <w:spacing w:after="360" w:line="420" w:lineRule="atLeast"/>
        <w:ind w:firstLine="602" w:firstLineChars="200"/>
        <w:jc w:val="left"/>
        <w:rPr>
          <w:rFonts w:ascii="宋体" w:hAnsi="宋体" w:eastAsia="宋体" w:cs="宋体"/>
          <w:color w:val="333333"/>
          <w:kern w:val="0"/>
          <w:sz w:val="30"/>
          <w:szCs w:val="30"/>
        </w:rPr>
      </w:pPr>
      <w:r>
        <w:rPr>
          <w:rFonts w:hint="eastAsia" w:cs="宋体" w:asciiTheme="majorEastAsia" w:hAnsiTheme="majorEastAsia" w:eastAsiaTheme="majorEastAsia"/>
          <w:b/>
          <w:bCs/>
          <w:color w:val="333333"/>
          <w:kern w:val="0"/>
          <w:sz w:val="30"/>
          <w:szCs w:val="30"/>
        </w:rPr>
        <w:t>评价类型</w:t>
      </w:r>
      <w:r>
        <w:rPr>
          <w:rFonts w:hint="eastAsia" w:cs="宋体" w:asciiTheme="majorEastAsia" w:hAnsiTheme="majorEastAsia" w:eastAsiaTheme="majorEastAsia"/>
          <w:color w:val="333333"/>
          <w:kern w:val="0"/>
          <w:sz w:val="30"/>
          <w:szCs w:val="30"/>
        </w:rPr>
        <w:t>：</w:t>
      </w:r>
      <w:r>
        <w:rPr>
          <w:rFonts w:hint="eastAsia" w:ascii="仿宋_GB2312" w:hAnsi="宋体" w:eastAsia="仿宋_GB2312" w:cs="宋体"/>
          <w:color w:val="333333"/>
          <w:kern w:val="0"/>
          <w:sz w:val="30"/>
          <w:szCs w:val="30"/>
        </w:rPr>
        <w:t>项目实施过程评价□</w:t>
      </w:r>
      <w:r>
        <w:rPr>
          <w:rFonts w:hint="eastAsia" w:ascii="宋体" w:hAnsi="宋体" w:eastAsia="宋体" w:cs="宋体"/>
          <w:color w:val="333333"/>
          <w:kern w:val="0"/>
          <w:sz w:val="30"/>
          <w:szCs w:val="30"/>
        </w:rPr>
        <w:t> </w:t>
      </w:r>
      <w:r>
        <w:rPr>
          <w:rFonts w:hint="eastAsia" w:ascii="仿宋_GB2312" w:hAnsi="宋体" w:eastAsia="仿宋_GB2312" w:cs="宋体"/>
          <w:color w:val="333333"/>
          <w:kern w:val="0"/>
          <w:sz w:val="30"/>
          <w:szCs w:val="30"/>
        </w:rPr>
        <w:t>项目完成结果评价</w:t>
      </w:r>
      <w:r>
        <w:rPr>
          <w:rFonts w:hint="eastAsia" w:ascii="Arial Unicode MS" w:hAnsi="Arial Unicode MS" w:eastAsia="Arial Unicode MS" w:cs="Arial Unicode MS"/>
          <w:color w:val="333333"/>
          <w:kern w:val="0"/>
          <w:sz w:val="30"/>
          <w:szCs w:val="30"/>
        </w:rPr>
        <w:t>☑</w:t>
      </w:r>
    </w:p>
    <w:p>
      <w:pPr>
        <w:widowControl/>
        <w:shd w:val="clear" w:color="auto" w:fill="FFFFFF"/>
        <w:spacing w:before="156" w:after="360" w:line="300" w:lineRule="atLeast"/>
        <w:ind w:firstLine="480"/>
        <w:jc w:val="left"/>
        <w:rPr>
          <w:rFonts w:hint="eastAsia" w:ascii="仿宋_GB2312" w:hAnsi="宋体" w:eastAsia="仿宋_GB2312" w:cs="宋体"/>
          <w:color w:val="333333"/>
          <w:kern w:val="0"/>
          <w:sz w:val="30"/>
          <w:szCs w:val="30"/>
        </w:rPr>
      </w:pPr>
    </w:p>
    <w:p>
      <w:pPr>
        <w:widowControl/>
        <w:shd w:val="clear" w:color="auto" w:fill="FFFFFF"/>
        <w:spacing w:before="156" w:after="360" w:line="300" w:lineRule="atLeast"/>
        <w:ind w:firstLine="480"/>
        <w:jc w:val="left"/>
        <w:rPr>
          <w:rFonts w:ascii="仿宋_GB2312" w:hAnsi="宋体" w:eastAsia="仿宋_GB2312" w:cs="宋体"/>
          <w:color w:val="333333"/>
          <w:kern w:val="0"/>
          <w:sz w:val="30"/>
          <w:szCs w:val="30"/>
        </w:rPr>
      </w:pPr>
    </w:p>
    <w:p>
      <w:pPr>
        <w:widowControl/>
        <w:shd w:val="clear" w:color="auto" w:fill="FFFFFF"/>
        <w:spacing w:before="156" w:after="360" w:line="300" w:lineRule="atLeast"/>
        <w:ind w:firstLine="452" w:firstLineChars="150"/>
        <w:jc w:val="left"/>
        <w:rPr>
          <w:rFonts w:ascii="仿宋_GB2312" w:hAnsi="宋体" w:eastAsia="仿宋_GB2312" w:cs="宋体"/>
          <w:b/>
          <w:color w:val="333333"/>
          <w:kern w:val="0"/>
          <w:sz w:val="30"/>
          <w:szCs w:val="30"/>
        </w:rPr>
      </w:pPr>
      <w:r>
        <w:rPr>
          <w:rFonts w:hint="eastAsia" w:cs="宋体" w:asciiTheme="minorEastAsia" w:hAnsiTheme="minorEastAsia"/>
          <w:b/>
          <w:color w:val="333333"/>
          <w:kern w:val="0"/>
          <w:sz w:val="30"/>
          <w:szCs w:val="30"/>
        </w:rPr>
        <w:t>重点项目名称</w:t>
      </w:r>
      <w:r>
        <w:rPr>
          <w:rFonts w:hint="eastAsia" w:ascii="仿宋_GB2312" w:hAnsi="黑体" w:eastAsia="仿宋_GB2312" w:cs="宋体"/>
          <w:b/>
          <w:color w:val="333333"/>
          <w:kern w:val="0"/>
          <w:sz w:val="30"/>
          <w:szCs w:val="30"/>
        </w:rPr>
        <w:t>：</w:t>
      </w:r>
      <w:r>
        <w:rPr>
          <w:rFonts w:hint="eastAsia" w:ascii="仿宋_GB2312" w:hAnsi="宋体" w:eastAsia="仿宋_GB2312" w:cs="宋体"/>
          <w:color w:val="333333"/>
          <w:kern w:val="0"/>
          <w:sz w:val="30"/>
          <w:szCs w:val="30"/>
          <w:u w:val="single"/>
        </w:rPr>
        <w:t>国有企业退休人员社会化管理补助资金</w:t>
      </w:r>
      <w:r>
        <w:rPr>
          <w:rFonts w:hint="eastAsia" w:ascii="宋体" w:hAnsi="宋体" w:eastAsia="仿宋_GB2312" w:cs="宋体"/>
          <w:b/>
          <w:color w:val="333333"/>
          <w:kern w:val="0"/>
          <w:sz w:val="30"/>
          <w:szCs w:val="30"/>
          <w:u w:val="single"/>
        </w:rPr>
        <w:t> </w:t>
      </w:r>
    </w:p>
    <w:p>
      <w:pPr>
        <w:widowControl/>
        <w:shd w:val="clear" w:color="auto" w:fill="FFFFFF"/>
        <w:spacing w:before="156" w:after="360" w:line="300" w:lineRule="atLeast"/>
        <w:ind w:firstLine="480"/>
        <w:jc w:val="left"/>
        <w:rPr>
          <w:rFonts w:ascii="仿宋_GB2312" w:hAnsi="宋体" w:eastAsia="仿宋_GB2312" w:cs="宋体"/>
          <w:b/>
          <w:color w:val="333333"/>
          <w:kern w:val="0"/>
          <w:sz w:val="30"/>
          <w:szCs w:val="30"/>
        </w:rPr>
      </w:pPr>
      <w:r>
        <w:rPr>
          <w:rFonts w:hint="eastAsia" w:cs="宋体" w:asciiTheme="minorEastAsia" w:hAnsiTheme="minorEastAsia"/>
          <w:b/>
          <w:color w:val="333333"/>
          <w:kern w:val="0"/>
          <w:sz w:val="30"/>
          <w:szCs w:val="30"/>
        </w:rPr>
        <w:t>项目主管单位</w:t>
      </w:r>
      <w:r>
        <w:rPr>
          <w:rFonts w:hint="eastAsia" w:ascii="仿宋_GB2312" w:hAnsi="黑体" w:eastAsia="仿宋_GB2312" w:cs="宋体"/>
          <w:b/>
          <w:color w:val="333333"/>
          <w:kern w:val="0"/>
          <w:sz w:val="30"/>
          <w:szCs w:val="30"/>
        </w:rPr>
        <w:t>：</w:t>
      </w:r>
      <w:r>
        <w:rPr>
          <w:rFonts w:hint="eastAsia" w:ascii="宋体" w:hAnsi="宋体" w:eastAsia="仿宋_GB2312" w:cs="宋体"/>
          <w:b/>
          <w:color w:val="333333"/>
          <w:kern w:val="0"/>
          <w:sz w:val="30"/>
          <w:szCs w:val="30"/>
          <w:u w:val="single"/>
        </w:rPr>
        <w:t> </w:t>
      </w:r>
      <w:r>
        <w:rPr>
          <w:rFonts w:hint="eastAsia" w:ascii="仿宋_GB2312" w:hAnsi="宋体" w:eastAsia="仿宋_GB2312" w:cs="宋体"/>
          <w:color w:val="333333"/>
          <w:kern w:val="0"/>
          <w:sz w:val="30"/>
          <w:szCs w:val="30"/>
          <w:u w:val="single"/>
        </w:rPr>
        <w:t xml:space="preserve">宜良县国有资产和金融服务中心  </w:t>
      </w:r>
      <w:r>
        <w:rPr>
          <w:rFonts w:hint="eastAsia" w:ascii="宋体" w:hAnsi="宋体" w:eastAsia="仿宋_GB2312" w:cs="宋体"/>
          <w:b/>
          <w:color w:val="333333"/>
          <w:kern w:val="0"/>
          <w:sz w:val="30"/>
          <w:szCs w:val="30"/>
          <w:u w:val="single"/>
        </w:rPr>
        <w:t> </w:t>
      </w:r>
    </w:p>
    <w:p>
      <w:pPr>
        <w:widowControl/>
        <w:shd w:val="clear" w:color="auto" w:fill="FFFFFF"/>
        <w:spacing w:before="156" w:after="360" w:line="300" w:lineRule="atLeast"/>
        <w:ind w:firstLine="480"/>
        <w:jc w:val="left"/>
        <w:rPr>
          <w:rFonts w:cs="宋体" w:asciiTheme="minorEastAsia" w:hAnsiTheme="minorEastAsia"/>
          <w:b/>
          <w:color w:val="333333"/>
          <w:kern w:val="0"/>
          <w:sz w:val="30"/>
          <w:szCs w:val="30"/>
          <w:u w:val="single"/>
        </w:rPr>
      </w:pPr>
      <w:r>
        <w:rPr>
          <w:rFonts w:hint="eastAsia" w:cs="宋体" w:asciiTheme="minorEastAsia" w:hAnsiTheme="minorEastAsia"/>
          <w:b/>
          <w:color w:val="333333"/>
          <w:kern w:val="0"/>
          <w:sz w:val="30"/>
          <w:szCs w:val="30"/>
        </w:rPr>
        <w:t xml:space="preserve">评价年度：     </w:t>
      </w:r>
      <w:r>
        <w:rPr>
          <w:rFonts w:hint="eastAsia" w:cs="宋体" w:asciiTheme="minorEastAsia" w:hAnsiTheme="minorEastAsia"/>
          <w:b/>
          <w:color w:val="333333"/>
          <w:kern w:val="0"/>
          <w:sz w:val="30"/>
          <w:szCs w:val="30"/>
          <w:u w:val="single"/>
        </w:rPr>
        <w:t xml:space="preserve">            </w:t>
      </w:r>
      <w:r>
        <w:rPr>
          <w:rFonts w:hint="eastAsia" w:cs="宋体" w:asciiTheme="minorEastAsia" w:hAnsiTheme="minorEastAsia"/>
          <w:color w:val="333333"/>
          <w:kern w:val="0"/>
          <w:sz w:val="30"/>
          <w:szCs w:val="30"/>
          <w:u w:val="single"/>
        </w:rPr>
        <w:t xml:space="preserve">2020年  </w:t>
      </w:r>
      <w:r>
        <w:rPr>
          <w:rFonts w:hint="eastAsia" w:cs="宋体" w:asciiTheme="minorEastAsia" w:hAnsiTheme="minorEastAsia"/>
          <w:b/>
          <w:color w:val="333333"/>
          <w:kern w:val="0"/>
          <w:sz w:val="30"/>
          <w:szCs w:val="30"/>
          <w:u w:val="single"/>
        </w:rPr>
        <w:t xml:space="preserve">           </w:t>
      </w:r>
    </w:p>
    <w:p>
      <w:pPr>
        <w:widowControl/>
        <w:shd w:val="clear" w:color="auto" w:fill="FFFFFF"/>
        <w:spacing w:before="156" w:after="360" w:line="300" w:lineRule="atLeast"/>
        <w:ind w:firstLine="480"/>
        <w:jc w:val="left"/>
        <w:rPr>
          <w:rFonts w:ascii="宋体" w:hAnsi="宋体" w:eastAsia="宋体" w:cs="宋体"/>
          <w:b/>
          <w:color w:val="333333"/>
          <w:kern w:val="0"/>
          <w:sz w:val="30"/>
          <w:szCs w:val="30"/>
        </w:rPr>
      </w:pPr>
      <w:r>
        <w:rPr>
          <w:rFonts w:hint="eastAsia" w:cs="宋体" w:asciiTheme="minorEastAsia" w:hAnsiTheme="minorEastAsia"/>
          <w:b/>
          <w:color w:val="333333"/>
          <w:kern w:val="0"/>
          <w:sz w:val="30"/>
          <w:szCs w:val="30"/>
        </w:rPr>
        <w:t>评价金额(万元)</w:t>
      </w:r>
      <w:r>
        <w:rPr>
          <w:rFonts w:hint="eastAsia" w:ascii="仿宋_GB2312" w:hAnsi="黑体" w:eastAsia="仿宋_GB2312" w:cs="宋体"/>
          <w:b/>
          <w:color w:val="333333"/>
          <w:kern w:val="0"/>
          <w:sz w:val="30"/>
          <w:szCs w:val="30"/>
        </w:rPr>
        <w:t>：</w:t>
      </w:r>
      <w:r>
        <w:rPr>
          <w:rFonts w:hint="eastAsia" w:ascii="宋体" w:hAnsi="宋体" w:cs="宋体"/>
          <w:b/>
          <w:color w:val="333333"/>
          <w:kern w:val="0"/>
          <w:sz w:val="30"/>
          <w:szCs w:val="30"/>
          <w:u w:val="single"/>
        </w:rPr>
        <w:t> </w:t>
      </w:r>
      <w:r>
        <w:rPr>
          <w:rFonts w:hint="eastAsia" w:ascii="宋体" w:hAnsi="宋体" w:eastAsia="仿宋_GB2312" w:cs="宋体"/>
          <w:b/>
          <w:color w:val="333333"/>
          <w:kern w:val="0"/>
          <w:sz w:val="30"/>
          <w:szCs w:val="30"/>
          <w:u w:val="single"/>
        </w:rPr>
        <w:t> </w:t>
      </w:r>
      <w:r>
        <w:rPr>
          <w:rFonts w:hint="eastAsia" w:ascii="宋体" w:hAnsi="宋体" w:cs="宋体"/>
          <w:b/>
          <w:color w:val="333333"/>
          <w:kern w:val="0"/>
          <w:sz w:val="30"/>
          <w:szCs w:val="30"/>
          <w:u w:val="single"/>
        </w:rPr>
        <w:t xml:space="preserve">       </w:t>
      </w:r>
      <w:r>
        <w:rPr>
          <w:rFonts w:hint="eastAsia" w:ascii="宋体" w:hAnsi="宋体" w:cs="宋体"/>
          <w:color w:val="333333"/>
          <w:kern w:val="0"/>
          <w:sz w:val="30"/>
          <w:szCs w:val="30"/>
          <w:u w:val="single"/>
        </w:rPr>
        <w:t>25.79  </w:t>
      </w:r>
      <w:r>
        <w:rPr>
          <w:rFonts w:hint="eastAsia" w:ascii="宋体" w:hAnsi="宋体" w:cs="宋体"/>
          <w:b/>
          <w:color w:val="333333"/>
          <w:kern w:val="0"/>
          <w:sz w:val="30"/>
          <w:szCs w:val="30"/>
          <w:u w:val="single"/>
        </w:rPr>
        <w:t>  </w:t>
      </w:r>
      <w:r>
        <w:rPr>
          <w:rFonts w:hint="eastAsia" w:ascii="宋体" w:hAnsi="宋体" w:eastAsia="宋体" w:cs="宋体"/>
          <w:b/>
          <w:color w:val="333333"/>
          <w:kern w:val="0"/>
          <w:sz w:val="30"/>
          <w:szCs w:val="30"/>
          <w:u w:val="single"/>
        </w:rPr>
        <w:t xml:space="preserve">  </w:t>
      </w:r>
    </w:p>
    <w:p>
      <w:pPr>
        <w:widowControl/>
        <w:shd w:val="clear" w:color="auto" w:fill="FFFFFF"/>
        <w:spacing w:after="360" w:line="300" w:lineRule="atLeast"/>
        <w:jc w:val="center"/>
        <w:rPr>
          <w:rFonts w:ascii="黑体" w:hAnsi="黑体" w:eastAsia="黑体" w:cs="宋体"/>
          <w:b/>
          <w:bCs/>
          <w:color w:val="333333"/>
          <w:kern w:val="0"/>
          <w:sz w:val="44"/>
          <w:szCs w:val="44"/>
        </w:rPr>
      </w:pPr>
    </w:p>
    <w:p>
      <w:pPr>
        <w:widowControl/>
        <w:shd w:val="clear" w:color="auto" w:fill="FFFFFF"/>
        <w:spacing w:after="360" w:line="300" w:lineRule="atLeast"/>
        <w:ind w:firstLine="2208"/>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 </w:t>
      </w:r>
    </w:p>
    <w:p>
      <w:pPr>
        <w:widowControl/>
        <w:shd w:val="clear" w:color="auto" w:fill="FFFFFF"/>
        <w:spacing w:after="360" w:line="300" w:lineRule="atLeast"/>
        <w:ind w:firstLine="2208"/>
        <w:jc w:val="left"/>
        <w:rPr>
          <w:rFonts w:ascii="宋体" w:hAnsi="宋体" w:eastAsia="宋体" w:cs="宋体"/>
          <w:color w:val="333333"/>
          <w:kern w:val="0"/>
          <w:sz w:val="30"/>
          <w:szCs w:val="30"/>
        </w:rPr>
      </w:pPr>
      <w:r>
        <w:rPr>
          <w:sz w:val="30"/>
        </w:rPr>
        <w:pict>
          <v:shape id="_x0000_s2050" o:spid="_x0000_s2050" o:spt="201" type="#_x0000_t201" style="position:absolute;left:0pt;margin-left:134.65pt;margin-top:-49.65pt;height:128pt;width:128pt;z-index:251658240;mso-width-relative:page;mso-height-relative:page;" o:ole="t" filled="f" o:preferrelative="t" stroked="f" coordsize="21600,21600">
            <v:path/>
            <v:fill on="f" focussize="0,0"/>
            <v:stroke on="f"/>
            <v:imagedata r:id="rId6" o:title=""/>
            <o:lock v:ext="edit" aspectratio="f"/>
          </v:shape>
          <w:control r:id="rId5" w:name="Cbcsign1" w:shapeid="_x0000_s2050"/>
        </w:pict>
      </w:r>
      <w:r>
        <w:rPr>
          <w:rFonts w:hint="eastAsia" w:ascii="宋体" w:hAnsi="宋体" w:eastAsia="宋体" w:cs="宋体"/>
          <w:color w:val="333333"/>
          <w:kern w:val="0"/>
          <w:sz w:val="30"/>
          <w:szCs w:val="30"/>
        </w:rPr>
        <w:t xml:space="preserve">       </w:t>
      </w:r>
      <w:r>
        <w:rPr>
          <w:rFonts w:hint="eastAsia" w:ascii="仿宋_GB2312" w:hAnsi="宋体" w:eastAsia="仿宋_GB2312" w:cs="宋体"/>
          <w:color w:val="333333"/>
          <w:kern w:val="0"/>
          <w:sz w:val="30"/>
          <w:szCs w:val="30"/>
        </w:rPr>
        <w:t>宜良县财政局</w:t>
      </w:r>
    </w:p>
    <w:p>
      <w:pPr>
        <w:widowControl/>
        <w:shd w:val="clear" w:color="auto" w:fill="FFFFFF"/>
        <w:spacing w:after="360" w:line="300" w:lineRule="atLeast"/>
        <w:ind w:firstLine="1650" w:firstLineChars="550"/>
        <w:jc w:val="left"/>
        <w:rPr>
          <w:rFonts w:ascii="宋体" w:hAnsi="宋体" w:eastAsia="宋体" w:cs="宋体"/>
          <w:color w:val="333333"/>
          <w:kern w:val="0"/>
          <w:sz w:val="30"/>
          <w:szCs w:val="30"/>
        </w:rPr>
      </w:pPr>
      <w:r>
        <w:rPr>
          <w:rFonts w:hint="eastAsia" w:ascii="仿宋_GB2312" w:hAnsi="宋体" w:eastAsia="仿宋_GB2312" w:cs="宋体"/>
          <w:color w:val="333333"/>
          <w:kern w:val="0"/>
          <w:sz w:val="30"/>
          <w:szCs w:val="30"/>
        </w:rPr>
        <w:t>报告日期：</w:t>
      </w:r>
      <w:r>
        <w:rPr>
          <w:rFonts w:hint="eastAsia" w:ascii="宋体" w:hAnsi="宋体" w:eastAsia="宋体" w:cs="宋体"/>
          <w:color w:val="333333"/>
          <w:kern w:val="0"/>
          <w:sz w:val="30"/>
          <w:szCs w:val="30"/>
        </w:rPr>
        <w:t> 2021 </w:t>
      </w:r>
      <w:r>
        <w:rPr>
          <w:rFonts w:hint="eastAsia" w:ascii="仿宋_GB2312" w:hAnsi="宋体" w:eastAsia="仿宋_GB2312" w:cs="宋体"/>
          <w:color w:val="333333"/>
          <w:kern w:val="0"/>
          <w:sz w:val="30"/>
          <w:szCs w:val="30"/>
        </w:rPr>
        <w:t>年</w:t>
      </w:r>
      <w:r>
        <w:rPr>
          <w:rFonts w:hint="eastAsia" w:ascii="宋体" w:hAnsi="宋体" w:eastAsia="宋体" w:cs="宋体"/>
          <w:color w:val="333333"/>
          <w:kern w:val="0"/>
          <w:sz w:val="30"/>
          <w:szCs w:val="30"/>
        </w:rPr>
        <w:t> 10 </w:t>
      </w:r>
      <w:r>
        <w:rPr>
          <w:rFonts w:hint="eastAsia" w:ascii="仿宋_GB2312" w:hAnsi="宋体" w:eastAsia="仿宋_GB2312" w:cs="宋体"/>
          <w:color w:val="333333"/>
          <w:kern w:val="0"/>
          <w:sz w:val="30"/>
          <w:szCs w:val="30"/>
        </w:rPr>
        <w:t>月</w:t>
      </w:r>
      <w:r>
        <w:rPr>
          <w:rFonts w:hint="eastAsia" w:ascii="宋体" w:hAnsi="宋体" w:eastAsia="宋体" w:cs="宋体"/>
          <w:color w:val="333333"/>
          <w:kern w:val="0"/>
          <w:sz w:val="30"/>
          <w:szCs w:val="30"/>
        </w:rPr>
        <w:t> 25 </w:t>
      </w:r>
      <w:r>
        <w:rPr>
          <w:rFonts w:hint="eastAsia" w:ascii="仿宋_GB2312" w:hAnsi="宋体" w:eastAsia="仿宋_GB2312" w:cs="宋体"/>
          <w:color w:val="333333"/>
          <w:kern w:val="0"/>
          <w:sz w:val="30"/>
          <w:szCs w:val="30"/>
        </w:rPr>
        <w:t>日</w:t>
      </w:r>
    </w:p>
    <w:p>
      <w:pPr>
        <w:spacing w:line="360" w:lineRule="auto"/>
        <w:jc w:val="center"/>
        <w:rPr>
          <w:rFonts w:cs="宋体" w:asciiTheme="minorEastAsia" w:hAnsiTheme="minorEastAsia"/>
          <w:b/>
          <w:color w:val="333333"/>
          <w:kern w:val="0"/>
          <w:sz w:val="44"/>
          <w:szCs w:val="44"/>
        </w:rPr>
      </w:pPr>
      <w:r>
        <w:rPr>
          <w:rFonts w:hint="eastAsia" w:cs="宋体" w:asciiTheme="minorEastAsia" w:hAnsiTheme="minorEastAsia"/>
          <w:b/>
          <w:sz w:val="44"/>
          <w:szCs w:val="44"/>
        </w:rPr>
        <w:t>2020年宜良县国有资产和金融服务中心</w:t>
      </w:r>
      <w:r>
        <w:rPr>
          <w:rFonts w:hint="eastAsia" w:cs="宋体" w:asciiTheme="minorEastAsia" w:hAnsiTheme="minorEastAsia"/>
          <w:b/>
          <w:color w:val="333333"/>
          <w:kern w:val="0"/>
          <w:sz w:val="44"/>
          <w:szCs w:val="44"/>
        </w:rPr>
        <w:t>国有企业退休人员社会化管理补助资金</w:t>
      </w:r>
    </w:p>
    <w:p>
      <w:pPr>
        <w:spacing w:line="360" w:lineRule="auto"/>
        <w:jc w:val="center"/>
        <w:rPr>
          <w:rFonts w:cs="宋体" w:asciiTheme="minorEastAsia" w:hAnsiTheme="minorEastAsia"/>
          <w:b/>
          <w:sz w:val="44"/>
          <w:szCs w:val="44"/>
        </w:rPr>
      </w:pPr>
      <w:r>
        <w:rPr>
          <w:rFonts w:hint="eastAsia" w:cs="宋体" w:asciiTheme="minorEastAsia" w:hAnsiTheme="minorEastAsia"/>
          <w:b/>
          <w:sz w:val="44"/>
          <w:szCs w:val="44"/>
        </w:rPr>
        <w:t>重点项目支出绩效评价报告</w:t>
      </w:r>
    </w:p>
    <w:p>
      <w:pPr>
        <w:spacing w:line="360" w:lineRule="auto"/>
        <w:jc w:val="center"/>
        <w:rPr>
          <w:rFonts w:ascii="宋体" w:hAnsi="宋体" w:eastAsia="宋体" w:cs="宋体"/>
          <w:b/>
          <w:sz w:val="44"/>
          <w:szCs w:val="44"/>
        </w:rPr>
      </w:pPr>
    </w:p>
    <w:p>
      <w:pPr>
        <w:ind w:firstLine="640" w:firstLineChars="200"/>
        <w:rPr>
          <w:rFonts w:ascii="仿宋_GB2312" w:hAnsi="宋体" w:eastAsia="仿宋_GB2312" w:cs="宋体"/>
          <w:sz w:val="32"/>
          <w:szCs w:val="32"/>
        </w:rPr>
      </w:pPr>
      <w:bookmarkStart w:id="0" w:name="_Toc502134848"/>
      <w:r>
        <w:rPr>
          <w:rFonts w:hint="eastAsia" w:ascii="仿宋_GB2312" w:hAnsi="仿宋" w:eastAsia="仿宋_GB2312"/>
          <w:sz w:val="32"/>
          <w:szCs w:val="32"/>
        </w:rPr>
        <w:t>根据《昆明市财政局关于做好2021年预算绩效管理工作的指导意见》（昆财绩〔2021〕2号）《宜良县财政局 宜良县督查工作领导小组办公室 宜良县人民政府目标管理督查办公室关于印发〈宜良县</w:t>
      </w:r>
      <w:r>
        <w:rPr>
          <w:rFonts w:hint="eastAsia" w:ascii="仿宋_GB2312" w:hAnsi="仿宋" w:eastAsia="仿宋_GB2312"/>
          <w:bCs/>
          <w:sz w:val="32"/>
          <w:szCs w:val="32"/>
        </w:rPr>
        <w:t>预算绩效管理工作考核办法（试行）</w:t>
      </w:r>
      <w:r>
        <w:rPr>
          <w:rFonts w:hint="eastAsia" w:ascii="仿宋_GB2312" w:hAnsi="仿宋" w:eastAsia="仿宋_GB2312"/>
          <w:sz w:val="32"/>
          <w:szCs w:val="32"/>
        </w:rPr>
        <w:t>〉的通知》（宜财联发〔2017〕6号）</w:t>
      </w:r>
      <w:r>
        <w:rPr>
          <w:rFonts w:hint="eastAsia" w:ascii="仿宋_GB2312" w:eastAsia="仿宋_GB2312"/>
          <w:spacing w:val="-10"/>
          <w:sz w:val="32"/>
          <w:szCs w:val="32"/>
        </w:rPr>
        <w:t>《</w:t>
      </w:r>
      <w:r>
        <w:rPr>
          <w:rFonts w:hint="eastAsia" w:ascii="仿宋_GB2312" w:eastAsia="仿宋_GB2312"/>
          <w:sz w:val="32"/>
          <w:szCs w:val="32"/>
        </w:rPr>
        <w:t>宜良县人民政府办公室</w:t>
      </w:r>
      <w:r>
        <w:rPr>
          <w:rFonts w:hint="eastAsia" w:ascii="仿宋_GB2312" w:eastAsia="仿宋_GB2312"/>
          <w:spacing w:val="-10"/>
          <w:sz w:val="32"/>
          <w:szCs w:val="32"/>
        </w:rPr>
        <w:t>关于印发&lt;宜良县预算绩效管理暂行办法&gt;的通知》</w:t>
      </w:r>
      <w:r>
        <w:rPr>
          <w:rFonts w:hint="eastAsia" w:ascii="仿宋_GB2312" w:hAnsi="仿宋" w:eastAsia="仿宋_GB2312" w:cs="仿宋"/>
          <w:kern w:val="0"/>
          <w:sz w:val="32"/>
          <w:szCs w:val="32"/>
        </w:rPr>
        <w:t>（</w:t>
      </w:r>
      <w:r>
        <w:rPr>
          <w:rFonts w:hint="eastAsia" w:ascii="仿宋_GB2312" w:hAnsi="宋体" w:eastAsia="仿宋_GB2312"/>
          <w:sz w:val="32"/>
          <w:szCs w:val="32"/>
        </w:rPr>
        <w:t>宜政办通〔2020〕30号</w:t>
      </w:r>
      <w:r>
        <w:rPr>
          <w:rFonts w:hint="eastAsia" w:ascii="仿宋_GB2312" w:hAnsi="仿宋" w:eastAsia="仿宋_GB2312" w:cs="仿宋"/>
          <w:kern w:val="0"/>
          <w:sz w:val="32"/>
          <w:szCs w:val="32"/>
        </w:rPr>
        <w:t>）</w:t>
      </w:r>
      <w:r>
        <w:rPr>
          <w:rFonts w:hint="eastAsia" w:ascii="仿宋_GB2312" w:hAnsi="仿宋" w:eastAsia="仿宋_GB2312"/>
          <w:kern w:val="0"/>
          <w:sz w:val="32"/>
          <w:szCs w:val="32"/>
        </w:rPr>
        <w:t>等文件精神，</w:t>
      </w:r>
      <w:r>
        <w:rPr>
          <w:rFonts w:hint="eastAsia" w:ascii="仿宋_GB2312" w:hAnsi="仿宋" w:eastAsia="仿宋_GB2312" w:cs="仿宋_GB2312"/>
          <w:kern w:val="0"/>
          <w:sz w:val="32"/>
          <w:szCs w:val="32"/>
        </w:rPr>
        <w:t>开展财政支出重点项目绩效评价。</w:t>
      </w:r>
      <w:r>
        <w:rPr>
          <w:rFonts w:hint="eastAsia" w:ascii="仿宋_GB2312" w:hAnsi="宋体" w:eastAsia="仿宋_GB2312" w:cs="宋体"/>
          <w:sz w:val="32"/>
          <w:szCs w:val="32"/>
        </w:rPr>
        <w:t>宜良县财政局组成评价组对宜良县国有资产和金融服务中心2020年度</w:t>
      </w:r>
      <w:r>
        <w:rPr>
          <w:rFonts w:hint="eastAsia" w:ascii="仿宋_GB2312" w:hAnsi="宋体" w:eastAsia="仿宋_GB2312" w:cs="宋体"/>
          <w:color w:val="333333"/>
          <w:kern w:val="0"/>
          <w:sz w:val="32"/>
          <w:szCs w:val="32"/>
        </w:rPr>
        <w:t>国有企业退休人员社会化管理补助资金</w:t>
      </w:r>
      <w:r>
        <w:rPr>
          <w:rFonts w:hint="eastAsia" w:ascii="仿宋_GB2312" w:hAnsi="宋体" w:eastAsia="仿宋_GB2312" w:cs="宋体"/>
          <w:sz w:val="32"/>
          <w:szCs w:val="32"/>
        </w:rPr>
        <w:t>支出的管理、资金使用及效益情况进行了绩效重点项目再评价。现将评价情况报告如下：</w:t>
      </w:r>
    </w:p>
    <w:p>
      <w:pPr>
        <w:ind w:firstLine="643" w:firstLineChars="200"/>
        <w:rPr>
          <w:rFonts w:cs="宋体" w:asciiTheme="minorEastAsia" w:hAnsiTheme="minorEastAsia"/>
          <w:b/>
          <w:bCs/>
          <w:sz w:val="32"/>
          <w:szCs w:val="32"/>
        </w:rPr>
      </w:pPr>
      <w:r>
        <w:rPr>
          <w:rFonts w:hint="eastAsia" w:cs="宋体" w:asciiTheme="minorEastAsia" w:hAnsiTheme="minorEastAsia"/>
          <w:b/>
          <w:bCs/>
          <w:sz w:val="32"/>
          <w:szCs w:val="32"/>
        </w:rPr>
        <w:t>一、基本情况</w:t>
      </w:r>
      <w:bookmarkEnd w:id="0"/>
    </w:p>
    <w:p>
      <w:pPr>
        <w:ind w:firstLine="643" w:firstLineChars="200"/>
        <w:rPr>
          <w:rFonts w:ascii="仿宋_GB2312" w:hAnsi="宋体" w:eastAsia="仿宋_GB2312" w:cs="宋体"/>
          <w:b/>
          <w:bCs/>
          <w:sz w:val="32"/>
          <w:szCs w:val="32"/>
        </w:rPr>
      </w:pPr>
      <w:bookmarkStart w:id="1" w:name="_Toc502134849"/>
      <w:r>
        <w:rPr>
          <w:rFonts w:hint="eastAsia" w:ascii="仿宋_GB2312" w:hAnsi="宋体" w:eastAsia="仿宋_GB2312" w:cs="宋体"/>
          <w:b/>
          <w:bCs/>
          <w:sz w:val="32"/>
          <w:szCs w:val="32"/>
        </w:rPr>
        <w:t>（一）项目概况</w:t>
      </w:r>
      <w:bookmarkEnd w:id="1"/>
    </w:p>
    <w:p>
      <w:pPr>
        <w:pStyle w:val="5"/>
        <w:ind w:firstLine="645"/>
        <w:jc w:val="both"/>
        <w:rPr>
          <w:rFonts w:ascii="仿宋_GB2312" w:hAnsi="Times New Roman" w:eastAsia="仿宋_GB2312" w:cs="Times New Roman"/>
          <w:sz w:val="32"/>
          <w:szCs w:val="32"/>
        </w:rPr>
      </w:pPr>
      <w:r>
        <w:rPr>
          <w:rFonts w:hint="eastAsia" w:ascii="仿宋_GB2312" w:eastAsia="仿宋_GB2312"/>
          <w:color w:val="333333"/>
          <w:sz w:val="32"/>
          <w:szCs w:val="32"/>
        </w:rPr>
        <w:t>国有企业</w:t>
      </w:r>
      <w:r>
        <w:rPr>
          <w:rFonts w:hint="eastAsia" w:ascii="仿宋_GB2312" w:hAnsi="Times New Roman" w:eastAsia="仿宋_GB2312"/>
          <w:sz w:val="32"/>
          <w:szCs w:val="32"/>
        </w:rPr>
        <w:t>退休人员实行社会化管理是中央和省、市全面深化国企改革的重要举措。宜良县国有企业退休人员社会化管理工作</w:t>
      </w:r>
      <w:r>
        <w:rPr>
          <w:rFonts w:hint="eastAsia" w:ascii="仿宋_GB2312" w:hAnsi="Times New Roman" w:eastAsia="仿宋_GB2312" w:cs="Times New Roman"/>
          <w:sz w:val="32"/>
          <w:szCs w:val="32"/>
        </w:rPr>
        <w:t>涉及全县8个乡镇（街道）及阳宗海管委会的汤池街道。 2020年分别与114家国有企业签订了移交协议，接收退休国有企业人员共计3678人，其中：中央企业1896人、省属企业1701人、市属企业81人。按时梳理完成了相关国有企业退休人员基本信息，退休人员人事档案移交整理，党组织关系接转，社区服务以及各项协议的签订等工作。</w:t>
      </w:r>
    </w:p>
    <w:p>
      <w:pPr>
        <w:ind w:firstLine="640" w:firstLineChars="200"/>
        <w:rPr>
          <w:rFonts w:ascii="仿宋_GB2312" w:hAnsi="宋体" w:eastAsia="仿宋_GB2312" w:cs="宋体"/>
          <w:b/>
          <w:bCs/>
          <w:sz w:val="32"/>
          <w:szCs w:val="32"/>
        </w:rPr>
      </w:pPr>
      <w:r>
        <w:rPr>
          <w:rFonts w:hint="eastAsia" w:ascii="仿宋_GB2312" w:hAnsi="宋体" w:eastAsia="仿宋_GB2312" w:cs="宋体"/>
          <w:sz w:val="32"/>
          <w:szCs w:val="32"/>
        </w:rPr>
        <w:t xml:space="preserve"> </w:t>
      </w:r>
      <w:bookmarkStart w:id="2" w:name="_Toc502134850"/>
      <w:r>
        <w:rPr>
          <w:rFonts w:hint="eastAsia" w:ascii="仿宋_GB2312" w:hAnsi="宋体" w:eastAsia="仿宋_GB2312" w:cs="宋体"/>
          <w:b/>
          <w:bCs/>
          <w:sz w:val="32"/>
          <w:szCs w:val="32"/>
        </w:rPr>
        <w:t>（二）项目资金安排情况</w:t>
      </w:r>
      <w:bookmarkEnd w:id="2"/>
    </w:p>
    <w:p>
      <w:pPr>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2020年</w:t>
      </w:r>
      <w:r>
        <w:rPr>
          <w:rFonts w:hint="eastAsia" w:ascii="仿宋_GB2312" w:hAnsi="宋体" w:eastAsia="仿宋_GB2312" w:cs="宋体"/>
          <w:color w:val="333333"/>
          <w:kern w:val="0"/>
          <w:sz w:val="32"/>
          <w:szCs w:val="32"/>
        </w:rPr>
        <w:t>国有企业退休人员社会化管理补助资金</w:t>
      </w:r>
      <w:r>
        <w:rPr>
          <w:rFonts w:hint="eastAsia" w:ascii="仿宋_GB2312" w:hAnsi="仿宋_GB2312" w:eastAsia="仿宋_GB2312" w:cs="仿宋_GB2312"/>
          <w:color w:val="000000"/>
          <w:kern w:val="0"/>
          <w:sz w:val="32"/>
          <w:szCs w:val="32"/>
        </w:rPr>
        <w:t>25.79万元，属国有资本经营预算资金。其中拨付县档案馆用于</w:t>
      </w:r>
      <w:r>
        <w:rPr>
          <w:rFonts w:hint="eastAsia" w:ascii="仿宋_GB2312" w:hAnsi="宋体" w:eastAsia="仿宋_GB2312" w:cs="宋体"/>
          <w:color w:val="333333"/>
          <w:kern w:val="0"/>
          <w:sz w:val="32"/>
          <w:szCs w:val="32"/>
        </w:rPr>
        <w:t>国有企业退休人员</w:t>
      </w:r>
      <w:r>
        <w:rPr>
          <w:rFonts w:hint="eastAsia" w:ascii="仿宋_GB2312" w:hAnsi="仿宋_GB2312" w:eastAsia="仿宋_GB2312" w:cs="仿宋_GB2312"/>
          <w:color w:val="000000"/>
          <w:kern w:val="0"/>
          <w:sz w:val="32"/>
          <w:szCs w:val="32"/>
        </w:rPr>
        <w:t>档案整理补助经费7.94万元,资金</w:t>
      </w:r>
      <w:r>
        <w:rPr>
          <w:rFonts w:hint="eastAsia" w:ascii="仿宋_GB2312" w:eastAsia="仿宋_GB2312" w:hAnsiTheme="minorEastAsia" w:cstheme="minorEastAsia"/>
          <w:sz w:val="32"/>
          <w:szCs w:val="32"/>
        </w:rPr>
        <w:t>主要用于购买存放国企退休人员档案密集架支出3.46万元；购买防霉驱杀虫药物0.85万元；日常档案管理维护费用等支出。</w:t>
      </w:r>
      <w:r>
        <w:rPr>
          <w:rFonts w:hint="eastAsia" w:ascii="仿宋_GB2312" w:hAnsi="仿宋_GB2312" w:eastAsia="仿宋_GB2312" w:cs="仿宋_GB2312"/>
          <w:color w:val="000000"/>
          <w:kern w:val="0"/>
          <w:sz w:val="32"/>
          <w:szCs w:val="32"/>
        </w:rPr>
        <w:t>拨付各乡镇（街道）补助经费17.85万元用于社区管理服务补助经费开支，其中匡远街道7.14万元；汤池街道6.25万元；南羊街道2.68万元；狗街镇0.89万元；北古城镇0.89万元。</w:t>
      </w:r>
    </w:p>
    <w:p>
      <w:pPr>
        <w:ind w:firstLine="643" w:firstLineChars="200"/>
        <w:rPr>
          <w:rFonts w:ascii="仿宋_GB2312" w:hAnsi="宋体" w:eastAsia="仿宋_GB2312" w:cs="宋体"/>
          <w:b/>
          <w:bCs/>
          <w:sz w:val="32"/>
          <w:szCs w:val="32"/>
        </w:rPr>
      </w:pPr>
      <w:bookmarkStart w:id="3" w:name="_Toc502134851"/>
      <w:r>
        <w:rPr>
          <w:rFonts w:hint="eastAsia" w:ascii="仿宋_GB2312" w:hAnsi="宋体" w:eastAsia="仿宋_GB2312" w:cs="宋体"/>
          <w:b/>
          <w:bCs/>
          <w:sz w:val="32"/>
          <w:szCs w:val="32"/>
        </w:rPr>
        <w:t>（三）项目实施内容</w:t>
      </w:r>
      <w:bookmarkEnd w:id="3"/>
    </w:p>
    <w:p>
      <w:pPr>
        <w:ind w:firstLine="640" w:firstLineChars="200"/>
        <w:rPr>
          <w:rFonts w:ascii="仿宋_GB2312" w:eastAsia="仿宋_GB2312" w:hAnsiTheme="minorEastAsia" w:cstheme="minorEastAsia"/>
          <w:sz w:val="32"/>
          <w:szCs w:val="32"/>
        </w:rPr>
      </w:pPr>
      <w:r>
        <w:rPr>
          <w:rFonts w:hint="eastAsia" w:ascii="仿宋_GB2312" w:hAnsi="仿宋_GB2312" w:eastAsia="仿宋_GB2312" w:cs="仿宋_GB2312"/>
          <w:bCs/>
          <w:sz w:val="32"/>
          <w:szCs w:val="32"/>
        </w:rPr>
        <w:t>1.人事档案移交归档。为确</w:t>
      </w:r>
      <w:r>
        <w:rPr>
          <w:rFonts w:hint="eastAsia" w:ascii="仿宋_GB2312" w:hAnsi="仿宋_GB2312" w:eastAsia="仿宋_GB2312" w:cs="仿宋_GB2312"/>
          <w:sz w:val="32"/>
          <w:szCs w:val="32"/>
        </w:rPr>
        <w:t>保宜良县国有企业退休人员社会化管理档案移交归档工作任务的顺利完成，</w:t>
      </w:r>
      <w:r>
        <w:rPr>
          <w:rFonts w:hint="eastAsia" w:ascii="仿宋_GB2312" w:eastAsia="仿宋_GB2312" w:hAnsiTheme="minorEastAsia" w:cstheme="minorEastAsia"/>
          <w:sz w:val="32"/>
          <w:szCs w:val="32"/>
        </w:rPr>
        <w:t>宜良县档案馆已接收国有企</w:t>
      </w:r>
      <w:r>
        <w:rPr>
          <w:rFonts w:hint="eastAsia" w:ascii="仿宋_GB2312" w:hAnsi="Times New Roman" w:eastAsia="仿宋_GB2312" w:cs="Times New Roman"/>
          <w:sz w:val="32"/>
          <w:szCs w:val="32"/>
        </w:rPr>
        <w:t>业</w:t>
      </w:r>
      <w:r>
        <w:rPr>
          <w:rFonts w:hint="eastAsia" w:ascii="仿宋_GB2312" w:eastAsia="仿宋_GB2312" w:hAnsiTheme="minorEastAsia" w:cstheme="minorEastAsia"/>
          <w:sz w:val="32"/>
          <w:szCs w:val="32"/>
        </w:rPr>
        <w:t>退休人员档案3652卷，并新增1间库房。库房日常管理工作设1名专人负责,严格按“十防”要求管理，每天检查一次消防、空调、除湿机、温湿度记录仪、照明、线路等仪器设备的运行情况，做好温湿度记录登记；实行24小时保安值守制和月检查制；进行经常性安全检查，检查档案有无遗失、空号、重号、虫蛀、霉变、破损等现象，按时投放防虫灭菌药品，确保档案安全。</w:t>
      </w:r>
    </w:p>
    <w:p>
      <w:pPr>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党员组织关系接转。自开展国有企业退休人员社会化管理工作以来，宜良县委组织部高度重视，及时研究部署，积极主动承接移交国有企业退休党员组织关系接转。2020年已全部完成663名国有企业退休党员组织关系接转工作。</w:t>
      </w:r>
    </w:p>
    <w:p>
      <w:pPr>
        <w:widowControl/>
        <w:shd w:val="clear" w:color="auto" w:fill="FFFFFF"/>
        <w:ind w:firstLine="641"/>
        <w:jc w:val="left"/>
        <w:rPr>
          <w:rFonts w:ascii="仿宋_GB2312" w:hAnsi="仿宋_GB2312" w:eastAsia="仿宋_GB2312" w:cs="仿宋_GB2312"/>
          <w:sz w:val="32"/>
          <w:szCs w:val="32"/>
        </w:rPr>
      </w:pPr>
      <w:r>
        <w:rPr>
          <w:rFonts w:hint="eastAsia" w:ascii="仿宋_GB2312" w:hAnsi="仿宋_GB2312" w:eastAsia="仿宋_GB2312" w:cs="仿宋_GB2312"/>
          <w:bCs/>
          <w:sz w:val="32"/>
          <w:szCs w:val="32"/>
        </w:rPr>
        <w:t>3.社区管理服务。为</w:t>
      </w:r>
      <w:r>
        <w:rPr>
          <w:rFonts w:hint="eastAsia" w:ascii="仿宋_GB2312" w:hAnsi="仿宋_GB2312" w:eastAsia="仿宋_GB2312" w:cs="仿宋_GB2312"/>
          <w:sz w:val="32"/>
          <w:szCs w:val="32"/>
        </w:rPr>
        <w:t>能给接收的退休人员提供便捷优质的社会化管理服务，制作《宜良县国有企业退休人员社会化管理服务联系卡》，与退休人员、退休人员单位经办人取得联系，告知退休人员及时到乡镇（街道）承担社会化管理服务工作的部门报到。报到时进一步核对退休人员详细住址、联系电话等信息，并根据工作需要收集退休人员相关材料（包括身份证、户口册、残疾证明等），向退休人员发放《宜良县国有企业退休人员社会化管理服务联系卡》。退休人员报到后，各乡镇（街道）承担社会化管理服务工作的部门按照《昆明市国有企业退休人员社会化管理服务实施办法》所列职能职责，及时为接收的退休人员提供相应的社会化管理服务，保障其合法权益。对重病卧床、行动困难、入住本市（县区）养老服务机构、精神康复医院等不能自主报到的国有企业退休人员，各乡镇（街道）安排工作人员主动上门接收或采取电话联系等方式进行接收。</w:t>
      </w:r>
    </w:p>
    <w:p>
      <w:pPr>
        <w:ind w:firstLine="643" w:firstLineChars="200"/>
        <w:rPr>
          <w:rFonts w:cs="宋体" w:asciiTheme="minorEastAsia" w:hAnsiTheme="minorEastAsia"/>
          <w:b/>
          <w:bCs/>
          <w:sz w:val="32"/>
          <w:szCs w:val="32"/>
        </w:rPr>
      </w:pPr>
      <w:bookmarkStart w:id="4" w:name="_Toc498009773"/>
      <w:bookmarkStart w:id="5" w:name="_Toc502134856"/>
      <w:bookmarkStart w:id="6" w:name="_Toc502134854"/>
      <w:r>
        <w:rPr>
          <w:rFonts w:hint="eastAsia" w:cs="宋体" w:asciiTheme="minorEastAsia" w:hAnsiTheme="minorEastAsia"/>
          <w:b/>
          <w:bCs/>
          <w:sz w:val="32"/>
          <w:szCs w:val="32"/>
        </w:rPr>
        <w:t>二、</w:t>
      </w:r>
      <w:bookmarkStart w:id="7" w:name="_Toc502134857"/>
      <w:bookmarkEnd w:id="4"/>
      <w:bookmarkEnd w:id="5"/>
      <w:bookmarkEnd w:id="6"/>
      <w:r>
        <w:rPr>
          <w:rFonts w:hint="eastAsia" w:cs="宋体" w:asciiTheme="minorEastAsia" w:hAnsiTheme="minorEastAsia"/>
          <w:b/>
          <w:bCs/>
          <w:sz w:val="32"/>
          <w:szCs w:val="32"/>
        </w:rPr>
        <w:t>绩效再评价组织情况</w:t>
      </w:r>
      <w:bookmarkEnd w:id="7"/>
    </w:p>
    <w:p>
      <w:pPr>
        <w:ind w:firstLine="643" w:firstLineChars="200"/>
        <w:rPr>
          <w:rFonts w:ascii="仿宋_GB2312" w:hAnsi="宋体" w:eastAsia="仿宋_GB2312" w:cs="宋体"/>
          <w:b/>
          <w:bCs/>
          <w:sz w:val="32"/>
          <w:szCs w:val="32"/>
        </w:rPr>
      </w:pPr>
      <w:bookmarkStart w:id="8" w:name="_Toc502134858"/>
      <w:r>
        <w:rPr>
          <w:rFonts w:hint="eastAsia" w:ascii="仿宋_GB2312" w:hAnsi="宋体" w:eastAsia="仿宋_GB2312" w:cs="宋体"/>
          <w:b/>
          <w:bCs/>
          <w:sz w:val="32"/>
          <w:szCs w:val="32"/>
        </w:rPr>
        <w:t>（一）绩效再评价依据</w:t>
      </w:r>
      <w:bookmarkEnd w:id="8"/>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1.《中华人民共和国预算法》（2014年修订）；</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2.财政部《项目支出绩效评价管理办法》；</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3.《中共云南省委、云南省人民政府关于全面实施预算管理绩效的意见》（云发〔2019〕11号）；</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4.《云南省省级财政预算绩效管理暂行办法》（云财预〔2015〕295号）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5.其他相关依据文件。</w:t>
      </w:r>
    </w:p>
    <w:p>
      <w:pPr>
        <w:ind w:firstLine="643" w:firstLineChars="200"/>
        <w:rPr>
          <w:rFonts w:ascii="仿宋_GB2312" w:hAnsi="宋体" w:eastAsia="仿宋_GB2312" w:cs="宋体"/>
          <w:b/>
          <w:bCs/>
          <w:sz w:val="32"/>
          <w:szCs w:val="32"/>
        </w:rPr>
      </w:pPr>
      <w:bookmarkStart w:id="9" w:name="_Toc502134859"/>
      <w:r>
        <w:rPr>
          <w:rFonts w:hint="eastAsia" w:ascii="仿宋_GB2312" w:hAnsi="宋体" w:eastAsia="仿宋_GB2312" w:cs="宋体"/>
          <w:b/>
          <w:bCs/>
          <w:sz w:val="32"/>
          <w:szCs w:val="32"/>
        </w:rPr>
        <w:t>（二）绩效再评价方法</w:t>
      </w:r>
      <w:bookmarkEnd w:id="9"/>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次绩效评价中采取定量与定性相结合的方式，具体实施了审阅自评、实地评价、反馈意见等程序。通过资料收集、数据填报、案卷研究、实地调研、座谈会、问卷调查等方式，开展实地再评价。对重点项目相关档案资料进行查阅，结合现场核实情况和资金到位使用及结余情况的分析，进行数据分析和取证。</w:t>
      </w:r>
    </w:p>
    <w:p>
      <w:pPr>
        <w:ind w:firstLine="643" w:firstLineChars="200"/>
        <w:rPr>
          <w:rFonts w:ascii="仿宋_GB2312" w:hAnsi="宋体" w:eastAsia="仿宋_GB2312" w:cs="宋体"/>
          <w:b/>
          <w:bCs/>
          <w:sz w:val="32"/>
          <w:szCs w:val="32"/>
        </w:rPr>
      </w:pPr>
      <w:bookmarkStart w:id="10" w:name="_Toc502134860"/>
      <w:r>
        <w:rPr>
          <w:rFonts w:hint="eastAsia" w:ascii="仿宋_GB2312" w:hAnsi="宋体" w:eastAsia="仿宋_GB2312" w:cs="宋体"/>
          <w:b/>
          <w:bCs/>
          <w:sz w:val="32"/>
          <w:szCs w:val="32"/>
        </w:rPr>
        <w:t>（三）绩效再评价指标体系</w:t>
      </w:r>
      <w:bookmarkEnd w:id="10"/>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1.绩效再评价指标</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项目绩效再评价以100分计，设项目决策、项目管理、项目绩效3个一级指标，权重分别为：20%、25%、55%。在此基础上设定7个二级指标（项目目标、决策过程、资金分配办法、资金到位、资金管理、组织实施、项目产出、项目效果）。设21个三级指标。</w:t>
      </w:r>
    </w:p>
    <w:p>
      <w:pPr>
        <w:ind w:firstLine="640" w:firstLineChars="200"/>
        <w:rPr>
          <w:rFonts w:ascii="仿宋_GB2312" w:hAnsi="宋体" w:eastAsia="仿宋_GB2312" w:cs="宋体"/>
          <w:sz w:val="32"/>
          <w:szCs w:val="32"/>
        </w:rPr>
      </w:pPr>
      <w:bookmarkStart w:id="11" w:name="_Toc502134861"/>
      <w:r>
        <w:rPr>
          <w:rFonts w:hint="eastAsia" w:ascii="仿宋_GB2312" w:hAnsi="宋体" w:eastAsia="仿宋_GB2312" w:cs="宋体"/>
          <w:sz w:val="32"/>
          <w:szCs w:val="32"/>
        </w:rPr>
        <w:t>2.评价标准</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(1)项目绩效评价得分满分为100分。</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(2)由财政评价组根据评价情况，对各单项指标分别进行独立打分。</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(3)总评价分为各单项指标得分总和。</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(4)评价结果：根据最终得分情况将评价结果分为四个等级：优（得分≥90分）；良（80分≤得分＜90分）；中（60≤得分＜80分）；差（得分＜60分）。</w:t>
      </w:r>
    </w:p>
    <w:p>
      <w:pPr>
        <w:ind w:firstLine="640" w:firstLineChars="200"/>
        <w:rPr>
          <w:rFonts w:ascii="仿宋_GB2312" w:hAnsi="宋体" w:eastAsia="仿宋_GB2312" w:cs="宋体"/>
          <w:sz w:val="32"/>
          <w:szCs w:val="32"/>
        </w:rPr>
      </w:pPr>
      <w:bookmarkStart w:id="12" w:name="_Toc25624"/>
      <w:bookmarkStart w:id="13" w:name="_Toc7874"/>
      <w:r>
        <w:rPr>
          <w:rFonts w:hint="eastAsia" w:ascii="仿宋_GB2312" w:hAnsi="宋体" w:eastAsia="仿宋_GB2312" w:cs="宋体"/>
          <w:sz w:val="32"/>
          <w:szCs w:val="32"/>
        </w:rPr>
        <w:t>3.数据来源</w:t>
      </w:r>
      <w:bookmarkEnd w:id="12"/>
      <w:bookmarkEnd w:id="13"/>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绩效再评价评分数据来源于预算单位提供的资料。</w:t>
      </w:r>
    </w:p>
    <w:bookmarkEnd w:id="11"/>
    <w:p>
      <w:pPr>
        <w:ind w:firstLine="643" w:firstLineChars="200"/>
        <w:rPr>
          <w:rFonts w:cs="宋体" w:asciiTheme="minorEastAsia" w:hAnsiTheme="minorEastAsia"/>
          <w:b/>
          <w:bCs/>
          <w:sz w:val="32"/>
          <w:szCs w:val="32"/>
        </w:rPr>
      </w:pPr>
      <w:bookmarkStart w:id="14" w:name="_Toc502134862"/>
      <w:r>
        <w:rPr>
          <w:rFonts w:hint="eastAsia" w:cs="宋体" w:asciiTheme="minorEastAsia" w:hAnsiTheme="minorEastAsia"/>
          <w:b/>
          <w:bCs/>
          <w:sz w:val="32"/>
          <w:szCs w:val="32"/>
        </w:rPr>
        <w:t>三、绩效再评价结论</w:t>
      </w:r>
      <w:bookmarkEnd w:id="14"/>
    </w:p>
    <w:p>
      <w:pPr>
        <w:ind w:firstLine="640" w:firstLineChars="200"/>
        <w:rPr>
          <w:rFonts w:ascii="仿宋_GB2312" w:hAnsi="宋体" w:eastAsia="仿宋_GB2312" w:cs="宋体"/>
          <w:sz w:val="32"/>
          <w:szCs w:val="32"/>
        </w:rPr>
      </w:pPr>
      <w:bookmarkStart w:id="15" w:name="_Toc498009781"/>
      <w:r>
        <w:rPr>
          <w:rFonts w:hint="eastAsia" w:ascii="仿宋_GB2312" w:hAnsi="宋体" w:eastAsia="仿宋_GB2312" w:cs="宋体"/>
          <w:sz w:val="32"/>
          <w:szCs w:val="32"/>
        </w:rPr>
        <w:t>2020年该项目再评价综合评分91分，评价等级“优”。</w:t>
      </w:r>
    </w:p>
    <w:p>
      <w:pPr>
        <w:pStyle w:val="5"/>
        <w:ind w:firstLine="567"/>
        <w:jc w:val="both"/>
        <w:rPr>
          <w:rFonts w:ascii="仿宋_GB2312" w:hAnsi="Times New Roman" w:eastAsia="仿宋_GB2312" w:cs="Times New Roman"/>
          <w:color w:val="000000" w:themeColor="text1"/>
          <w:sz w:val="32"/>
          <w:szCs w:val="32"/>
        </w:rPr>
      </w:pPr>
      <w:r>
        <w:rPr>
          <w:rFonts w:hint="eastAsia" w:ascii="仿宋_GB2312" w:eastAsia="仿宋_GB2312"/>
          <w:color w:val="000000" w:themeColor="text1"/>
          <w:sz w:val="32"/>
          <w:szCs w:val="32"/>
        </w:rPr>
        <w:t>综合评价结论：宜良县国有资产和金融服务中心2020年度国有企业退休人员社会化管理补助资金已实施完成，</w:t>
      </w:r>
      <w:r>
        <w:rPr>
          <w:rFonts w:hint="eastAsia" w:ascii="仿宋_GB2312" w:hAnsi="Times New Roman" w:eastAsia="仿宋_GB2312" w:cs="Times New Roman"/>
          <w:color w:val="000000" w:themeColor="text1"/>
          <w:sz w:val="32"/>
          <w:szCs w:val="32"/>
        </w:rPr>
        <w:t>积极稳妥地全面推进国有企业退休人员社会化管理工作，努力提高国有企业退休人员移交后的归属感、获得感、幸福感，将移交后续工作落实到实处，确保国有企业退休人员社会化管理“交得稳、接得住、管得好”。</w:t>
      </w:r>
    </w:p>
    <w:bookmarkEnd w:id="15"/>
    <w:p>
      <w:pPr>
        <w:ind w:firstLine="643" w:firstLineChars="200"/>
        <w:rPr>
          <w:rFonts w:cs="宋体" w:asciiTheme="minorEastAsia" w:hAnsiTheme="minorEastAsia"/>
          <w:b/>
          <w:bCs/>
          <w:sz w:val="32"/>
          <w:szCs w:val="32"/>
        </w:rPr>
      </w:pPr>
      <w:bookmarkStart w:id="16" w:name="_Toc502134866"/>
      <w:bookmarkStart w:id="17" w:name="_Toc498009783"/>
      <w:bookmarkStart w:id="18" w:name="_Toc498009789"/>
      <w:bookmarkStart w:id="19" w:name="_Toc502134872"/>
      <w:r>
        <w:rPr>
          <w:rFonts w:hint="eastAsia" w:cs="宋体" w:asciiTheme="minorEastAsia" w:hAnsiTheme="minorEastAsia"/>
          <w:b/>
          <w:bCs/>
          <w:sz w:val="32"/>
          <w:szCs w:val="32"/>
        </w:rPr>
        <w:t>四、</w:t>
      </w:r>
      <w:bookmarkEnd w:id="16"/>
      <w:bookmarkEnd w:id="17"/>
      <w:r>
        <w:rPr>
          <w:rFonts w:hint="eastAsia" w:cs="宋体" w:asciiTheme="minorEastAsia" w:hAnsiTheme="minorEastAsia"/>
          <w:b/>
          <w:bCs/>
          <w:sz w:val="32"/>
          <w:szCs w:val="32"/>
        </w:rPr>
        <w:t>存在问题及原因分析</w:t>
      </w:r>
      <w:bookmarkEnd w:id="18"/>
      <w:bookmarkEnd w:id="19"/>
    </w:p>
    <w:p>
      <w:pPr>
        <w:ind w:firstLine="640" w:firstLineChars="200"/>
        <w:rPr>
          <w:rFonts w:ascii="仿宋_GB2312" w:hAnsi="宋体" w:eastAsia="仿宋_GB2312" w:cs="宋体"/>
          <w:sz w:val="32"/>
          <w:szCs w:val="32"/>
        </w:rPr>
      </w:pPr>
      <w:bookmarkStart w:id="20" w:name="_Toc502134873"/>
      <w:bookmarkStart w:id="21" w:name="_Toc500202563"/>
      <w:bookmarkStart w:id="22" w:name="_Toc500589022"/>
      <w:bookmarkStart w:id="23" w:name="_Toc500364179"/>
      <w:bookmarkStart w:id="24" w:name="_Toc500440025"/>
      <w:bookmarkStart w:id="25" w:name="_Toc500849310"/>
      <w:r>
        <w:rPr>
          <w:rFonts w:hint="eastAsia" w:ascii="仿宋_GB2312" w:hAnsi="宋体" w:eastAsia="仿宋_GB2312" w:cs="宋体"/>
          <w:bCs/>
          <w:sz w:val="32"/>
          <w:szCs w:val="32"/>
        </w:rPr>
        <w:t>绩效管理落实不够好</w:t>
      </w:r>
      <w:r>
        <w:rPr>
          <w:rFonts w:hint="eastAsia" w:ascii="仿宋_GB2312" w:hAnsi="宋体" w:eastAsia="仿宋_GB2312" w:cs="宋体"/>
          <w:sz w:val="32"/>
          <w:szCs w:val="32"/>
        </w:rPr>
        <w:t>提供的绩效指标存在填报格式不规范，绩效指标不完整、不明确。报送的绩效目标应与部门目标高度相关，并且是具体的、可衡量的。</w:t>
      </w:r>
    </w:p>
    <w:p>
      <w:pPr>
        <w:ind w:left="480"/>
        <w:rPr>
          <w:rFonts w:ascii="仿宋_GB2312" w:hAnsi="宋体" w:eastAsia="仿宋_GB2312" w:cs="宋体"/>
          <w:b/>
          <w:bCs/>
          <w:sz w:val="32"/>
          <w:szCs w:val="32"/>
        </w:rPr>
      </w:pPr>
      <w:bookmarkStart w:id="26" w:name="_Toc502134871"/>
      <w:bookmarkStart w:id="27" w:name="_Toc498009788"/>
      <w:r>
        <w:rPr>
          <w:rFonts w:hint="eastAsia" w:ascii="仿宋_GB2312" w:hAnsi="宋体" w:eastAsia="仿宋_GB2312" w:cs="宋体"/>
          <w:b/>
          <w:bCs/>
          <w:sz w:val="32"/>
          <w:szCs w:val="32"/>
        </w:rPr>
        <w:t>五、</w:t>
      </w:r>
      <w:bookmarkEnd w:id="26"/>
      <w:bookmarkEnd w:id="27"/>
      <w:r>
        <w:rPr>
          <w:rFonts w:hint="eastAsia" w:ascii="仿宋_GB2312" w:hAnsi="宋体" w:eastAsia="仿宋_GB2312" w:cs="宋体"/>
          <w:b/>
          <w:bCs/>
          <w:sz w:val="32"/>
          <w:szCs w:val="32"/>
        </w:rPr>
        <w:t xml:space="preserve"> </w:t>
      </w:r>
      <w:bookmarkStart w:id="28" w:name="_Toc502134879"/>
      <w:bookmarkStart w:id="29" w:name="_Toc498009790"/>
      <w:bookmarkEnd w:id="20"/>
      <w:bookmarkEnd w:id="21"/>
      <w:bookmarkEnd w:id="22"/>
      <w:bookmarkEnd w:id="23"/>
      <w:bookmarkEnd w:id="24"/>
      <w:bookmarkEnd w:id="25"/>
      <w:r>
        <w:rPr>
          <w:rFonts w:hint="eastAsia" w:ascii="仿宋_GB2312" w:hAnsi="宋体" w:eastAsia="仿宋_GB2312" w:cs="宋体"/>
          <w:b/>
          <w:bCs/>
          <w:sz w:val="32"/>
          <w:szCs w:val="32"/>
        </w:rPr>
        <w:t>建议</w:t>
      </w:r>
      <w:bookmarkEnd w:id="28"/>
      <w:bookmarkEnd w:id="29"/>
      <w:bookmarkStart w:id="30" w:name="_Toc498009791"/>
      <w:bookmarkStart w:id="31" w:name="_Toc500589028"/>
      <w:bookmarkStart w:id="32" w:name="_Toc500849317"/>
      <w:bookmarkStart w:id="33" w:name="_Toc502134880"/>
      <w:bookmarkStart w:id="34" w:name="_Toc500202569"/>
      <w:bookmarkStart w:id="35" w:name="_Toc500440031"/>
      <w:bookmarkStart w:id="36" w:name="_Toc500364185"/>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加强预算绩效管理，对部门的职能进行梳理，确定部门履职的各项具体工作职责，结合部门中长期规划和年度工作计划，预计部门在本年度内履职所要达到的总体产出和结果，将其确定为部门总体绩效目标，以定量和定性指标相结合的方式进行表述。</w:t>
      </w:r>
      <w:bookmarkEnd w:id="30"/>
      <w:bookmarkEnd w:id="31"/>
      <w:bookmarkEnd w:id="32"/>
      <w:bookmarkEnd w:id="33"/>
      <w:bookmarkEnd w:id="34"/>
      <w:bookmarkEnd w:id="35"/>
      <w:bookmarkEnd w:id="36"/>
    </w:p>
    <w:p>
      <w:pPr>
        <w:ind w:firstLine="640" w:firstLineChars="200"/>
        <w:rPr>
          <w:rFonts w:ascii="仿宋_GB2312" w:hAnsi="宋体" w:eastAsia="仿宋_GB2312" w:cs="宋体"/>
          <w:sz w:val="32"/>
          <w:szCs w:val="32"/>
        </w:rPr>
      </w:pPr>
    </w:p>
    <w:p>
      <w:pPr>
        <w:ind w:firstLine="640" w:firstLineChars="200"/>
        <w:rPr>
          <w:rFonts w:ascii="仿宋_GB2312" w:eastAsia="仿宋_GB2312"/>
          <w:sz w:val="32"/>
          <w:szCs w:val="32"/>
        </w:rPr>
      </w:pPr>
      <w:r>
        <w:rPr>
          <w:rFonts w:hint="eastAsia" w:ascii="仿宋_GB2312" w:hAnsi="宋体" w:eastAsia="仿宋_GB2312" w:cs="宋体"/>
          <w:sz w:val="32"/>
          <w:szCs w:val="32"/>
        </w:rPr>
        <w:t>附件：宜良县2020年重点项目支出绩效指标评分表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Calibri Light">
    <w:altName w:val="Calibri"/>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61007A87" w:usb1="80000000" w:usb2="00000008" w:usb3="00000000" w:csb0="200101FF" w:csb1="20280000"/>
  </w:font>
  <w:font w:name="方正小标宋_GBK">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new">
    <w:altName w:val="Latha"/>
    <w:panose1 w:val="00000000000000000000"/>
    <w:charset w:val="00"/>
    <w:family w:val="auto"/>
    <w:pitch w:val="default"/>
    <w:sig w:usb0="00000000" w:usb1="00000000" w:usb2="00000000" w:usb3="00000000" w:csb0="00000000" w:csb1="00000000"/>
  </w:font>
  <w:font w:name="NewTIm">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17978"/>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documentProtection w:edit="forms" w:enforcement="1" w:cryptProviderType="rsaFull" w:cryptAlgorithmClass="hash" w:cryptAlgorithmType="typeAny" w:cryptAlgorithmSid="4" w:cryptSpinCount="0" w:hash="tDP9zTV3ab0wblDGyKEYNqhgEQE=" w:salt="vEDFg+Ax1yCAIE2jzgFk9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332D"/>
    <w:rsid w:val="00053824"/>
    <w:rsid w:val="000F2DF9"/>
    <w:rsid w:val="001A5F8A"/>
    <w:rsid w:val="001F525D"/>
    <w:rsid w:val="00201FB9"/>
    <w:rsid w:val="00213C0D"/>
    <w:rsid w:val="002B28FA"/>
    <w:rsid w:val="002C4869"/>
    <w:rsid w:val="002D518E"/>
    <w:rsid w:val="002F3188"/>
    <w:rsid w:val="00316BCC"/>
    <w:rsid w:val="003259B4"/>
    <w:rsid w:val="00333F80"/>
    <w:rsid w:val="00343518"/>
    <w:rsid w:val="00384909"/>
    <w:rsid w:val="003D231D"/>
    <w:rsid w:val="003F43B0"/>
    <w:rsid w:val="003F591A"/>
    <w:rsid w:val="004124C1"/>
    <w:rsid w:val="004250ED"/>
    <w:rsid w:val="00454F5B"/>
    <w:rsid w:val="004611EC"/>
    <w:rsid w:val="00506A73"/>
    <w:rsid w:val="00546561"/>
    <w:rsid w:val="0057741D"/>
    <w:rsid w:val="005774DC"/>
    <w:rsid w:val="0059503E"/>
    <w:rsid w:val="005C23BE"/>
    <w:rsid w:val="005C3533"/>
    <w:rsid w:val="005D0D63"/>
    <w:rsid w:val="005E0632"/>
    <w:rsid w:val="005E7A1C"/>
    <w:rsid w:val="005F39A2"/>
    <w:rsid w:val="00643CFE"/>
    <w:rsid w:val="006473F5"/>
    <w:rsid w:val="00655637"/>
    <w:rsid w:val="00655767"/>
    <w:rsid w:val="0069019E"/>
    <w:rsid w:val="00697124"/>
    <w:rsid w:val="006D1892"/>
    <w:rsid w:val="006D55D7"/>
    <w:rsid w:val="007059EC"/>
    <w:rsid w:val="00730EF9"/>
    <w:rsid w:val="00765749"/>
    <w:rsid w:val="007726C2"/>
    <w:rsid w:val="007736C6"/>
    <w:rsid w:val="0078067B"/>
    <w:rsid w:val="007A53B8"/>
    <w:rsid w:val="007B410C"/>
    <w:rsid w:val="007C5DB1"/>
    <w:rsid w:val="00811E5A"/>
    <w:rsid w:val="0083328E"/>
    <w:rsid w:val="00862F52"/>
    <w:rsid w:val="008675F1"/>
    <w:rsid w:val="008C58A4"/>
    <w:rsid w:val="008D4823"/>
    <w:rsid w:val="008E3177"/>
    <w:rsid w:val="008F08F8"/>
    <w:rsid w:val="0093075D"/>
    <w:rsid w:val="0094192E"/>
    <w:rsid w:val="0097070C"/>
    <w:rsid w:val="009775FC"/>
    <w:rsid w:val="009C7313"/>
    <w:rsid w:val="009E5859"/>
    <w:rsid w:val="00A02217"/>
    <w:rsid w:val="00AA2C94"/>
    <w:rsid w:val="00AA3D21"/>
    <w:rsid w:val="00AC7B05"/>
    <w:rsid w:val="00AF6709"/>
    <w:rsid w:val="00B2061B"/>
    <w:rsid w:val="00B239EF"/>
    <w:rsid w:val="00B655ED"/>
    <w:rsid w:val="00B803C7"/>
    <w:rsid w:val="00BA65B7"/>
    <w:rsid w:val="00BB5A94"/>
    <w:rsid w:val="00BC332D"/>
    <w:rsid w:val="00C32F5E"/>
    <w:rsid w:val="00C42235"/>
    <w:rsid w:val="00C564A8"/>
    <w:rsid w:val="00C75BC2"/>
    <w:rsid w:val="00C77BD8"/>
    <w:rsid w:val="00CC611A"/>
    <w:rsid w:val="00CF298C"/>
    <w:rsid w:val="00D359F8"/>
    <w:rsid w:val="00D522EA"/>
    <w:rsid w:val="00D618DB"/>
    <w:rsid w:val="00DA450E"/>
    <w:rsid w:val="00E314F9"/>
    <w:rsid w:val="00EE0DE5"/>
    <w:rsid w:val="00EE6974"/>
    <w:rsid w:val="00EF4E51"/>
    <w:rsid w:val="00F16EB6"/>
    <w:rsid w:val="00F213B0"/>
    <w:rsid w:val="00F55F55"/>
    <w:rsid w:val="00F65264"/>
    <w:rsid w:val="00FA2858"/>
    <w:rsid w:val="00FA4B8A"/>
    <w:rsid w:val="00FB14BC"/>
    <w:rsid w:val="00FF0832"/>
    <w:rsid w:val="67127E3D"/>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0"/>
    <w:unhideWhenUsed/>
    <w:qFormat/>
    <w:uiPriority w:val="99"/>
    <w:pPr>
      <w:spacing w:after="120"/>
    </w:p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character" w:customStyle="1" w:styleId="10">
    <w:name w:val="正文文本 Char"/>
    <w:basedOn w:val="6"/>
    <w:link w:val="2"/>
    <w:semiHidden/>
    <w:qFormat/>
    <w:uiPriority w:val="99"/>
  </w:style>
  <w:style w:type="paragraph" w:customStyle="1" w:styleId="11">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B9E48A4-6A50-4A1F-99E8-0A56DF7D94F0}"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A3A7D5-C47E-4191-A219-1A33A2333BAB}">
  <ds:schemaRefs/>
</ds:datastoreItem>
</file>

<file path=docProps/app.xml><?xml version="1.0" encoding="utf-8"?>
<Properties xmlns="http://schemas.openxmlformats.org/officeDocument/2006/extended-properties" xmlns:vt="http://schemas.openxmlformats.org/officeDocument/2006/docPropsVTypes">
  <Template>Normal</Template>
  <Pages>1</Pages>
  <Words>416</Words>
  <Characters>2376</Characters>
  <Lines>19</Lines>
  <Paragraphs>5</Paragraphs>
  <TotalTime>0</TotalTime>
  <ScaleCrop>false</ScaleCrop>
  <LinksUpToDate>false</LinksUpToDate>
  <CharactersWithSpaces>2787</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2021-09-27T07:15:00Z</dcterms:created>
  <dc:creator>lenovo</dc:creator>
  <cp:lastModifiedBy>宜良县财政局</cp:lastModifiedBy>
  <dcterms:modified xsi:type="dcterms:W3CDTF">2021-12-22T01:26:20Z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ealcount">
    <vt:i4>1</vt:i4>
  </property>
  <property fmtid="{D5CDD505-2E9C-101B-9397-08002B2CF9AE}" pid="3" name="docranid">
    <vt:lpwstr>0FBA9303667C40E59ED2D267580471CE</vt:lpwstr>
  </property>
  <property fmtid="{D5CDD505-2E9C-101B-9397-08002B2CF9AE}" pid="4" name="VisibleNoSeal">
    <vt:bool>true</vt:bool>
  </property>
  <property fmtid="{D5CDD505-2E9C-101B-9397-08002B2CF9AE}" pid="5" name="HasSaved">
    <vt:bool>true</vt:bool>
  </property>
  <property fmtid="{D5CDD505-2E9C-101B-9397-08002B2CF9AE}" pid="6" name="KSOProductBuildVer">
    <vt:lpwstr>2052-10.8.0.5950</vt:lpwstr>
  </property>
</Properties>
</file>