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65" w:right="1236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云南省投资审批中介超市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74" w:right="1236" w:firstLine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中介机构监督管理和信用评价暂行规定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74" w:right="1236" w:firstLine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422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第一条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 为加强云南省投资审批中介超市（以下简称中介超市）入驻机构的监督管理和信用评价工作，构建执业规范、公平竞争、诚实守信、廉洁高效的中介服务市场环境，根据《国务院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关于印发社会信用体系建设规划纲要</w:t>
      </w:r>
      <w:r>
        <w:rPr>
          <w:rFonts w:hint="eastAsia" w:ascii="仿宋" w:hAnsi="仿宋" w:eastAsia="仿宋" w:cs="仿宋"/>
          <w:sz w:val="32"/>
          <w:szCs w:val="32"/>
        </w:rPr>
        <w:t>（2014—2020年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的通知》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8" w:hanging="15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（国发〔</w:t>
      </w:r>
      <w:r>
        <w:rPr>
          <w:rFonts w:hint="eastAsia" w:ascii="仿宋" w:hAnsi="仿宋" w:eastAsia="仿宋" w:cs="仿宋"/>
          <w:sz w:val="32"/>
          <w:szCs w:val="32"/>
        </w:rPr>
        <w:t>2014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-159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、《国务院办公厅关于创新投资管理方式建立协同监管机制的若干意见》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（国办发〔</w:t>
      </w:r>
      <w:r>
        <w:rPr>
          <w:rFonts w:hint="eastAsia"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和《云南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省投资审批中介超市管理暂行办法》有关规定，结合实际，制定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本规定。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423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第二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5"/>
          <w:sz w:val="32"/>
          <w:szCs w:val="32"/>
        </w:rPr>
        <w:t>坚持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宽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进严管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客观公正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惩戒清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退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的原则，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采</w:t>
      </w:r>
      <w:r>
        <w:rPr>
          <w:rFonts w:hint="eastAsia" w:ascii="仿宋" w:hAnsi="仿宋" w:eastAsia="仿宋" w:cs="仿宋"/>
          <w:sz w:val="32"/>
          <w:szCs w:val="32"/>
        </w:rPr>
        <w:t>取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云南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各级行政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机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关、企事业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单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位（以下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简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称采购单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位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）评价</w:t>
      </w:r>
      <w:r>
        <w:rPr>
          <w:rFonts w:hint="eastAsia" w:ascii="仿宋" w:hAnsi="仿宋" w:eastAsia="仿宋" w:cs="仿宋"/>
          <w:sz w:val="32"/>
          <w:szCs w:val="32"/>
        </w:rPr>
        <w:t>星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级与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云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南省网上中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介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机构信息管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理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系</w:t>
      </w:r>
      <w:r>
        <w:rPr>
          <w:rFonts w:hint="eastAsia" w:ascii="仿宋" w:hAnsi="仿宋" w:eastAsia="仿宋" w:cs="仿宋"/>
          <w:spacing w:val="-163"/>
          <w:w w:val="95"/>
          <w:sz w:val="32"/>
          <w:szCs w:val="32"/>
        </w:rPr>
        <w:t>统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（以下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简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称信息管理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系</w:t>
      </w:r>
      <w:r>
        <w:rPr>
          <w:rFonts w:hint="eastAsia" w:ascii="仿宋" w:hAnsi="仿宋" w:eastAsia="仿宋" w:cs="仿宋"/>
          <w:spacing w:val="-6"/>
          <w:w w:val="95"/>
          <w:sz w:val="32"/>
          <w:szCs w:val="32"/>
        </w:rPr>
        <w:t>统</w:t>
      </w:r>
      <w:r>
        <w:rPr>
          <w:rFonts w:hint="eastAsia" w:ascii="仿宋" w:hAnsi="仿宋" w:eastAsia="仿宋" w:cs="仿宋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记录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用相结合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方式，各级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投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资审批中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介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超市管理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部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门（以</w:t>
      </w:r>
      <w:r>
        <w:rPr>
          <w:rFonts w:hint="eastAsia" w:ascii="仿宋" w:hAnsi="仿宋" w:eastAsia="仿宋" w:cs="仿宋"/>
          <w:sz w:val="32"/>
          <w:szCs w:val="32"/>
        </w:rPr>
        <w:t>下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简称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中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介超市管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理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部门）会同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各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级行政和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业主管部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门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共同开</w:t>
      </w:r>
      <w:r>
        <w:rPr>
          <w:rFonts w:hint="eastAsia" w:ascii="仿宋" w:hAnsi="仿宋" w:eastAsia="仿宋" w:cs="仿宋"/>
          <w:sz w:val="32"/>
          <w:szCs w:val="32"/>
        </w:rPr>
        <w:t>展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中介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服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务监督管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理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，组织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中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介机构信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用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评价管理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pacing w:val="-8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第三条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各级中介超市管理部门、行政和行业主管部门通过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网络、电话、信件等方式受理中介服务异议或投诉。对报名条件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有异议或投诉的应在公开选取前 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个小时提出，对选取过程或结果有异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议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或投诉的应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在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选取结束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个工作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内提出，逾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期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不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受理。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收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到异议或投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后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，中介超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市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管理部门应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个工作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回</w:t>
      </w:r>
      <w:r>
        <w:rPr>
          <w:rFonts w:hint="eastAsia" w:ascii="仿宋" w:hAnsi="仿宋" w:eastAsia="仿宋" w:cs="仿宋"/>
          <w:spacing w:val="-56"/>
          <w:w w:val="95"/>
          <w:sz w:val="32"/>
          <w:szCs w:val="32"/>
        </w:rPr>
        <w:t>复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（调查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处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理时间除</w:t>
      </w:r>
      <w:r>
        <w:rPr>
          <w:rFonts w:hint="eastAsia" w:ascii="仿宋" w:hAnsi="仿宋" w:eastAsia="仿宋" w:cs="仿宋"/>
          <w:spacing w:val="-6"/>
          <w:w w:val="95"/>
          <w:sz w:val="32"/>
          <w:szCs w:val="32"/>
        </w:rPr>
        <w:t>外</w:t>
      </w:r>
      <w:r>
        <w:rPr>
          <w:rFonts w:hint="eastAsia" w:ascii="仿宋" w:hAnsi="仿宋" w:eastAsia="仿宋" w:cs="仿宋"/>
          <w:spacing w:val="-110"/>
          <w:w w:val="95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其他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部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门按相关规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定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执</w:t>
      </w:r>
      <w:r>
        <w:rPr>
          <w:rFonts w:hint="eastAsia" w:ascii="仿宋" w:hAnsi="仿宋" w:eastAsia="仿宋" w:cs="仿宋"/>
          <w:spacing w:val="-6"/>
          <w:w w:val="95"/>
          <w:sz w:val="32"/>
          <w:szCs w:val="32"/>
        </w:rPr>
        <w:t>行</w:t>
      </w:r>
      <w:r>
        <w:rPr>
          <w:rFonts w:hint="eastAsia" w:ascii="仿宋" w:hAnsi="仿宋" w:eastAsia="仿宋" w:cs="仿宋"/>
          <w:spacing w:val="-55"/>
          <w:w w:val="95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对处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理</w:t>
      </w:r>
      <w:r>
        <w:rPr>
          <w:rFonts w:hint="eastAsia" w:ascii="仿宋" w:hAnsi="仿宋" w:eastAsia="仿宋" w:cs="仿宋"/>
          <w:w w:val="95"/>
          <w:sz w:val="32"/>
          <w:szCs w:val="32"/>
        </w:rPr>
        <w:t>结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果仍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异议的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可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向上一级中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介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超市管理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部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门投诉或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依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法申请</w:t>
      </w:r>
      <w:r>
        <w:rPr>
          <w:rFonts w:hint="eastAsia" w:ascii="仿宋" w:hAnsi="仿宋" w:eastAsia="仿宋" w:cs="仿宋"/>
          <w:w w:val="95"/>
          <w:sz w:val="32"/>
          <w:szCs w:val="32"/>
        </w:rPr>
        <w:t>行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政复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议</w:t>
      </w:r>
      <w:r>
        <w:rPr>
          <w:rFonts w:hint="eastAsia" w:ascii="仿宋" w:hAnsi="仿宋" w:eastAsia="仿宋" w:cs="仿宋"/>
          <w:spacing w:val="-58"/>
          <w:w w:val="95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提起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行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政诉讼</w:t>
      </w:r>
      <w:r>
        <w:rPr>
          <w:rFonts w:hint="eastAsia" w:ascii="仿宋" w:hAnsi="仿宋" w:eastAsia="仿宋" w:cs="仿宋"/>
          <w:spacing w:val="-6"/>
          <w:w w:val="95"/>
          <w:sz w:val="32"/>
          <w:szCs w:val="32"/>
        </w:rPr>
        <w:t>等</w:t>
      </w:r>
      <w:r>
        <w:rPr>
          <w:rFonts w:hint="eastAsia" w:ascii="仿宋" w:hAnsi="仿宋" w:eastAsia="仿宋" w:cs="仿宋"/>
          <w:spacing w:val="-58"/>
          <w:w w:val="95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涉及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违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法犯罪</w:t>
      </w:r>
      <w:r>
        <w:rPr>
          <w:rFonts w:hint="eastAsia" w:ascii="仿宋" w:hAnsi="仿宋" w:eastAsia="仿宋" w:cs="仿宋"/>
          <w:spacing w:val="-6"/>
          <w:w w:val="95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58"/>
          <w:w w:val="95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移交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司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法机关处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理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第四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各级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中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介超市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管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理部门依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托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信息管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理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系统对中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介</w:t>
      </w:r>
      <w:r>
        <w:rPr>
          <w:rFonts w:hint="eastAsia" w:ascii="仿宋" w:hAnsi="仿宋" w:eastAsia="仿宋" w:cs="仿宋"/>
          <w:w w:val="95"/>
          <w:sz w:val="32"/>
          <w:szCs w:val="32"/>
        </w:rPr>
        <w:t>机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构在项目报名、公开选取、合同签订、服务履约、结果登记、采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购单位综合评价等 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个环节产生的不良信用或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黑名单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进行确认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和记录。采购单位分别按百分制对中介机构服务履约的质量、时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效、态度、收费和规范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个方面分别进行评分定星，系统自动按100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分—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分（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五星</w:t>
      </w:r>
      <w:r>
        <w:rPr>
          <w:rFonts w:hint="eastAsia" w:ascii="仿宋" w:hAnsi="仿宋" w:eastAsia="仿宋" w:cs="仿宋"/>
          <w:spacing w:val="-161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94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分—</w:t>
      </w:r>
      <w:r>
        <w:rPr>
          <w:rFonts w:hint="eastAsia" w:ascii="仿宋" w:hAnsi="仿宋" w:eastAsia="仿宋" w:cs="仿宋"/>
          <w:sz w:val="32"/>
          <w:szCs w:val="32"/>
        </w:rPr>
        <w:t>85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分（四星</w:t>
      </w:r>
      <w:r>
        <w:rPr>
          <w:rFonts w:hint="eastAsia" w:ascii="仿宋" w:hAnsi="仿宋" w:eastAsia="仿宋" w:cs="仿宋"/>
          <w:spacing w:val="-161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84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分—</w:t>
      </w:r>
      <w:r>
        <w:rPr>
          <w:rFonts w:hint="eastAsia" w:ascii="仿宋" w:hAnsi="仿宋" w:eastAsia="仿宋" w:cs="仿宋"/>
          <w:sz w:val="32"/>
          <w:szCs w:val="32"/>
        </w:rPr>
        <w:t>75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分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星</w:t>
      </w:r>
      <w:r>
        <w:rPr>
          <w:rFonts w:hint="eastAsia" w:ascii="仿宋" w:hAnsi="仿宋" w:eastAsia="仿宋" w:cs="仿宋"/>
          <w:spacing w:val="-161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74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分—</w:t>
      </w:r>
      <w:r>
        <w:rPr>
          <w:rFonts w:hint="eastAsia" w:ascii="仿宋" w:hAnsi="仿宋" w:eastAsia="仿宋" w:cs="仿宋"/>
          <w:sz w:val="32"/>
          <w:szCs w:val="32"/>
        </w:rPr>
        <w:t>65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分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（二星</w:t>
      </w:r>
      <w:r>
        <w:rPr>
          <w:rFonts w:hint="eastAsia" w:ascii="仿宋" w:hAnsi="仿宋" w:eastAsia="仿宋" w:cs="仿宋"/>
          <w:spacing w:val="-161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64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分—</w:t>
      </w:r>
      <w:r>
        <w:rPr>
          <w:rFonts w:hint="eastAsia"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分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一星</w:t>
      </w:r>
      <w:r>
        <w:rPr>
          <w:rFonts w:hint="eastAsia" w:ascii="仿宋" w:hAnsi="仿宋" w:eastAsia="仿宋" w:cs="仿宋"/>
          <w:spacing w:val="-161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49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分以下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（0 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星）的对应星级标准平均计算，得出服务项目的综合星级。综合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星级为 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星的，系统自动记不良信用一次。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见附表</w:t>
      </w:r>
      <w:r>
        <w:rPr>
          <w:rFonts w:hint="eastAsia" w:ascii="仿宋" w:hAnsi="仿宋" w:eastAsia="仿宋" w:cs="仿宋"/>
          <w:sz w:val="32"/>
          <w:szCs w:val="32"/>
        </w:rPr>
        <w:t>1）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对中介机构进行星级评价、做出不良信用记录、列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入</w:t>
      </w:r>
      <w:r>
        <w:rPr>
          <w:rFonts w:hint="eastAsia" w:ascii="仿宋" w:hAnsi="仿宋" w:eastAsia="仿宋" w:cs="仿宋"/>
          <w:w w:val="95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黑名单</w:t>
      </w:r>
      <w:r>
        <w:rPr>
          <w:rFonts w:hint="eastAsia" w:ascii="仿宋" w:hAnsi="仿宋" w:eastAsia="仿宋" w:cs="仿宋"/>
          <w:w w:val="95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决定后，实施主体应将决定及原因、复核或申诉期限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通过手机短信和网上平台告知被评价或处理的中介机构。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个工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作日内无异议或有异议但经查证属实的，星级评价报同级中介超市管理部门、不良信用记录或</w:t>
      </w:r>
      <w:r>
        <w:rPr>
          <w:rFonts w:hint="eastAsia" w:ascii="仿宋" w:hAnsi="仿宋" w:eastAsia="仿宋" w:cs="仿宋"/>
          <w:w w:val="95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黑名单</w:t>
      </w:r>
      <w:r>
        <w:rPr>
          <w:rFonts w:hint="eastAsia" w:ascii="仿宋" w:hAnsi="仿宋" w:eastAsia="仿宋" w:cs="仿宋"/>
          <w:w w:val="95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列入报上一级中介超市管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理部门核准后，由实施主体在信息管理系统上登记生效。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6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采取“一事一评”并结合星级评价累计平均、不良信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用记录累计相加的办法，形成中介机构信用综合评价结果并对外公布。中介机构信用记录和违法违规信息，作为行业主管部门事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中事后监管的重要内容，并纳入国家统一的信用信息平台。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第七条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因中介机构造成下列情形的，记不良信用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次，涉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事责任人按有关规定处理（由分支机构服务的项目，记入中选机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构名下</w:t>
      </w:r>
      <w:r>
        <w:rPr>
          <w:rFonts w:hint="eastAsia" w:ascii="仿宋" w:hAnsi="仿宋" w:eastAsia="仿宋" w:cs="仿宋"/>
          <w:spacing w:val="-161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。包括但不限于：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（一）采购单位综合评价为差评不满意（0 星）的。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（二</w:t>
      </w:r>
      <w:r>
        <w:rPr>
          <w:rFonts w:hint="eastAsia" w:ascii="仿宋" w:hAnsi="仿宋" w:eastAsia="仿宋" w:cs="仿宋"/>
          <w:spacing w:val="-132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合同洽</w:t>
      </w:r>
      <w:r>
        <w:rPr>
          <w:rFonts w:hint="eastAsia" w:ascii="仿宋" w:hAnsi="仿宋" w:eastAsia="仿宋" w:cs="仿宋"/>
          <w:spacing w:val="-18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、签订或服务结果登记超过规定时间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个-30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个自然日，服务履约超过合同约定时限30%-100%的。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80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）6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个月内，提交的承诺书、从业人员、项目业绩等审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核材料不符合要求累计超过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次或因不符合报名条件被取消报名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资格累计超过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次的。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（四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中选后因不符合报名条件被取消中选资格或未全面准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确理解采购公告提出无法满足服务要求而放弃中选资格的。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（五）未按公告要求成立具备快速服务能力机构并提供快速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服务能力的。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（六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在同一项目服务期间，无正当理由或变相增加服务费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用累计超过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次的。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（七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在同一项目服务期间，授权非本公司人员服务中选项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目或未经采购单位同意私自更换服务人员的。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（八）项目负责人同时服务项目数超过相关规定的。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83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（九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因服务质量差造成服务成果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次未通过审批部门审查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或评审影响投资项目审批进度的。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（十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应当提供而拒绝或故意拖延提供服务成果给采购单位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开展关联服务造成不良后果的。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十一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>）“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自主选择法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项目的服务评价累计两次低于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星的。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十二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）新成立的中介机构合并、兼并、重组其他网上入驻中介机构后，与被注销机构（继续沿用原机构名称参加公开选取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的列入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黑名单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”）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均未及时报告同级中介超市管理部门备案的。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十三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）被其他行政或行业监管部门认定为异常名录或受到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行政处罚应当记录不良信用的。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（十四）有其他违法违规行为的。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第八条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因中介机构造成下列情形的，取消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由分支机构服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务的项目，记入中选机构名下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其入驻云南省中介超市资格并列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入“黑名单</w:t>
      </w:r>
      <w:r>
        <w:rPr>
          <w:rFonts w:hint="eastAsia" w:ascii="仿宋" w:hAnsi="仿宋" w:eastAsia="仿宋" w:cs="仿宋"/>
          <w:sz w:val="32"/>
          <w:szCs w:val="32"/>
        </w:rPr>
        <w:t>”，2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年内不得在云南省投资审批中介服务市场开展相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关业务，涉事责任人按有关规定处理。造成有关单位损失或触犯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法律的，依法追偿或追究法律责任。包括但不限于：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428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（一）</w:t>
      </w:r>
      <w:r>
        <w:rPr>
          <w:rFonts w:hint="eastAsia" w:ascii="仿宋" w:hAnsi="仿宋" w:eastAsia="仿宋" w:cs="仿宋"/>
          <w:spacing w:val="-20"/>
          <w:w w:val="95"/>
          <w:sz w:val="32"/>
          <w:szCs w:val="32"/>
        </w:rPr>
        <w:t>提供虚假材料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15"/>
          <w:w w:val="95"/>
          <w:sz w:val="32"/>
          <w:szCs w:val="32"/>
        </w:rPr>
        <w:t>含承诺书、从业人员和项目业绩信息</w:t>
      </w:r>
      <w:r>
        <w:rPr>
          <w:rFonts w:hint="eastAsia" w:ascii="仿宋" w:hAnsi="仿宋" w:eastAsia="仿宋" w:cs="仿宋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入驻中介超市、获取报名资格或中选资格的。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（二）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无故放弃中选资格或中止服务的。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86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（三）合同洽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sz w:val="32"/>
          <w:szCs w:val="32"/>
        </w:rPr>
        <w:t>、签订或服务结果登记超过规定时间30个自然日，服务履约超过合同约定时限100%的。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（四）不良信用记录累计超过3次的。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85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（五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因服务质量差造成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次及以上未通过投资审批部门审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查或评审严重影响投资项目审批进度的。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（六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应当提供而拒绝或故意拖延提供服务成果给采购单位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开展关联服务造成严重后果的。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（七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利用监理、评审、审核服务便利影响其他中介机构经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营或谋取不正当利益的。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（八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采取威胁、恐吓、利益输送等手段干扰其他中介机构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参选或开展服务、采购单位信用评价或修改的。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（九</w:t>
      </w:r>
      <w:r>
        <w:rPr>
          <w:rFonts w:hint="eastAsia" w:ascii="仿宋" w:hAnsi="仿宋" w:eastAsia="仿宋" w:cs="仿宋"/>
          <w:spacing w:val="-43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不同中介机构报名物理 </w:t>
      </w:r>
      <w:r>
        <w:rPr>
          <w:rFonts w:hint="eastAsia" w:ascii="仿宋" w:hAnsi="仿宋" w:eastAsia="仿宋" w:cs="仿宋"/>
          <w:sz w:val="32"/>
          <w:szCs w:val="32"/>
        </w:rPr>
        <w:t>IP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 xml:space="preserve"> 地址相同，与采购单位、其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他中介机构搞</w:t>
      </w:r>
      <w:r>
        <w:rPr>
          <w:rFonts w:hint="eastAsia" w:ascii="仿宋" w:hAnsi="仿宋" w:eastAsia="仿宋" w:cs="仿宋"/>
          <w:w w:val="95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价格同盟</w:t>
      </w:r>
      <w:r>
        <w:rPr>
          <w:rFonts w:hint="eastAsia" w:ascii="仿宋" w:hAnsi="仿宋" w:eastAsia="仿宋" w:cs="仿宋"/>
          <w:w w:val="95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2"/>
          <w:w w:val="95"/>
          <w:sz w:val="32"/>
          <w:szCs w:val="32"/>
        </w:rPr>
        <w:t>、联合</w:t>
      </w:r>
      <w:r>
        <w:rPr>
          <w:rFonts w:hint="eastAsia" w:ascii="仿宋" w:hAnsi="仿宋" w:eastAsia="仿宋" w:cs="仿宋"/>
          <w:w w:val="95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轮流坐庄</w:t>
      </w:r>
      <w:r>
        <w:rPr>
          <w:rFonts w:hint="eastAsia" w:ascii="仿宋" w:hAnsi="仿宋" w:eastAsia="仿宋" w:cs="仿宋"/>
          <w:w w:val="95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等影响公开、公平竞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争，或违反合同转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（分）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包项目的。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（十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违背独立公正原则帮助采购单位骗取批准文件或国家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资金的。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十一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）伪造、变造、出租、出借、转让资质或年检评价、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资信评价等级证书的。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十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）贿赂交易当事人或捏造事实反映情况、故意泄露采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购单位秘密造成严重后果的。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83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（十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pacing w:val="-55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>授权业务人联系电话号码非实名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（本人</w:t>
      </w:r>
      <w:r>
        <w:rPr>
          <w:rFonts w:hint="eastAsia" w:ascii="仿宋" w:hAnsi="仿宋" w:eastAsia="仿宋" w:cs="仿宋"/>
          <w:spacing w:val="-108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26"/>
          <w:w w:val="95"/>
          <w:sz w:val="32"/>
          <w:szCs w:val="32"/>
        </w:rPr>
        <w:t>，多个中介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机构业务授权人或联系方式相同的。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）授权非本公司人员、分公司人员担任项目负责人，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或同时服务项目数超过规定累计达3次及以上的。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44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）新成立的中介机构合并、兼并、重组其他网上入驻</w:t>
      </w:r>
      <w:r>
        <w:rPr>
          <w:rFonts w:hint="eastAsia" w:ascii="仿宋" w:hAnsi="仿宋" w:eastAsia="仿宋" w:cs="仿宋"/>
          <w:w w:val="95"/>
          <w:sz w:val="32"/>
          <w:szCs w:val="32"/>
        </w:rPr>
        <w:t>机构后，被注销的中介机构继续沿用原机构名称参加公开选取的。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十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）被其他行政或行业监管部门认定为严重失信或受到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行政处罚应当列入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黑名单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”的。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）有其他违反法律法规行为的。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第九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因下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列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原因造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成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项目废置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，中介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机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构免予不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良</w:t>
      </w:r>
      <w:r>
        <w:rPr>
          <w:rFonts w:hint="eastAsia" w:ascii="仿宋" w:hAnsi="仿宋" w:eastAsia="仿宋" w:cs="仿宋"/>
          <w:w w:val="95"/>
          <w:sz w:val="32"/>
          <w:szCs w:val="32"/>
        </w:rPr>
        <w:t>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用记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录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。包括但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不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限于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w w:val="95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（一）不可抗力因素导致中选机构弃选或中止服务的。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（二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项目规模缩小等公告约定因素变动导致中选机构收益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明显低于公告预期的。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（三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采购单位调整或取消项目、采购公告与项目实际明显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不符的。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（四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采购公告内容模糊不清、表述不准等导致中选机构产生歧义，未按有利于中选机构的原则进行解释并满足其正当诉求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而致项目废置的。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（五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采购单位未按从业规范提供或及时提供中选机构进场服务条件（如土地或资产评估、勘察、测绘等中介服务前的清场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工</w:t>
      </w:r>
      <w:r>
        <w:rPr>
          <w:rFonts w:hint="eastAsia" w:ascii="仿宋" w:hAnsi="仿宋" w:eastAsia="仿宋" w:cs="仿宋"/>
          <w:w w:val="99"/>
          <w:sz w:val="32"/>
          <w:szCs w:val="32"/>
        </w:rPr>
        <w:t>作或提交服务所必需的关联资料等</w:t>
      </w:r>
      <w:r>
        <w:rPr>
          <w:rFonts w:hint="eastAsia" w:ascii="仿宋" w:hAnsi="仿宋" w:eastAsia="仿宋" w:cs="仿宋"/>
          <w:spacing w:val="-156"/>
          <w:w w:val="99"/>
          <w:sz w:val="32"/>
          <w:szCs w:val="32"/>
        </w:rPr>
        <w:t>）</w:t>
      </w:r>
      <w:r>
        <w:rPr>
          <w:rFonts w:hint="eastAsia" w:ascii="仿宋" w:hAnsi="仿宋" w:eastAsia="仿宋" w:cs="仿宋"/>
          <w:w w:val="99"/>
          <w:sz w:val="32"/>
          <w:szCs w:val="32"/>
        </w:rPr>
        <w:t>，导致中选机构无法履约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（六）经认定中介机构无责或应该免责的其他情形。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44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第十条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 除法律法规或省委、省政府另有规定的外，采购单位不得设置下列限制性报名条件。若违规设置的，中介机构不满</w:t>
      </w:r>
      <w:r>
        <w:rPr>
          <w:rFonts w:hint="eastAsia" w:ascii="仿宋" w:hAnsi="仿宋" w:eastAsia="仿宋" w:cs="仿宋"/>
          <w:spacing w:val="-19"/>
          <w:w w:val="95"/>
          <w:sz w:val="32"/>
          <w:szCs w:val="32"/>
        </w:rPr>
        <w:t>足但报名或中选资格有效，且不得进行任何处理。包括但不限于：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（一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设置中介机构注册资金、资产总额、营业收入、利润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额、纳税额、总人数、办公场所面积等企业规模条件。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（二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设置中介机构注册地域、经营方式、组织形式、所有制形式等企业属地属性条件，但中选后不能按公告要求成立具备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快速服务能力的机构且提供现场服务的除外。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85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（三）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设置少于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年、超过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个或小于云南省行政区域等业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绩条件。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84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（四）设置所有报名中介机构在中介超市 xx 星级以上的条件。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（五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设置备案、登记、注册、名录、年检或年报、监制、认定、认证、审定、指定、换证、项目库、名录库、要求设立分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支机构等条件。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（六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设置明显不必要、超出服务项目法定最低资质要求，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或要求外地中介机构资质或执业标准条件明显高于本地机构等。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（七）设置必须一次性通过项目成果审核、评审等条件。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（八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设置与服务项目具体特点和实际需要或与合同履行无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关的其他资格、技术、人员或业绩等商务条件。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82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5"/>
          <w:sz w:val="32"/>
          <w:szCs w:val="32"/>
        </w:rPr>
        <w:t>中介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机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构自第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次、第二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、第三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不良信用</w:t>
      </w:r>
      <w:r>
        <w:rPr>
          <w:rFonts w:hint="eastAsia" w:ascii="仿宋" w:hAnsi="仿宋" w:eastAsia="仿宋" w:cs="仿宋"/>
          <w:sz w:val="32"/>
          <w:szCs w:val="32"/>
        </w:rPr>
        <w:t>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录之日起，分别由系统自动屏蔽其报名资格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个月、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个月、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个月。屏蔽期满且整改到位并经记录部门同意或不良信用记录撤销后，恢复报名资格。除重大或脱贫攻坚项目（重大项目以各级  发改部门重大项目库为准）外，不得再设置不良信用记录报名限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制条件。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252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第十二条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信用评价期限和修改。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一）“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黑名单</w:t>
      </w:r>
      <w:r>
        <w:rPr>
          <w:rFonts w:hint="eastAsia" w:ascii="仿宋" w:hAnsi="仿宋" w:eastAsia="仿宋" w:cs="仿宋"/>
          <w:w w:val="95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管理期限。中介机构自列入</w:t>
      </w:r>
      <w:r>
        <w:rPr>
          <w:rFonts w:hint="eastAsia" w:ascii="仿宋" w:hAnsi="仿宋" w:eastAsia="仿宋" w:cs="仿宋"/>
          <w:w w:val="95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黑名单</w:t>
      </w:r>
      <w:r>
        <w:rPr>
          <w:rFonts w:hint="eastAsia" w:ascii="仿宋" w:hAnsi="仿宋" w:eastAsia="仿宋" w:cs="仿宋"/>
          <w:w w:val="95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2"/>
          <w:w w:val="95"/>
          <w:sz w:val="32"/>
          <w:szCs w:val="32"/>
        </w:rPr>
        <w:t>之日起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满两年（法律法规另有规定或行政处罚期限未满的除外）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且整改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到位的，由中介机构提供列入部门出具的整改意见书逐级报省中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介超市管理部门审核后移出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黑名单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（二</w:t>
      </w:r>
      <w:r>
        <w:rPr>
          <w:rFonts w:hint="eastAsia" w:ascii="仿宋" w:hAnsi="仿宋" w:eastAsia="仿宋" w:cs="仿宋"/>
          <w:spacing w:val="-108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不良信用公开期限。不良信用自记录之日起满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0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法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律法规另有规定或行政处罚期限未满的除外）且整改到位的，由中介机构提供记录部门的整改意见书逐级报省中介超市管理部门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屏蔽记录。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（三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评价的修正或删除。有证据证明中介机构确实无过错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的，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个月内可经同级中介超市管理部门或采购单位确认并逐级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审核报省中介超市管理部门修正或删除的情形：一是由于业务理解不准确、系统操作不熟练等原因，造成误评价的；二是现场无法查证但事后能提供有效信息证明为误评价的；三是有足够证据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显示评价方恶意虚假评价的。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pacing w:val="-5"/>
          <w:w w:val="9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 xml:space="preserve">第十三条 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各级中介超市管理部门、采购单位和中介机构应当自觉遵守国家和云南省相关法律法规，不得擅自更改已经公布的相关信息，泄露有关秘密，谋取个人利益。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79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第十四条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不按规定进入中介超市公开选取项目或组织项目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公开选取、乱评价星级或记录不良信用的，在全省范围内通报并纳入单位年度考核评价扣分。同时，由同级中介超市管理部门提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请同级政府督查部门督促落实或移交纪委监委问责处理。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582" w:firstLine="62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本规定自颁布之日起施行，并由云南省投资审批中介超市管理部门负责解释。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4139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附表：1.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中介机构服务星级评价表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2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2432" w:right="4139" w:hanging="2433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中介机构服务跟踪记录表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-1" w:leftChars="0" w:right="4139" w:rightChars="0"/>
        <w:jc w:val="center"/>
        <w:textAlignment w:val="auto"/>
        <w:rPr>
          <w:rFonts w:hint="eastAsia" w:ascii="仿宋" w:hAnsi="仿宋" w:eastAsia="仿宋" w:cs="仿宋"/>
          <w:spacing w:val="-8"/>
          <w:w w:val="95"/>
          <w:sz w:val="32"/>
          <w:szCs w:val="32"/>
          <w:lang w:eastAsia="zh-CN"/>
        </w:rPr>
        <w:sectPr>
          <w:footerReference r:id="rId5" w:type="default"/>
          <w:footerReference r:id="rId6" w:type="even"/>
          <w:pgSz w:w="11850" w:h="16790"/>
          <w:pgMar w:top="1600" w:right="860" w:bottom="1720" w:left="960" w:header="0" w:footer="1521" w:gutter="0"/>
          <w:cols w:space="720" w:num="1"/>
        </w:sectPr>
      </w:pPr>
      <w:r>
        <w:rPr>
          <w:rFonts w:hint="eastAsia" w:ascii="仿宋" w:hAnsi="仿宋" w:eastAsia="仿宋" w:cs="仿宋"/>
          <w:spacing w:val="-8"/>
          <w:w w:val="95"/>
          <w:sz w:val="32"/>
          <w:szCs w:val="32"/>
          <w:lang w:val="en-US" w:eastAsia="zh-CN"/>
        </w:rPr>
        <w:t xml:space="preserve">             3.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中介机构信用记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  <w:lang w:eastAsia="zh-CN"/>
        </w:rPr>
        <w:t>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850" w:h="16790"/>
          <w:pgMar w:top="1600" w:right="860" w:bottom="1720" w:left="960" w:header="0" w:footer="1521" w:gutter="0"/>
          <w:cols w:space="720" w:num="1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pict>
          <v:shape id="_x0000_s1026" o:spid="_x0000_s1026" o:spt="202" type="#_x0000_t202" style="position:absolute;left:0pt;margin-left:49pt;margin-top:56.3pt;height:524.85pt;width:495.4pt;mso-position-horizontal-relative:page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10"/>
                    <w:spacing w:before="39" w:line="401" w:lineRule="exact"/>
                    <w:ind w:left="235"/>
                    <w:rPr>
                      <w:sz w:val="24"/>
                    </w:rPr>
                  </w:pPr>
                </w:p>
                <w:tbl>
                  <w:tblPr>
                    <w:tblStyle w:val="6"/>
                    <w:tblW w:w="9951" w:type="dxa"/>
                    <w:tblInd w:w="15" w:type="dxa"/>
                    <w:tblBorders>
                      <w:top w:val="single" w:color="76746C" w:sz="12" w:space="0"/>
                      <w:left w:val="single" w:color="76746C" w:sz="12" w:space="0"/>
                      <w:bottom w:val="single" w:color="76746C" w:sz="12" w:space="0"/>
                      <w:right w:val="single" w:color="76746C" w:sz="12" w:space="0"/>
                      <w:insideH w:val="single" w:color="76746C" w:sz="12" w:space="0"/>
                      <w:insideV w:val="single" w:color="76746C" w:sz="1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0"/>
                    <w:gridCol w:w="672"/>
                    <w:gridCol w:w="1380"/>
                    <w:gridCol w:w="1033"/>
                    <w:gridCol w:w="482"/>
                    <w:gridCol w:w="441"/>
                    <w:gridCol w:w="244"/>
                    <w:gridCol w:w="213"/>
                    <w:gridCol w:w="551"/>
                    <w:gridCol w:w="605"/>
                    <w:gridCol w:w="546"/>
                    <w:gridCol w:w="1132"/>
                    <w:gridCol w:w="2082"/>
                  </w:tblGrid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before="39" w:line="401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项目编号</w:t>
                        </w:r>
                      </w:p>
                    </w:tc>
                    <w:tc>
                      <w:tcPr>
                        <w:tcW w:w="2413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80" w:type="dxa"/>
                        <w:gridSpan w:val="4"/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办结时间</w:t>
                        </w:r>
                      </w:p>
                    </w:tc>
                    <w:tc>
                      <w:tcPr>
                        <w:tcW w:w="5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4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年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月</w:t>
                        </w:r>
                      </w:p>
                    </w:tc>
                    <w:tc>
                      <w:tcPr>
                        <w:tcW w:w="2082" w:type="dxa"/>
                        <w:tcBorders>
                          <w:left w:val="nil"/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项目名称</w:t>
                        </w:r>
                      </w:p>
                    </w:tc>
                    <w:tc>
                      <w:tcPr>
                        <w:tcW w:w="8709" w:type="dxa"/>
                        <w:gridSpan w:val="11"/>
                        <w:tcBorders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8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中介机构</w:t>
                        </w:r>
                      </w:p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称</w:t>
                        </w:r>
                      </w:p>
                    </w:tc>
                    <w:tc>
                      <w:tcPr>
                        <w:tcW w:w="8709" w:type="dxa"/>
                        <w:gridSpan w:val="11"/>
                        <w:tcBorders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3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测评单位</w:t>
                        </w:r>
                      </w:p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及  人 员</w:t>
                        </w:r>
                      </w:p>
                    </w:tc>
                    <w:tc>
                      <w:tcPr>
                        <w:tcW w:w="8709" w:type="dxa"/>
                        <w:gridSpan w:val="11"/>
                        <w:tcBorders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10"/>
                          <w:spacing w:line="364" w:lineRule="exact"/>
                          <w:ind w:left="235" w:firstLine="1050" w:firstLineChars="50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（盖章）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5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联系方式</w:t>
                        </w:r>
                      </w:p>
                    </w:tc>
                    <w:tc>
                      <w:tcPr>
                        <w:tcW w:w="8709" w:type="dxa"/>
                        <w:gridSpan w:val="11"/>
                        <w:tcBorders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2" w:hRule="atLeast"/>
                    </w:trPr>
                    <w:tc>
                      <w:tcPr>
                        <w:tcW w:w="1242" w:type="dxa"/>
                        <w:gridSpan w:val="2"/>
                        <w:tcBorders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left w:val="nil"/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left w:val="nil"/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星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nil"/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级</w:t>
                        </w:r>
                      </w:p>
                    </w:tc>
                    <w:tc>
                      <w:tcPr>
                        <w:tcW w:w="685" w:type="dxa"/>
                        <w:gridSpan w:val="2"/>
                        <w:tcBorders>
                          <w:left w:val="nil"/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 w:firstLine="210" w:firstLineChars="10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评</w:t>
                        </w:r>
                      </w:p>
                    </w:tc>
                    <w:tc>
                      <w:tcPr>
                        <w:tcW w:w="764" w:type="dxa"/>
                        <w:gridSpan w:val="2"/>
                        <w:tcBorders>
                          <w:left w:val="nil"/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 w:firstLine="210" w:firstLineChars="10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价</w:t>
                        </w:r>
                      </w:p>
                    </w:tc>
                    <w:tc>
                      <w:tcPr>
                        <w:tcW w:w="605" w:type="dxa"/>
                        <w:tcBorders>
                          <w:left w:val="nil"/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内</w:t>
                        </w:r>
                      </w:p>
                    </w:tc>
                    <w:tc>
                      <w:tcPr>
                        <w:tcW w:w="546" w:type="dxa"/>
                        <w:tcBorders>
                          <w:left w:val="nil"/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容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10"/>
                          <w:spacing w:line="364" w:lineRule="exact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82" w:type="dxa"/>
                        <w:tcBorders>
                          <w:left w:val="nil"/>
                          <w:bottom w:val="single" w:color="000000" w:sz="4" w:space="0"/>
                          <w:right w:val="single" w:color="9F9F9F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4" w:hRule="atLeast"/>
                    </w:trPr>
                    <w:tc>
                      <w:tcPr>
                        <w:tcW w:w="1242" w:type="dxa"/>
                        <w:gridSpan w:val="2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89"/>
                          <w:ind w:left="23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评价项目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color="000000" w:sz="4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3" w:line="303" w:lineRule="exact"/>
                          <w:ind w:left="89" w:right="53"/>
                          <w:jc w:val="center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五星级</w:t>
                        </w:r>
                      </w:p>
                      <w:p>
                        <w:pPr>
                          <w:pStyle w:val="10"/>
                          <w:spacing w:line="279" w:lineRule="exact"/>
                          <w:ind w:left="91" w:right="53"/>
                          <w:jc w:val="center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（100-95）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color="000000" w:sz="4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3" w:line="303" w:lineRule="exact"/>
                          <w:ind w:left="48" w:right="13"/>
                          <w:jc w:val="center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四星级</w:t>
                        </w:r>
                      </w:p>
                      <w:p>
                        <w:pPr>
                          <w:pStyle w:val="10"/>
                          <w:spacing w:line="279" w:lineRule="exact"/>
                          <w:ind w:left="50" w:right="13"/>
                          <w:jc w:val="center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（94-85）</w:t>
                        </w:r>
                      </w:p>
                    </w:tc>
                    <w:tc>
                      <w:tcPr>
                        <w:tcW w:w="923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3" w:line="331" w:lineRule="exact"/>
                          <w:ind w:left="161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4"/>
                            <w:w w:val="95"/>
                            <w:sz w:val="21"/>
                            <w:szCs w:val="21"/>
                          </w:rPr>
                          <w:t>三星级</w:t>
                        </w:r>
                      </w:p>
                      <w:p>
                        <w:pPr>
                          <w:pStyle w:val="10"/>
                          <w:spacing w:line="207" w:lineRule="exact"/>
                          <w:ind w:left="164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(84-75)</w:t>
                        </w:r>
                      </w:p>
                    </w:tc>
                    <w:tc>
                      <w:tcPr>
                        <w:tcW w:w="1008" w:type="dxa"/>
                        <w:gridSpan w:val="3"/>
                        <w:tcBorders>
                          <w:top w:val="single" w:color="000000" w:sz="4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3" w:line="303" w:lineRule="exact"/>
                          <w:ind w:left="203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二星级</w:t>
                        </w:r>
                      </w:p>
                      <w:p>
                        <w:pPr>
                          <w:pStyle w:val="10"/>
                          <w:spacing w:line="279" w:lineRule="exact"/>
                          <w:ind w:left="138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（74-65)</w:t>
                        </w:r>
                      </w:p>
                    </w:tc>
                    <w:tc>
                      <w:tcPr>
                        <w:tcW w:w="1151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3" w:line="331" w:lineRule="exact"/>
                          <w:ind w:left="27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4"/>
                            <w:w w:val="95"/>
                            <w:sz w:val="21"/>
                            <w:szCs w:val="21"/>
                          </w:rPr>
                          <w:t>一星级</w:t>
                        </w:r>
                      </w:p>
                      <w:p>
                        <w:pPr>
                          <w:pStyle w:val="10"/>
                          <w:spacing w:line="207" w:lineRule="exact"/>
                          <w:ind w:left="278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(64-50)</w:t>
                        </w:r>
                      </w:p>
                    </w:tc>
                    <w:tc>
                      <w:tcPr>
                        <w:tcW w:w="3214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89"/>
                          <w:ind w:left="97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评价标准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5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before="197" w:line="240" w:lineRule="auto"/>
                          <w:ind w:left="408" w:right="322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服务质量</w:t>
                        </w:r>
                      </w:p>
                    </w:tc>
                    <w:tc>
                      <w:tcPr>
                        <w:tcW w:w="1380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923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3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14" w:type="dxa"/>
                        <w:gridSpan w:val="2"/>
                        <w:tcBorders>
                          <w:left w:val="single" w:color="000000" w:sz="8" w:space="0"/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按照有关法律法规、技术标准和规范等从事相关工作，没有因中介服务质量问题影响项目审批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line="318" w:lineRule="exact"/>
                          <w:ind w:left="408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服务</w:t>
                        </w:r>
                      </w:p>
                      <w:p>
                        <w:pPr>
                          <w:pStyle w:val="10"/>
                          <w:spacing w:line="302" w:lineRule="exact"/>
                          <w:ind w:left="408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时效</w:t>
                        </w:r>
                      </w:p>
                    </w:tc>
                    <w:tc>
                      <w:tcPr>
                        <w:tcW w:w="1380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923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3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14" w:type="dxa"/>
                        <w:gridSpan w:val="2"/>
                        <w:tcBorders>
                          <w:left w:val="single" w:color="000000" w:sz="8" w:space="0"/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在服务实施过程中，对采购方提出的要求和需求能及时响应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5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line="240" w:lineRule="auto"/>
                          <w:ind w:left="408" w:right="322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服务态度</w:t>
                        </w:r>
                      </w:p>
                    </w:tc>
                    <w:tc>
                      <w:tcPr>
                        <w:tcW w:w="1380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923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3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14" w:type="dxa"/>
                        <w:gridSpan w:val="2"/>
                        <w:tcBorders>
                          <w:left w:val="single" w:color="000000" w:sz="8" w:space="0"/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一次性告知采购单位需提供的资料，及时告知中介服务进度和问题，对不可预见的需求和情况能友好协商、耐心处理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line="318" w:lineRule="exact"/>
                          <w:ind w:left="408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服务</w:t>
                        </w:r>
                      </w:p>
                      <w:p>
                        <w:pPr>
                          <w:pStyle w:val="10"/>
                          <w:spacing w:line="302" w:lineRule="exact"/>
                          <w:ind w:left="408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收费</w:t>
                        </w:r>
                      </w:p>
                    </w:tc>
                    <w:tc>
                      <w:tcPr>
                        <w:tcW w:w="1380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923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3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14" w:type="dxa"/>
                        <w:gridSpan w:val="2"/>
                        <w:tcBorders>
                          <w:left w:val="single" w:color="000000" w:sz="8" w:space="0"/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各项费用的收取能按照收费标准和市场价格合理定价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5" w:hRule="atLeast"/>
                    </w:trPr>
                    <w:tc>
                      <w:tcPr>
                        <w:tcW w:w="1242" w:type="dxa"/>
                        <w:gridSpan w:val="2"/>
                      </w:tcPr>
                      <w:p>
                        <w:pPr>
                          <w:pStyle w:val="10"/>
                          <w:spacing w:line="240" w:lineRule="auto"/>
                          <w:ind w:left="408" w:right="322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服务规范</w:t>
                        </w:r>
                      </w:p>
                    </w:tc>
                    <w:tc>
                      <w:tcPr>
                        <w:tcW w:w="1380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923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3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14" w:type="dxa"/>
                        <w:gridSpan w:val="2"/>
                        <w:tcBorders>
                          <w:left w:val="single" w:color="000000" w:sz="8" w:space="0"/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证（照）齐全并公示、在规定的资质范围承揽业务，无恶意承揽业务、互相杀价、破坏行业规则。遵守行业规则、遵守保密规定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1242" w:type="dxa"/>
                        <w:gridSpan w:val="2"/>
                        <w:tcBorders>
                          <w:bottom w:val="single" w:color="76746C" w:sz="4" w:space="0"/>
                          <w:right w:val="single" w:color="76746C" w:sz="6" w:space="0"/>
                        </w:tcBorders>
                      </w:tcPr>
                      <w:p>
                        <w:pPr>
                          <w:pStyle w:val="10"/>
                          <w:spacing w:line="337" w:lineRule="exact"/>
                          <w:ind w:left="18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综合评价</w:t>
                        </w:r>
                      </w:p>
                    </w:tc>
                    <w:tc>
                      <w:tcPr>
                        <w:tcW w:w="5495" w:type="dxa"/>
                        <w:gridSpan w:val="9"/>
                        <w:tcBorders>
                          <w:left w:val="single" w:color="76746C" w:sz="6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14" w:type="dxa"/>
                        <w:gridSpan w:val="2"/>
                        <w:tcBorders>
                          <w:left w:val="single" w:color="000000" w:sz="8" w:space="0"/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按以上 5 个方面的星级平均得出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9" w:hRule="atLeast"/>
                    </w:trPr>
                    <w:tc>
                      <w:tcPr>
                        <w:tcW w:w="570" w:type="dxa"/>
                        <w:vMerge w:val="restart"/>
                        <w:tcBorders>
                          <w:top w:val="single" w:color="000000" w:sz="4" w:space="0"/>
                          <w:bottom w:val="single" w:color="EBE9D7" w:sz="12" w:space="0"/>
                        </w:tcBorders>
                      </w:tcPr>
                      <w:p>
                        <w:pPr>
                          <w:pStyle w:val="10"/>
                          <w:spacing w:before="9" w:line="240" w:lineRule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10"/>
                          <w:spacing w:line="240" w:lineRule="auto"/>
                          <w:ind w:left="180" w:right="76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差评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thinThickMediumGap" w:color="76746C" w:sz="2" w:space="0"/>
                        </w:tcBorders>
                      </w:tcPr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不满意</w:t>
                        </w:r>
                      </w:p>
                    </w:tc>
                    <w:tc>
                      <w:tcPr>
                        <w:tcW w:w="5495" w:type="dxa"/>
                        <w:gridSpan w:val="9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14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10"/>
                          <w:ind w:left="14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49 分及以下</w:t>
                        </w:r>
                      </w:p>
                    </w:tc>
                    <w:tc>
                      <w:tcPr>
                        <w:tcW w:w="3214" w:type="dxa"/>
                        <w:gridSpan w:val="2"/>
                        <w:tcBorders>
                          <w:left w:val="single" w:color="000000" w:sz="8" w:space="0"/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统按 0 星处理并自动记不良信</w:t>
                        </w:r>
                      </w:p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用一次，采购单位上传书面理由</w:t>
                        </w:r>
                      </w:p>
                    </w:tc>
                  </w:tr>
                  <w:tr>
                    <w:tblPrEx>
                      <w:tblBorders>
                        <w:top w:val="single" w:color="76746C" w:sz="12" w:space="0"/>
                        <w:left w:val="single" w:color="76746C" w:sz="12" w:space="0"/>
                        <w:bottom w:val="single" w:color="76746C" w:sz="12" w:space="0"/>
                        <w:right w:val="single" w:color="76746C" w:sz="12" w:space="0"/>
                        <w:insideH w:val="single" w:color="76746C" w:sz="12" w:space="0"/>
                        <w:insideV w:val="single" w:color="76746C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570" w:type="dxa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10"/>
                          <w:spacing w:before="34" w:line="211" w:lineRule="auto"/>
                          <w:ind w:left="-7" w:right="-58"/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有投诉</w:t>
                        </w:r>
                      </w:p>
                    </w:tc>
                    <w:tc>
                      <w:tcPr>
                        <w:tcW w:w="5495" w:type="dxa"/>
                        <w:gridSpan w:val="9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14" w:type="dxa"/>
                        <w:gridSpan w:val="2"/>
                        <w:tcBorders>
                          <w:left w:val="single" w:color="000000" w:sz="8" w:space="0"/>
                          <w:right w:val="single" w:color="EBE9D7" w:sz="12" w:space="0"/>
                        </w:tcBorders>
                      </w:tcPr>
                      <w:p>
                        <w:pPr>
                          <w:pStyle w:val="10"/>
                          <w:spacing w:before="81"/>
                          <w:ind w:left="15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7"/>
                            <w:w w:val="95"/>
                            <w:sz w:val="21"/>
                            <w:szCs w:val="21"/>
                          </w:rPr>
                          <w:t>按照规定依法依规投诉</w:t>
                        </w: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</w:rPr>
        <w:br w:type="column"/>
      </w:r>
    </w:p>
    <w:p>
      <w:pPr>
        <w:pStyle w:val="4"/>
        <w:keepNext w:val="0"/>
        <w:keepLines w:val="0"/>
        <w:pageBreakBefore w:val="0"/>
        <w:widowControl w:val="0"/>
        <w:tabs>
          <w:tab w:val="center" w:pos="2638"/>
          <w:tab w:val="right" w:pos="7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中介机构服务星级评价表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578" w:right="2997" w:firstLine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（由采购单位作出评价）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578" w:right="2997" w:firstLine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850" w:h="16790"/>
          <w:pgMar w:top="1580" w:right="860" w:bottom="280" w:left="960" w:header="720" w:footer="720" w:gutter="0"/>
          <w:cols w:equalWidth="0" w:num="2">
            <w:col w:w="1532" w:space="921"/>
            <w:col w:w="7577"/>
          </w:cols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0" w:firstLine="0"/>
        <w:jc w:val="left"/>
        <w:textAlignment w:val="auto"/>
        <w:rPr>
          <w:rFonts w:hint="eastAsia" w:ascii="仿宋" w:hAnsi="仿宋" w:eastAsia="仿宋" w:cs="仿宋"/>
          <w:spacing w:val="-7"/>
          <w:w w:val="95"/>
          <w:sz w:val="21"/>
          <w:szCs w:val="21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 w:right="0" w:firstLine="0"/>
        <w:jc w:val="left"/>
        <w:textAlignment w:val="auto"/>
        <w:rPr>
          <w:rFonts w:hint="eastAsia" w:ascii="仿宋" w:hAnsi="仿宋" w:eastAsia="仿宋" w:cs="仿宋"/>
          <w:spacing w:val="-7"/>
          <w:w w:val="95"/>
          <w:sz w:val="21"/>
          <w:szCs w:val="21"/>
          <w:lang w:val="zh-CN" w:eastAsia="zh-CN" w:bidi="zh-CN"/>
        </w:rPr>
      </w:pPr>
      <w:r>
        <w:rPr>
          <w:rFonts w:hint="eastAsia" w:ascii="仿宋" w:hAnsi="仿宋" w:eastAsia="仿宋" w:cs="仿宋"/>
          <w:spacing w:val="-7"/>
          <w:w w:val="95"/>
          <w:sz w:val="21"/>
          <w:szCs w:val="21"/>
          <w:lang w:val="zh-CN" w:eastAsia="zh-CN" w:bidi="zh-CN"/>
        </w:rPr>
        <w:t>备注：综合评价星级为服务质量、时效、态度、收费、规范五项星级的累计平均。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pacing w:val="-7"/>
          <w:w w:val="95"/>
          <w:sz w:val="32"/>
          <w:szCs w:val="32"/>
          <w:lang w:val="zh-CN" w:eastAsia="zh-CN" w:bidi="zh-CN"/>
        </w:rPr>
        <w:sectPr>
          <w:type w:val="continuous"/>
          <w:pgSz w:w="11850" w:h="16790"/>
          <w:pgMar w:top="1580" w:right="860" w:bottom="280" w:left="96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850" w:h="16790"/>
          <w:pgMar w:top="1600" w:right="860" w:bottom="1720" w:left="960" w:header="0" w:footer="1521" w:gutter="0"/>
          <w:cols w:space="720" w:num="1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column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中介机构服务跟踪记录表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578" w:right="2996" w:firstLine="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（信息管理系统自动记录）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850" w:h="16790"/>
          <w:pgMar w:top="1580" w:right="860" w:bottom="280" w:left="960" w:header="720" w:footer="720" w:gutter="0"/>
          <w:cols w:equalWidth="0" w:num="2">
            <w:col w:w="1532" w:space="921"/>
            <w:col w:w="7577"/>
          </w:cols>
        </w:sectPr>
      </w:pPr>
    </w:p>
    <w:tbl>
      <w:tblPr>
        <w:tblStyle w:val="6"/>
        <w:tblW w:w="0" w:type="auto"/>
        <w:tblInd w:w="491" w:type="dxa"/>
        <w:tblBorders>
          <w:top w:val="single" w:color="76746C" w:sz="12" w:space="0"/>
          <w:left w:val="single" w:color="76746C" w:sz="12" w:space="0"/>
          <w:bottom w:val="single" w:color="76746C" w:sz="12" w:space="0"/>
          <w:right w:val="single" w:color="76746C" w:sz="12" w:space="0"/>
          <w:insideH w:val="single" w:color="76746C" w:sz="12" w:space="0"/>
          <w:insideV w:val="single" w:color="76746C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071"/>
        <w:gridCol w:w="1289"/>
        <w:gridCol w:w="593"/>
        <w:gridCol w:w="798"/>
        <w:gridCol w:w="4411"/>
      </w:tblGrid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项目编号</w:t>
            </w:r>
          </w:p>
        </w:tc>
        <w:tc>
          <w:tcPr>
            <w:tcW w:w="128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</w:p>
        </w:tc>
        <w:tc>
          <w:tcPr>
            <w:tcW w:w="1391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办结时间</w:t>
            </w:r>
          </w:p>
        </w:tc>
        <w:tc>
          <w:tcPr>
            <w:tcW w:w="4411" w:type="dxa"/>
            <w:tcBorders>
              <w:right w:val="single" w:color="EBE9D7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项目名称</w:t>
            </w:r>
          </w:p>
        </w:tc>
        <w:tc>
          <w:tcPr>
            <w:tcW w:w="7091" w:type="dxa"/>
            <w:gridSpan w:val="4"/>
            <w:tcBorders>
              <w:right w:val="single" w:color="EBE9D7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中介机构名称</w:t>
            </w:r>
          </w:p>
        </w:tc>
        <w:tc>
          <w:tcPr>
            <w:tcW w:w="7091" w:type="dxa"/>
            <w:gridSpan w:val="4"/>
            <w:tcBorders>
              <w:right w:val="single" w:color="EBE9D7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记录单位</w:t>
            </w:r>
          </w:p>
        </w:tc>
        <w:tc>
          <w:tcPr>
            <w:tcW w:w="7091" w:type="dxa"/>
            <w:gridSpan w:val="4"/>
            <w:tcBorders>
              <w:right w:val="single" w:color="EBE9D7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联系方式</w:t>
            </w:r>
          </w:p>
        </w:tc>
        <w:tc>
          <w:tcPr>
            <w:tcW w:w="7091" w:type="dxa"/>
            <w:gridSpan w:val="4"/>
            <w:tcBorders>
              <w:right w:val="single" w:color="EBE9D7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跟踪内容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是否记录</w:t>
            </w:r>
          </w:p>
        </w:tc>
        <w:tc>
          <w:tcPr>
            <w:tcW w:w="5209" w:type="dxa"/>
            <w:gridSpan w:val="2"/>
            <w:tcBorders>
              <w:right w:val="single" w:color="ACA89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0"/>
                <w:szCs w:val="30"/>
              </w:rPr>
              <w:t>不良信用记录及列入“黑名单”标准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  <w:t>项目报名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</w:tc>
        <w:tc>
          <w:tcPr>
            <w:tcW w:w="5209" w:type="dxa"/>
            <w:gridSpan w:val="2"/>
            <w:tcBorders>
              <w:right w:val="single" w:color="ACA89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中介机构故意扰乱报名秩序获取报名资格或中选的，取消报名或中选资格，并视情节和后果记录不良信用 1—3次或列入“黑名单”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  <w:t>公开选取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</w:tc>
        <w:tc>
          <w:tcPr>
            <w:tcW w:w="5209" w:type="dxa"/>
            <w:gridSpan w:val="2"/>
            <w:tcBorders>
              <w:right w:val="single" w:color="ACA89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无故放弃，列入“黑名单”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  <w:t>合同签定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</w:tc>
        <w:tc>
          <w:tcPr>
            <w:tcW w:w="5209" w:type="dxa"/>
            <w:gridSpan w:val="2"/>
            <w:tcBorders>
              <w:right w:val="single" w:color="ACA89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超过规定时间10个—30个自然日的记不良信用1次；超过规定时间 30个自然日以上的列入“黑名单”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  <w:t>服务履约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</w:tc>
        <w:tc>
          <w:tcPr>
            <w:tcW w:w="5209" w:type="dxa"/>
            <w:gridSpan w:val="2"/>
            <w:tcBorders>
              <w:right w:val="single" w:color="ACA89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超过合同约定时限30%—100%的记不良信用1次；超过合同约定时限 100%的列入“黑名单”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8"/>
                <w:szCs w:val="28"/>
              </w:rPr>
              <w:t>结果登记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</w:tc>
        <w:tc>
          <w:tcPr>
            <w:tcW w:w="5209" w:type="dxa"/>
            <w:gridSpan w:val="2"/>
            <w:tcBorders>
              <w:right w:val="single" w:color="ACA89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超过规定时间10个</w:t>
            </w: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30个自然日的记不良信用1次；超过规定时间30个自然日以上的列入“黑名单”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4"/>
                <w:szCs w:val="24"/>
              </w:rPr>
              <w:t>采购单位评价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</w:tc>
        <w:tc>
          <w:tcPr>
            <w:tcW w:w="5209" w:type="dxa"/>
            <w:gridSpan w:val="2"/>
            <w:tcBorders>
              <w:right w:val="single" w:color="ACA89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综合评价不满意的记不良信用1次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14" w:type="dxa"/>
            <w:vMerge w:val="restart"/>
            <w:tcBorders>
              <w:bottom w:val="single" w:color="EBE9D7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spacing w:val="-23"/>
                <w:sz w:val="24"/>
                <w:szCs w:val="24"/>
              </w:rPr>
              <w:t>综合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firstLine="194" w:firstLineChars="10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4"/>
                <w:szCs w:val="24"/>
              </w:rPr>
              <w:t>记录</w:t>
            </w:r>
          </w:p>
        </w:tc>
        <w:tc>
          <w:tcPr>
            <w:tcW w:w="10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不良信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用记录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</w:tc>
        <w:tc>
          <w:tcPr>
            <w:tcW w:w="5209" w:type="dxa"/>
            <w:gridSpan w:val="2"/>
            <w:tcBorders>
              <w:right w:val="single" w:color="ACA89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以上记录次数相加超过 3 次的，列入“黑名单”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14" w:type="dxa"/>
            <w:vMerge w:val="continue"/>
            <w:tcBorders>
              <w:top w:val="nil"/>
              <w:bottom w:val="single" w:color="EBE9D7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</w:tc>
        <w:tc>
          <w:tcPr>
            <w:tcW w:w="1071" w:type="dxa"/>
            <w:tcBorders>
              <w:bottom w:val="single" w:color="EBE9D7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firstLine="164" w:firstLineChars="100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是否列入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“黑名单”</w:t>
            </w:r>
          </w:p>
        </w:tc>
        <w:tc>
          <w:tcPr>
            <w:tcW w:w="1882" w:type="dxa"/>
            <w:gridSpan w:val="2"/>
            <w:tcBorders>
              <w:bottom w:val="single" w:color="EBE9D7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ind w:left="511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</w:p>
        </w:tc>
        <w:tc>
          <w:tcPr>
            <w:tcW w:w="5209" w:type="dxa"/>
            <w:gridSpan w:val="2"/>
            <w:tcBorders>
              <w:bottom w:val="single" w:color="EBE9D7" w:sz="12" w:space="0"/>
              <w:right w:val="single" w:color="ACA89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21"/>
                <w:szCs w:val="21"/>
              </w:rPr>
              <w:t>若列入“黑名单”，则清退出云南省投资审批中介超市，2 年内不得参与云南省投资审批中介服务市场开展相关业务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51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18"/>
          <w:szCs w:val="18"/>
        </w:rPr>
        <w:t>备注：1.此表由系统自动生成；2.综合记录为项目报名、公开选取、合同签定、合同履约和结果登记、采购单位综合评价不良记录次数的累计相加；3.单项有不良信用记录的，由投资审批中介超市管理部门提醒并跟踪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850" w:h="16790"/>
          <w:pgMar w:top="1580" w:right="860" w:bottom="280" w:left="960" w:header="720" w:footer="720" w:gutter="0"/>
          <w:cols w:space="720" w:num="1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850" w:h="16790"/>
          <w:pgMar w:top="1600" w:right="860" w:bottom="1720" w:left="960" w:header="0" w:footer="1521" w:gutter="0"/>
          <w:cols w:space="720" w:num="1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62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中介机构信用记录表（示例）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  <w:sectPr>
          <w:type w:val="continuous"/>
          <w:pgSz w:w="11850" w:h="16790"/>
          <w:pgMar w:top="1580" w:right="860" w:bottom="280" w:left="960" w:header="720" w:footer="720" w:gutter="0"/>
          <w:cols w:equalWidth="0" w:num="2">
            <w:col w:w="1532" w:space="688"/>
            <w:col w:w="7810"/>
          </w:cols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昆明市中介超市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时间：2018.01.01—2018.12.31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443"/>
        <w:gridCol w:w="1364"/>
        <w:gridCol w:w="1160"/>
        <w:gridCol w:w="1035"/>
        <w:gridCol w:w="770"/>
        <w:gridCol w:w="1157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56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43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1364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入驻时间</w:t>
            </w:r>
          </w:p>
        </w:tc>
        <w:tc>
          <w:tcPr>
            <w:tcW w:w="1160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参与项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目次数</w:t>
            </w:r>
          </w:p>
        </w:tc>
        <w:tc>
          <w:tcPr>
            <w:tcW w:w="1035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星级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评价</w:t>
            </w:r>
          </w:p>
        </w:tc>
        <w:tc>
          <w:tcPr>
            <w:tcW w:w="770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不良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记录</w:t>
            </w:r>
          </w:p>
        </w:tc>
        <w:tc>
          <w:tcPr>
            <w:tcW w:w="334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“黑名单”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3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15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109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 w:eastAsia="zh-CN" w:bidi="zh-CN"/>
              </w:rPr>
              <w:t>列入（√）</w:t>
            </w:r>
          </w:p>
        </w:tc>
        <w:tc>
          <w:tcPr>
            <w:tcW w:w="21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right="738" w:firstLine="320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 w:eastAsia="zh-CN" w:bidi="zh-CN"/>
              </w:rPr>
              <w:t>简要原因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昆明xx 公司</w:t>
            </w:r>
          </w:p>
        </w:tc>
        <w:tc>
          <w:tcPr>
            <w:tcW w:w="136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2015-10-10</w:t>
            </w:r>
          </w:p>
        </w:tc>
        <w:tc>
          <w:tcPr>
            <w:tcW w:w="116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四星</w:t>
            </w:r>
          </w:p>
        </w:tc>
        <w:tc>
          <w:tcPr>
            <w:tcW w:w="77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昆明xx 公司</w:t>
            </w:r>
          </w:p>
        </w:tc>
        <w:tc>
          <w:tcPr>
            <w:tcW w:w="136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2015-11-10</w:t>
            </w:r>
          </w:p>
        </w:tc>
        <w:tc>
          <w:tcPr>
            <w:tcW w:w="116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二星</w:t>
            </w:r>
          </w:p>
        </w:tc>
        <w:tc>
          <w:tcPr>
            <w:tcW w:w="77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21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不良记录累计超过三次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昆明xx 公司</w:t>
            </w:r>
          </w:p>
        </w:tc>
        <w:tc>
          <w:tcPr>
            <w:tcW w:w="136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2015-12-10</w:t>
            </w:r>
          </w:p>
        </w:tc>
        <w:tc>
          <w:tcPr>
            <w:tcW w:w="116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21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资质造假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昆明xx 公司</w:t>
            </w:r>
          </w:p>
        </w:tc>
        <w:tc>
          <w:tcPr>
            <w:tcW w:w="136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2015-12-10</w:t>
            </w:r>
          </w:p>
        </w:tc>
        <w:tc>
          <w:tcPr>
            <w:tcW w:w="116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21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无故放弃中选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5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…</w:t>
            </w:r>
          </w:p>
        </w:tc>
        <w:tc>
          <w:tcPr>
            <w:tcW w:w="14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136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116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103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77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15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21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60" w:lineRule="exact"/>
              <w:ind w:left="511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24"/>
          <w:szCs w:val="24"/>
        </w:rPr>
        <w:sectPr>
          <w:type w:val="continuous"/>
          <w:pgSz w:w="11850" w:h="16790"/>
          <w:pgMar w:top="1580" w:right="860" w:bottom="280" w:left="960" w:header="720" w:footer="720" w:gutter="0"/>
          <w:cols w:space="720" w:num="1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</w:p>
    <w:sectPr>
      <w:footerReference r:id="rId7" w:type="even"/>
      <w:pgSz w:w="11910" w:h="16840"/>
      <w:pgMar w:top="1580" w:right="1680" w:bottom="280" w:left="1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463.5pt;margin-top:752.05pt;height:16pt;width:5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1pt;margin-top:752.05pt;height:16pt;width:5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2432" w:hanging="24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80" w:hanging="24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83" w:hanging="2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87" w:hanging="2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1" w:hanging="2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5" w:hanging="2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8" w:hanging="2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02" w:hanging="24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19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A051FE"/>
    <w:rsid w:val="011E3700"/>
    <w:rsid w:val="06A545FA"/>
    <w:rsid w:val="09EF0318"/>
    <w:rsid w:val="0E577C9F"/>
    <w:rsid w:val="0E606373"/>
    <w:rsid w:val="10C66334"/>
    <w:rsid w:val="13C12F2F"/>
    <w:rsid w:val="13DD36C5"/>
    <w:rsid w:val="1797317A"/>
    <w:rsid w:val="195C14EB"/>
    <w:rsid w:val="1B3A427F"/>
    <w:rsid w:val="21A14F56"/>
    <w:rsid w:val="239A216A"/>
    <w:rsid w:val="258C02A1"/>
    <w:rsid w:val="27E81F79"/>
    <w:rsid w:val="294A355F"/>
    <w:rsid w:val="29EC2D25"/>
    <w:rsid w:val="2AB62DCC"/>
    <w:rsid w:val="2C2B1274"/>
    <w:rsid w:val="2DE35FB9"/>
    <w:rsid w:val="2E3F0D5C"/>
    <w:rsid w:val="2F233044"/>
    <w:rsid w:val="2F647C23"/>
    <w:rsid w:val="2F8D083A"/>
    <w:rsid w:val="2FF932BD"/>
    <w:rsid w:val="3261203E"/>
    <w:rsid w:val="359F4F0D"/>
    <w:rsid w:val="37223395"/>
    <w:rsid w:val="37F711C6"/>
    <w:rsid w:val="38A5262A"/>
    <w:rsid w:val="3BBD0935"/>
    <w:rsid w:val="3CE93D7B"/>
    <w:rsid w:val="3F1A54CA"/>
    <w:rsid w:val="3F61559B"/>
    <w:rsid w:val="452727D5"/>
    <w:rsid w:val="452B5829"/>
    <w:rsid w:val="4C775C70"/>
    <w:rsid w:val="52DC5832"/>
    <w:rsid w:val="538D3DFE"/>
    <w:rsid w:val="54372263"/>
    <w:rsid w:val="547175EA"/>
    <w:rsid w:val="58142F00"/>
    <w:rsid w:val="5AF74E40"/>
    <w:rsid w:val="5F287889"/>
    <w:rsid w:val="621D075F"/>
    <w:rsid w:val="629C7446"/>
    <w:rsid w:val="66800ACF"/>
    <w:rsid w:val="67ED0D0F"/>
    <w:rsid w:val="68C01C6B"/>
    <w:rsid w:val="6A920BD9"/>
    <w:rsid w:val="6F2A65B9"/>
    <w:rsid w:val="7342459A"/>
    <w:rsid w:val="76273414"/>
    <w:rsid w:val="7669192F"/>
    <w:rsid w:val="7A943D73"/>
    <w:rsid w:val="7B1D5FCB"/>
    <w:rsid w:val="7B684103"/>
    <w:rsid w:val="7B9A4337"/>
    <w:rsid w:val="7C1549AF"/>
    <w:rsid w:val="7D4B7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05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right="79"/>
      <w:jc w:val="center"/>
      <w:outlineLvl w:val="2"/>
    </w:pPr>
    <w:rPr>
      <w:rFonts w:ascii="Arial Unicode MS" w:hAnsi="Arial Unicode MS" w:eastAsia="Arial Unicode MS" w:cs="Arial Unicode MS"/>
      <w:sz w:val="39"/>
      <w:szCs w:val="39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578" w:right="2999"/>
      <w:jc w:val="center"/>
      <w:outlineLvl w:val="3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523" w:hanging="792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2021-07-21T07:47:00Z</dcterms:created>
  <dc:creator>作者</dc:creator>
  <cp:keywords>关键字</cp:keywords>
  <cp:lastModifiedBy>lenovo</cp:lastModifiedBy>
  <dcterms:modified xsi:type="dcterms:W3CDTF">2021-07-22T02:30:44Z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创建者</vt:lpwstr>
  </property>
  <property fmtid="{D5CDD505-2E9C-101B-9397-08002B2CF9AE}" pid="4" name="LastSaved">
    <vt:filetime>2021-07-21T00:00:00Z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2408E255792C40E9BDA10DEF2BFA6491</vt:lpwstr>
  </property>
</Properties>
</file>