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84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-50"/>
          <w:w w:val="58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50"/>
          <w:w w:val="58"/>
          <w:sz w:val="84"/>
          <w:szCs w:val="84"/>
        </w:rPr>
        <w:t>宜良县优化提升营商环境工作领导小组办公室文件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Times New Roman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58420</wp:posOffset>
                </wp:positionV>
                <wp:extent cx="5718175" cy="63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175" cy="63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4.6pt;height:0.5pt;width:450.25pt;z-index:251658240;mso-width-relative:page;mso-height-relative:page;" filled="f" stroked="t" coordsize="21600,21600" o:gfxdata="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gDArLXAAAABwEAAA8AAAAAAAAAAQAgAAAAIgAAAGRycy9kb3du&#10;cmV2LnhtbFBLAQIUABQAAAAIAIdO4kAfEBd+AAIAAPYDAAAOAAAAAAAAAAEAIAAAACYBAABkcnMv&#10;ZTJvRG9jLnhtbFBLBQYAAAAABgAGAFkBAACY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  <w:lang w:val="en-US" w:eastAsia="zh-CN"/>
        </w:rPr>
        <w:t>县营商办</w:t>
      </w:r>
      <w:r>
        <w:rPr>
          <w:rFonts w:ascii="仿宋_GB2312" w:hAnsi="宋体" w:eastAsia="仿宋_GB2312"/>
          <w:color w:val="000000"/>
          <w:sz w:val="28"/>
          <w:szCs w:val="28"/>
        </w:rPr>
        <w:t>〔20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21</w:t>
      </w:r>
      <w:r>
        <w:rPr>
          <w:rFonts w:ascii="仿宋_GB2312" w:hAnsi="宋体" w:eastAsia="仿宋_GB2312"/>
          <w:color w:val="000000"/>
          <w:sz w:val="28"/>
          <w:szCs w:val="28"/>
        </w:rPr>
        <w:t>〕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44</w:t>
      </w:r>
      <w:r>
        <w:rPr>
          <w:rFonts w:ascii="仿宋_GB2312" w:hAnsi="宋体" w:eastAsia="仿宋_GB2312"/>
          <w:color w:val="00000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关于印发《宜良县优化营商环境信息工作考核办法》的通知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00" w:lineRule="exac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各有关单位：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现将《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宜良县优化</w:t>
      </w:r>
      <w:r>
        <w:rPr>
          <w:rFonts w:hint="eastAsia" w:ascii="仿宋_GB2312" w:hAnsi="Times New Roman" w:eastAsia="仿宋_GB2312"/>
          <w:sz w:val="32"/>
          <w:szCs w:val="32"/>
        </w:rPr>
        <w:t>营商环境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信息工作考核办法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580" w:lineRule="exact"/>
        <w:ind w:firstLine="2400" w:firstLineChars="750"/>
        <w:rPr>
          <w:rFonts w:hint="eastAsia" w:ascii="仿宋_GB2312" w:hAnsi="Times New Roman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宜良县</w:t>
      </w:r>
      <w:r>
        <w:rPr>
          <w:rFonts w:hint="eastAsia" w:ascii="仿宋_GB2312" w:hAnsi="Times New Roman" w:eastAsia="仿宋_GB2312" w:cs="仿宋_GB2312"/>
          <w:color w:val="333333"/>
          <w:sz w:val="32"/>
          <w:szCs w:val="32"/>
          <w:shd w:val="clear" w:color="auto" w:fill="FFFFFF"/>
        </w:rPr>
        <w:t>优化提升营商环境工作领导小组办公室</w:t>
      </w:r>
    </w:p>
    <w:p>
      <w:pPr>
        <w:spacing w:line="580" w:lineRule="exact"/>
        <w:ind w:firstLine="4480" w:firstLineChars="1400"/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日</w:t>
      </w:r>
    </w:p>
    <w:p>
      <w:pPr>
        <w:rPr>
          <w:rFonts w:hint="eastAsia" w:ascii="仿宋_GB2312" w:hAnsi="Times New Roman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Times New Roman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Times New Roman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 w:val="0"/>
          <w:color w:val="000000"/>
          <w:spacing w:val="-20"/>
          <w:kern w:val="0"/>
          <w:sz w:val="44"/>
          <w:szCs w:val="44"/>
          <w:lang w:eastAsia="zh-CN"/>
        </w:rPr>
        <w:sectPr>
          <w:pgSz w:w="11906" w:h="16838"/>
          <w:pgMar w:top="2041" w:right="1474" w:bottom="1928" w:left="158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宜良县优化营商环境信息工作考核办法</w:t>
      </w:r>
    </w:p>
    <w:p>
      <w:pPr>
        <w:pStyle w:val="2"/>
        <w:rPr>
          <w:rFonts w:hint="eastAsia"/>
          <w:lang w:val="en-US" w:eastAsia="zh-CN"/>
        </w:rPr>
      </w:pPr>
    </w:p>
    <w:p>
      <w:pPr>
        <w:topLinePunct/>
        <w:autoSpaceDE w:val="0"/>
        <w:adjustRightInd w:val="0"/>
        <w:snapToGrid w:val="0"/>
        <w:spacing w:line="560" w:lineRule="exact"/>
        <w:jc w:val="center"/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第一章</w:t>
      </w: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总</w:t>
      </w: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第一条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</w:rPr>
        <w:t>掌握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营商环境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工作情况，及时展现营商环境建设成效，推进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营商环境信息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工作制度化、规范化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积极营造有利于营商建设的舆论环境和社会氛围，促进全县营商环境向优向好，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制定本办法。</w:t>
      </w:r>
    </w:p>
    <w:p>
      <w:pPr>
        <w:topLinePunct/>
        <w:autoSpaceDE w:val="0"/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第二条</w:t>
      </w: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按照“坚持标准、质量为本，分类考核、激励先进”的原则，县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营商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办每年对各部门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优化营商环境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信息工作开展情况实行动态管理和年度目标考核。</w:t>
      </w:r>
    </w:p>
    <w:p>
      <w:pPr>
        <w:topLinePunct/>
        <w:autoSpaceDE w:val="0"/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第三条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优化营商环境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信息工作考核对象为各乡镇（街道）、宜良工业园区、县直各单位、各人民团体、省市垂直管理单位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详见附件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topLinePunct/>
        <w:autoSpaceDE w:val="0"/>
        <w:adjustRightInd w:val="0"/>
        <w:snapToGrid w:val="0"/>
        <w:spacing w:line="560" w:lineRule="exact"/>
        <w:jc w:val="center"/>
        <w:rPr>
          <w:rFonts w:hint="eastAsia" w:hAnsi="黑体" w:eastAsia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  <w:lang w:val="en-US" w:eastAsia="zh-CN"/>
        </w:rPr>
        <w:t>第二章  信息报送</w:t>
      </w:r>
    </w:p>
    <w:p>
      <w:pPr>
        <w:topLinePunct/>
        <w:autoSpaceDE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Calibri" w:hAnsi="黑体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第</w:t>
      </w:r>
      <w:r>
        <w:rPr>
          <w:rFonts w:hint="eastAsia" w:hAnsi="黑体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Calibri" w:hAnsi="黑体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条</w:t>
      </w:r>
      <w:r>
        <w:rPr>
          <w:rFonts w:hint="eastAsia" w:hAnsi="黑体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信息报送内容: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（一）党中央、国务院、云南省、昆明市、宜良县优化营商环境工作部署的贯彻落实情况。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（二）深化“放管服”改革、优化营商环境工作进展情况，改革中存在的问题、采取的措施建议等，以及对优化营商环境有参考价值的专题研究材料、综合统计数据等。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优化营商环境工作中的新思路、新举措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特色亮点、典型案例、经验做法等。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围绕企业需求开展调研，发现的重要情况，工作中出现的热点、难点、倾向性、苗头性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</w:t>
      </w:r>
      <w:r>
        <w:rPr>
          <w:rFonts w:hint="eastAsia" w:ascii="仿宋_GB2312" w:hAnsi="仿宋_GB2312" w:eastAsia="仿宋_GB2312" w:cs="仿宋_GB2312"/>
          <w:sz w:val="32"/>
          <w:szCs w:val="32"/>
        </w:rPr>
        <w:t>题及措施、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举办的与优化营商环境有关的重要会议、大型活动，上级部门指导工作、现场办公、调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研究等重要工作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优化营商环境工作专项约稿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其他需要报送的信息。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Calibri" w:hAnsi="黑体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第</w:t>
      </w:r>
      <w:r>
        <w:rPr>
          <w:rFonts w:hint="eastAsia" w:hAnsi="黑体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五</w:t>
      </w:r>
      <w:r>
        <w:rPr>
          <w:rFonts w:hint="eastAsia" w:ascii="Calibri" w:hAnsi="黑体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条</w:t>
      </w:r>
      <w:r>
        <w:rPr>
          <w:rFonts w:hint="eastAsia" w:hAnsi="黑体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、市相关部门和县委办、县政府办、县深改办、县营商办、县委宣传部，以及各类媒体对信息的要求，积极组织写稿、投稿，并同步报送县营商办。报送县营商办的信息，以“营商信息+标题”命名，通过OA系统发县营商办端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第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报送要求：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报送信息应紧紧围绕优化营商环境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出台的政策文件、惠企利企措施、企业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关切的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热点</w:t>
      </w:r>
      <w:r>
        <w:rPr>
          <w:rFonts w:hint="eastAsia" w:ascii="仿宋_GB2312" w:hAnsi="仿宋_GB2312" w:eastAsia="仿宋_GB2312" w:cs="仿宋_GB2312"/>
          <w:sz w:val="32"/>
          <w:szCs w:val="32"/>
        </w:rPr>
        <w:t>难点堵点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痛点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问题撰写。动态类信息要言简意赅、讲求实效;参考类、调研类信息要高度凝练、分析透彻、具有借鉴意义;重大事件、重要情况信息第一时间报送。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对信息的真实性、准确性、安全性负责;对报送信息的内容质量、文字表述、公开属性等内容应严格把关;报送信息必须经分管信息的负责人审核后方可上报，严禁出现内容数据错误或不宜公开的信息。</w:t>
      </w:r>
    </w:p>
    <w:p>
      <w:pPr>
        <w:topLinePunct/>
        <w:autoSpaceDE w:val="0"/>
        <w:adjustRightInd w:val="0"/>
        <w:snapToGrid w:val="0"/>
        <w:spacing w:line="560" w:lineRule="exact"/>
        <w:jc w:val="center"/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</w:pPr>
    </w:p>
    <w:p>
      <w:pPr>
        <w:topLinePunct/>
        <w:autoSpaceDE w:val="0"/>
        <w:adjustRightInd w:val="0"/>
        <w:snapToGrid w:val="0"/>
        <w:spacing w:line="560" w:lineRule="exact"/>
        <w:jc w:val="center"/>
        <w:rPr>
          <w:rFonts w:hint="eastAsia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第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章</w:t>
      </w: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  <w:lang w:val="en-US" w:eastAsia="zh-CN"/>
        </w:rPr>
        <w:t>信息考核</w:t>
      </w:r>
    </w:p>
    <w:p>
      <w:pPr>
        <w:topLinePunct/>
        <w:autoSpaceDE w:val="0"/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color w:val="000000"/>
          <w:spacing w:val="-6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第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snapToGrid w:val="0"/>
          <w:color w:val="000000"/>
          <w:spacing w:val="-6"/>
          <w:kern w:val="0"/>
          <w:sz w:val="32"/>
          <w:szCs w:val="32"/>
        </w:rPr>
        <w:t>实行量化考核</w:t>
      </w:r>
      <w:r>
        <w:rPr>
          <w:rFonts w:hint="eastAsia" w:eastAsia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详见附件</w:t>
      </w:r>
      <w:r>
        <w:rPr>
          <w:rFonts w:hint="eastAsia" w:eastAsia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snapToGrid w:val="0"/>
          <w:color w:val="000000"/>
          <w:spacing w:val="-6"/>
          <w:kern w:val="0"/>
          <w:sz w:val="32"/>
          <w:szCs w:val="32"/>
        </w:rPr>
        <w:t>，主要考核信息采用、信息效益等情况。</w:t>
      </w:r>
    </w:p>
    <w:p>
      <w:pPr>
        <w:topLinePunct/>
        <w:autoSpaceDE w:val="0"/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第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 信息采用计分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省级采用信息：</w:t>
      </w:r>
      <w:r>
        <w:rPr>
          <w:rFonts w:hint="eastAsia" w:ascii="仿宋_GB2312" w:eastAsia="仿宋_GB2312"/>
          <w:sz w:val="32"/>
          <w:szCs w:val="32"/>
        </w:rPr>
        <w:t>被《</w:t>
      </w:r>
      <w:r>
        <w:rPr>
          <w:rFonts w:hint="eastAsia" w:ascii="仿宋_GB2312" w:eastAsia="仿宋_GB2312"/>
          <w:sz w:val="32"/>
          <w:szCs w:val="32"/>
          <w:lang w:eastAsia="zh-CN"/>
        </w:rPr>
        <w:t>云南日报</w:t>
      </w:r>
      <w:r>
        <w:rPr>
          <w:rFonts w:hint="eastAsia" w:ascii="仿宋_GB2312" w:eastAsia="仿宋_GB2312"/>
          <w:sz w:val="32"/>
          <w:szCs w:val="32"/>
        </w:rPr>
        <w:t>》及同级刊物或网站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调研报告（专报）、正篇信息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分别加80分、50分。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市级采用信息：</w:t>
      </w:r>
      <w:r>
        <w:rPr>
          <w:rFonts w:hint="eastAsia" w:ascii="仿宋_GB2312" w:eastAsia="仿宋_GB2312"/>
          <w:sz w:val="32"/>
          <w:szCs w:val="32"/>
        </w:rPr>
        <w:t>被《</w:t>
      </w:r>
      <w:r>
        <w:rPr>
          <w:rFonts w:hint="eastAsia" w:ascii="仿宋_GB2312" w:eastAsia="仿宋_GB2312"/>
          <w:sz w:val="32"/>
          <w:szCs w:val="32"/>
          <w:lang w:eastAsia="zh-CN"/>
        </w:rPr>
        <w:t>昆明日报</w:t>
      </w:r>
      <w:r>
        <w:rPr>
          <w:rFonts w:hint="eastAsia" w:ascii="仿宋_GB2312" w:eastAsia="仿宋_GB2312"/>
          <w:sz w:val="32"/>
          <w:szCs w:val="32"/>
        </w:rPr>
        <w:t>》及同级刊物或网站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调研报告（专报）、正篇信息、工作简讯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分别加60分、30分、10分。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县级采用信息：被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信息与参考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宜良信息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同级刊物或“宜良之窗”网站采用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调研报告（专报）、正篇信息、工作简讯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分别加40分、10分、5分。</w:t>
      </w:r>
    </w:p>
    <w:p>
      <w:pPr>
        <w:topLinePunct/>
        <w:autoSpaceDE w:val="0"/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同一篇信息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以多种方式被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采用的，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仅计最高采用分值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topLinePunct/>
        <w:autoSpaceDE w:val="0"/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第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 xml:space="preserve">条  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信息报送计分</w:t>
      </w:r>
    </w:p>
    <w:p>
      <w:pPr>
        <w:topLinePunct/>
        <w:autoSpaceDE w:val="0"/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报送至县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营商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办的信息，每篇计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分，最高不超过40分。</w:t>
      </w:r>
    </w:p>
    <w:p>
      <w:pPr>
        <w:topLinePunct/>
        <w:autoSpaceDE w:val="0"/>
        <w:adjustRightInd w:val="0"/>
        <w:snapToGrid w:val="0"/>
        <w:spacing w:line="560" w:lineRule="exact"/>
        <w:ind w:firstLine="640" w:firstLineChars="200"/>
        <w:rPr>
          <w:rFonts w:hint="eastAsia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第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  <w:lang w:val="en-US" w:eastAsia="zh-CN"/>
        </w:rPr>
        <w:t>十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条</w:t>
      </w: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领导批示加分</w:t>
      </w:r>
    </w:p>
    <w:p>
      <w:pPr>
        <w:topLinePunct/>
        <w:autoSpaceDE w:val="0"/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1.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上报省、市的信息，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省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市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主要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领导在信息上有批示（圈阅除外）的，给予信息报送单位加分，分别为省级计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分、市级计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80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分。</w:t>
      </w:r>
    </w:p>
    <w:p>
      <w:pPr>
        <w:topLinePunct/>
        <w:autoSpaceDE w:val="0"/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2.县委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、县政府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主要领导在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上报信息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上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有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批示的，给予信息报送单位每篇加计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40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分，多个单位综合报送的，各单位平均分配分值且不低于5分。</w:t>
      </w:r>
    </w:p>
    <w:p>
      <w:pPr>
        <w:topLinePunct/>
        <w:autoSpaceDE w:val="0"/>
        <w:adjustRightInd w:val="0"/>
        <w:snapToGrid w:val="0"/>
        <w:spacing w:line="560" w:lineRule="exact"/>
        <w:ind w:firstLine="640" w:firstLineChars="200"/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3.同一篇信息获得多位领导批示的，仅计算一位领导批示加分（最高分值）。</w:t>
      </w:r>
    </w:p>
    <w:p>
      <w:pPr>
        <w:topLinePunct/>
        <w:autoSpaceDE w:val="0"/>
        <w:adjustRightInd w:val="0"/>
        <w:snapToGrid w:val="0"/>
        <w:spacing w:line="560" w:lineRule="exact"/>
        <w:ind w:firstLine="640" w:firstLineChars="200"/>
        <w:rPr>
          <w:rFonts w:hint="eastAsia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第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  <w:lang w:val="en-US" w:eastAsia="zh-CN"/>
        </w:rPr>
        <w:t>十一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条</w:t>
      </w: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扣分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报送信息有明显抄袭、严重失实的，扣减20分。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未按时报送信息，或信息质量不高的，每次扣10分。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3.因信息真实性、准确性、安全性造成不良社会影响的。信息工作得零分，并提请相关部门按规定处理。</w:t>
      </w:r>
    </w:p>
    <w:p>
      <w:pPr>
        <w:topLinePunct/>
        <w:autoSpaceDE w:val="0"/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第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  <w:lang w:eastAsia="zh-CN"/>
        </w:rPr>
        <w:t>十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 以每年1至12月为一个考核年度，视情况定期或不定期向相关部门通报信息报送和采用情况。</w:t>
      </w:r>
    </w:p>
    <w:p>
      <w:pPr>
        <w:topLinePunct/>
        <w:autoSpaceDE w:val="0"/>
        <w:adjustRightInd w:val="0"/>
        <w:snapToGrid w:val="0"/>
        <w:spacing w:line="560" w:lineRule="exact"/>
        <w:jc w:val="center"/>
        <w:rPr>
          <w:rFonts w:hint="eastAsia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第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章</w:t>
      </w: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则</w:t>
      </w:r>
    </w:p>
    <w:p>
      <w:pPr>
        <w:adjustRightInd w:val="0"/>
        <w:snapToGrid w:val="0"/>
        <w:spacing w:line="560" w:lineRule="exact"/>
        <w:ind w:firstLine="640" w:firstLineChars="200"/>
        <w:rPr>
          <w:rFonts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第十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 本办法自印发之日起施行，各年度按此办法施行，由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县营商办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负责解释。</w:t>
      </w:r>
    </w:p>
    <w:p>
      <w:pPr>
        <w:adjustRightInd w:val="0"/>
        <w:snapToGrid w:val="0"/>
        <w:spacing w:line="560" w:lineRule="exact"/>
        <w:rPr>
          <w:rFonts w:hAnsi="黑体" w:eastAsia="黑体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Ansi="黑体" w:eastAsia="黑体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Ansi="黑体" w:eastAsia="黑体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Ansi="黑体" w:eastAsia="黑体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Ansi="黑体" w:eastAsia="黑体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Ansi="黑体" w:eastAsia="黑体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Ansi="黑体" w:eastAsia="黑体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hAnsi="黑体" w:eastAsia="黑体"/>
          <w:snapToGrid w:val="0"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 w:val="0"/>
          <w:bCs/>
          <w:snapToGrid w:val="0"/>
          <w:color w:val="000000"/>
          <w:spacing w:val="-11"/>
          <w:kern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napToGrid w:val="0"/>
          <w:color w:val="000000"/>
          <w:spacing w:val="-11"/>
          <w:kern w:val="0"/>
          <w:sz w:val="44"/>
          <w:szCs w:val="44"/>
        </w:rPr>
        <w:t>宜良县</w:t>
      </w:r>
      <w:r>
        <w:rPr>
          <w:rFonts w:hint="eastAsia" w:eastAsia="方正小标宋简体"/>
          <w:b w:val="0"/>
          <w:bCs/>
          <w:snapToGrid w:val="0"/>
          <w:color w:val="000000"/>
          <w:spacing w:val="-11"/>
          <w:kern w:val="0"/>
          <w:sz w:val="44"/>
          <w:szCs w:val="44"/>
          <w:lang w:eastAsia="zh-CN"/>
        </w:rPr>
        <w:t>优化营商环境</w:t>
      </w:r>
      <w:r>
        <w:rPr>
          <w:rFonts w:hint="eastAsia" w:ascii="方正小标宋简体" w:eastAsia="方正小标宋简体"/>
          <w:b w:val="0"/>
          <w:bCs/>
          <w:snapToGrid w:val="0"/>
          <w:color w:val="000000"/>
          <w:spacing w:val="-11"/>
          <w:kern w:val="0"/>
          <w:sz w:val="44"/>
          <w:szCs w:val="44"/>
        </w:rPr>
        <w:t>信息目标任务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一、营商环境指标牵头单位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务局、县市场监管局、县住建局、县科工信局、县供电局、县自然资源局、县税务局、县法院、县财政局、县国有资产和金融服务中心、县人社局、县发改局、县司法局、县委组织部、生态环境分局、县交运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基本任务为100分。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二、营商环境指标责任单位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公安局、县政法委、县委办（县委督查办）、县人大办、县政府办（目督办）、县政协办、县委宣传部、县纪委监委、县委统战部（县工商联、县民宗局）、县农业农村局、县教体局、县水务局、县文旅局、县城管局、县应急局、县卫健局、县民政局、县林草局、县退役军人局、县医保局、县气象局、县统计局、县残联、县档案局、县检察院、县审计局、县机关事务管理局、工业园区管委会、运管分局、县史志办、县总工会、团县委、县妇联、县文联、县科协、县红十字会、九乡风景名胜区管理局、县城改局、县供销社、县委党校、县信访局、南羊街道办、匡远街道办、北古城镇、狗街镇、马街镇、竹山镇、耿家营乡、九乡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基本任务为70分。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B2255"/>
    <w:rsid w:val="04376C80"/>
    <w:rsid w:val="07324637"/>
    <w:rsid w:val="087B2255"/>
    <w:rsid w:val="0F2401DD"/>
    <w:rsid w:val="150D5FFD"/>
    <w:rsid w:val="170D6986"/>
    <w:rsid w:val="17D0399D"/>
    <w:rsid w:val="18D64331"/>
    <w:rsid w:val="1A6E3160"/>
    <w:rsid w:val="1B7F5C88"/>
    <w:rsid w:val="1BDE27BD"/>
    <w:rsid w:val="212261CE"/>
    <w:rsid w:val="29ED23DA"/>
    <w:rsid w:val="2F4919A8"/>
    <w:rsid w:val="34E82BEB"/>
    <w:rsid w:val="3B840BC9"/>
    <w:rsid w:val="3E361839"/>
    <w:rsid w:val="3EDC5F19"/>
    <w:rsid w:val="43C929D1"/>
    <w:rsid w:val="441A26C1"/>
    <w:rsid w:val="46702270"/>
    <w:rsid w:val="497D02E5"/>
    <w:rsid w:val="50B91D69"/>
    <w:rsid w:val="54951C68"/>
    <w:rsid w:val="552C2B0C"/>
    <w:rsid w:val="5DEE098D"/>
    <w:rsid w:val="5F0D3B83"/>
    <w:rsid w:val="5F773DFB"/>
    <w:rsid w:val="5FA01A4B"/>
    <w:rsid w:val="65127D82"/>
    <w:rsid w:val="65384DF1"/>
    <w:rsid w:val="65AA7FA6"/>
    <w:rsid w:val="6DD908B0"/>
    <w:rsid w:val="7A534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标题 1 + 首行缩进:  2 字符 + 首行缩进:  2 字符 + 10 磅"/>
    <w:basedOn w:val="3"/>
    <w:qFormat/>
    <w:uiPriority w:val="0"/>
    <w:pPr>
      <w:spacing w:beforeAutospacing="1" w:afterAutospacing="1" w:line="120" w:lineRule="atLeast"/>
      <w:jc w:val="left"/>
      <w:outlineLvl w:val="0"/>
    </w:pPr>
    <w:rPr>
      <w:rFonts w:ascii="宋体" w:hAnsi="宋体" w:eastAsia="方正姚体"/>
      <w:kern w:val="0"/>
      <w:sz w:val="20"/>
      <w:szCs w:val="20"/>
    </w:rPr>
  </w:style>
  <w:style w:type="paragraph" w:customStyle="1" w:styleId="3">
    <w:name w:val="样式 样式 标题 1 + 首行缩进:  2 字符 + 首行缩进:  2 字符"/>
    <w:basedOn w:val="4"/>
    <w:qFormat/>
    <w:uiPriority w:val="0"/>
    <w:pPr>
      <w:spacing w:line="240" w:lineRule="atLeast"/>
    </w:pPr>
    <w:rPr>
      <w:rFonts w:eastAsia="方正姚体" w:cs="Times New Roman"/>
    </w:rPr>
  </w:style>
  <w:style w:type="paragraph" w:customStyle="1" w:styleId="4">
    <w:name w:val="样式 标题 1 + 首行缩进:  2 字符"/>
    <w:basedOn w:val="5"/>
    <w:qFormat/>
    <w:uiPriority w:val="0"/>
    <w:rPr>
      <w:rFonts w:cs="宋体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2021-06-24T02:25:00Z</dcterms:created>
  <dc:creator>明天去健身</dc:creator>
  <cp:lastModifiedBy>墨苒锦瑟</cp:lastModifiedBy>
  <cp:lastPrinted>2021-07-29T00:38:32Z</cp:lastPrinted>
  <dcterms:modified xsi:type="dcterms:W3CDTF">2021-07-29T00:39:09Z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