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  <w:t>宜良县“政务吹哨、部门报到”</w:t>
      </w: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  <w:lang w:val="en-US" w:eastAsia="zh-CN"/>
        </w:rPr>
        <w:t>20xx年xx号</w:t>
      </w: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  <w:t>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  <w:lang w:val="en-US" w:eastAsia="zh-CN"/>
        </w:rPr>
        <w:t>处置</w:t>
      </w: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</w:rPr>
        <w:t>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 w:bidi="ar"/>
        </w:rPr>
        <w:t>牵头单位（盖章）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：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 日</w:t>
      </w:r>
    </w:p>
    <w:tbl>
      <w:tblPr>
        <w:tblStyle w:val="5"/>
        <w:tblW w:w="86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4566"/>
        <w:gridCol w:w="1134"/>
        <w:gridCol w:w="11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6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6" w:leftChars="665" w:firstLine="2380" w:firstLineChars="85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责任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部门得分                                       考核指标 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XX部门得分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部门得分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配合度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服从总体指挥（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“报到”期间考勤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情况（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10分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工作积极、主动出谋划策（5分）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8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bidi="ar"/>
              </w:rPr>
              <w:t>以往历史不属于本单位管辖范畴的问题——主动承担程度（</w:t>
            </w:r>
            <w:r>
              <w:rPr>
                <w:rFonts w:ascii="宋体" w:hAnsi="宋体" w:eastAsia="宋体" w:cs="宋体"/>
                <w:color w:val="000000"/>
                <w:spacing w:val="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反复出现推诿问题——主动承担程度（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专业性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熟悉本行业法律法规、标准（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办事流程便捷（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对上级政策、部署熟悉（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相关领域对接事项熟悉（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业务技能精湛（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总分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38" w:leftChars="0" w:hanging="638" w:hangingChars="29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注：1.此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表用于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“哨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”办理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完成后，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发起吹哨的牵头单位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对参与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报到的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相关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情况进行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lang w:bidi="ar"/>
              </w:rPr>
              <w:t>评价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32" w:leftChars="208" w:hanging="195" w:hangingChars="89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“哨件”办理过程中，各报到部门需安排业务能力强的人员报到，要有配合精神和一定的担当意识，尤其针对职责交叉不清、管理职责盲区等问题，鼓励各部门主动作为，从人民群众的利益出发，快速解决问题；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eastAsia="zh-CN" w:bidi="ar"/>
              </w:rPr>
              <w:t>牵头单位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针对各部门在办理哨件过程中表现出的专业水平及具体表现，对报到部门的“配合度”进行考核；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638" w:leftChars="0" w:hanging="638" w:hangingChars="29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.按照“一哨一考核”要求在吹哨问题处置后进行考评，考核结果作为政务服务、营商环境年度考核重要依据，同时上报县考核办、县委组织部。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56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宜良县“政务吹哨、部门报到”</w:t>
      </w:r>
      <w:r>
        <w:rPr>
          <w:rFonts w:hint="eastAsia" w:ascii="方正小标宋_GBK" w:hAnsi="方正小标宋_GBK" w:eastAsia="方正小标宋_GBK" w:cs="方正小标宋_GBK"/>
          <w:snapToGrid w:val="0"/>
          <w:spacing w:val="-20"/>
          <w:kern w:val="0"/>
          <w:sz w:val="44"/>
          <w:szCs w:val="44"/>
          <w:lang w:val="en-US" w:eastAsia="zh-CN"/>
        </w:rPr>
        <w:t>20xx年xx号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处置评分表</w:t>
      </w:r>
    </w:p>
    <w:p>
      <w:pPr>
        <w:tabs>
          <w:tab w:val="left" w:pos="8647"/>
        </w:tabs>
        <w:spacing w:line="560" w:lineRule="exact"/>
        <w:rPr>
          <w:rFonts w:cs="方正小标宋_GBK" w:asciiTheme="minorEastAsia" w:hAnsiTheme="minorEastAsia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责任单位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（盖章）：</w:t>
      </w:r>
      <w:r>
        <w:rPr>
          <w:rFonts w:hint="eastAsia" w:cs="方正小标宋_GBK" w:asciiTheme="minorEastAsia" w:hAnsiTheme="minorEastAsia"/>
          <w:sz w:val="22"/>
          <w:szCs w:val="22"/>
        </w:rPr>
        <w:t xml:space="preserve">         </w:t>
      </w:r>
      <w:r>
        <w:rPr>
          <w:rFonts w:cs="方正小标宋_GBK" w:asciiTheme="minorEastAsia" w:hAnsiTheme="minorEastAsia"/>
          <w:sz w:val="22"/>
          <w:szCs w:val="22"/>
        </w:rPr>
        <w:t xml:space="preserve">                                 </w:t>
      </w:r>
      <w:r>
        <w:rPr>
          <w:rFonts w:hint="eastAsia" w:cs="方正小标宋_GBK" w:asciiTheme="minorEastAsia" w:hAnsiTheme="minorEastAsia"/>
          <w:sz w:val="22"/>
          <w:szCs w:val="22"/>
        </w:rPr>
        <w:t xml:space="preserve">年   月   日          </w:t>
      </w:r>
    </w:p>
    <w:tbl>
      <w:tblPr>
        <w:tblStyle w:val="5"/>
        <w:tblW w:w="8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5527"/>
        <w:gridCol w:w="11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396" w:leftChars="665" w:firstLine="2240" w:firstLineChars="800"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发起“吹哨”牵头单位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得分                                       考核指标 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前期准备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充分（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分）/不充分（0分）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组织度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是否进行合理分工（20分）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整个行动是否依据行动方案部署（5分）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  <w:lang w:bidi="ar"/>
              </w:rPr>
              <w:t>是 否 安 排 长 期 管 控 落 实（</w:t>
            </w:r>
            <w:r>
              <w:rPr>
                <w:rFonts w:ascii="宋体" w:hAnsi="宋体" w:eastAsia="宋体" w:cs="宋体"/>
                <w:color w:val="000000"/>
                <w:spacing w:val="-2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是否做好后勤保障（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专业性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“吹哨”问题是否属实（5分）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应对突发情况专业性（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对本部门职能是否熟悉（5分）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对相关区域环境是否熟悉（5分）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是否发挥协调作用（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分）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总分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38" w:leftChars="0" w:hanging="638" w:hangingChars="29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注：1.此</w:t>
      </w:r>
      <w:r>
        <w:rPr>
          <w:rFonts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表用于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“哨</w:t>
      </w:r>
      <w:r>
        <w:rPr>
          <w:rFonts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件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”办理</w:t>
      </w:r>
      <w:r>
        <w:rPr>
          <w:rFonts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完成后，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eastAsia="zh-CN" w:bidi="ar"/>
        </w:rPr>
        <w:t>各责任单位、人员对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val="en-US" w:eastAsia="zh-CN" w:bidi="ar"/>
        </w:rPr>
        <w:t>发起吹哨的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2"/>
          <w:szCs w:val="22"/>
          <w:highlight w:val="none"/>
          <w:lang w:eastAsia="zh-CN" w:bidi="ar"/>
        </w:rPr>
        <w:t>牵头单位统筹、组织、处理“哨件”情况进行进行评价；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609" w:leftChars="-290" w:firstLine="1027" w:firstLineChars="467"/>
        <w:textAlignment w:val="auto"/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若哨件不包含长期管控，则长期管控计划以满分计；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40" w:leftChars="200" w:hanging="220" w:hangingChars="100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3.按照“一哨一考核”要求，在“哨</w:t>
      </w:r>
      <w:r>
        <w:rPr>
          <w:rFonts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件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highlight w:val="none"/>
          <w:lang w:bidi="ar"/>
        </w:rPr>
        <w:t>”处置完成后进行考评，考核结果作为政务服务、营商环境年度考核重要依据，同时上报县考核办、县委组织部。</w:t>
      </w:r>
    </w:p>
    <w:sectPr>
      <w:pgSz w:w="11906" w:h="16838"/>
      <w:pgMar w:top="1898" w:right="1474" w:bottom="1984" w:left="1587" w:header="851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B2"/>
    <w:rsid w:val="000753A6"/>
    <w:rsid w:val="002B13C3"/>
    <w:rsid w:val="003E3713"/>
    <w:rsid w:val="00470BB2"/>
    <w:rsid w:val="00582462"/>
    <w:rsid w:val="00632C40"/>
    <w:rsid w:val="006F1EE1"/>
    <w:rsid w:val="007C58EE"/>
    <w:rsid w:val="008175D7"/>
    <w:rsid w:val="00885817"/>
    <w:rsid w:val="009D139D"/>
    <w:rsid w:val="00CB6231"/>
    <w:rsid w:val="00D44B21"/>
    <w:rsid w:val="00E665D3"/>
    <w:rsid w:val="00EC3FCD"/>
    <w:rsid w:val="00EC4BA6"/>
    <w:rsid w:val="0102675C"/>
    <w:rsid w:val="011647FE"/>
    <w:rsid w:val="10A9171D"/>
    <w:rsid w:val="23F644D2"/>
    <w:rsid w:val="369423E5"/>
    <w:rsid w:val="3E2510EA"/>
    <w:rsid w:val="46116BA5"/>
    <w:rsid w:val="59EF0740"/>
    <w:rsid w:val="5CB10F90"/>
    <w:rsid w:val="5D157CD4"/>
    <w:rsid w:val="5E106E7D"/>
    <w:rsid w:val="6A7800C1"/>
    <w:rsid w:val="6E332241"/>
    <w:rsid w:val="74AC6973"/>
    <w:rsid w:val="74E9555D"/>
    <w:rsid w:val="7C9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190</Words>
  <Characters>1083</Characters>
  <Lines>9</Lines>
  <Paragraphs>2</Paragraphs>
  <TotalTime>0</TotalTime>
  <ScaleCrop>false</ScaleCrop>
  <LinksUpToDate>false</LinksUpToDate>
  <CharactersWithSpaces>1271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2019-10-23T03:23:00Z</dcterms:created>
  <dc:creator>User</dc:creator>
  <cp:lastModifiedBy>admin</cp:lastModifiedBy>
  <cp:lastPrinted>2020-06-19T07:12:00Z</cp:lastPrinted>
  <dcterms:modified xsi:type="dcterms:W3CDTF">2020-07-21T00:37:54Z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